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3910" w14:textId="77777777" w:rsidR="003E45B8" w:rsidRPr="00E4620E" w:rsidRDefault="003E45B8" w:rsidP="00E4620E">
      <w:pPr>
        <w:shd w:val="clear" w:color="auto" w:fill="FFFFFF" w:themeFill="background1"/>
        <w:spacing w:after="0" w:line="240" w:lineRule="auto"/>
        <w:jc w:val="center"/>
        <w:rPr>
          <w:rFonts w:eastAsia="Times New Roman" w:cs="Times New Roman"/>
          <w:b/>
          <w:bCs/>
          <w:caps/>
          <w:kern w:val="28"/>
          <w14:ligatures w14:val="none"/>
        </w:rPr>
      </w:pPr>
      <w:r w:rsidRPr="00E4620E">
        <w:rPr>
          <w:rFonts w:eastAsia="Times New Roman" w:cs="Times New Roman"/>
          <w:b/>
          <w:bCs/>
          <w:caps/>
          <w:kern w:val="28"/>
          <w14:ligatures w14:val="none"/>
        </w:rPr>
        <w:t>International Court of Justice</w:t>
      </w:r>
    </w:p>
    <w:p w14:paraId="1FC7CA52" w14:textId="77777777" w:rsidR="003E45B8" w:rsidRPr="003E45B8" w:rsidRDefault="003E45B8" w:rsidP="003E45B8">
      <w:pPr>
        <w:spacing w:after="0" w:line="240" w:lineRule="auto"/>
        <w:jc w:val="center"/>
        <w:rPr>
          <w:rFonts w:eastAsia="Times New Roman" w:cs="Times New Roman"/>
          <w:b/>
          <w:caps/>
          <w:kern w:val="28"/>
          <w14:ligatures w14:val="none"/>
        </w:rPr>
      </w:pPr>
    </w:p>
    <w:p w14:paraId="4EA96569" w14:textId="77777777" w:rsidR="003E45B8" w:rsidRPr="003E45B8" w:rsidRDefault="003E45B8" w:rsidP="003E45B8">
      <w:pPr>
        <w:spacing w:after="0" w:line="240" w:lineRule="auto"/>
        <w:jc w:val="center"/>
        <w:rPr>
          <w:rFonts w:eastAsia="Times New Roman" w:cs="Times New Roman"/>
          <w:b/>
          <w:caps/>
          <w:kern w:val="28"/>
          <w14:ligatures w14:val="none"/>
        </w:rPr>
      </w:pPr>
    </w:p>
    <w:p w14:paraId="53A43AC5" w14:textId="48782A58" w:rsidR="003E45B8" w:rsidRPr="003E45B8" w:rsidRDefault="003E45B8" w:rsidP="003E45B8">
      <w:pPr>
        <w:spacing w:after="0" w:line="240" w:lineRule="auto"/>
        <w:jc w:val="center"/>
        <w:rPr>
          <w:rFonts w:eastAsia="Times New Roman" w:cs="Times New Roman"/>
          <w:caps/>
          <w:kern w:val="28"/>
          <w14:ligatures w14:val="none"/>
        </w:rPr>
      </w:pPr>
      <w:r w:rsidRPr="003E45B8">
        <w:rPr>
          <w:rFonts w:eastAsia="Times New Roman" w:cs="Times New Roman"/>
          <w:kern w:val="28"/>
          <w14:ligatures w14:val="none"/>
        </w:rPr>
        <w:t>The Peace Palace</w:t>
      </w:r>
    </w:p>
    <w:p w14:paraId="5E6F784C" w14:textId="77777777" w:rsidR="003E45B8" w:rsidRPr="003E45B8" w:rsidRDefault="003E45B8" w:rsidP="003E45B8">
      <w:pPr>
        <w:spacing w:after="0" w:line="240" w:lineRule="auto"/>
        <w:jc w:val="center"/>
        <w:rPr>
          <w:rFonts w:eastAsia="Times New Roman" w:cs="Times New Roman"/>
          <w:caps/>
          <w:kern w:val="28"/>
          <w14:ligatures w14:val="none"/>
        </w:rPr>
      </w:pPr>
      <w:r w:rsidRPr="003E45B8">
        <w:rPr>
          <w:rFonts w:eastAsia="Times New Roman" w:cs="Times New Roman"/>
          <w:kern w:val="28"/>
          <w14:ligatures w14:val="none"/>
        </w:rPr>
        <w:t xml:space="preserve">The Hague, The Netherlands </w:t>
      </w:r>
    </w:p>
    <w:p w14:paraId="7566E88D" w14:textId="77777777" w:rsidR="003E45B8" w:rsidRPr="003E45B8" w:rsidRDefault="003E45B8" w:rsidP="003E45B8">
      <w:pPr>
        <w:spacing w:after="0" w:line="240" w:lineRule="auto"/>
        <w:jc w:val="center"/>
        <w:rPr>
          <w:rFonts w:eastAsia="Times New Roman" w:cs="Times New Roman"/>
          <w:b/>
          <w:caps/>
          <w:kern w:val="28"/>
          <w14:ligatures w14:val="none"/>
        </w:rPr>
      </w:pPr>
    </w:p>
    <w:p w14:paraId="07F46D7A" w14:textId="77777777" w:rsidR="003E45B8" w:rsidRPr="003E45B8" w:rsidRDefault="003E45B8" w:rsidP="003E45B8">
      <w:pPr>
        <w:spacing w:after="0" w:line="240" w:lineRule="auto"/>
        <w:jc w:val="center"/>
        <w:rPr>
          <w:rFonts w:eastAsia="Times New Roman" w:cs="Times New Roman"/>
          <w:b/>
          <w:caps/>
          <w:kern w:val="28"/>
          <w14:ligatures w14:val="none"/>
        </w:rPr>
      </w:pPr>
    </w:p>
    <w:p w14:paraId="4718855C" w14:textId="77777777" w:rsidR="003E45B8" w:rsidRPr="003E45B8" w:rsidRDefault="003E45B8" w:rsidP="003E45B8">
      <w:pPr>
        <w:spacing w:after="0" w:line="240" w:lineRule="auto"/>
        <w:jc w:val="center"/>
        <w:rPr>
          <w:rFonts w:eastAsia="Times New Roman" w:cs="Times New Roman"/>
          <w:b/>
          <w:caps/>
          <w:kern w:val="28"/>
          <w:lang w:val="en-US"/>
          <w14:ligatures w14:val="none"/>
        </w:rPr>
      </w:pPr>
      <w:r w:rsidRPr="003E45B8">
        <w:rPr>
          <w:rFonts w:eastAsia="Times New Roman" w:cs="Times New Roman"/>
          <w:b/>
          <w:caps/>
          <w:noProof/>
          <w:kern w:val="28"/>
          <w:lang w:eastAsia="en-CA"/>
          <w14:ligatures w14:val="none"/>
        </w:rPr>
        <w:drawing>
          <wp:inline distT="0" distB="0" distL="0" distR="0" wp14:anchorId="4CC0FCE3" wp14:editId="22B268A8">
            <wp:extent cx="958850" cy="958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1image55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inline>
        </w:drawing>
      </w:r>
    </w:p>
    <w:p w14:paraId="12C1026D" w14:textId="77777777" w:rsidR="003E45B8" w:rsidRPr="003E45B8" w:rsidRDefault="003E45B8" w:rsidP="003E45B8">
      <w:pPr>
        <w:spacing w:after="0" w:line="240" w:lineRule="auto"/>
        <w:jc w:val="center"/>
        <w:rPr>
          <w:rFonts w:eastAsia="Times New Roman" w:cs="Times New Roman"/>
          <w:b/>
          <w:caps/>
          <w:kern w:val="28"/>
          <w14:ligatures w14:val="none"/>
        </w:rPr>
      </w:pPr>
    </w:p>
    <w:p w14:paraId="1186C792" w14:textId="77777777" w:rsidR="003E45B8" w:rsidRPr="003E45B8" w:rsidRDefault="003E45B8" w:rsidP="003E45B8">
      <w:pPr>
        <w:spacing w:after="0" w:line="240" w:lineRule="auto"/>
        <w:jc w:val="center"/>
        <w:rPr>
          <w:rFonts w:eastAsia="Times New Roman" w:cs="Times New Roman"/>
          <w:caps/>
          <w:kern w:val="28"/>
          <w14:ligatures w14:val="none"/>
        </w:rPr>
      </w:pPr>
    </w:p>
    <w:p w14:paraId="7AA2F9D0" w14:textId="179DCA75" w:rsidR="003E45B8" w:rsidRPr="003E45B8" w:rsidRDefault="003E45B8" w:rsidP="003E45B8">
      <w:pPr>
        <w:spacing w:after="0" w:line="240" w:lineRule="auto"/>
        <w:jc w:val="center"/>
        <w:rPr>
          <w:rFonts w:eastAsia="Times New Roman" w:cs="Times New Roman"/>
          <w:caps/>
          <w:kern w:val="28"/>
          <w14:ligatures w14:val="none"/>
        </w:rPr>
      </w:pPr>
      <w:r w:rsidRPr="003E45B8">
        <w:rPr>
          <w:rFonts w:eastAsia="Times New Roman" w:cs="Times New Roman"/>
          <w:kern w:val="28"/>
          <w14:ligatures w14:val="none"/>
        </w:rPr>
        <w:t>The 202</w:t>
      </w:r>
      <w:r>
        <w:rPr>
          <w:rFonts w:eastAsia="Times New Roman" w:cs="Times New Roman"/>
          <w:kern w:val="28"/>
          <w14:ligatures w14:val="none"/>
        </w:rPr>
        <w:t>6</w:t>
      </w:r>
      <w:r w:rsidRPr="003E45B8">
        <w:rPr>
          <w:rFonts w:eastAsia="Times New Roman" w:cs="Times New Roman"/>
          <w:kern w:val="28"/>
          <w14:ligatures w14:val="none"/>
        </w:rPr>
        <w:t xml:space="preserve"> Philip C. Jessup International Law </w:t>
      </w:r>
      <w:r w:rsidRPr="003E45B8">
        <w:rPr>
          <w:rFonts w:eastAsia="Times New Roman" w:cs="Times New Roman"/>
          <w:caps/>
          <w:kern w:val="28"/>
          <w14:ligatures w14:val="none"/>
        </w:rPr>
        <w:br/>
      </w:r>
      <w:r w:rsidRPr="003E45B8">
        <w:rPr>
          <w:rFonts w:eastAsia="Times New Roman" w:cs="Times New Roman"/>
          <w:kern w:val="28"/>
          <w14:ligatures w14:val="none"/>
        </w:rPr>
        <w:t xml:space="preserve">Moot Court Competition </w:t>
      </w:r>
    </w:p>
    <w:p w14:paraId="59568F3B" w14:textId="77777777" w:rsidR="003E45B8" w:rsidRPr="003E45B8" w:rsidRDefault="003E45B8" w:rsidP="003E45B8">
      <w:pPr>
        <w:spacing w:after="0" w:line="240" w:lineRule="auto"/>
        <w:jc w:val="center"/>
        <w:rPr>
          <w:rFonts w:eastAsia="Times New Roman" w:cs="Times New Roman"/>
          <w:b/>
          <w:caps/>
          <w:kern w:val="28"/>
          <w14:ligatures w14:val="none"/>
        </w:rPr>
      </w:pPr>
    </w:p>
    <w:p w14:paraId="68C1AF36" w14:textId="77777777" w:rsidR="003E45B8" w:rsidRPr="003E45B8" w:rsidRDefault="003E45B8" w:rsidP="003E45B8">
      <w:pPr>
        <w:spacing w:after="0" w:line="240" w:lineRule="auto"/>
        <w:jc w:val="center"/>
        <w:rPr>
          <w:rFonts w:eastAsia="Times New Roman" w:cs="Times New Roman"/>
          <w:b/>
          <w:caps/>
          <w:kern w:val="28"/>
          <w14:ligatures w14:val="none"/>
        </w:rPr>
      </w:pPr>
    </w:p>
    <w:p w14:paraId="696B9038" w14:textId="77777777" w:rsidR="003E45B8" w:rsidRPr="003E45B8" w:rsidRDefault="003E45B8" w:rsidP="003E45B8">
      <w:pPr>
        <w:spacing w:after="0" w:line="240" w:lineRule="auto"/>
        <w:jc w:val="center"/>
        <w:rPr>
          <w:rFonts w:eastAsia="Times New Roman" w:cs="Times New Roman"/>
          <w:b/>
          <w:caps/>
          <w:kern w:val="28"/>
          <w14:ligatures w14:val="none"/>
        </w:rPr>
      </w:pPr>
    </w:p>
    <w:p w14:paraId="5E8899DF" w14:textId="2E4F3F09" w:rsidR="003E45B8" w:rsidRPr="003E45B8" w:rsidRDefault="00B919AB" w:rsidP="003E45B8">
      <w:pPr>
        <w:spacing w:after="0" w:line="240" w:lineRule="auto"/>
        <w:jc w:val="center"/>
        <w:rPr>
          <w:rFonts w:eastAsia="Times New Roman" w:cs="Times New Roman"/>
          <w:b/>
          <w:caps/>
          <w:smallCaps/>
          <w:kern w:val="28"/>
          <w14:ligatures w14:val="none"/>
        </w:rPr>
      </w:pPr>
      <w:r w:rsidRPr="00B919AB">
        <w:rPr>
          <w:rFonts w:eastAsia="Times New Roman" w:cs="Times New Roman"/>
          <w:b/>
          <w:smallCaps/>
          <w:kern w:val="28"/>
          <w14:ligatures w14:val="none"/>
        </w:rPr>
        <w:t>Case Concerning the Gordian Gorge</w:t>
      </w:r>
    </w:p>
    <w:p w14:paraId="3983DE92" w14:textId="77777777" w:rsidR="003E45B8" w:rsidRPr="003E45B8" w:rsidRDefault="003E45B8" w:rsidP="003E45B8">
      <w:pPr>
        <w:spacing w:after="0" w:line="240" w:lineRule="auto"/>
        <w:jc w:val="center"/>
        <w:rPr>
          <w:rFonts w:eastAsia="Times New Roman" w:cs="Times New Roman"/>
          <w:b/>
          <w:caps/>
          <w:kern w:val="28"/>
          <w14:ligatures w14:val="none"/>
        </w:rPr>
      </w:pPr>
    </w:p>
    <w:p w14:paraId="12FE69B9" w14:textId="77777777" w:rsidR="003E45B8" w:rsidRPr="003E45B8" w:rsidRDefault="003E45B8" w:rsidP="003E45B8">
      <w:pPr>
        <w:spacing w:after="0" w:line="240" w:lineRule="auto"/>
        <w:jc w:val="center"/>
        <w:rPr>
          <w:rFonts w:eastAsia="Times New Roman" w:cs="Times New Roman"/>
          <w:b/>
          <w:caps/>
          <w:kern w:val="28"/>
          <w14:ligatures w14:val="none"/>
        </w:rPr>
      </w:pPr>
    </w:p>
    <w:p w14:paraId="452A9A26" w14:textId="77777777" w:rsidR="003E45B8" w:rsidRPr="003E45B8" w:rsidRDefault="003E45B8" w:rsidP="003E45B8">
      <w:pPr>
        <w:spacing w:after="0" w:line="240" w:lineRule="auto"/>
        <w:jc w:val="center"/>
        <w:rPr>
          <w:rFonts w:eastAsia="Times New Roman" w:cs="Times New Roman"/>
          <w:b/>
          <w:caps/>
          <w:kern w:val="28"/>
          <w14:ligatures w14:val="none"/>
        </w:rPr>
      </w:pPr>
    </w:p>
    <w:p w14:paraId="5B74DFEB" w14:textId="1AA0DC59" w:rsidR="003E45B8" w:rsidRDefault="00F339C0" w:rsidP="003E45B8">
      <w:pPr>
        <w:spacing w:after="0" w:line="240" w:lineRule="auto"/>
        <w:jc w:val="center"/>
        <w:rPr>
          <w:rFonts w:eastAsia="Times New Roman" w:cs="Times New Roman"/>
          <w:b/>
          <w:smallCaps/>
          <w:kern w:val="28"/>
          <w14:ligatures w14:val="none"/>
        </w:rPr>
      </w:pPr>
      <w:r>
        <w:rPr>
          <w:rFonts w:eastAsia="Times New Roman" w:cs="Times New Roman"/>
          <w:b/>
          <w:smallCaps/>
          <w:kern w:val="28"/>
          <w14:ligatures w14:val="none"/>
        </w:rPr>
        <w:t xml:space="preserve">The Dominion of </w:t>
      </w:r>
      <w:r w:rsidR="00B919AB">
        <w:rPr>
          <w:rFonts w:eastAsia="Times New Roman" w:cs="Times New Roman"/>
          <w:b/>
          <w:smallCaps/>
          <w:kern w:val="28"/>
          <w14:ligatures w14:val="none"/>
        </w:rPr>
        <w:t>Alekostria</w:t>
      </w:r>
    </w:p>
    <w:p w14:paraId="267A9492" w14:textId="77777777" w:rsidR="00F339C0" w:rsidRPr="003E45B8" w:rsidRDefault="00F339C0" w:rsidP="003E45B8">
      <w:pPr>
        <w:spacing w:after="0" w:line="240" w:lineRule="auto"/>
        <w:jc w:val="center"/>
        <w:rPr>
          <w:rFonts w:eastAsia="Times New Roman" w:cs="Times New Roman"/>
          <w:b/>
          <w:caps/>
          <w:kern w:val="28"/>
          <w14:ligatures w14:val="none"/>
        </w:rPr>
      </w:pPr>
    </w:p>
    <w:p w14:paraId="2DBF32EF" w14:textId="77777777" w:rsidR="003E45B8" w:rsidRPr="003E45B8" w:rsidRDefault="003E45B8" w:rsidP="003E45B8">
      <w:pPr>
        <w:spacing w:after="0" w:line="240" w:lineRule="auto"/>
        <w:jc w:val="center"/>
        <w:rPr>
          <w:rFonts w:eastAsia="Times New Roman" w:cs="Times New Roman"/>
          <w:i/>
          <w:caps/>
          <w:kern w:val="28"/>
          <w14:ligatures w14:val="none"/>
        </w:rPr>
      </w:pPr>
      <w:r w:rsidRPr="003E45B8">
        <w:rPr>
          <w:rFonts w:eastAsia="Times New Roman" w:cs="Times New Roman"/>
          <w:i/>
          <w:kern w:val="28"/>
          <w14:ligatures w14:val="none"/>
        </w:rPr>
        <w:t>(Applicant)</w:t>
      </w:r>
    </w:p>
    <w:p w14:paraId="1B11B845" w14:textId="77777777" w:rsidR="003E45B8" w:rsidRPr="003E45B8" w:rsidRDefault="003E45B8" w:rsidP="003E45B8">
      <w:pPr>
        <w:spacing w:after="0" w:line="240" w:lineRule="auto"/>
        <w:rPr>
          <w:rFonts w:eastAsia="Times New Roman" w:cs="Times New Roman"/>
          <w:b/>
          <w:i/>
          <w:caps/>
          <w:kern w:val="28"/>
          <w14:ligatures w14:val="none"/>
        </w:rPr>
      </w:pPr>
    </w:p>
    <w:p w14:paraId="11D6E073" w14:textId="0521B1B7" w:rsidR="003E45B8" w:rsidRPr="003E45B8" w:rsidRDefault="003E45B8" w:rsidP="003E45B8">
      <w:pPr>
        <w:spacing w:after="0" w:line="240" w:lineRule="auto"/>
        <w:jc w:val="center"/>
        <w:rPr>
          <w:rFonts w:eastAsia="Times New Roman" w:cs="Times New Roman"/>
          <w:caps/>
          <w:kern w:val="28"/>
          <w14:ligatures w14:val="none"/>
        </w:rPr>
      </w:pPr>
      <w:r w:rsidRPr="003E45B8">
        <w:rPr>
          <w:rFonts w:eastAsia="Times New Roman" w:cs="Times New Roman"/>
          <w:kern w:val="28"/>
          <w14:ligatures w14:val="none"/>
        </w:rPr>
        <w:t>v</w:t>
      </w:r>
      <w:r w:rsidR="00E4620E">
        <w:rPr>
          <w:rFonts w:eastAsia="Times New Roman" w:cs="Times New Roman"/>
          <w:kern w:val="28"/>
          <w14:ligatures w14:val="none"/>
        </w:rPr>
        <w:t>.</w:t>
      </w:r>
    </w:p>
    <w:p w14:paraId="7B6D43C9" w14:textId="77777777" w:rsidR="003E45B8" w:rsidRPr="003E45B8" w:rsidRDefault="003E45B8" w:rsidP="003E45B8">
      <w:pPr>
        <w:spacing w:after="0" w:line="240" w:lineRule="auto"/>
        <w:jc w:val="center"/>
        <w:rPr>
          <w:rFonts w:eastAsia="Times New Roman" w:cs="Times New Roman"/>
          <w:caps/>
          <w:kern w:val="28"/>
          <w14:ligatures w14:val="none"/>
        </w:rPr>
      </w:pPr>
    </w:p>
    <w:p w14:paraId="29CE7613" w14:textId="2AC671BD" w:rsidR="003E45B8" w:rsidRPr="003E45B8" w:rsidRDefault="00F339C0" w:rsidP="003E45B8">
      <w:pPr>
        <w:spacing w:after="0" w:line="240" w:lineRule="auto"/>
        <w:jc w:val="center"/>
        <w:rPr>
          <w:rFonts w:eastAsia="Times New Roman" w:cs="Times New Roman"/>
          <w:b/>
          <w:caps/>
          <w:smallCaps/>
          <w:kern w:val="28"/>
          <w14:ligatures w14:val="none"/>
        </w:rPr>
      </w:pPr>
      <w:r>
        <w:rPr>
          <w:rFonts w:eastAsia="Times New Roman" w:cs="Times New Roman"/>
          <w:b/>
          <w:smallCaps/>
          <w:kern w:val="28"/>
          <w14:ligatures w14:val="none"/>
        </w:rPr>
        <w:t xml:space="preserve">The Republic of </w:t>
      </w:r>
      <w:r w:rsidR="00B919AB">
        <w:rPr>
          <w:rFonts w:eastAsia="Times New Roman" w:cs="Times New Roman"/>
          <w:b/>
          <w:smallCaps/>
          <w:kern w:val="28"/>
          <w14:ligatures w14:val="none"/>
        </w:rPr>
        <w:t>Restovia</w:t>
      </w:r>
    </w:p>
    <w:p w14:paraId="70947AB6" w14:textId="77777777" w:rsidR="003E45B8" w:rsidRPr="003E45B8" w:rsidRDefault="003E45B8" w:rsidP="003E45B8">
      <w:pPr>
        <w:spacing w:after="0" w:line="240" w:lineRule="auto"/>
        <w:jc w:val="center"/>
        <w:rPr>
          <w:rFonts w:eastAsia="Times New Roman" w:cs="Times New Roman"/>
          <w:caps/>
          <w:kern w:val="28"/>
          <w14:ligatures w14:val="none"/>
        </w:rPr>
      </w:pPr>
    </w:p>
    <w:p w14:paraId="0B3480B8" w14:textId="77777777" w:rsidR="003E45B8" w:rsidRPr="003E45B8" w:rsidRDefault="003E45B8" w:rsidP="003E45B8">
      <w:pPr>
        <w:spacing w:after="0" w:line="240" w:lineRule="auto"/>
        <w:jc w:val="center"/>
        <w:rPr>
          <w:rFonts w:eastAsia="Times New Roman" w:cs="Times New Roman"/>
          <w:i/>
          <w:caps/>
          <w:kern w:val="28"/>
          <w14:ligatures w14:val="none"/>
        </w:rPr>
      </w:pPr>
      <w:r w:rsidRPr="003E45B8">
        <w:rPr>
          <w:rFonts w:eastAsia="Times New Roman" w:cs="Times New Roman"/>
          <w:i/>
          <w:kern w:val="28"/>
          <w14:ligatures w14:val="none"/>
        </w:rPr>
        <w:t xml:space="preserve">(Respondent) </w:t>
      </w:r>
    </w:p>
    <w:p w14:paraId="783ADC32" w14:textId="77777777" w:rsidR="003E45B8" w:rsidRPr="003E45B8" w:rsidRDefault="003E45B8" w:rsidP="003E45B8">
      <w:pPr>
        <w:spacing w:after="0" w:line="240" w:lineRule="auto"/>
        <w:jc w:val="center"/>
        <w:rPr>
          <w:rFonts w:eastAsia="Times New Roman" w:cs="Times New Roman"/>
          <w:b/>
          <w:i/>
          <w:caps/>
          <w:kern w:val="28"/>
          <w14:ligatures w14:val="none"/>
        </w:rPr>
      </w:pPr>
    </w:p>
    <w:p w14:paraId="051E63B4" w14:textId="77777777" w:rsidR="003E45B8" w:rsidRPr="003E45B8" w:rsidRDefault="003E45B8" w:rsidP="003E45B8">
      <w:pPr>
        <w:spacing w:after="0" w:line="240" w:lineRule="auto"/>
        <w:rPr>
          <w:rFonts w:eastAsia="Times New Roman" w:cs="Times New Roman"/>
          <w:b/>
          <w:i/>
          <w:caps/>
          <w:kern w:val="28"/>
          <w14:ligatures w14:val="none"/>
        </w:rPr>
      </w:pPr>
    </w:p>
    <w:p w14:paraId="79E39554" w14:textId="77777777" w:rsidR="003E45B8" w:rsidRPr="003E45B8" w:rsidRDefault="003E45B8" w:rsidP="003E45B8">
      <w:pPr>
        <w:pBdr>
          <w:top w:val="single" w:sz="4" w:space="1" w:color="auto"/>
        </w:pBdr>
        <w:spacing w:after="0" w:line="240" w:lineRule="auto"/>
        <w:rPr>
          <w:rFonts w:eastAsia="Times New Roman" w:cs="Times New Roman"/>
          <w:b/>
          <w:caps/>
          <w:kern w:val="28"/>
          <w14:ligatures w14:val="none"/>
        </w:rPr>
      </w:pPr>
    </w:p>
    <w:p w14:paraId="2AE4A669" w14:textId="7ECA6F59" w:rsidR="003E45B8" w:rsidRPr="003E45B8" w:rsidRDefault="003E45B8" w:rsidP="003E45B8">
      <w:pPr>
        <w:pBdr>
          <w:bottom w:val="single" w:sz="4" w:space="1" w:color="auto"/>
        </w:pBdr>
        <w:spacing w:after="0" w:line="240" w:lineRule="auto"/>
        <w:jc w:val="center"/>
        <w:rPr>
          <w:rFonts w:eastAsia="Times New Roman" w:cs="Times New Roman"/>
          <w:b/>
          <w:smallCaps/>
          <w:kern w:val="28"/>
          <w14:ligatures w14:val="none"/>
        </w:rPr>
      </w:pPr>
      <w:r w:rsidRPr="003E45B8">
        <w:rPr>
          <w:rFonts w:eastAsia="Times New Roman" w:cs="Times New Roman"/>
          <w:b/>
          <w:smallCaps/>
          <w:kern w:val="28"/>
          <w14:ligatures w14:val="none"/>
        </w:rPr>
        <w:t xml:space="preserve">Memorial for the </w:t>
      </w:r>
      <w:r w:rsidR="00B919AB">
        <w:rPr>
          <w:rFonts w:eastAsia="Times New Roman" w:cs="Times New Roman"/>
          <w:b/>
          <w:smallCaps/>
          <w:kern w:val="28"/>
          <w14:ligatures w14:val="none"/>
        </w:rPr>
        <w:t>Respondent</w:t>
      </w:r>
    </w:p>
    <w:p w14:paraId="20D0DD64" w14:textId="77777777" w:rsidR="003E45B8" w:rsidRPr="003E45B8" w:rsidRDefault="003E45B8" w:rsidP="003E45B8">
      <w:pPr>
        <w:pBdr>
          <w:bottom w:val="single" w:sz="4" w:space="1" w:color="auto"/>
        </w:pBdr>
        <w:spacing w:after="0" w:line="240" w:lineRule="auto"/>
        <w:jc w:val="center"/>
        <w:rPr>
          <w:rFonts w:eastAsia="Times New Roman" w:cs="Times New Roman"/>
          <w:b/>
          <w:caps/>
          <w:kern w:val="28"/>
          <w14:ligatures w14:val="none"/>
        </w:rPr>
      </w:pPr>
    </w:p>
    <w:p w14:paraId="07CA179A" w14:textId="77777777" w:rsidR="003E45B8" w:rsidRPr="003E45B8" w:rsidRDefault="003E45B8" w:rsidP="003E45B8">
      <w:pPr>
        <w:spacing w:after="0" w:line="240" w:lineRule="auto"/>
        <w:rPr>
          <w:rFonts w:ascii="Kings Caslon Display Typo" w:eastAsia="Calibri" w:hAnsi="Kings Caslon Display Typo" w:cs="Arial"/>
          <w:kern w:val="0"/>
          <w:lang w:val="en-US"/>
          <w14:ligatures w14:val="none"/>
        </w:rPr>
      </w:pPr>
    </w:p>
    <w:p w14:paraId="6EF8335A" w14:textId="77777777" w:rsidR="003E45B8" w:rsidRPr="003E45B8" w:rsidRDefault="003E45B8" w:rsidP="003E45B8">
      <w:pPr>
        <w:spacing w:after="0" w:line="240" w:lineRule="auto"/>
        <w:rPr>
          <w:rFonts w:ascii="Kings Caslon Display Typo" w:eastAsia="Calibri" w:hAnsi="Kings Caslon Display Typo" w:cs="Arial"/>
          <w:kern w:val="0"/>
          <w:lang w:val="en-US"/>
          <w14:ligatures w14:val="none"/>
        </w:rPr>
      </w:pPr>
    </w:p>
    <w:p w14:paraId="42D6FDAE" w14:textId="03785350" w:rsidR="003E45B8" w:rsidRDefault="003E45B8" w:rsidP="003E45B8">
      <w:pPr>
        <w:spacing w:after="0" w:line="240" w:lineRule="auto"/>
        <w:jc w:val="center"/>
        <w:rPr>
          <w:rFonts w:eastAsia="Times New Roman" w:cs="Times New Roman"/>
          <w:caps/>
          <w:kern w:val="28"/>
          <w14:ligatures w14:val="none"/>
        </w:rPr>
      </w:pPr>
      <w:r w:rsidRPr="003E45B8">
        <w:rPr>
          <w:rFonts w:eastAsia="Times New Roman" w:cs="Times New Roman"/>
          <w:caps/>
          <w:kern w:val="28"/>
          <w14:ligatures w14:val="none"/>
        </w:rPr>
        <w:t>202</w:t>
      </w:r>
      <w:r>
        <w:rPr>
          <w:rFonts w:eastAsia="Times New Roman" w:cs="Times New Roman"/>
          <w:caps/>
          <w:kern w:val="28"/>
          <w14:ligatures w14:val="none"/>
        </w:rPr>
        <w:t>6</w:t>
      </w:r>
    </w:p>
    <w:p w14:paraId="773837DC" w14:textId="77777777" w:rsidR="003E45B8" w:rsidRDefault="003E45B8" w:rsidP="003E45B8">
      <w:pPr>
        <w:spacing w:after="0" w:line="240" w:lineRule="auto"/>
        <w:jc w:val="center"/>
        <w:rPr>
          <w:rFonts w:eastAsia="Times New Roman" w:cs="Times New Roman"/>
          <w:caps/>
          <w:kern w:val="28"/>
          <w14:ligatures w14:val="none"/>
        </w:rPr>
      </w:pPr>
    </w:p>
    <w:p w14:paraId="483E298B" w14:textId="77777777" w:rsidR="003E45B8" w:rsidRDefault="003E45B8" w:rsidP="003E45B8">
      <w:pPr>
        <w:spacing w:after="0" w:line="240" w:lineRule="auto"/>
        <w:jc w:val="center"/>
        <w:rPr>
          <w:rFonts w:eastAsia="Times New Roman" w:cs="Times New Roman"/>
          <w:caps/>
          <w:kern w:val="28"/>
          <w14:ligatures w14:val="none"/>
        </w:rPr>
      </w:pPr>
    </w:p>
    <w:p w14:paraId="290F497F" w14:textId="77777777" w:rsidR="003E45B8" w:rsidRDefault="003E45B8" w:rsidP="003E45B8">
      <w:pPr>
        <w:spacing w:after="0" w:line="240" w:lineRule="auto"/>
        <w:jc w:val="center"/>
        <w:rPr>
          <w:rFonts w:eastAsia="Times New Roman" w:cs="Times New Roman"/>
          <w:caps/>
          <w:kern w:val="28"/>
          <w14:ligatures w14:val="none"/>
        </w:rPr>
      </w:pPr>
    </w:p>
    <w:p w14:paraId="4DAFB3A7" w14:textId="77777777" w:rsidR="00620717" w:rsidRDefault="00620717" w:rsidP="004110AE">
      <w:pPr>
        <w:pStyle w:val="Title2"/>
        <w:sectPr w:rsidR="00620717" w:rsidSect="00E4620E">
          <w:headerReference w:type="default" r:id="rId9"/>
          <w:footerReference w:type="even" r:id="rId10"/>
          <w:footerReference w:type="default" r:id="rId11"/>
          <w:pgSz w:w="12240" w:h="15840"/>
          <w:pgMar w:top="1440" w:right="1440" w:bottom="1440" w:left="1440" w:header="708" w:footer="708" w:gutter="0"/>
          <w:pgNumType w:fmt="lowerRoman" w:start="1"/>
          <w:cols w:space="708"/>
          <w:titlePg/>
          <w:docGrid w:linePitch="360"/>
        </w:sectPr>
      </w:pPr>
    </w:p>
    <w:p w14:paraId="5812DBE0" w14:textId="77777777" w:rsidR="00415B2B" w:rsidRPr="00D178A8" w:rsidRDefault="00415B2B" w:rsidP="00415B2B">
      <w:pPr>
        <w:spacing w:after="200"/>
        <w:jc w:val="center"/>
        <w:rPr>
          <w:rFonts w:cs="Times New Roman"/>
          <w:b/>
          <w:smallCaps/>
          <w:kern w:val="28"/>
        </w:rPr>
      </w:pPr>
      <w:r w:rsidRPr="00D178A8">
        <w:rPr>
          <w:rFonts w:cs="Times New Roman"/>
          <w:b/>
          <w:smallCaps/>
          <w:kern w:val="28"/>
        </w:rPr>
        <w:lastRenderedPageBreak/>
        <w:t>TABLE OF CONTENTS</w:t>
      </w:r>
    </w:p>
    <w:p w14:paraId="4EFC2121" w14:textId="42565E3F" w:rsidR="00395591" w:rsidRPr="005F2A05" w:rsidRDefault="00415B2B" w:rsidP="005F2A05">
      <w:pPr>
        <w:pStyle w:val="TOC1"/>
        <w:spacing w:after="160" w:line="240" w:lineRule="auto"/>
        <w:rPr>
          <w:rFonts w:eastAsiaTheme="minorEastAsia"/>
          <w:b w:val="0"/>
          <w:bCs w:val="0"/>
          <w:noProof/>
          <w:szCs w:val="24"/>
          <w:lang w:val="en-US"/>
        </w:rPr>
      </w:pPr>
      <w:r w:rsidRPr="005F2A05">
        <w:rPr>
          <w:rFonts w:eastAsia="Times New Roman"/>
          <w:smallCaps/>
          <w:kern w:val="32"/>
          <w:szCs w:val="24"/>
          <w14:ligatures w14:val="none"/>
        </w:rPr>
        <w:fldChar w:fldCharType="begin"/>
      </w:r>
      <w:r w:rsidRPr="005F2A05">
        <w:rPr>
          <w:rFonts w:eastAsia="Times New Roman"/>
          <w:smallCaps/>
          <w:kern w:val="32"/>
          <w:szCs w:val="24"/>
          <w14:ligatures w14:val="none"/>
        </w:rPr>
        <w:instrText xml:space="preserve"> TOC \h \z \t "Heading 1,2,Heading 2,3,Heading 3,4,Title,1" </w:instrText>
      </w:r>
      <w:r w:rsidRPr="005F2A05">
        <w:rPr>
          <w:rFonts w:eastAsia="Times New Roman"/>
          <w:smallCaps/>
          <w:kern w:val="32"/>
          <w:szCs w:val="24"/>
          <w14:ligatures w14:val="none"/>
        </w:rPr>
        <w:fldChar w:fldCharType="separate"/>
      </w:r>
      <w:hyperlink w:anchor="_Toc219103212" w:history="1">
        <w:r w:rsidR="00395591" w:rsidRPr="005F2A05">
          <w:rPr>
            <w:rStyle w:val="Hyperlink"/>
            <w:noProof/>
            <w:szCs w:val="24"/>
          </w:rPr>
          <w:t>INDEX OF AUTHORITIES</w:t>
        </w:r>
        <w:r w:rsidR="00395591" w:rsidRPr="005F2A05">
          <w:rPr>
            <w:noProof/>
            <w:webHidden/>
            <w:szCs w:val="24"/>
          </w:rPr>
          <w:tab/>
        </w:r>
        <w:r w:rsidR="00395591" w:rsidRPr="005F2A05">
          <w:rPr>
            <w:noProof/>
            <w:webHidden/>
            <w:szCs w:val="24"/>
          </w:rPr>
          <w:fldChar w:fldCharType="begin"/>
        </w:r>
        <w:r w:rsidR="00395591" w:rsidRPr="005F2A05">
          <w:rPr>
            <w:noProof/>
            <w:webHidden/>
            <w:szCs w:val="24"/>
          </w:rPr>
          <w:instrText xml:space="preserve"> PAGEREF _Toc219103212 \h </w:instrText>
        </w:r>
        <w:r w:rsidR="00395591" w:rsidRPr="005F2A05">
          <w:rPr>
            <w:noProof/>
            <w:webHidden/>
            <w:szCs w:val="24"/>
          </w:rPr>
        </w:r>
        <w:r w:rsidR="00395591" w:rsidRPr="005F2A05">
          <w:rPr>
            <w:noProof/>
            <w:webHidden/>
            <w:szCs w:val="24"/>
          </w:rPr>
          <w:fldChar w:fldCharType="separate"/>
        </w:r>
        <w:r w:rsidR="005F2A05">
          <w:rPr>
            <w:noProof/>
            <w:webHidden/>
            <w:szCs w:val="24"/>
          </w:rPr>
          <w:t>iii</w:t>
        </w:r>
        <w:r w:rsidR="00395591" w:rsidRPr="005F2A05">
          <w:rPr>
            <w:noProof/>
            <w:webHidden/>
            <w:szCs w:val="24"/>
          </w:rPr>
          <w:fldChar w:fldCharType="end"/>
        </w:r>
      </w:hyperlink>
    </w:p>
    <w:p w14:paraId="398FD4BE" w14:textId="1E679EB7" w:rsidR="00395591" w:rsidRPr="005F2A05" w:rsidRDefault="00395591" w:rsidP="005F2A05">
      <w:pPr>
        <w:pStyle w:val="TOC1"/>
        <w:spacing w:after="160" w:line="240" w:lineRule="auto"/>
        <w:rPr>
          <w:rFonts w:eastAsiaTheme="minorEastAsia"/>
          <w:b w:val="0"/>
          <w:bCs w:val="0"/>
          <w:noProof/>
          <w:szCs w:val="24"/>
          <w:lang w:val="en-US"/>
        </w:rPr>
      </w:pPr>
      <w:hyperlink w:anchor="_Toc219103213" w:history="1">
        <w:r w:rsidRPr="005F2A05">
          <w:rPr>
            <w:rStyle w:val="Hyperlink"/>
            <w:noProof/>
            <w:szCs w:val="24"/>
          </w:rPr>
          <w:t>STATEMENT OF JURISDICTION</w:t>
        </w:r>
        <w:r w:rsidRPr="005F2A05">
          <w:rPr>
            <w:noProof/>
            <w:webHidden/>
            <w:szCs w:val="24"/>
          </w:rPr>
          <w:tab/>
        </w:r>
        <w:r w:rsidRPr="005F2A05">
          <w:rPr>
            <w:noProof/>
            <w:webHidden/>
            <w:szCs w:val="24"/>
          </w:rPr>
          <w:fldChar w:fldCharType="begin"/>
        </w:r>
        <w:r w:rsidRPr="005F2A05">
          <w:rPr>
            <w:noProof/>
            <w:webHidden/>
            <w:szCs w:val="24"/>
          </w:rPr>
          <w:instrText xml:space="preserve"> PAGEREF _Toc219103213 \h </w:instrText>
        </w:r>
        <w:r w:rsidRPr="005F2A05">
          <w:rPr>
            <w:noProof/>
            <w:webHidden/>
            <w:szCs w:val="24"/>
          </w:rPr>
        </w:r>
        <w:r w:rsidRPr="005F2A05">
          <w:rPr>
            <w:noProof/>
            <w:webHidden/>
            <w:szCs w:val="24"/>
          </w:rPr>
          <w:fldChar w:fldCharType="separate"/>
        </w:r>
        <w:r w:rsidR="005F2A05">
          <w:rPr>
            <w:noProof/>
            <w:webHidden/>
            <w:szCs w:val="24"/>
          </w:rPr>
          <w:t>x</w:t>
        </w:r>
        <w:r w:rsidRPr="005F2A05">
          <w:rPr>
            <w:noProof/>
            <w:webHidden/>
            <w:szCs w:val="24"/>
          </w:rPr>
          <w:fldChar w:fldCharType="end"/>
        </w:r>
      </w:hyperlink>
    </w:p>
    <w:p w14:paraId="5DE14A20" w14:textId="2E62D08D" w:rsidR="00395591" w:rsidRPr="005F2A05" w:rsidRDefault="00395591" w:rsidP="005F2A05">
      <w:pPr>
        <w:pStyle w:val="TOC1"/>
        <w:spacing w:after="160" w:line="240" w:lineRule="auto"/>
        <w:rPr>
          <w:rFonts w:eastAsiaTheme="minorEastAsia"/>
          <w:b w:val="0"/>
          <w:bCs w:val="0"/>
          <w:noProof/>
          <w:szCs w:val="24"/>
          <w:lang w:val="en-US"/>
        </w:rPr>
      </w:pPr>
      <w:hyperlink w:anchor="_Toc219103214" w:history="1">
        <w:r w:rsidRPr="005F2A05">
          <w:rPr>
            <w:rStyle w:val="Hyperlink"/>
            <w:noProof/>
            <w:szCs w:val="24"/>
          </w:rPr>
          <w:t>STATEMENT OF FACTS</w:t>
        </w:r>
        <w:r w:rsidRPr="005F2A05">
          <w:rPr>
            <w:noProof/>
            <w:webHidden/>
            <w:szCs w:val="24"/>
          </w:rPr>
          <w:tab/>
        </w:r>
        <w:r w:rsidRPr="005F2A05">
          <w:rPr>
            <w:noProof/>
            <w:webHidden/>
            <w:szCs w:val="24"/>
          </w:rPr>
          <w:fldChar w:fldCharType="begin"/>
        </w:r>
        <w:r w:rsidRPr="005F2A05">
          <w:rPr>
            <w:noProof/>
            <w:webHidden/>
            <w:szCs w:val="24"/>
          </w:rPr>
          <w:instrText xml:space="preserve"> PAGEREF _Toc219103214 \h </w:instrText>
        </w:r>
        <w:r w:rsidRPr="005F2A05">
          <w:rPr>
            <w:noProof/>
            <w:webHidden/>
            <w:szCs w:val="24"/>
          </w:rPr>
        </w:r>
        <w:r w:rsidRPr="005F2A05">
          <w:rPr>
            <w:noProof/>
            <w:webHidden/>
            <w:szCs w:val="24"/>
          </w:rPr>
          <w:fldChar w:fldCharType="separate"/>
        </w:r>
        <w:r w:rsidR="005F2A05">
          <w:rPr>
            <w:noProof/>
            <w:webHidden/>
            <w:szCs w:val="24"/>
          </w:rPr>
          <w:t>xi</w:t>
        </w:r>
        <w:r w:rsidRPr="005F2A05">
          <w:rPr>
            <w:noProof/>
            <w:webHidden/>
            <w:szCs w:val="24"/>
          </w:rPr>
          <w:fldChar w:fldCharType="end"/>
        </w:r>
      </w:hyperlink>
    </w:p>
    <w:p w14:paraId="26E583F2" w14:textId="0EC38E06" w:rsidR="00395591" w:rsidRPr="005F2A05" w:rsidRDefault="00395591" w:rsidP="005F2A05">
      <w:pPr>
        <w:pStyle w:val="TOC1"/>
        <w:spacing w:after="160" w:line="240" w:lineRule="auto"/>
        <w:rPr>
          <w:rFonts w:eastAsiaTheme="minorEastAsia"/>
          <w:b w:val="0"/>
          <w:bCs w:val="0"/>
          <w:noProof/>
          <w:szCs w:val="24"/>
          <w:lang w:val="en-US"/>
        </w:rPr>
      </w:pPr>
      <w:hyperlink w:anchor="_Toc219103215" w:history="1">
        <w:r w:rsidRPr="005F2A05">
          <w:rPr>
            <w:rStyle w:val="Hyperlink"/>
            <w:noProof/>
            <w:szCs w:val="24"/>
          </w:rPr>
          <w:t>SUMMARY OF PLEADINGS</w:t>
        </w:r>
        <w:r w:rsidRPr="005F2A05">
          <w:rPr>
            <w:noProof/>
            <w:webHidden/>
            <w:szCs w:val="24"/>
          </w:rPr>
          <w:tab/>
        </w:r>
        <w:r w:rsidRPr="005F2A05">
          <w:rPr>
            <w:noProof/>
            <w:webHidden/>
            <w:szCs w:val="24"/>
          </w:rPr>
          <w:fldChar w:fldCharType="begin"/>
        </w:r>
        <w:r w:rsidRPr="005F2A05">
          <w:rPr>
            <w:noProof/>
            <w:webHidden/>
            <w:szCs w:val="24"/>
          </w:rPr>
          <w:instrText xml:space="preserve"> PAGEREF _Toc219103215 \h </w:instrText>
        </w:r>
        <w:r w:rsidRPr="005F2A05">
          <w:rPr>
            <w:noProof/>
            <w:webHidden/>
            <w:szCs w:val="24"/>
          </w:rPr>
        </w:r>
        <w:r w:rsidRPr="005F2A05">
          <w:rPr>
            <w:noProof/>
            <w:webHidden/>
            <w:szCs w:val="24"/>
          </w:rPr>
          <w:fldChar w:fldCharType="separate"/>
        </w:r>
        <w:r w:rsidR="005F2A05">
          <w:rPr>
            <w:noProof/>
            <w:webHidden/>
            <w:szCs w:val="24"/>
          </w:rPr>
          <w:t>xv</w:t>
        </w:r>
        <w:r w:rsidRPr="005F2A05">
          <w:rPr>
            <w:noProof/>
            <w:webHidden/>
            <w:szCs w:val="24"/>
          </w:rPr>
          <w:fldChar w:fldCharType="end"/>
        </w:r>
      </w:hyperlink>
    </w:p>
    <w:p w14:paraId="4E0397FB" w14:textId="60466E02" w:rsidR="00395591" w:rsidRPr="005F2A05" w:rsidRDefault="00395591" w:rsidP="005F2A05">
      <w:pPr>
        <w:pStyle w:val="TOC1"/>
        <w:spacing w:after="160" w:line="240" w:lineRule="auto"/>
        <w:rPr>
          <w:rFonts w:eastAsiaTheme="minorEastAsia"/>
          <w:b w:val="0"/>
          <w:bCs w:val="0"/>
          <w:noProof/>
          <w:szCs w:val="24"/>
          <w:lang w:val="en-US"/>
        </w:rPr>
      </w:pPr>
      <w:hyperlink w:anchor="_Toc219103216" w:history="1">
        <w:r w:rsidRPr="005F2A05">
          <w:rPr>
            <w:rStyle w:val="Hyperlink"/>
            <w:noProof/>
            <w:szCs w:val="24"/>
          </w:rPr>
          <w:t>PLEADINGS</w:t>
        </w:r>
        <w:r w:rsidRPr="005F2A05">
          <w:rPr>
            <w:noProof/>
            <w:webHidden/>
            <w:szCs w:val="24"/>
          </w:rPr>
          <w:tab/>
        </w:r>
        <w:r w:rsidRPr="005F2A05">
          <w:rPr>
            <w:noProof/>
            <w:webHidden/>
            <w:szCs w:val="24"/>
          </w:rPr>
          <w:fldChar w:fldCharType="begin"/>
        </w:r>
        <w:r w:rsidRPr="005F2A05">
          <w:rPr>
            <w:noProof/>
            <w:webHidden/>
            <w:szCs w:val="24"/>
          </w:rPr>
          <w:instrText xml:space="preserve"> PAGEREF _Toc219103216 \h </w:instrText>
        </w:r>
        <w:r w:rsidRPr="005F2A05">
          <w:rPr>
            <w:noProof/>
            <w:webHidden/>
            <w:szCs w:val="24"/>
          </w:rPr>
        </w:r>
        <w:r w:rsidRPr="005F2A05">
          <w:rPr>
            <w:noProof/>
            <w:webHidden/>
            <w:szCs w:val="24"/>
          </w:rPr>
          <w:fldChar w:fldCharType="separate"/>
        </w:r>
        <w:r w:rsidR="005F2A05">
          <w:rPr>
            <w:noProof/>
            <w:webHidden/>
            <w:szCs w:val="24"/>
          </w:rPr>
          <w:t>1</w:t>
        </w:r>
        <w:r w:rsidRPr="005F2A05">
          <w:rPr>
            <w:noProof/>
            <w:webHidden/>
            <w:szCs w:val="24"/>
          </w:rPr>
          <w:fldChar w:fldCharType="end"/>
        </w:r>
      </w:hyperlink>
    </w:p>
    <w:p w14:paraId="7AEA5371" w14:textId="0D09A197" w:rsidR="00395591" w:rsidRPr="005F2A05" w:rsidRDefault="00395591" w:rsidP="005F2A05">
      <w:pPr>
        <w:pStyle w:val="TOC2"/>
        <w:spacing w:after="160" w:line="240" w:lineRule="auto"/>
        <w:rPr>
          <w:rFonts w:ascii="Times New Roman" w:eastAsiaTheme="minorEastAsia" w:hAnsi="Times New Roman"/>
          <w:noProof/>
          <w:sz w:val="24"/>
          <w:szCs w:val="24"/>
          <w:lang w:val="en-US"/>
        </w:rPr>
      </w:pPr>
      <w:hyperlink w:anchor="_Toc219103217" w:history="1">
        <w:r w:rsidRPr="005F2A05">
          <w:rPr>
            <w:rStyle w:val="Hyperlink"/>
            <w:rFonts w:ascii="Times New Roman" w:hAnsi="Times New Roman"/>
            <w:caps/>
            <w:noProof/>
            <w:sz w:val="24"/>
            <w:szCs w:val="24"/>
          </w:rPr>
          <w:t>I.</w:t>
        </w:r>
        <w:r w:rsidRPr="005F2A05">
          <w:rPr>
            <w:rFonts w:ascii="Times New Roman" w:eastAsiaTheme="minorEastAsia" w:hAnsi="Times New Roman"/>
            <w:noProof/>
            <w:sz w:val="24"/>
            <w:szCs w:val="24"/>
            <w:lang w:val="en-US"/>
          </w:rPr>
          <w:tab/>
        </w:r>
        <w:r w:rsidRPr="005F2A05">
          <w:rPr>
            <w:rStyle w:val="Hyperlink"/>
            <w:rFonts w:ascii="Times New Roman" w:hAnsi="Times New Roman"/>
            <w:caps/>
            <w:noProof/>
            <w:sz w:val="24"/>
            <w:szCs w:val="24"/>
          </w:rPr>
          <w:t>Sollania Should Not Be Permitted to Intervene in These Proceedings</w:t>
        </w:r>
        <w:r w:rsidRPr="005F2A05">
          <w:rPr>
            <w:rFonts w:ascii="Times New Roman" w:hAnsi="Times New Roman"/>
            <w:noProof/>
            <w:webHidden/>
            <w:sz w:val="24"/>
            <w:szCs w:val="24"/>
          </w:rPr>
          <w:tab/>
        </w:r>
        <w:r w:rsidRPr="005F2A05">
          <w:rPr>
            <w:rFonts w:ascii="Times New Roman" w:hAnsi="Times New Roman"/>
            <w:noProof/>
            <w:webHidden/>
            <w:sz w:val="24"/>
            <w:szCs w:val="24"/>
          </w:rPr>
          <w:fldChar w:fldCharType="begin"/>
        </w:r>
        <w:r w:rsidRPr="005F2A05">
          <w:rPr>
            <w:rFonts w:ascii="Times New Roman" w:hAnsi="Times New Roman"/>
            <w:noProof/>
            <w:webHidden/>
            <w:sz w:val="24"/>
            <w:szCs w:val="24"/>
          </w:rPr>
          <w:instrText xml:space="preserve"> PAGEREF _Toc219103217 \h </w:instrText>
        </w:r>
        <w:r w:rsidRPr="005F2A05">
          <w:rPr>
            <w:rFonts w:ascii="Times New Roman" w:hAnsi="Times New Roman"/>
            <w:noProof/>
            <w:webHidden/>
            <w:sz w:val="24"/>
            <w:szCs w:val="24"/>
          </w:rPr>
        </w:r>
        <w:r w:rsidRPr="005F2A05">
          <w:rPr>
            <w:rFonts w:ascii="Times New Roman" w:hAnsi="Times New Roman"/>
            <w:noProof/>
            <w:webHidden/>
            <w:sz w:val="24"/>
            <w:szCs w:val="24"/>
          </w:rPr>
          <w:fldChar w:fldCharType="separate"/>
        </w:r>
        <w:r w:rsidR="005F2A05">
          <w:rPr>
            <w:rFonts w:ascii="Times New Roman" w:hAnsi="Times New Roman"/>
            <w:noProof/>
            <w:webHidden/>
            <w:sz w:val="24"/>
            <w:szCs w:val="24"/>
          </w:rPr>
          <w:t>1</w:t>
        </w:r>
        <w:r w:rsidRPr="005F2A05">
          <w:rPr>
            <w:rFonts w:ascii="Times New Roman" w:hAnsi="Times New Roman"/>
            <w:noProof/>
            <w:webHidden/>
            <w:sz w:val="24"/>
            <w:szCs w:val="24"/>
          </w:rPr>
          <w:fldChar w:fldCharType="end"/>
        </w:r>
      </w:hyperlink>
    </w:p>
    <w:p w14:paraId="0A901F66" w14:textId="2D4C361F" w:rsidR="00395591" w:rsidRPr="005F2A05" w:rsidRDefault="00395591" w:rsidP="005F2A05">
      <w:pPr>
        <w:pStyle w:val="TOC3"/>
        <w:rPr>
          <w:rFonts w:eastAsiaTheme="minorEastAsia"/>
          <w:lang w:val="en-US"/>
        </w:rPr>
      </w:pPr>
      <w:hyperlink w:anchor="_Toc219103218" w:history="1">
        <w:r w:rsidRPr="005F2A05">
          <w:rPr>
            <w:rStyle w:val="Hyperlink"/>
            <w:rFonts w:ascii="Times New Roman" w:hAnsi="Times New Roman"/>
          </w:rPr>
          <w:t>A.</w:t>
        </w:r>
        <w:r w:rsidRPr="005F2A05">
          <w:rPr>
            <w:rFonts w:eastAsiaTheme="minorEastAsia"/>
            <w:lang w:val="en-US"/>
          </w:rPr>
          <w:tab/>
        </w:r>
        <w:r w:rsidRPr="005F2A05">
          <w:rPr>
            <w:rStyle w:val="Hyperlink"/>
          </w:rPr>
          <w:t>Sollania Does Not Have a Specific Legal Interest in the Dispute</w:t>
        </w:r>
        <w:r w:rsidRPr="005F2A05">
          <w:rPr>
            <w:webHidden/>
          </w:rPr>
          <w:tab/>
        </w:r>
        <w:r w:rsidRPr="005F2A05">
          <w:rPr>
            <w:webHidden/>
          </w:rPr>
          <w:fldChar w:fldCharType="begin"/>
        </w:r>
        <w:r w:rsidRPr="005F2A05">
          <w:rPr>
            <w:webHidden/>
          </w:rPr>
          <w:instrText xml:space="preserve"> PAGEREF _Toc219103218 \h </w:instrText>
        </w:r>
        <w:r w:rsidRPr="005F2A05">
          <w:rPr>
            <w:webHidden/>
          </w:rPr>
        </w:r>
        <w:r w:rsidRPr="005F2A05">
          <w:rPr>
            <w:webHidden/>
          </w:rPr>
          <w:fldChar w:fldCharType="separate"/>
        </w:r>
        <w:r w:rsidR="005F2A05">
          <w:rPr>
            <w:webHidden/>
          </w:rPr>
          <w:t>1</w:t>
        </w:r>
        <w:r w:rsidRPr="005F2A05">
          <w:rPr>
            <w:webHidden/>
          </w:rPr>
          <w:fldChar w:fldCharType="end"/>
        </w:r>
      </w:hyperlink>
    </w:p>
    <w:p w14:paraId="56113D95" w14:textId="24F7E2C7"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19" w:history="1">
        <w:r w:rsidRPr="005F2A05">
          <w:rPr>
            <w:rStyle w:val="Hyperlink"/>
            <w:rFonts w:ascii="Times New Roman" w:hAnsi="Times New Roman"/>
            <w:noProof/>
            <w:sz w:val="24"/>
          </w:rPr>
          <w:t>1.</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Sollania Only Has a General Interest in the Rights of Pilemon Communities Under Customary International Law</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_Toc219103219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1</w:t>
        </w:r>
        <w:r w:rsidRPr="005F2A05">
          <w:rPr>
            <w:rFonts w:ascii="Times New Roman" w:hAnsi="Times New Roman"/>
            <w:noProof/>
            <w:webHidden/>
            <w:sz w:val="24"/>
          </w:rPr>
          <w:fldChar w:fldCharType="end"/>
        </w:r>
      </w:hyperlink>
    </w:p>
    <w:p w14:paraId="6E745970" w14:textId="744D26C4"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20" w:history="1">
        <w:r w:rsidRPr="005F2A05">
          <w:rPr>
            <w:rStyle w:val="Hyperlink"/>
            <w:rFonts w:ascii="Times New Roman" w:hAnsi="Times New Roman"/>
            <w:noProof/>
            <w:sz w:val="24"/>
          </w:rPr>
          <w:t>2.</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Sollania Does Not Have a Legal Interest That Could Be Affected by the Current Proceeding Under Treaty Law</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_Toc219103220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w:t>
        </w:r>
        <w:r w:rsidRPr="005F2A05">
          <w:rPr>
            <w:rFonts w:ascii="Times New Roman" w:hAnsi="Times New Roman"/>
            <w:noProof/>
            <w:webHidden/>
            <w:sz w:val="24"/>
          </w:rPr>
          <w:fldChar w:fldCharType="end"/>
        </w:r>
      </w:hyperlink>
    </w:p>
    <w:p w14:paraId="00981581" w14:textId="5ED4F339" w:rsidR="00395591" w:rsidRPr="005F2A05" w:rsidRDefault="00395591" w:rsidP="005F2A05">
      <w:pPr>
        <w:pStyle w:val="TOC3"/>
        <w:rPr>
          <w:rFonts w:eastAsiaTheme="minorEastAsia"/>
          <w:lang w:val="en-US"/>
        </w:rPr>
      </w:pPr>
      <w:hyperlink w:anchor="_Toc219103221" w:history="1">
        <w:r w:rsidRPr="005F2A05">
          <w:rPr>
            <w:rStyle w:val="Hyperlink"/>
            <w:rFonts w:ascii="Times New Roman" w:hAnsi="Times New Roman"/>
          </w:rPr>
          <w:t>B.</w:t>
        </w:r>
        <w:r w:rsidRPr="005F2A05">
          <w:rPr>
            <w:rFonts w:eastAsiaTheme="minorEastAsia"/>
            <w:lang w:val="en-US"/>
          </w:rPr>
          <w:tab/>
        </w:r>
        <w:r w:rsidRPr="005F2A05">
          <w:rPr>
            <w:rStyle w:val="Hyperlink"/>
            <w:rFonts w:ascii="Times New Roman" w:hAnsi="Times New Roman"/>
          </w:rPr>
          <w:t>The Objects of Sollania’s Intervention Are Improper as It Seeks a Judicial Pronouncement on Its Own Claims</w:t>
        </w:r>
        <w:r w:rsidRPr="005F2A05">
          <w:rPr>
            <w:webHidden/>
          </w:rPr>
          <w:tab/>
        </w:r>
        <w:r w:rsidRPr="005F2A05">
          <w:rPr>
            <w:webHidden/>
          </w:rPr>
          <w:fldChar w:fldCharType="begin"/>
        </w:r>
        <w:r w:rsidRPr="005F2A05">
          <w:rPr>
            <w:webHidden/>
          </w:rPr>
          <w:instrText xml:space="preserve"> PAGEREF _Toc219103221 \h </w:instrText>
        </w:r>
        <w:r w:rsidRPr="005F2A05">
          <w:rPr>
            <w:webHidden/>
          </w:rPr>
        </w:r>
        <w:r w:rsidRPr="005F2A05">
          <w:rPr>
            <w:webHidden/>
          </w:rPr>
          <w:fldChar w:fldCharType="separate"/>
        </w:r>
        <w:r w:rsidR="005F2A05">
          <w:rPr>
            <w:webHidden/>
          </w:rPr>
          <w:t>4</w:t>
        </w:r>
        <w:r w:rsidRPr="005F2A05">
          <w:rPr>
            <w:webHidden/>
          </w:rPr>
          <w:fldChar w:fldCharType="end"/>
        </w:r>
      </w:hyperlink>
    </w:p>
    <w:p w14:paraId="657D940F" w14:textId="19F3F90A" w:rsidR="00395591" w:rsidRPr="005F2A05" w:rsidRDefault="00395591" w:rsidP="005F2A05">
      <w:pPr>
        <w:pStyle w:val="TOC2"/>
        <w:spacing w:after="160" w:line="240" w:lineRule="auto"/>
        <w:rPr>
          <w:rFonts w:ascii="Times New Roman" w:eastAsiaTheme="minorEastAsia" w:hAnsi="Times New Roman"/>
          <w:noProof/>
          <w:sz w:val="24"/>
          <w:szCs w:val="24"/>
          <w:lang w:val="en-US"/>
        </w:rPr>
      </w:pPr>
      <w:hyperlink w:anchor="_Toc219103222" w:history="1">
        <w:r w:rsidRPr="005F2A05">
          <w:rPr>
            <w:rStyle w:val="Hyperlink"/>
            <w:rFonts w:ascii="Times New Roman" w:hAnsi="Times New Roman"/>
            <w:caps/>
            <w:noProof/>
            <w:sz w:val="24"/>
            <w:szCs w:val="24"/>
          </w:rPr>
          <w:t>II.</w:t>
        </w:r>
        <w:r w:rsidRPr="005F2A05">
          <w:rPr>
            <w:rFonts w:ascii="Times New Roman" w:eastAsiaTheme="minorEastAsia" w:hAnsi="Times New Roman"/>
            <w:noProof/>
            <w:sz w:val="24"/>
            <w:szCs w:val="24"/>
            <w:lang w:val="en-US"/>
          </w:rPr>
          <w:tab/>
        </w:r>
        <w:r w:rsidRPr="005F2A05">
          <w:rPr>
            <w:rStyle w:val="Hyperlink"/>
            <w:rFonts w:ascii="Times New Roman" w:hAnsi="Times New Roman"/>
            <w:caps/>
            <w:noProof/>
            <w:sz w:val="24"/>
            <w:szCs w:val="24"/>
          </w:rPr>
          <w:t>Restovia Did Not Breach Any International Law Obligation Related to Consultation or consent</w:t>
        </w:r>
        <w:r w:rsidRPr="005F2A05">
          <w:rPr>
            <w:rFonts w:ascii="Times New Roman" w:hAnsi="Times New Roman"/>
            <w:noProof/>
            <w:webHidden/>
            <w:sz w:val="24"/>
            <w:szCs w:val="24"/>
          </w:rPr>
          <w:tab/>
        </w:r>
        <w:r w:rsidRPr="005F2A05">
          <w:rPr>
            <w:rFonts w:ascii="Times New Roman" w:hAnsi="Times New Roman"/>
            <w:noProof/>
            <w:webHidden/>
            <w:sz w:val="24"/>
            <w:szCs w:val="24"/>
          </w:rPr>
          <w:fldChar w:fldCharType="begin"/>
        </w:r>
        <w:r w:rsidRPr="005F2A05">
          <w:rPr>
            <w:rFonts w:ascii="Times New Roman" w:hAnsi="Times New Roman"/>
            <w:noProof/>
            <w:webHidden/>
            <w:sz w:val="24"/>
            <w:szCs w:val="24"/>
          </w:rPr>
          <w:instrText xml:space="preserve"> PAGEREF _Toc219103222 \h </w:instrText>
        </w:r>
        <w:r w:rsidRPr="005F2A05">
          <w:rPr>
            <w:rFonts w:ascii="Times New Roman" w:hAnsi="Times New Roman"/>
            <w:noProof/>
            <w:webHidden/>
            <w:sz w:val="24"/>
            <w:szCs w:val="24"/>
          </w:rPr>
        </w:r>
        <w:r w:rsidRPr="005F2A05">
          <w:rPr>
            <w:rFonts w:ascii="Times New Roman" w:hAnsi="Times New Roman"/>
            <w:noProof/>
            <w:webHidden/>
            <w:sz w:val="24"/>
            <w:szCs w:val="24"/>
          </w:rPr>
          <w:fldChar w:fldCharType="separate"/>
        </w:r>
        <w:r w:rsidR="005F2A05">
          <w:rPr>
            <w:rFonts w:ascii="Times New Roman" w:hAnsi="Times New Roman"/>
            <w:noProof/>
            <w:webHidden/>
            <w:sz w:val="24"/>
            <w:szCs w:val="24"/>
          </w:rPr>
          <w:t>5</w:t>
        </w:r>
        <w:r w:rsidRPr="005F2A05">
          <w:rPr>
            <w:rFonts w:ascii="Times New Roman" w:hAnsi="Times New Roman"/>
            <w:noProof/>
            <w:webHidden/>
            <w:sz w:val="24"/>
            <w:szCs w:val="24"/>
          </w:rPr>
          <w:fldChar w:fldCharType="end"/>
        </w:r>
      </w:hyperlink>
    </w:p>
    <w:p w14:paraId="1DA5E502" w14:textId="54C9C254" w:rsidR="00395591" w:rsidRPr="005F2A05" w:rsidRDefault="00395591" w:rsidP="005F2A05">
      <w:pPr>
        <w:pStyle w:val="TOC3"/>
        <w:rPr>
          <w:rFonts w:ascii="Times New Roman" w:eastAsiaTheme="minorEastAsia" w:hAnsi="Times New Roman"/>
          <w:lang w:val="en-US"/>
        </w:rPr>
      </w:pPr>
      <w:hyperlink w:anchor="_Toc219103223" w:history="1">
        <w:r w:rsidRPr="005F2A05">
          <w:rPr>
            <w:rStyle w:val="Hyperlink"/>
            <w:rFonts w:ascii="Times New Roman" w:hAnsi="Times New Roman"/>
          </w:rPr>
          <w:t>A.</w:t>
        </w:r>
        <w:r w:rsidRPr="005F2A05">
          <w:rPr>
            <w:rFonts w:ascii="Times New Roman" w:eastAsiaTheme="minorEastAsia" w:hAnsi="Times New Roman"/>
            <w:lang w:val="en-US"/>
          </w:rPr>
          <w:tab/>
        </w:r>
        <w:r w:rsidRPr="005F2A05">
          <w:rPr>
            <w:rStyle w:val="Hyperlink"/>
          </w:rPr>
          <w:t>Restovia Did Not Have an Obligation to Obtain the Consent of Pilemon Communities under Treaty Law</w:t>
        </w:r>
        <w:r w:rsidRPr="005F2A05">
          <w:rPr>
            <w:rFonts w:ascii="Times New Roman" w:hAnsi="Times New Roman"/>
            <w:webHidden/>
          </w:rPr>
          <w:tab/>
        </w:r>
        <w:r w:rsidRPr="005F2A05">
          <w:rPr>
            <w:rFonts w:ascii="Times New Roman" w:hAnsi="Times New Roman"/>
            <w:webHidden/>
          </w:rPr>
          <w:fldChar w:fldCharType="begin"/>
        </w:r>
        <w:r w:rsidRPr="005F2A05">
          <w:rPr>
            <w:rFonts w:ascii="Times New Roman" w:hAnsi="Times New Roman"/>
            <w:webHidden/>
          </w:rPr>
          <w:instrText xml:space="preserve"> PAGEREF _Toc219103223 \h </w:instrText>
        </w:r>
        <w:r w:rsidRPr="005F2A05">
          <w:rPr>
            <w:rFonts w:ascii="Times New Roman" w:hAnsi="Times New Roman"/>
            <w:webHidden/>
          </w:rPr>
        </w:r>
        <w:r w:rsidRPr="005F2A05">
          <w:rPr>
            <w:rFonts w:ascii="Times New Roman" w:hAnsi="Times New Roman"/>
            <w:webHidden/>
          </w:rPr>
          <w:fldChar w:fldCharType="separate"/>
        </w:r>
        <w:r w:rsidR="005F2A05">
          <w:rPr>
            <w:rFonts w:ascii="Times New Roman" w:hAnsi="Times New Roman"/>
            <w:webHidden/>
          </w:rPr>
          <w:t>5</w:t>
        </w:r>
        <w:r w:rsidRPr="005F2A05">
          <w:rPr>
            <w:rFonts w:ascii="Times New Roman" w:hAnsi="Times New Roman"/>
            <w:webHidden/>
          </w:rPr>
          <w:fldChar w:fldCharType="end"/>
        </w:r>
      </w:hyperlink>
    </w:p>
    <w:p w14:paraId="004F4FB4" w14:textId="0183F53D"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24" w:history="1">
        <w:r w:rsidRPr="005F2A05">
          <w:rPr>
            <w:rStyle w:val="Hyperlink"/>
            <w:rFonts w:ascii="Times New Roman" w:hAnsi="Times New Roman"/>
            <w:noProof/>
            <w:sz w:val="24"/>
          </w:rPr>
          <w:t>1.</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The Terms of ARPA Impose an Obligation to Consult and Cooperate, Not to Obtain Consent</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_Toc219103224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5</w:t>
        </w:r>
        <w:r w:rsidRPr="005F2A05">
          <w:rPr>
            <w:rFonts w:ascii="Times New Roman" w:hAnsi="Times New Roman"/>
            <w:noProof/>
            <w:webHidden/>
            <w:sz w:val="24"/>
          </w:rPr>
          <w:fldChar w:fldCharType="end"/>
        </w:r>
      </w:hyperlink>
    </w:p>
    <w:p w14:paraId="7DB154EC" w14:textId="186F0BE6"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25" w:history="1">
        <w:r w:rsidRPr="005F2A05">
          <w:rPr>
            <w:rStyle w:val="Hyperlink"/>
            <w:rFonts w:ascii="Times New Roman" w:hAnsi="Times New Roman"/>
            <w:noProof/>
            <w:sz w:val="24"/>
          </w:rPr>
          <w:t>2.</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Even if Article 18 Incorporates FPIC, the Treaty Adopts a Sliding-Scale Model</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_Toc219103225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7</w:t>
        </w:r>
        <w:r w:rsidRPr="005F2A05">
          <w:rPr>
            <w:rFonts w:ascii="Times New Roman" w:hAnsi="Times New Roman"/>
            <w:noProof/>
            <w:webHidden/>
            <w:sz w:val="24"/>
          </w:rPr>
          <w:fldChar w:fldCharType="end"/>
        </w:r>
      </w:hyperlink>
    </w:p>
    <w:p w14:paraId="1713EC35" w14:textId="5BC73C3B" w:rsidR="00395591" w:rsidRPr="005F2A05" w:rsidRDefault="00395591" w:rsidP="005F2A05">
      <w:pPr>
        <w:pStyle w:val="TOC3"/>
        <w:rPr>
          <w:rFonts w:eastAsiaTheme="minorEastAsia"/>
          <w:lang w:val="en-US"/>
        </w:rPr>
      </w:pPr>
      <w:hyperlink w:anchor="_Toc219103226" w:history="1">
        <w:r w:rsidRPr="005F2A05">
          <w:rPr>
            <w:rStyle w:val="Hyperlink"/>
            <w:smallCaps w:val="0"/>
          </w:rPr>
          <w:t>B.</w:t>
        </w:r>
        <w:r w:rsidRPr="005F2A05">
          <w:rPr>
            <w:rFonts w:eastAsiaTheme="minorEastAsia"/>
            <w:lang w:val="en-US"/>
          </w:rPr>
          <w:tab/>
        </w:r>
        <w:r w:rsidRPr="005F2A05">
          <w:rPr>
            <w:rStyle w:val="Hyperlink"/>
            <w:smallCaps w:val="0"/>
          </w:rPr>
          <w:t>R</w:t>
        </w:r>
        <w:r w:rsidRPr="005F2A05">
          <w:rPr>
            <w:rStyle w:val="Hyperlink"/>
          </w:rPr>
          <w:t>estovia Did Not Have an Obligation to Obtain the Consent of Pilemon Communities Under Customary International Law</w:t>
        </w:r>
        <w:r w:rsidRPr="005F2A05">
          <w:rPr>
            <w:webHidden/>
          </w:rPr>
          <w:tab/>
        </w:r>
        <w:r w:rsidRPr="005F2A05">
          <w:rPr>
            <w:webHidden/>
          </w:rPr>
          <w:fldChar w:fldCharType="begin"/>
        </w:r>
        <w:r w:rsidRPr="005F2A05">
          <w:rPr>
            <w:webHidden/>
          </w:rPr>
          <w:instrText xml:space="preserve"> PAGEREF _Toc219103226 \h </w:instrText>
        </w:r>
        <w:r w:rsidRPr="005F2A05">
          <w:rPr>
            <w:webHidden/>
          </w:rPr>
        </w:r>
        <w:r w:rsidRPr="005F2A05">
          <w:rPr>
            <w:webHidden/>
          </w:rPr>
          <w:fldChar w:fldCharType="separate"/>
        </w:r>
        <w:r w:rsidR="005F2A05">
          <w:rPr>
            <w:webHidden/>
          </w:rPr>
          <w:t>8</w:t>
        </w:r>
        <w:r w:rsidRPr="005F2A05">
          <w:rPr>
            <w:webHidden/>
          </w:rPr>
          <w:fldChar w:fldCharType="end"/>
        </w:r>
      </w:hyperlink>
    </w:p>
    <w:p w14:paraId="72596286" w14:textId="17431DB9"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27" w:history="1">
        <w:r w:rsidRPr="005F2A05">
          <w:rPr>
            <w:rStyle w:val="Hyperlink"/>
            <w:rFonts w:ascii="Times New Roman" w:hAnsi="Times New Roman"/>
            <w:noProof/>
            <w:sz w:val="24"/>
          </w:rPr>
          <w:t>1.</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There Is No Customary International Law Obligation to Obtain FPIC</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_Toc219103227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8</w:t>
        </w:r>
        <w:r w:rsidRPr="005F2A05">
          <w:rPr>
            <w:rFonts w:ascii="Times New Roman" w:hAnsi="Times New Roman"/>
            <w:noProof/>
            <w:webHidden/>
            <w:sz w:val="24"/>
          </w:rPr>
          <w:fldChar w:fldCharType="end"/>
        </w:r>
      </w:hyperlink>
    </w:p>
    <w:p w14:paraId="6A25B480" w14:textId="6C664754"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28" w:history="1">
        <w:r w:rsidRPr="005F2A05">
          <w:rPr>
            <w:rStyle w:val="Hyperlink"/>
            <w:rFonts w:ascii="Times New Roman" w:hAnsi="Times New Roman"/>
            <w:noProof/>
            <w:sz w:val="24"/>
          </w:rPr>
          <w:t>2.</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Even if this Court Recognizes a Duty of FPIC under Customary International Law, the Custom Reflects a Sliding-Scale Model</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_Toc219103228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10</w:t>
        </w:r>
        <w:r w:rsidRPr="005F2A05">
          <w:rPr>
            <w:rFonts w:ascii="Times New Roman" w:hAnsi="Times New Roman"/>
            <w:noProof/>
            <w:webHidden/>
            <w:sz w:val="24"/>
          </w:rPr>
          <w:fldChar w:fldCharType="end"/>
        </w:r>
      </w:hyperlink>
    </w:p>
    <w:p w14:paraId="438A7C39" w14:textId="56E6A7CC" w:rsidR="00395591" w:rsidRPr="005F2A05" w:rsidRDefault="00395591" w:rsidP="005F2A05">
      <w:pPr>
        <w:pStyle w:val="TOC3"/>
        <w:rPr>
          <w:rFonts w:eastAsiaTheme="minorEastAsia"/>
          <w:lang w:val="en-US"/>
        </w:rPr>
      </w:pPr>
      <w:hyperlink w:anchor="_Toc219103229" w:history="1">
        <w:r w:rsidRPr="005F2A05">
          <w:rPr>
            <w:rStyle w:val="Hyperlink"/>
            <w:rFonts w:ascii="Times New Roman" w:hAnsi="Times New Roman"/>
          </w:rPr>
          <w:t>C.</w:t>
        </w:r>
        <w:r w:rsidRPr="005F2A05">
          <w:rPr>
            <w:rFonts w:eastAsiaTheme="minorEastAsia"/>
            <w:lang w:val="en-US"/>
          </w:rPr>
          <w:tab/>
        </w:r>
        <w:r w:rsidRPr="005F2A05">
          <w:rPr>
            <w:rStyle w:val="Hyperlink"/>
            <w:rFonts w:ascii="Times New Roman" w:hAnsi="Times New Roman"/>
          </w:rPr>
          <w:t>Restovia Satisfied Any Obligation to Consult, Including the More Exacting Standard Under the Sliding-Scale Model of FPIC</w:t>
        </w:r>
        <w:r w:rsidRPr="005F2A05">
          <w:rPr>
            <w:webHidden/>
          </w:rPr>
          <w:tab/>
        </w:r>
        <w:r w:rsidRPr="005F2A05">
          <w:rPr>
            <w:webHidden/>
          </w:rPr>
          <w:fldChar w:fldCharType="begin"/>
        </w:r>
        <w:r w:rsidRPr="005F2A05">
          <w:rPr>
            <w:webHidden/>
          </w:rPr>
          <w:instrText xml:space="preserve"> PAGEREF _Toc219103229 \h </w:instrText>
        </w:r>
        <w:r w:rsidRPr="005F2A05">
          <w:rPr>
            <w:webHidden/>
          </w:rPr>
        </w:r>
        <w:r w:rsidRPr="005F2A05">
          <w:rPr>
            <w:webHidden/>
          </w:rPr>
          <w:fldChar w:fldCharType="separate"/>
        </w:r>
        <w:r w:rsidR="005F2A05">
          <w:rPr>
            <w:webHidden/>
          </w:rPr>
          <w:t>11</w:t>
        </w:r>
        <w:r w:rsidRPr="005F2A05">
          <w:rPr>
            <w:webHidden/>
          </w:rPr>
          <w:fldChar w:fldCharType="end"/>
        </w:r>
      </w:hyperlink>
    </w:p>
    <w:p w14:paraId="32CC7BDD" w14:textId="0B1D445B" w:rsidR="00395591" w:rsidRDefault="00395591" w:rsidP="005F2A05">
      <w:pPr>
        <w:pStyle w:val="TOC3"/>
        <w:rPr>
          <w:rStyle w:val="Hyperlink"/>
          <w:rFonts w:ascii="Times New Roman" w:hAnsi="Times New Roman"/>
        </w:rPr>
      </w:pPr>
      <w:hyperlink w:anchor="_Toc219103230" w:history="1">
        <w:r w:rsidRPr="005F2A05">
          <w:rPr>
            <w:rStyle w:val="Hyperlink"/>
            <w:rFonts w:ascii="Times New Roman" w:hAnsi="Times New Roman"/>
          </w:rPr>
          <w:t>D.</w:t>
        </w:r>
        <w:r w:rsidRPr="005F2A05">
          <w:rPr>
            <w:rFonts w:eastAsiaTheme="minorEastAsia"/>
            <w:lang w:val="en-US"/>
          </w:rPr>
          <w:tab/>
        </w:r>
        <w:r w:rsidRPr="005F2A05">
          <w:rPr>
            <w:rStyle w:val="Hyperlink"/>
            <w:rFonts w:ascii="Times New Roman" w:hAnsi="Times New Roman"/>
          </w:rPr>
          <w:t>Even if Restovia’s Conduct Limited Pilemon Rights Relating to FPIC Under Treaty or Customary Law, this Limitation Was Valid</w:t>
        </w:r>
        <w:r w:rsidRPr="005F2A05">
          <w:rPr>
            <w:webHidden/>
          </w:rPr>
          <w:tab/>
        </w:r>
        <w:r w:rsidRPr="005F2A05">
          <w:rPr>
            <w:webHidden/>
          </w:rPr>
          <w:fldChar w:fldCharType="begin"/>
        </w:r>
        <w:r w:rsidRPr="005F2A05">
          <w:rPr>
            <w:webHidden/>
          </w:rPr>
          <w:instrText xml:space="preserve"> PAGEREF _Toc219103230 \h </w:instrText>
        </w:r>
        <w:r w:rsidRPr="005F2A05">
          <w:rPr>
            <w:webHidden/>
          </w:rPr>
        </w:r>
        <w:r w:rsidRPr="005F2A05">
          <w:rPr>
            <w:webHidden/>
          </w:rPr>
          <w:fldChar w:fldCharType="separate"/>
        </w:r>
        <w:r w:rsidR="005F2A05">
          <w:rPr>
            <w:webHidden/>
          </w:rPr>
          <w:t>14</w:t>
        </w:r>
        <w:r w:rsidRPr="005F2A05">
          <w:rPr>
            <w:webHidden/>
          </w:rPr>
          <w:fldChar w:fldCharType="end"/>
        </w:r>
      </w:hyperlink>
    </w:p>
    <w:p w14:paraId="32476082" w14:textId="77777777" w:rsidR="0010626E" w:rsidRPr="0010626E" w:rsidRDefault="0010626E" w:rsidP="0010626E"/>
    <w:p w14:paraId="69B88900" w14:textId="6DECD835" w:rsidR="00395591" w:rsidRPr="005F2A05" w:rsidRDefault="00395591" w:rsidP="005F2A05">
      <w:pPr>
        <w:pStyle w:val="TOC2"/>
        <w:spacing w:after="160" w:line="240" w:lineRule="auto"/>
        <w:rPr>
          <w:rFonts w:ascii="Times New Roman" w:eastAsiaTheme="minorEastAsia" w:hAnsi="Times New Roman"/>
          <w:noProof/>
          <w:sz w:val="24"/>
          <w:szCs w:val="24"/>
          <w:lang w:val="en-US"/>
        </w:rPr>
      </w:pPr>
      <w:hyperlink w:anchor="_Toc219103231" w:history="1">
        <w:r w:rsidRPr="005F2A05">
          <w:rPr>
            <w:rStyle w:val="Hyperlink"/>
            <w:rFonts w:ascii="Times New Roman" w:hAnsi="Times New Roman"/>
            <w:caps/>
            <w:noProof/>
            <w:sz w:val="24"/>
            <w:szCs w:val="24"/>
          </w:rPr>
          <w:t>III.</w:t>
        </w:r>
        <w:r w:rsidRPr="005F2A05">
          <w:rPr>
            <w:rFonts w:ascii="Times New Roman" w:eastAsiaTheme="minorEastAsia" w:hAnsi="Times New Roman"/>
            <w:noProof/>
            <w:sz w:val="24"/>
            <w:szCs w:val="24"/>
            <w:lang w:val="en-US"/>
          </w:rPr>
          <w:tab/>
        </w:r>
        <w:r w:rsidRPr="005F2A05">
          <w:rPr>
            <w:rStyle w:val="Hyperlink"/>
            <w:rFonts w:ascii="Times New Roman" w:hAnsi="Times New Roman"/>
            <w:caps/>
            <w:noProof/>
            <w:sz w:val="24"/>
            <w:szCs w:val="24"/>
          </w:rPr>
          <w:t>Alekostria breached the Extradition Treaty by refusing to extradite Ms. Scott</w:t>
        </w:r>
        <w:r w:rsidRPr="005F2A05">
          <w:rPr>
            <w:rFonts w:ascii="Times New Roman" w:hAnsi="Times New Roman"/>
            <w:noProof/>
            <w:webHidden/>
            <w:sz w:val="24"/>
            <w:szCs w:val="24"/>
          </w:rPr>
          <w:tab/>
        </w:r>
        <w:r w:rsidRPr="005F2A05">
          <w:rPr>
            <w:rFonts w:ascii="Times New Roman" w:hAnsi="Times New Roman"/>
            <w:noProof/>
            <w:webHidden/>
            <w:sz w:val="24"/>
            <w:szCs w:val="24"/>
          </w:rPr>
          <w:fldChar w:fldCharType="begin"/>
        </w:r>
        <w:r w:rsidRPr="005F2A05">
          <w:rPr>
            <w:rFonts w:ascii="Times New Roman" w:hAnsi="Times New Roman"/>
            <w:noProof/>
            <w:webHidden/>
            <w:sz w:val="24"/>
            <w:szCs w:val="24"/>
          </w:rPr>
          <w:instrText xml:space="preserve"> PAGEREF _Toc219103231 \h </w:instrText>
        </w:r>
        <w:r w:rsidRPr="005F2A05">
          <w:rPr>
            <w:rFonts w:ascii="Times New Roman" w:hAnsi="Times New Roman"/>
            <w:noProof/>
            <w:webHidden/>
            <w:sz w:val="24"/>
            <w:szCs w:val="24"/>
          </w:rPr>
        </w:r>
        <w:r w:rsidRPr="005F2A05">
          <w:rPr>
            <w:rFonts w:ascii="Times New Roman" w:hAnsi="Times New Roman"/>
            <w:noProof/>
            <w:webHidden/>
            <w:sz w:val="24"/>
            <w:szCs w:val="24"/>
          </w:rPr>
          <w:fldChar w:fldCharType="separate"/>
        </w:r>
        <w:r w:rsidR="005F2A05">
          <w:rPr>
            <w:rFonts w:ascii="Times New Roman" w:hAnsi="Times New Roman"/>
            <w:noProof/>
            <w:webHidden/>
            <w:sz w:val="24"/>
            <w:szCs w:val="24"/>
          </w:rPr>
          <w:t>15</w:t>
        </w:r>
        <w:r w:rsidRPr="005F2A05">
          <w:rPr>
            <w:rFonts w:ascii="Times New Roman" w:hAnsi="Times New Roman"/>
            <w:noProof/>
            <w:webHidden/>
            <w:sz w:val="24"/>
            <w:szCs w:val="24"/>
          </w:rPr>
          <w:fldChar w:fldCharType="end"/>
        </w:r>
      </w:hyperlink>
    </w:p>
    <w:p w14:paraId="676CBC49" w14:textId="5BEE2D4A" w:rsidR="00395591" w:rsidRPr="005F2A05" w:rsidRDefault="00395591" w:rsidP="005F2A05">
      <w:pPr>
        <w:pStyle w:val="TOC3"/>
        <w:rPr>
          <w:rFonts w:eastAsiaTheme="minorEastAsia"/>
          <w:lang w:val="en-US"/>
        </w:rPr>
      </w:pPr>
      <w:hyperlink w:anchor="_Toc219103232" w:history="1">
        <w:r w:rsidRPr="005F2A05">
          <w:rPr>
            <w:rStyle w:val="Hyperlink"/>
            <w:rFonts w:ascii="Times New Roman" w:hAnsi="Times New Roman"/>
          </w:rPr>
          <w:t>A.</w:t>
        </w:r>
        <w:r w:rsidRPr="005F2A05">
          <w:rPr>
            <w:rFonts w:eastAsiaTheme="minorEastAsia"/>
            <w:lang w:val="en-US"/>
          </w:rPr>
          <w:tab/>
        </w:r>
        <w:r w:rsidRPr="005F2A05">
          <w:rPr>
            <w:rStyle w:val="Hyperlink"/>
            <w:rFonts w:ascii="Times New Roman" w:hAnsi="Times New Roman"/>
          </w:rPr>
          <w:t>Ms. Scott Is Charged with Offences Punishable under the Laws of Alekostria and Restovia</w:t>
        </w:r>
        <w:r w:rsidRPr="005F2A05">
          <w:rPr>
            <w:webHidden/>
          </w:rPr>
          <w:tab/>
        </w:r>
        <w:r w:rsidRPr="005F2A05">
          <w:rPr>
            <w:webHidden/>
          </w:rPr>
          <w:fldChar w:fldCharType="begin"/>
        </w:r>
        <w:r w:rsidRPr="005F2A05">
          <w:rPr>
            <w:webHidden/>
          </w:rPr>
          <w:instrText xml:space="preserve"> PAGEREF _Toc219103232 \h </w:instrText>
        </w:r>
        <w:r w:rsidRPr="005F2A05">
          <w:rPr>
            <w:webHidden/>
          </w:rPr>
        </w:r>
        <w:r w:rsidRPr="005F2A05">
          <w:rPr>
            <w:webHidden/>
          </w:rPr>
          <w:fldChar w:fldCharType="separate"/>
        </w:r>
        <w:r w:rsidR="005F2A05">
          <w:rPr>
            <w:webHidden/>
          </w:rPr>
          <w:t>15</w:t>
        </w:r>
        <w:r w:rsidRPr="005F2A05">
          <w:rPr>
            <w:webHidden/>
          </w:rPr>
          <w:fldChar w:fldCharType="end"/>
        </w:r>
      </w:hyperlink>
    </w:p>
    <w:p w14:paraId="51801CF4" w14:textId="1B139498" w:rsidR="00395591" w:rsidRPr="005F2A05" w:rsidRDefault="00395591" w:rsidP="005F2A05">
      <w:pPr>
        <w:pStyle w:val="TOC3"/>
        <w:rPr>
          <w:rFonts w:eastAsiaTheme="minorEastAsia"/>
          <w:lang w:val="en-US"/>
        </w:rPr>
      </w:pPr>
      <w:hyperlink w:anchor="_Toc219103233" w:history="1">
        <w:r w:rsidRPr="005F2A05">
          <w:rPr>
            <w:rStyle w:val="Hyperlink"/>
            <w:rFonts w:ascii="Times New Roman" w:hAnsi="Times New Roman"/>
          </w:rPr>
          <w:t>B.</w:t>
        </w:r>
        <w:r w:rsidRPr="005F2A05">
          <w:rPr>
            <w:rFonts w:eastAsiaTheme="minorEastAsia"/>
            <w:lang w:val="en-US"/>
          </w:rPr>
          <w:tab/>
        </w:r>
        <w:r w:rsidRPr="005F2A05">
          <w:rPr>
            <w:rStyle w:val="Hyperlink"/>
            <w:rFonts w:ascii="Times New Roman" w:hAnsi="Times New Roman"/>
          </w:rPr>
          <w:t>Ms. Scott’s Prosecution in Restovia is Consistent with the General Principles of Law</w:t>
        </w:r>
        <w:r w:rsidRPr="005F2A05">
          <w:rPr>
            <w:webHidden/>
          </w:rPr>
          <w:tab/>
        </w:r>
        <w:r w:rsidRPr="005F2A05">
          <w:rPr>
            <w:webHidden/>
          </w:rPr>
          <w:fldChar w:fldCharType="begin"/>
        </w:r>
        <w:r w:rsidRPr="005F2A05">
          <w:rPr>
            <w:webHidden/>
          </w:rPr>
          <w:instrText xml:space="preserve"> PAGEREF _Toc219103233 \h </w:instrText>
        </w:r>
        <w:r w:rsidRPr="005F2A05">
          <w:rPr>
            <w:webHidden/>
          </w:rPr>
        </w:r>
        <w:r w:rsidRPr="005F2A05">
          <w:rPr>
            <w:webHidden/>
          </w:rPr>
          <w:fldChar w:fldCharType="separate"/>
        </w:r>
        <w:r w:rsidR="005F2A05">
          <w:rPr>
            <w:webHidden/>
          </w:rPr>
          <w:t>15</w:t>
        </w:r>
        <w:r w:rsidRPr="005F2A05">
          <w:rPr>
            <w:webHidden/>
          </w:rPr>
          <w:fldChar w:fldCharType="end"/>
        </w:r>
      </w:hyperlink>
    </w:p>
    <w:p w14:paraId="3AE38DB7" w14:textId="5FA44EFF"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34" w:history="1">
        <w:r w:rsidRPr="005F2A05">
          <w:rPr>
            <w:rStyle w:val="Hyperlink"/>
            <w:rFonts w:ascii="Times New Roman" w:hAnsi="Times New Roman"/>
            <w:noProof/>
            <w:sz w:val="24"/>
          </w:rPr>
          <w:t>1.</w:t>
        </w:r>
        <w:r w:rsidRPr="005F2A05">
          <w:rPr>
            <w:rFonts w:ascii="Times New Roman" w:eastAsiaTheme="minorEastAsia" w:hAnsi="Times New Roman"/>
            <w:noProof/>
            <w:sz w:val="24"/>
            <w:lang w:val="en-US"/>
          </w:rPr>
          <w:tab/>
        </w:r>
        <w:r w:rsidRPr="005F2A05">
          <w:rPr>
            <w:rStyle w:val="Hyperlink"/>
            <w:rFonts w:ascii="Times New Roman" w:hAnsi="Times New Roman"/>
            <w:i/>
            <w:iCs/>
            <w:noProof/>
            <w:sz w:val="24"/>
          </w:rPr>
          <w:t>Ne Bis In Idem</w:t>
        </w:r>
        <w:r w:rsidRPr="005F2A05">
          <w:rPr>
            <w:rStyle w:val="Hyperlink"/>
            <w:rFonts w:ascii="Times New Roman" w:hAnsi="Times New Roman"/>
            <w:noProof/>
            <w:sz w:val="24"/>
          </w:rPr>
          <w:t xml:space="preserve"> Is Not a General Principle of Law</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_Toc219103234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15</w:t>
        </w:r>
        <w:r w:rsidRPr="005F2A05">
          <w:rPr>
            <w:rFonts w:ascii="Times New Roman" w:hAnsi="Times New Roman"/>
            <w:noProof/>
            <w:webHidden/>
            <w:sz w:val="24"/>
          </w:rPr>
          <w:fldChar w:fldCharType="end"/>
        </w:r>
      </w:hyperlink>
    </w:p>
    <w:p w14:paraId="46C06D7D" w14:textId="2A273689"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35" w:history="1">
        <w:r w:rsidRPr="005F2A05">
          <w:rPr>
            <w:rStyle w:val="Hyperlink"/>
            <w:rFonts w:ascii="Times New Roman" w:hAnsi="Times New Roman"/>
            <w:noProof/>
            <w:sz w:val="24"/>
          </w:rPr>
          <w:t>2.</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In the Alternative, Ms. Scott’s Trial in Restovia Would Not Violate Any General Principles of Law</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_Toc219103235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20</w:t>
        </w:r>
        <w:r w:rsidRPr="005F2A05">
          <w:rPr>
            <w:rFonts w:ascii="Times New Roman" w:hAnsi="Times New Roman"/>
            <w:noProof/>
            <w:webHidden/>
            <w:sz w:val="24"/>
          </w:rPr>
          <w:fldChar w:fldCharType="end"/>
        </w:r>
      </w:hyperlink>
    </w:p>
    <w:p w14:paraId="5F351D3D" w14:textId="3D5DD75B" w:rsidR="00395591" w:rsidRPr="005F2A05" w:rsidRDefault="00395591" w:rsidP="005F2A05">
      <w:pPr>
        <w:pStyle w:val="TOC2"/>
        <w:spacing w:after="160" w:line="240" w:lineRule="auto"/>
        <w:rPr>
          <w:rFonts w:ascii="Times New Roman" w:eastAsiaTheme="minorEastAsia" w:hAnsi="Times New Roman"/>
          <w:noProof/>
          <w:sz w:val="24"/>
          <w:szCs w:val="24"/>
          <w:lang w:val="en-US"/>
        </w:rPr>
      </w:pPr>
      <w:hyperlink w:anchor="_Toc219103236" w:history="1">
        <w:r w:rsidRPr="005F2A05">
          <w:rPr>
            <w:rStyle w:val="Hyperlink"/>
            <w:rFonts w:ascii="Times New Roman" w:hAnsi="Times New Roman"/>
            <w:caps/>
            <w:noProof/>
            <w:sz w:val="24"/>
            <w:szCs w:val="24"/>
          </w:rPr>
          <w:t>IV.</w:t>
        </w:r>
        <w:r w:rsidRPr="005F2A05">
          <w:rPr>
            <w:rFonts w:ascii="Times New Roman" w:eastAsiaTheme="minorEastAsia" w:hAnsi="Times New Roman"/>
            <w:noProof/>
            <w:sz w:val="24"/>
            <w:szCs w:val="24"/>
            <w:lang w:val="en-US"/>
          </w:rPr>
          <w:tab/>
        </w:r>
        <w:r w:rsidRPr="005F2A05">
          <w:rPr>
            <w:rStyle w:val="Hyperlink"/>
            <w:rFonts w:ascii="Times New Roman" w:hAnsi="Times New Roman"/>
            <w:caps/>
            <w:noProof/>
            <w:sz w:val="24"/>
            <w:szCs w:val="24"/>
          </w:rPr>
          <w:t>Restovia Lawfully Refused to Grant NEXCA State Immunity</w:t>
        </w:r>
        <w:r w:rsidRPr="005F2A05">
          <w:rPr>
            <w:rFonts w:ascii="Times New Roman" w:hAnsi="Times New Roman"/>
            <w:noProof/>
            <w:webHidden/>
            <w:sz w:val="24"/>
            <w:szCs w:val="24"/>
          </w:rPr>
          <w:tab/>
        </w:r>
        <w:r w:rsidRPr="005F2A05">
          <w:rPr>
            <w:rFonts w:ascii="Times New Roman" w:hAnsi="Times New Roman"/>
            <w:noProof/>
            <w:webHidden/>
            <w:sz w:val="24"/>
            <w:szCs w:val="24"/>
          </w:rPr>
          <w:fldChar w:fldCharType="begin"/>
        </w:r>
        <w:r w:rsidRPr="005F2A05">
          <w:rPr>
            <w:rFonts w:ascii="Times New Roman" w:hAnsi="Times New Roman"/>
            <w:noProof/>
            <w:webHidden/>
            <w:sz w:val="24"/>
            <w:szCs w:val="24"/>
          </w:rPr>
          <w:instrText xml:space="preserve"> PAGEREF _Toc219103236 \h </w:instrText>
        </w:r>
        <w:r w:rsidRPr="005F2A05">
          <w:rPr>
            <w:rFonts w:ascii="Times New Roman" w:hAnsi="Times New Roman"/>
            <w:noProof/>
            <w:webHidden/>
            <w:sz w:val="24"/>
            <w:szCs w:val="24"/>
          </w:rPr>
        </w:r>
        <w:r w:rsidRPr="005F2A05">
          <w:rPr>
            <w:rFonts w:ascii="Times New Roman" w:hAnsi="Times New Roman"/>
            <w:noProof/>
            <w:webHidden/>
            <w:sz w:val="24"/>
            <w:szCs w:val="24"/>
          </w:rPr>
          <w:fldChar w:fldCharType="separate"/>
        </w:r>
        <w:r w:rsidR="005F2A05">
          <w:rPr>
            <w:rFonts w:ascii="Times New Roman" w:hAnsi="Times New Roman"/>
            <w:noProof/>
            <w:webHidden/>
            <w:sz w:val="24"/>
            <w:szCs w:val="24"/>
          </w:rPr>
          <w:t>23</w:t>
        </w:r>
        <w:r w:rsidRPr="005F2A05">
          <w:rPr>
            <w:rFonts w:ascii="Times New Roman" w:hAnsi="Times New Roman"/>
            <w:noProof/>
            <w:webHidden/>
            <w:sz w:val="24"/>
            <w:szCs w:val="24"/>
          </w:rPr>
          <w:fldChar w:fldCharType="end"/>
        </w:r>
      </w:hyperlink>
    </w:p>
    <w:p w14:paraId="13AF9C48" w14:textId="4300B452" w:rsidR="00395591" w:rsidRPr="005F2A05" w:rsidRDefault="00395591" w:rsidP="005F2A05">
      <w:pPr>
        <w:pStyle w:val="TOC3"/>
        <w:rPr>
          <w:rFonts w:eastAsiaTheme="minorEastAsia"/>
          <w:lang w:val="en-US"/>
        </w:rPr>
      </w:pPr>
      <w:hyperlink w:anchor="_Toc219103237" w:history="1">
        <w:r w:rsidRPr="005F2A05">
          <w:rPr>
            <w:rStyle w:val="Hyperlink"/>
            <w:rFonts w:ascii="Times New Roman" w:hAnsi="Times New Roman"/>
          </w:rPr>
          <w:t>A.</w:t>
        </w:r>
        <w:r w:rsidRPr="005F2A05">
          <w:rPr>
            <w:rFonts w:eastAsiaTheme="minorEastAsia"/>
            <w:lang w:val="en-US"/>
          </w:rPr>
          <w:tab/>
        </w:r>
        <w:r w:rsidRPr="005F2A05">
          <w:rPr>
            <w:rStyle w:val="Hyperlink"/>
            <w:rFonts w:ascii="Times New Roman" w:hAnsi="Times New Roman"/>
          </w:rPr>
          <w:t>Alekostria Is Not Responsible for NEXCA’s Actions</w:t>
        </w:r>
        <w:r w:rsidRPr="005F2A05">
          <w:rPr>
            <w:webHidden/>
          </w:rPr>
          <w:tab/>
        </w:r>
        <w:r w:rsidRPr="005F2A05">
          <w:rPr>
            <w:webHidden/>
          </w:rPr>
          <w:fldChar w:fldCharType="begin"/>
        </w:r>
        <w:r w:rsidRPr="005F2A05">
          <w:rPr>
            <w:webHidden/>
          </w:rPr>
          <w:instrText xml:space="preserve"> PAGEREF _Toc219103237 \h </w:instrText>
        </w:r>
        <w:r w:rsidRPr="005F2A05">
          <w:rPr>
            <w:webHidden/>
          </w:rPr>
        </w:r>
        <w:r w:rsidRPr="005F2A05">
          <w:rPr>
            <w:webHidden/>
          </w:rPr>
          <w:fldChar w:fldCharType="separate"/>
        </w:r>
        <w:r w:rsidR="005F2A05">
          <w:rPr>
            <w:webHidden/>
          </w:rPr>
          <w:t>23</w:t>
        </w:r>
        <w:r w:rsidRPr="005F2A05">
          <w:rPr>
            <w:webHidden/>
          </w:rPr>
          <w:fldChar w:fldCharType="end"/>
        </w:r>
      </w:hyperlink>
    </w:p>
    <w:p w14:paraId="530B37F1" w14:textId="199F6C09"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38" w:history="1">
        <w:r w:rsidRPr="005F2A05">
          <w:rPr>
            <w:rStyle w:val="Hyperlink"/>
            <w:rFonts w:ascii="Times New Roman" w:hAnsi="Times New Roman"/>
            <w:noProof/>
            <w:sz w:val="24"/>
          </w:rPr>
          <w:t>1.</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NEXCA Is Not a State Organ</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_Toc219103238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23</w:t>
        </w:r>
        <w:r w:rsidRPr="005F2A05">
          <w:rPr>
            <w:rFonts w:ascii="Times New Roman" w:hAnsi="Times New Roman"/>
            <w:noProof/>
            <w:webHidden/>
            <w:sz w:val="24"/>
          </w:rPr>
          <w:fldChar w:fldCharType="end"/>
        </w:r>
      </w:hyperlink>
    </w:p>
    <w:p w14:paraId="706E04D2" w14:textId="6BEAA26D"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39" w:history="1">
        <w:r w:rsidRPr="005F2A05">
          <w:rPr>
            <w:rStyle w:val="Hyperlink"/>
            <w:rFonts w:ascii="Times New Roman" w:hAnsi="Times New Roman"/>
            <w:noProof/>
            <w:sz w:val="24"/>
          </w:rPr>
          <w:t>2.</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NEXCA Was Not Empowered by Alekostria to Exercise Governmental Authority</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_Toc219103239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24</w:t>
        </w:r>
        <w:r w:rsidRPr="005F2A05">
          <w:rPr>
            <w:rFonts w:ascii="Times New Roman" w:hAnsi="Times New Roman"/>
            <w:noProof/>
            <w:webHidden/>
            <w:sz w:val="24"/>
          </w:rPr>
          <w:fldChar w:fldCharType="end"/>
        </w:r>
      </w:hyperlink>
    </w:p>
    <w:p w14:paraId="47BBD830" w14:textId="1D9BB2D1"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40" w:history="1">
        <w:r w:rsidRPr="005F2A05">
          <w:rPr>
            <w:rStyle w:val="Hyperlink"/>
            <w:rFonts w:ascii="Times New Roman" w:hAnsi="Times New Roman"/>
            <w:noProof/>
            <w:sz w:val="24"/>
          </w:rPr>
          <w:t>3.</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NEXCA Did Not Act under the Direction or Control of Alekostria</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_Toc219103240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25</w:t>
        </w:r>
        <w:r w:rsidRPr="005F2A05">
          <w:rPr>
            <w:rFonts w:ascii="Times New Roman" w:hAnsi="Times New Roman"/>
            <w:noProof/>
            <w:webHidden/>
            <w:sz w:val="24"/>
          </w:rPr>
          <w:fldChar w:fldCharType="end"/>
        </w:r>
      </w:hyperlink>
    </w:p>
    <w:p w14:paraId="0C61727F" w14:textId="05C54E76" w:rsidR="00395591" w:rsidRPr="005F2A05" w:rsidRDefault="00395591" w:rsidP="005F2A05">
      <w:pPr>
        <w:pStyle w:val="TOC3"/>
        <w:rPr>
          <w:rFonts w:eastAsiaTheme="minorEastAsia"/>
          <w:lang w:val="en-US"/>
        </w:rPr>
      </w:pPr>
      <w:hyperlink w:anchor="_Toc219103241" w:history="1">
        <w:r w:rsidRPr="005F2A05">
          <w:rPr>
            <w:rStyle w:val="Hyperlink"/>
            <w:rFonts w:ascii="Times New Roman" w:hAnsi="Times New Roman"/>
          </w:rPr>
          <w:t>B</w:t>
        </w:r>
        <w:r w:rsidRPr="005F2A05">
          <w:rPr>
            <w:rStyle w:val="Hyperlink"/>
            <w:rFonts w:ascii="Times New Roman" w:hAnsi="Times New Roman"/>
          </w:rPr>
          <w:t>.</w:t>
        </w:r>
        <w:r w:rsidRPr="005F2A05">
          <w:rPr>
            <w:rFonts w:eastAsiaTheme="minorEastAsia"/>
            <w:lang w:val="en-US"/>
          </w:rPr>
          <w:tab/>
        </w:r>
        <w:r w:rsidRPr="005F2A05">
          <w:rPr>
            <w:rStyle w:val="Hyperlink"/>
            <w:rFonts w:ascii="Times New Roman" w:hAnsi="Times New Roman"/>
          </w:rPr>
          <w:t>In the Alternative, NEXCA Is Not Entitled to State Immunity</w:t>
        </w:r>
        <w:r w:rsidRPr="005F2A05">
          <w:rPr>
            <w:webHidden/>
          </w:rPr>
          <w:tab/>
        </w:r>
        <w:r w:rsidRPr="005F2A05">
          <w:rPr>
            <w:webHidden/>
          </w:rPr>
          <w:fldChar w:fldCharType="begin"/>
        </w:r>
        <w:r w:rsidRPr="005F2A05">
          <w:rPr>
            <w:webHidden/>
          </w:rPr>
          <w:instrText xml:space="preserve"> PAGEREF _Toc219103241 \h </w:instrText>
        </w:r>
        <w:r w:rsidRPr="005F2A05">
          <w:rPr>
            <w:webHidden/>
          </w:rPr>
        </w:r>
        <w:r w:rsidRPr="005F2A05">
          <w:rPr>
            <w:webHidden/>
          </w:rPr>
          <w:fldChar w:fldCharType="separate"/>
        </w:r>
        <w:r w:rsidR="005F2A05">
          <w:rPr>
            <w:webHidden/>
          </w:rPr>
          <w:t>26</w:t>
        </w:r>
        <w:r w:rsidRPr="005F2A05">
          <w:rPr>
            <w:webHidden/>
          </w:rPr>
          <w:fldChar w:fldCharType="end"/>
        </w:r>
      </w:hyperlink>
    </w:p>
    <w:p w14:paraId="11722970" w14:textId="5AA32B7C"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42" w:history="1">
        <w:r w:rsidRPr="005F2A05">
          <w:rPr>
            <w:rStyle w:val="Hyperlink"/>
            <w:rFonts w:ascii="Times New Roman" w:hAnsi="Times New Roman"/>
            <w:noProof/>
            <w:sz w:val="24"/>
          </w:rPr>
          <w:t>1.</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NEXCA Possesses Separate Legal Personality</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_Toc219103242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26</w:t>
        </w:r>
        <w:r w:rsidRPr="005F2A05">
          <w:rPr>
            <w:rFonts w:ascii="Times New Roman" w:hAnsi="Times New Roman"/>
            <w:noProof/>
            <w:webHidden/>
            <w:sz w:val="24"/>
          </w:rPr>
          <w:fldChar w:fldCharType="end"/>
        </w:r>
      </w:hyperlink>
    </w:p>
    <w:p w14:paraId="63AC631C" w14:textId="5A755956"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43" w:history="1">
        <w:r w:rsidRPr="005F2A05">
          <w:rPr>
            <w:rStyle w:val="Hyperlink"/>
            <w:rFonts w:ascii="Times New Roman" w:hAnsi="Times New Roman"/>
            <w:noProof/>
            <w:sz w:val="24"/>
          </w:rPr>
          <w:t>2.</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NEXCA Cannot Invoke Immunity for Commercial Transactions (</w:t>
        </w:r>
        <w:r w:rsidRPr="005F2A05">
          <w:rPr>
            <w:rStyle w:val="Hyperlink"/>
            <w:rFonts w:ascii="Times New Roman" w:hAnsi="Times New Roman"/>
            <w:i/>
            <w:iCs/>
            <w:noProof/>
            <w:sz w:val="24"/>
          </w:rPr>
          <w:t>Jus Gestionis</w:t>
        </w:r>
        <w:r w:rsidRPr="005F2A05">
          <w:rPr>
            <w:rStyle w:val="Hyperlink"/>
            <w:rFonts w:ascii="Times New Roman" w:hAnsi="Times New Roman"/>
            <w:noProof/>
            <w:sz w:val="24"/>
          </w:rPr>
          <w:t>)</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_Toc219103243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27</w:t>
        </w:r>
        <w:r w:rsidRPr="005F2A05">
          <w:rPr>
            <w:rFonts w:ascii="Times New Roman" w:hAnsi="Times New Roman"/>
            <w:noProof/>
            <w:webHidden/>
            <w:sz w:val="24"/>
          </w:rPr>
          <w:fldChar w:fldCharType="end"/>
        </w:r>
      </w:hyperlink>
    </w:p>
    <w:p w14:paraId="67631691" w14:textId="570A2D62" w:rsidR="00395591" w:rsidRPr="005F2A05" w:rsidRDefault="00395591" w:rsidP="005F2A05">
      <w:pPr>
        <w:pStyle w:val="TOC4"/>
        <w:spacing w:after="160" w:line="240" w:lineRule="auto"/>
        <w:rPr>
          <w:rFonts w:ascii="Times New Roman" w:eastAsiaTheme="minorEastAsia" w:hAnsi="Times New Roman"/>
          <w:noProof/>
          <w:sz w:val="24"/>
          <w:lang w:val="en-US"/>
        </w:rPr>
      </w:pPr>
      <w:hyperlink w:anchor="_Toc219103244" w:history="1">
        <w:r w:rsidRPr="005F2A05">
          <w:rPr>
            <w:rStyle w:val="Hyperlink"/>
            <w:rFonts w:ascii="Times New Roman" w:hAnsi="Times New Roman"/>
            <w:noProof/>
            <w:sz w:val="24"/>
          </w:rPr>
          <w:t>3.</w:t>
        </w:r>
        <w:r w:rsidRPr="005F2A05">
          <w:rPr>
            <w:rFonts w:ascii="Times New Roman" w:eastAsiaTheme="minorEastAsia" w:hAnsi="Times New Roman"/>
            <w:noProof/>
            <w:sz w:val="24"/>
            <w:lang w:val="en-US"/>
          </w:rPr>
          <w:tab/>
        </w:r>
        <w:r w:rsidRPr="005F2A05">
          <w:rPr>
            <w:rStyle w:val="Hyperlink"/>
            <w:rFonts w:ascii="Times New Roman" w:hAnsi="Times New Roman"/>
            <w:noProof/>
            <w:sz w:val="24"/>
          </w:rPr>
          <w:t>NEXCA Cannot Invoke Immunity for Territorial Torts</w:t>
        </w:r>
        <w:r w:rsidRPr="005F2A05">
          <w:rPr>
            <w:rFonts w:ascii="Times New Roman" w:hAnsi="Times New Roman"/>
            <w:noProof/>
            <w:webHidden/>
            <w:sz w:val="24"/>
          </w:rPr>
          <w:tab/>
        </w:r>
        <w:r w:rsidRPr="005F2A05">
          <w:rPr>
            <w:rFonts w:ascii="Times New Roman" w:hAnsi="Times New Roman"/>
            <w:noProof/>
            <w:webHidden/>
            <w:sz w:val="24"/>
          </w:rPr>
          <w:fldChar w:fldCharType="begin"/>
        </w:r>
        <w:r w:rsidRPr="005F2A05">
          <w:rPr>
            <w:rFonts w:ascii="Times New Roman" w:hAnsi="Times New Roman"/>
            <w:noProof/>
            <w:webHidden/>
            <w:sz w:val="24"/>
          </w:rPr>
          <w:instrText xml:space="preserve"> PAGEREF _Toc219103244 \h </w:instrText>
        </w:r>
        <w:r w:rsidRPr="005F2A05">
          <w:rPr>
            <w:rFonts w:ascii="Times New Roman" w:hAnsi="Times New Roman"/>
            <w:noProof/>
            <w:webHidden/>
            <w:sz w:val="24"/>
          </w:rPr>
        </w:r>
        <w:r w:rsidRPr="005F2A05">
          <w:rPr>
            <w:rFonts w:ascii="Times New Roman" w:hAnsi="Times New Roman"/>
            <w:noProof/>
            <w:webHidden/>
            <w:sz w:val="24"/>
          </w:rPr>
          <w:fldChar w:fldCharType="separate"/>
        </w:r>
        <w:r w:rsidR="005F2A05">
          <w:rPr>
            <w:rFonts w:ascii="Times New Roman" w:hAnsi="Times New Roman"/>
            <w:noProof/>
            <w:webHidden/>
            <w:sz w:val="24"/>
          </w:rPr>
          <w:t>28</w:t>
        </w:r>
        <w:r w:rsidRPr="005F2A05">
          <w:rPr>
            <w:rFonts w:ascii="Times New Roman" w:hAnsi="Times New Roman"/>
            <w:noProof/>
            <w:webHidden/>
            <w:sz w:val="24"/>
          </w:rPr>
          <w:fldChar w:fldCharType="end"/>
        </w:r>
      </w:hyperlink>
    </w:p>
    <w:p w14:paraId="5F659A02" w14:textId="7A3A3D3C" w:rsidR="00395591" w:rsidRPr="005F2A05" w:rsidRDefault="00395591" w:rsidP="005F2A05">
      <w:pPr>
        <w:pStyle w:val="TOC1"/>
        <w:spacing w:after="160" w:line="240" w:lineRule="auto"/>
        <w:rPr>
          <w:rFonts w:eastAsiaTheme="minorEastAsia"/>
          <w:b w:val="0"/>
          <w:bCs w:val="0"/>
          <w:noProof/>
          <w:szCs w:val="24"/>
          <w:lang w:val="en-US"/>
        </w:rPr>
      </w:pPr>
      <w:hyperlink w:anchor="_Toc219103245" w:history="1">
        <w:r w:rsidRPr="005F2A05">
          <w:rPr>
            <w:rStyle w:val="Hyperlink"/>
            <w:caps/>
            <w:noProof/>
            <w:szCs w:val="24"/>
          </w:rPr>
          <w:t>PRAYER FOR RELIEF</w:t>
        </w:r>
        <w:r w:rsidRPr="005F2A05">
          <w:rPr>
            <w:noProof/>
            <w:webHidden/>
            <w:szCs w:val="24"/>
          </w:rPr>
          <w:tab/>
        </w:r>
        <w:r w:rsidRPr="005F2A05">
          <w:rPr>
            <w:noProof/>
            <w:webHidden/>
            <w:szCs w:val="24"/>
          </w:rPr>
          <w:fldChar w:fldCharType="begin"/>
        </w:r>
        <w:r w:rsidRPr="005F2A05">
          <w:rPr>
            <w:noProof/>
            <w:webHidden/>
            <w:szCs w:val="24"/>
          </w:rPr>
          <w:instrText xml:space="preserve"> PAGEREF _Toc219103245 \h </w:instrText>
        </w:r>
        <w:r w:rsidRPr="005F2A05">
          <w:rPr>
            <w:noProof/>
            <w:webHidden/>
            <w:szCs w:val="24"/>
          </w:rPr>
        </w:r>
        <w:r w:rsidRPr="005F2A05">
          <w:rPr>
            <w:noProof/>
            <w:webHidden/>
            <w:szCs w:val="24"/>
          </w:rPr>
          <w:fldChar w:fldCharType="separate"/>
        </w:r>
        <w:r w:rsidR="005F2A05">
          <w:rPr>
            <w:noProof/>
            <w:webHidden/>
            <w:szCs w:val="24"/>
          </w:rPr>
          <w:t>31</w:t>
        </w:r>
        <w:r w:rsidRPr="005F2A05">
          <w:rPr>
            <w:noProof/>
            <w:webHidden/>
            <w:szCs w:val="24"/>
          </w:rPr>
          <w:fldChar w:fldCharType="end"/>
        </w:r>
      </w:hyperlink>
    </w:p>
    <w:p w14:paraId="46EFAE1A" w14:textId="57D216B1" w:rsidR="00A0361C" w:rsidRPr="003A41D3" w:rsidRDefault="00415B2B" w:rsidP="005F2A05">
      <w:pPr>
        <w:pStyle w:val="Title"/>
        <w:spacing w:after="160" w:line="240" w:lineRule="auto"/>
        <w:rPr>
          <w:rFonts w:eastAsia="Times New Roman"/>
          <w:kern w:val="32"/>
          <w14:ligatures w14:val="none"/>
        </w:rPr>
      </w:pPr>
      <w:r w:rsidRPr="005F2A05">
        <w:rPr>
          <w:rFonts w:eastAsia="Times New Roman"/>
          <w:kern w:val="32"/>
          <w14:ligatures w14:val="none"/>
        </w:rPr>
        <w:fldChar w:fldCharType="end"/>
      </w:r>
    </w:p>
    <w:p w14:paraId="71AFFB80" w14:textId="77777777" w:rsidR="000D4C6E" w:rsidRPr="000D4C6E" w:rsidRDefault="000D4C6E" w:rsidP="000D4C6E"/>
    <w:p w14:paraId="42A6EF07" w14:textId="77777777" w:rsidR="0053700A" w:rsidRDefault="0053700A">
      <w:pPr>
        <w:spacing w:line="278" w:lineRule="auto"/>
        <w:rPr>
          <w:rFonts w:cs="Times New Roman"/>
          <w:b/>
          <w:smallCaps/>
          <w:kern w:val="28"/>
        </w:rPr>
      </w:pPr>
      <w:bookmarkStart w:id="0" w:name="_Toc218967257"/>
      <w:r>
        <w:br w:type="page"/>
      </w:r>
    </w:p>
    <w:p w14:paraId="6DA3DAA6" w14:textId="05F5D2DC" w:rsidR="003E45B8" w:rsidRPr="00A0361C" w:rsidRDefault="00945696" w:rsidP="000D4C6E">
      <w:pPr>
        <w:pStyle w:val="Title"/>
        <w:spacing w:line="276" w:lineRule="auto"/>
      </w:pPr>
      <w:bookmarkStart w:id="1" w:name="_Toc219103212"/>
      <w:r w:rsidRPr="00A0361C">
        <w:lastRenderedPageBreak/>
        <w:t>INDEX OF AUTHORITIES</w:t>
      </w:r>
      <w:bookmarkEnd w:id="0"/>
      <w:bookmarkEnd w:id="1"/>
    </w:p>
    <w:tbl>
      <w:tblPr>
        <w:tblStyle w:val="Style1"/>
        <w:tblW w:w="9415" w:type="dxa"/>
        <w:tblLayout w:type="fixed"/>
        <w:tblLook w:val="0600" w:firstRow="0" w:lastRow="0" w:firstColumn="0" w:lastColumn="0" w:noHBand="1" w:noVBand="1"/>
      </w:tblPr>
      <w:tblGrid>
        <w:gridCol w:w="7560"/>
        <w:gridCol w:w="1848"/>
        <w:gridCol w:w="7"/>
      </w:tblGrid>
      <w:tr w:rsidR="00551AB2" w:rsidRPr="00551AB2" w14:paraId="09534685" w14:textId="77777777" w:rsidTr="0053700A">
        <w:trPr>
          <w:trHeight w:val="300"/>
        </w:trPr>
        <w:tc>
          <w:tcPr>
            <w:tcW w:w="9415" w:type="dxa"/>
            <w:gridSpan w:val="3"/>
          </w:tcPr>
          <w:p w14:paraId="7426A34A" w14:textId="246DE84E" w:rsidR="00551AB2" w:rsidRPr="00551AB2" w:rsidRDefault="00551AB2" w:rsidP="00551AB2">
            <w:pPr>
              <w:widowControl w:val="0"/>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Times New Roman" w:cs="Times New Roman"/>
                <w:b/>
                <w:bCs/>
                <w:color w:val="000000"/>
                <w:kern w:val="0"/>
                <w:lang w:val="en-US" w:eastAsia="ja-JP"/>
                <w14:ligatures w14:val="none"/>
              </w:rPr>
              <w:t>INTERNATIONAL AGREEMENTS</w:t>
            </w:r>
          </w:p>
        </w:tc>
      </w:tr>
      <w:tr w:rsidR="00143E1B" w:rsidRPr="00551AB2" w14:paraId="7CE87D13" w14:textId="77777777" w:rsidTr="0053700A">
        <w:trPr>
          <w:gridAfter w:val="1"/>
          <w:wAfter w:w="7" w:type="dxa"/>
          <w:trHeight w:val="300"/>
        </w:trPr>
        <w:tc>
          <w:tcPr>
            <w:tcW w:w="7560" w:type="dxa"/>
          </w:tcPr>
          <w:p w14:paraId="7F415F72" w14:textId="77777777" w:rsidR="00143E1B" w:rsidRPr="00551AB2" w:rsidRDefault="00143E1B"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016415">
              <w:rPr>
                <w:rFonts w:eastAsia="Times New Roman" w:cs="Times New Roman"/>
                <w:i/>
                <w:color w:val="000000"/>
                <w:kern w:val="0"/>
                <w:lang w:val="en-US" w:eastAsia="ja-JP"/>
                <w14:ligatures w14:val="none"/>
              </w:rPr>
              <w:t>Agreement on the Cooperation for the Sustainable Development of the Mekong River Basin</w:t>
            </w:r>
            <w:r w:rsidRPr="00551AB2">
              <w:rPr>
                <w:rFonts w:eastAsia="Times New Roman" w:cs="Times New Roman"/>
                <w:color w:val="000000"/>
                <w:kern w:val="0"/>
                <w:lang w:val="en-US" w:eastAsia="ja-JP"/>
                <w14:ligatures w14:val="none"/>
              </w:rPr>
              <w:t xml:space="preserve">, 5 April 1995, </w:t>
            </w:r>
            <w:proofErr w:type="gramStart"/>
            <w:r w:rsidRPr="00551AB2">
              <w:rPr>
                <w:rFonts w:eastAsia="Times New Roman" w:cs="Times New Roman"/>
                <w:color w:val="000000"/>
                <w:kern w:val="0"/>
                <w:lang w:val="en-US" w:eastAsia="ja-JP"/>
                <w14:ligatures w14:val="none"/>
              </w:rPr>
              <w:t>2069</w:t>
            </w:r>
            <w:proofErr w:type="gramEnd"/>
            <w:r w:rsidRPr="00551AB2">
              <w:rPr>
                <w:rFonts w:eastAsia="Times New Roman" w:cs="Times New Roman"/>
                <w:color w:val="000000"/>
                <w:kern w:val="0"/>
                <w:lang w:val="en-US" w:eastAsia="ja-JP"/>
                <w14:ligatures w14:val="none"/>
              </w:rPr>
              <w:t xml:space="preserve"> U.N.T.S. 3</w:t>
            </w:r>
          </w:p>
        </w:tc>
        <w:tc>
          <w:tcPr>
            <w:tcW w:w="1848" w:type="dxa"/>
          </w:tcPr>
          <w:p w14:paraId="09F7A7AE" w14:textId="77777777" w:rsidR="00143E1B" w:rsidRPr="006D2915" w:rsidRDefault="00143E1B"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sidRPr="006D2915">
              <w:rPr>
                <w:rFonts w:eastAsia="Times New Roman" w:cs="Times New Roman"/>
                <w:color w:val="000000" w:themeColor="text1"/>
                <w:kern w:val="0"/>
                <w:lang w:val="en-US" w:eastAsia="ja-JP"/>
                <w14:ligatures w14:val="none"/>
              </w:rPr>
              <w:t>6</w:t>
            </w:r>
          </w:p>
        </w:tc>
      </w:tr>
      <w:tr w:rsidR="00143E1B" w:rsidRPr="00551AB2" w14:paraId="48E892EF" w14:textId="77777777" w:rsidTr="0053700A">
        <w:trPr>
          <w:gridAfter w:val="1"/>
          <w:wAfter w:w="7" w:type="dxa"/>
          <w:trHeight w:val="300"/>
        </w:trPr>
        <w:tc>
          <w:tcPr>
            <w:tcW w:w="7560" w:type="dxa"/>
          </w:tcPr>
          <w:p w14:paraId="7E132AF3" w14:textId="77777777" w:rsidR="00143E1B" w:rsidRPr="00551AB2" w:rsidRDefault="00143E1B"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2F506E">
              <w:rPr>
                <w:rFonts w:eastAsia="Aptos" w:cs="Arial"/>
                <w:i/>
                <w:iCs/>
              </w:rPr>
              <w:t>European Convention on State Immunity</w:t>
            </w:r>
            <w:r w:rsidRPr="00551AB2">
              <w:rPr>
                <w:rFonts w:eastAsia="Aptos" w:cs="Arial"/>
              </w:rPr>
              <w:t>, ETS No. 074</w:t>
            </w:r>
          </w:p>
        </w:tc>
        <w:tc>
          <w:tcPr>
            <w:tcW w:w="1848" w:type="dxa"/>
          </w:tcPr>
          <w:p w14:paraId="40639F71" w14:textId="63382E8B" w:rsidR="00143E1B" w:rsidRPr="006D2915" w:rsidRDefault="00B10CF1"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29</w:t>
            </w:r>
          </w:p>
        </w:tc>
      </w:tr>
      <w:tr w:rsidR="00143E1B" w:rsidRPr="00551AB2" w14:paraId="22F38A1E" w14:textId="77777777" w:rsidTr="0053700A">
        <w:trPr>
          <w:gridAfter w:val="1"/>
          <w:wAfter w:w="7" w:type="dxa"/>
          <w:trHeight w:val="300"/>
        </w:trPr>
        <w:tc>
          <w:tcPr>
            <w:tcW w:w="7560" w:type="dxa"/>
          </w:tcPr>
          <w:p w14:paraId="1D59AF59" w14:textId="77E96C95" w:rsidR="00143E1B" w:rsidRPr="00143E1B" w:rsidRDefault="00143E1B" w:rsidP="00143E1B">
            <w:pPr>
              <w:tabs>
                <w:tab w:val="left" w:pos="800"/>
                <w:tab w:val="left" w:pos="980"/>
              </w:tabs>
              <w:spacing w:line="276" w:lineRule="auto"/>
              <w:ind w:left="530" w:hanging="540"/>
              <w:jc w:val="both"/>
              <w:rPr>
                <w:rFonts w:eastAsia="Aptos" w:cs="Arial"/>
              </w:rPr>
            </w:pPr>
            <w:r w:rsidRPr="008E74FC">
              <w:rPr>
                <w:rFonts w:eastAsia="Aptos" w:cs="Arial"/>
                <w:i/>
                <w:iCs/>
              </w:rPr>
              <w:t>International Covenant on Civil and Political Rights</w:t>
            </w:r>
            <w:r w:rsidRPr="00551AB2">
              <w:rPr>
                <w:rFonts w:eastAsia="Aptos" w:cs="Arial"/>
              </w:rPr>
              <w:t xml:space="preserve"> G.A. Res. 2200A (XXI), 999 U.N.T.S. 171 (1966)</w:t>
            </w:r>
          </w:p>
        </w:tc>
        <w:tc>
          <w:tcPr>
            <w:tcW w:w="1848" w:type="dxa"/>
          </w:tcPr>
          <w:p w14:paraId="14A8989D" w14:textId="24ACAF53" w:rsidR="00143E1B" w:rsidRPr="006D2915" w:rsidRDefault="0078045E"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20</w:t>
            </w:r>
          </w:p>
        </w:tc>
      </w:tr>
      <w:tr w:rsidR="00143E1B" w:rsidRPr="00551AB2" w14:paraId="4B448008" w14:textId="77777777" w:rsidTr="0053700A">
        <w:trPr>
          <w:gridAfter w:val="1"/>
          <w:wAfter w:w="7" w:type="dxa"/>
          <w:trHeight w:val="300"/>
        </w:trPr>
        <w:tc>
          <w:tcPr>
            <w:tcW w:w="7560" w:type="dxa"/>
          </w:tcPr>
          <w:p w14:paraId="74065485" w14:textId="77777777" w:rsidR="00143E1B" w:rsidRPr="00551AB2" w:rsidRDefault="00143E1B"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8E74FC">
              <w:rPr>
                <w:rFonts w:eastAsia="Aptos" w:cs="Arial"/>
                <w:i/>
                <w:iCs/>
              </w:rPr>
              <w:t>Statute of the ICJ</w:t>
            </w:r>
            <w:r w:rsidRPr="00551AB2">
              <w:rPr>
                <w:rFonts w:eastAsia="Aptos" w:cs="Arial"/>
              </w:rPr>
              <w:t>, 33 U.N.T.S. 993</w:t>
            </w:r>
          </w:p>
        </w:tc>
        <w:tc>
          <w:tcPr>
            <w:tcW w:w="1848" w:type="dxa"/>
          </w:tcPr>
          <w:p w14:paraId="31E5784A" w14:textId="3C036E08" w:rsidR="00143E1B" w:rsidRPr="006D2915" w:rsidRDefault="00A12DD7"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sidRPr="006D2915">
              <w:rPr>
                <w:rFonts w:eastAsia="Times New Roman" w:cs="Times New Roman"/>
                <w:color w:val="000000" w:themeColor="text1"/>
                <w:kern w:val="0"/>
                <w:lang w:val="en-US" w:eastAsia="ja-JP"/>
                <w14:ligatures w14:val="none"/>
              </w:rPr>
              <w:t>1</w:t>
            </w:r>
            <w:r w:rsidR="004C15A3" w:rsidRPr="006D2915">
              <w:rPr>
                <w:rFonts w:eastAsia="Times New Roman" w:cs="Times New Roman"/>
                <w:color w:val="000000" w:themeColor="text1"/>
                <w:kern w:val="0"/>
                <w:lang w:val="en-US" w:eastAsia="ja-JP"/>
                <w14:ligatures w14:val="none"/>
              </w:rPr>
              <w:t>, 3</w:t>
            </w:r>
          </w:p>
        </w:tc>
      </w:tr>
      <w:tr w:rsidR="00143E1B" w:rsidRPr="00551AB2" w14:paraId="373B17B2" w14:textId="77777777" w:rsidTr="0053700A">
        <w:trPr>
          <w:gridAfter w:val="1"/>
          <w:wAfter w:w="7" w:type="dxa"/>
          <w:trHeight w:val="300"/>
        </w:trPr>
        <w:tc>
          <w:tcPr>
            <w:tcW w:w="7560" w:type="dxa"/>
          </w:tcPr>
          <w:p w14:paraId="1DF081E2" w14:textId="77777777" w:rsidR="00143E1B" w:rsidRPr="00551AB2" w:rsidRDefault="00143E1B"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A617FB">
              <w:rPr>
                <w:rFonts w:eastAsia="Times New Roman" w:cs="Times New Roman"/>
                <w:i/>
                <w:color w:val="000000"/>
                <w:kern w:val="0"/>
                <w:lang w:val="en-US" w:eastAsia="ja-JP"/>
                <w14:ligatures w14:val="none"/>
              </w:rPr>
              <w:t>The Antarctic Treaty</w:t>
            </w:r>
            <w:r w:rsidRPr="00551AB2">
              <w:rPr>
                <w:rFonts w:eastAsia="Times New Roman" w:cs="Times New Roman"/>
                <w:color w:val="000000"/>
                <w:kern w:val="0"/>
                <w:lang w:val="en-US" w:eastAsia="ja-JP"/>
                <w14:ligatures w14:val="none"/>
              </w:rPr>
              <w:t>, 1 December 1959, 402 U.N.T.S. 71</w:t>
            </w:r>
          </w:p>
        </w:tc>
        <w:tc>
          <w:tcPr>
            <w:tcW w:w="1848" w:type="dxa"/>
          </w:tcPr>
          <w:p w14:paraId="2EB37FD0" w14:textId="3CA1824F" w:rsidR="00143E1B" w:rsidRPr="006D2915" w:rsidRDefault="004C15A3"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sidRPr="006D2915">
              <w:rPr>
                <w:rFonts w:eastAsia="Times New Roman" w:cs="Times New Roman"/>
                <w:color w:val="000000" w:themeColor="text1"/>
                <w:kern w:val="0"/>
                <w:lang w:val="en-US" w:eastAsia="ja-JP"/>
                <w14:ligatures w14:val="none"/>
              </w:rPr>
              <w:t>6</w:t>
            </w:r>
          </w:p>
        </w:tc>
      </w:tr>
      <w:tr w:rsidR="00143E1B" w:rsidRPr="00551AB2" w14:paraId="6350A065" w14:textId="77777777" w:rsidTr="0053700A">
        <w:trPr>
          <w:gridAfter w:val="1"/>
          <w:wAfter w:w="7" w:type="dxa"/>
          <w:trHeight w:val="300"/>
        </w:trPr>
        <w:tc>
          <w:tcPr>
            <w:tcW w:w="7560" w:type="dxa"/>
          </w:tcPr>
          <w:p w14:paraId="7108C5ED" w14:textId="77777777" w:rsidR="00143E1B" w:rsidRPr="00551AB2" w:rsidRDefault="00143E1B"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Times New Roman" w:cs="Arial"/>
                <w:i/>
                <w:iCs/>
                <w:kern w:val="0"/>
                <w14:ligatures w14:val="none"/>
              </w:rPr>
              <w:t>Treaty concerning the Archipelago of Spitsbergen</w:t>
            </w:r>
            <w:r w:rsidRPr="00551AB2">
              <w:rPr>
                <w:rFonts w:eastAsia="Times New Roman" w:cs="Arial"/>
                <w:kern w:val="0"/>
                <w14:ligatures w14:val="none"/>
              </w:rPr>
              <w:t>, 9 February 1920, 2 L.N.T.S. 7</w:t>
            </w:r>
          </w:p>
        </w:tc>
        <w:tc>
          <w:tcPr>
            <w:tcW w:w="1848" w:type="dxa"/>
          </w:tcPr>
          <w:p w14:paraId="789E1320" w14:textId="65E9F900" w:rsidR="00143E1B" w:rsidRPr="006D2915" w:rsidRDefault="00A617FB"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sidRPr="006D2915">
              <w:rPr>
                <w:rFonts w:eastAsia="Times New Roman" w:cs="Times New Roman"/>
                <w:color w:val="000000" w:themeColor="text1"/>
                <w:kern w:val="0"/>
                <w:lang w:val="en-US" w:eastAsia="ja-JP"/>
                <w14:ligatures w14:val="none"/>
              </w:rPr>
              <w:t>6</w:t>
            </w:r>
          </w:p>
        </w:tc>
      </w:tr>
      <w:tr w:rsidR="00143E1B" w:rsidRPr="00551AB2" w14:paraId="6A23B1C0" w14:textId="77777777" w:rsidTr="0053700A">
        <w:trPr>
          <w:gridAfter w:val="1"/>
          <w:wAfter w:w="7" w:type="dxa"/>
          <w:trHeight w:val="300"/>
        </w:trPr>
        <w:tc>
          <w:tcPr>
            <w:tcW w:w="7560" w:type="dxa"/>
          </w:tcPr>
          <w:p w14:paraId="27262094" w14:textId="77777777" w:rsidR="00143E1B" w:rsidRPr="00551AB2" w:rsidRDefault="00143E1B" w:rsidP="00143E1B">
            <w:pPr>
              <w:tabs>
                <w:tab w:val="left" w:pos="800"/>
                <w:tab w:val="left" w:pos="980"/>
              </w:tabs>
              <w:spacing w:line="276" w:lineRule="auto"/>
              <w:ind w:left="530" w:hanging="540"/>
              <w:jc w:val="both"/>
              <w:rPr>
                <w:rFonts w:eastAsia="Aptos" w:cs="Arial"/>
              </w:rPr>
            </w:pPr>
            <w:r w:rsidRPr="008E74FC">
              <w:rPr>
                <w:rFonts w:eastAsia="Aptos" w:cs="Arial"/>
                <w:i/>
                <w:iCs/>
              </w:rPr>
              <w:t>United Nations Convention on Jurisdictional Immunities of States and Their Property</w:t>
            </w:r>
            <w:r w:rsidRPr="00143E1B">
              <w:rPr>
                <w:rFonts w:eastAsia="Aptos" w:cs="Arial"/>
              </w:rPr>
              <w:t>, A/59508 (2004)</w:t>
            </w:r>
          </w:p>
        </w:tc>
        <w:tc>
          <w:tcPr>
            <w:tcW w:w="1848" w:type="dxa"/>
          </w:tcPr>
          <w:p w14:paraId="7CBC9817" w14:textId="5A13CB4A" w:rsidR="00143E1B" w:rsidRPr="006D2915" w:rsidRDefault="00A5369C"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27</w:t>
            </w:r>
            <w:r w:rsidR="008B0DBC">
              <w:rPr>
                <w:rFonts w:eastAsia="Times New Roman" w:cs="Times New Roman"/>
                <w:color w:val="000000" w:themeColor="text1"/>
                <w:kern w:val="0"/>
                <w:lang w:val="en-US" w:eastAsia="ja-JP"/>
                <w14:ligatures w14:val="none"/>
              </w:rPr>
              <w:t>, 28</w:t>
            </w:r>
          </w:p>
        </w:tc>
      </w:tr>
      <w:tr w:rsidR="00143E1B" w:rsidRPr="00551AB2" w14:paraId="38E0C5C0" w14:textId="77777777" w:rsidTr="0053700A">
        <w:trPr>
          <w:gridAfter w:val="1"/>
          <w:wAfter w:w="7" w:type="dxa"/>
          <w:trHeight w:val="300"/>
        </w:trPr>
        <w:tc>
          <w:tcPr>
            <w:tcW w:w="7560" w:type="dxa"/>
          </w:tcPr>
          <w:p w14:paraId="7666F547" w14:textId="77777777" w:rsidR="00143E1B" w:rsidRPr="00551AB2" w:rsidRDefault="00143E1B"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8E74FC">
              <w:rPr>
                <w:rFonts w:eastAsia="Times New Roman" w:cs="Times New Roman"/>
                <w:i/>
                <w:iCs/>
                <w:color w:val="000000"/>
                <w:kern w:val="0"/>
                <w:lang w:val="en-US" w:eastAsia="ja-JP"/>
                <w14:ligatures w14:val="none"/>
              </w:rPr>
              <w:t>Vienna Convention on Law of Treaties</w:t>
            </w:r>
            <w:r w:rsidRPr="00551AB2">
              <w:rPr>
                <w:rFonts w:eastAsia="Times New Roman" w:cs="Times New Roman"/>
                <w:color w:val="000000"/>
                <w:kern w:val="0"/>
                <w:lang w:val="en-US" w:eastAsia="ja-JP"/>
                <w14:ligatures w14:val="none"/>
              </w:rPr>
              <w:t>, 1155 U.N.T.S. 331</w:t>
            </w:r>
          </w:p>
        </w:tc>
        <w:tc>
          <w:tcPr>
            <w:tcW w:w="1848" w:type="dxa"/>
          </w:tcPr>
          <w:p w14:paraId="66DC9F86" w14:textId="10C9E69E" w:rsidR="00143E1B" w:rsidRPr="006D2915" w:rsidRDefault="00FB0D7E"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sidRPr="006D2915">
              <w:rPr>
                <w:rFonts w:eastAsia="Times New Roman" w:cs="Times New Roman"/>
                <w:color w:val="000000" w:themeColor="text1"/>
                <w:kern w:val="0"/>
                <w:lang w:val="en-US" w:eastAsia="ja-JP"/>
                <w14:ligatures w14:val="none"/>
              </w:rPr>
              <w:t>5</w:t>
            </w:r>
          </w:p>
        </w:tc>
      </w:tr>
      <w:tr w:rsidR="00946C02" w:rsidRPr="00551AB2" w14:paraId="5DC9B139" w14:textId="77777777" w:rsidTr="0053700A">
        <w:trPr>
          <w:gridAfter w:val="1"/>
          <w:wAfter w:w="7" w:type="dxa"/>
          <w:trHeight w:val="300"/>
        </w:trPr>
        <w:tc>
          <w:tcPr>
            <w:tcW w:w="7560" w:type="dxa"/>
          </w:tcPr>
          <w:p w14:paraId="3CF6E301" w14:textId="77777777" w:rsidR="00946C02" w:rsidRPr="00551AB2" w:rsidRDefault="00946C0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p>
        </w:tc>
        <w:tc>
          <w:tcPr>
            <w:tcW w:w="1848" w:type="dxa"/>
          </w:tcPr>
          <w:p w14:paraId="666F7ADF" w14:textId="77777777" w:rsidR="00946C02" w:rsidRPr="006D2915" w:rsidRDefault="00946C02"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p>
        </w:tc>
      </w:tr>
      <w:tr w:rsidR="00551AB2" w:rsidRPr="00551AB2" w14:paraId="7DA0A648" w14:textId="77777777" w:rsidTr="0053700A">
        <w:trPr>
          <w:trHeight w:val="300"/>
        </w:trPr>
        <w:tc>
          <w:tcPr>
            <w:tcW w:w="9415" w:type="dxa"/>
            <w:gridSpan w:val="3"/>
          </w:tcPr>
          <w:p w14:paraId="2D003FE9" w14:textId="77777777" w:rsidR="00551AB2" w:rsidRPr="006D2915" w:rsidRDefault="00551AB2" w:rsidP="00551AB2">
            <w:pPr>
              <w:widowControl w:val="0"/>
              <w:tabs>
                <w:tab w:val="left" w:pos="800"/>
                <w:tab w:val="left" w:pos="980"/>
              </w:tabs>
              <w:spacing w:line="276" w:lineRule="auto"/>
              <w:ind w:left="530" w:hanging="540"/>
              <w:jc w:val="both"/>
              <w:rPr>
                <w:rFonts w:eastAsia="Times New Roman" w:cs="Times New Roman"/>
                <w:color w:val="000000" w:themeColor="text1"/>
                <w:kern w:val="0"/>
                <w:lang w:val="en-US" w:eastAsia="ja-JP"/>
                <w14:ligatures w14:val="none"/>
              </w:rPr>
            </w:pPr>
            <w:r w:rsidRPr="006D2915">
              <w:rPr>
                <w:rFonts w:eastAsia="Times New Roman" w:cs="Times New Roman"/>
                <w:b/>
                <w:color w:val="000000" w:themeColor="text1"/>
                <w:kern w:val="0"/>
                <w:lang w:val="en-US" w:eastAsia="ja-JP"/>
                <w14:ligatures w14:val="none"/>
              </w:rPr>
              <w:t>JUDICIAL DECISIONS</w:t>
            </w:r>
          </w:p>
        </w:tc>
      </w:tr>
      <w:tr w:rsidR="00551AB2" w:rsidRPr="00551AB2" w14:paraId="11BBFAFC" w14:textId="77777777" w:rsidTr="0053700A">
        <w:trPr>
          <w:trHeight w:val="300"/>
        </w:trPr>
        <w:tc>
          <w:tcPr>
            <w:tcW w:w="9415" w:type="dxa"/>
            <w:gridSpan w:val="3"/>
          </w:tcPr>
          <w:p w14:paraId="171813CA" w14:textId="77777777" w:rsidR="00551AB2" w:rsidRPr="006D2915" w:rsidRDefault="00551AB2" w:rsidP="00551AB2">
            <w:pPr>
              <w:widowControl w:val="0"/>
              <w:tabs>
                <w:tab w:val="left" w:pos="800"/>
                <w:tab w:val="left" w:pos="980"/>
              </w:tabs>
              <w:spacing w:line="276" w:lineRule="auto"/>
              <w:ind w:left="530" w:hanging="540"/>
              <w:jc w:val="both"/>
              <w:rPr>
                <w:rFonts w:eastAsia="Times New Roman" w:cs="Times New Roman"/>
                <w:color w:val="000000" w:themeColor="text1"/>
                <w:kern w:val="0"/>
                <w:lang w:val="en-US" w:eastAsia="ja-JP"/>
                <w14:ligatures w14:val="none"/>
              </w:rPr>
            </w:pPr>
            <w:r w:rsidRPr="006D2915">
              <w:rPr>
                <w:rFonts w:eastAsia="Times New Roman" w:cs="Times New Roman"/>
                <w:b/>
                <w:color w:val="000000" w:themeColor="text1"/>
                <w:kern w:val="0"/>
                <w:lang w:val="en-US" w:eastAsia="ja-JP"/>
                <w14:ligatures w14:val="none"/>
              </w:rPr>
              <w:t>International Cases and Arbitral Decisions</w:t>
            </w:r>
          </w:p>
        </w:tc>
      </w:tr>
      <w:tr w:rsidR="00551AB2" w:rsidRPr="00551AB2" w14:paraId="71F9E45F" w14:textId="77777777" w:rsidTr="0053700A">
        <w:trPr>
          <w:gridAfter w:val="1"/>
          <w:wAfter w:w="7" w:type="dxa"/>
          <w:trHeight w:val="300"/>
        </w:trPr>
        <w:tc>
          <w:tcPr>
            <w:tcW w:w="7560" w:type="dxa"/>
          </w:tcPr>
          <w:p w14:paraId="73985DC6"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rPr>
              <w:t>Application of the Convention on the Prevention and Punishment of the Crime of Genocide (Bosnia and Herzegovina v. Serbia and Montenegro)</w:t>
            </w:r>
            <w:r w:rsidRPr="00551AB2">
              <w:rPr>
                <w:rFonts w:eastAsia="Aptos" w:cs="Arial"/>
              </w:rPr>
              <w:t>, [1996] ICJ Rep 595</w:t>
            </w:r>
          </w:p>
        </w:tc>
        <w:tc>
          <w:tcPr>
            <w:tcW w:w="1848" w:type="dxa"/>
          </w:tcPr>
          <w:p w14:paraId="37527907" w14:textId="51121222" w:rsidR="00551AB2" w:rsidRPr="006D2915" w:rsidRDefault="0018542F"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23</w:t>
            </w:r>
            <w:r w:rsidR="007E3BE7">
              <w:rPr>
                <w:rFonts w:eastAsia="Times New Roman" w:cs="Times New Roman"/>
                <w:color w:val="000000" w:themeColor="text1"/>
                <w:kern w:val="0"/>
                <w:lang w:val="en-US" w:eastAsia="ja-JP"/>
                <w14:ligatures w14:val="none"/>
              </w:rPr>
              <w:t>, 25</w:t>
            </w:r>
          </w:p>
        </w:tc>
      </w:tr>
      <w:tr w:rsidR="00551AB2" w:rsidRPr="00551AB2" w14:paraId="38FEACD9" w14:textId="77777777" w:rsidTr="0053700A">
        <w:trPr>
          <w:gridAfter w:val="1"/>
          <w:wAfter w:w="7" w:type="dxa"/>
          <w:trHeight w:val="300"/>
        </w:trPr>
        <w:tc>
          <w:tcPr>
            <w:tcW w:w="7560" w:type="dxa"/>
          </w:tcPr>
          <w:p w14:paraId="1ABB00C2" w14:textId="77777777" w:rsidR="00551AB2" w:rsidRPr="00551AB2" w:rsidRDefault="00551AB2" w:rsidP="00551AB2">
            <w:pPr>
              <w:tabs>
                <w:tab w:val="left" w:pos="800"/>
                <w:tab w:val="left" w:pos="980"/>
              </w:tabs>
              <w:spacing w:line="276" w:lineRule="auto"/>
              <w:ind w:left="530" w:hanging="540"/>
              <w:jc w:val="both"/>
              <w:rPr>
                <w:rFonts w:eastAsia="Aptos" w:cs="Arial"/>
                <w:iCs/>
              </w:rPr>
            </w:pPr>
            <w:r w:rsidRPr="00551AB2">
              <w:rPr>
                <w:rFonts w:eastAsia="Aptos" w:cs="Arial"/>
                <w:i/>
              </w:rPr>
              <w:t>Beijing Urban Construction Group Co. Ltd. v. Republic of Yemen</w:t>
            </w:r>
            <w:r w:rsidRPr="00551AB2">
              <w:rPr>
                <w:rFonts w:eastAsia="Aptos" w:cs="Arial"/>
              </w:rPr>
              <w:t>, ICSID Case No. ARB/14/30</w:t>
            </w:r>
          </w:p>
        </w:tc>
        <w:tc>
          <w:tcPr>
            <w:tcW w:w="1848" w:type="dxa"/>
          </w:tcPr>
          <w:p w14:paraId="1318C9B4" w14:textId="234D8D2A" w:rsidR="00551AB2" w:rsidRPr="006D2915" w:rsidRDefault="007D7EC4"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24</w:t>
            </w:r>
          </w:p>
        </w:tc>
      </w:tr>
      <w:tr w:rsidR="00551AB2" w:rsidRPr="00551AB2" w14:paraId="131D275B" w14:textId="77777777" w:rsidTr="0053700A">
        <w:trPr>
          <w:gridAfter w:val="1"/>
          <w:wAfter w:w="7" w:type="dxa"/>
          <w:trHeight w:val="300"/>
        </w:trPr>
        <w:tc>
          <w:tcPr>
            <w:tcW w:w="7560" w:type="dxa"/>
          </w:tcPr>
          <w:p w14:paraId="1D39CBFD" w14:textId="77777777" w:rsidR="00551AB2" w:rsidRPr="00551AB2" w:rsidRDefault="00551AB2" w:rsidP="00551AB2">
            <w:pPr>
              <w:tabs>
                <w:tab w:val="left" w:pos="800"/>
                <w:tab w:val="left" w:pos="980"/>
              </w:tabs>
              <w:spacing w:line="276" w:lineRule="auto"/>
              <w:ind w:left="530" w:hanging="540"/>
              <w:jc w:val="both"/>
              <w:rPr>
                <w:rFonts w:eastAsia="Aptos" w:cs="Arial"/>
                <w:iCs/>
              </w:rPr>
            </w:pPr>
            <w:r w:rsidRPr="00551AB2">
              <w:rPr>
                <w:rFonts w:eastAsia="Aptos" w:cs="Arial"/>
                <w:i/>
              </w:rPr>
              <w:t>Case Concerning Military and Paramilitary Activities in and Against Nicaragua (Nicaragua v. United States of America)</w:t>
            </w:r>
            <w:r w:rsidRPr="00551AB2">
              <w:rPr>
                <w:rFonts w:eastAsia="Aptos" w:cs="Arial"/>
              </w:rPr>
              <w:t>, [1986] ICJ Rep 14</w:t>
            </w:r>
          </w:p>
        </w:tc>
        <w:tc>
          <w:tcPr>
            <w:tcW w:w="1848" w:type="dxa"/>
          </w:tcPr>
          <w:p w14:paraId="4D536381" w14:textId="06F3B5FE" w:rsidR="00551AB2" w:rsidRPr="006D2915" w:rsidRDefault="007E3BE7"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25</w:t>
            </w:r>
          </w:p>
        </w:tc>
      </w:tr>
      <w:tr w:rsidR="00551AB2" w:rsidRPr="00551AB2" w14:paraId="471E7C94" w14:textId="77777777" w:rsidTr="0053700A">
        <w:trPr>
          <w:gridAfter w:val="1"/>
          <w:wAfter w:w="7" w:type="dxa"/>
          <w:trHeight w:val="300"/>
        </w:trPr>
        <w:tc>
          <w:tcPr>
            <w:tcW w:w="7560" w:type="dxa"/>
          </w:tcPr>
          <w:p w14:paraId="607B7937"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iCs/>
              </w:rPr>
              <w:t>Colombian-Peruvian Asylum Case</w:t>
            </w:r>
            <w:r w:rsidRPr="00551AB2">
              <w:rPr>
                <w:rFonts w:eastAsia="Aptos" w:cs="Arial"/>
              </w:rPr>
              <w:t>, [1950] ICJ Rep 266</w:t>
            </w:r>
          </w:p>
        </w:tc>
        <w:tc>
          <w:tcPr>
            <w:tcW w:w="1848" w:type="dxa"/>
          </w:tcPr>
          <w:p w14:paraId="7BE624CB" w14:textId="42C0D792" w:rsidR="00551AB2" w:rsidRPr="006D2915" w:rsidRDefault="006D2915"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sidRPr="006D2915">
              <w:rPr>
                <w:rFonts w:eastAsia="Times New Roman" w:cs="Times New Roman"/>
                <w:color w:val="000000" w:themeColor="text1"/>
                <w:kern w:val="0"/>
                <w:lang w:val="en-US" w:eastAsia="ja-JP"/>
                <w14:ligatures w14:val="none"/>
              </w:rPr>
              <w:t>9</w:t>
            </w:r>
          </w:p>
        </w:tc>
      </w:tr>
      <w:tr w:rsidR="00551AB2" w:rsidRPr="00551AB2" w14:paraId="529A7A39" w14:textId="77777777" w:rsidTr="0053700A">
        <w:trPr>
          <w:gridAfter w:val="1"/>
          <w:wAfter w:w="7" w:type="dxa"/>
          <w:trHeight w:val="300"/>
        </w:trPr>
        <w:tc>
          <w:tcPr>
            <w:tcW w:w="7560" w:type="dxa"/>
          </w:tcPr>
          <w:p w14:paraId="779E04C4"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iCs/>
              </w:rPr>
              <w:t>Construction of a Road in Costa Rica along the San Juan River (Nicaragua v. Costa Rica),</w:t>
            </w:r>
            <w:r w:rsidRPr="00551AB2">
              <w:rPr>
                <w:rFonts w:eastAsia="Aptos" w:cs="Arial"/>
              </w:rPr>
              <w:t xml:space="preserve"> Joinder of Proceedings, [2013] ICJ Rep 184, Separate Opinion of Judge Cançado Trindade</w:t>
            </w:r>
          </w:p>
        </w:tc>
        <w:tc>
          <w:tcPr>
            <w:tcW w:w="1848" w:type="dxa"/>
          </w:tcPr>
          <w:p w14:paraId="0429CC97" w14:textId="1DFFDDA6" w:rsidR="00551AB2" w:rsidRPr="006D2915" w:rsidRDefault="00A02E19"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605C3006" w14:textId="77777777" w:rsidTr="0053700A">
        <w:trPr>
          <w:gridAfter w:val="1"/>
          <w:wAfter w:w="7" w:type="dxa"/>
          <w:trHeight w:val="300"/>
        </w:trPr>
        <w:tc>
          <w:tcPr>
            <w:tcW w:w="7560" w:type="dxa"/>
          </w:tcPr>
          <w:p w14:paraId="0B4FAD7C"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iCs/>
              </w:rPr>
              <w:t>Continental Shelf (Libyan Arab Jamahiriya v Malta)</w:t>
            </w:r>
            <w:r w:rsidRPr="00551AB2">
              <w:rPr>
                <w:rFonts w:eastAsia="Aptos" w:cs="Arial"/>
              </w:rPr>
              <w:t>, Application to Intervene, [1984] ICJ Rep 3</w:t>
            </w:r>
          </w:p>
        </w:tc>
        <w:tc>
          <w:tcPr>
            <w:tcW w:w="1848" w:type="dxa"/>
          </w:tcPr>
          <w:p w14:paraId="0ABF1A2F" w14:textId="773573AC" w:rsidR="00551AB2" w:rsidRPr="006D2915" w:rsidRDefault="003C77E3"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3, 4</w:t>
            </w:r>
          </w:p>
        </w:tc>
      </w:tr>
      <w:tr w:rsidR="00551AB2" w:rsidRPr="00551AB2" w14:paraId="470924EF" w14:textId="77777777" w:rsidTr="0053700A">
        <w:trPr>
          <w:gridAfter w:val="1"/>
          <w:wAfter w:w="7" w:type="dxa"/>
          <w:trHeight w:val="300"/>
        </w:trPr>
        <w:tc>
          <w:tcPr>
            <w:tcW w:w="7560" w:type="dxa"/>
          </w:tcPr>
          <w:p w14:paraId="4BAB43CD"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Times New Roman"/>
                <w:i/>
                <w:iCs/>
                <w:lang w:val="en-US"/>
              </w:rPr>
              <w:t>Continental Shelf (Tunisia v Libyan Arab Jamahiriya)</w:t>
            </w:r>
            <w:r w:rsidRPr="00551AB2">
              <w:rPr>
                <w:rFonts w:eastAsia="Aptos" w:cs="Times New Roman"/>
                <w:lang w:val="en-US"/>
              </w:rPr>
              <w:t>, Application to Intervene, [1981] ICJ Rep 3</w:t>
            </w:r>
          </w:p>
        </w:tc>
        <w:tc>
          <w:tcPr>
            <w:tcW w:w="1848" w:type="dxa"/>
          </w:tcPr>
          <w:p w14:paraId="0454DF5A" w14:textId="30789D84" w:rsidR="00551AB2" w:rsidRPr="006D2915" w:rsidRDefault="00EB64E5"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1, 4</w:t>
            </w:r>
          </w:p>
        </w:tc>
      </w:tr>
      <w:tr w:rsidR="00551AB2" w:rsidRPr="00551AB2" w14:paraId="33F614EF" w14:textId="77777777" w:rsidTr="0053700A">
        <w:trPr>
          <w:gridAfter w:val="1"/>
          <w:wAfter w:w="7" w:type="dxa"/>
          <w:trHeight w:val="300"/>
        </w:trPr>
        <w:tc>
          <w:tcPr>
            <w:tcW w:w="7560" w:type="dxa"/>
          </w:tcPr>
          <w:p w14:paraId="44DAC93A" w14:textId="77777777" w:rsidR="00551AB2" w:rsidRPr="00551AB2" w:rsidRDefault="00551AB2" w:rsidP="00551AB2">
            <w:pPr>
              <w:tabs>
                <w:tab w:val="left" w:pos="800"/>
                <w:tab w:val="left" w:pos="980"/>
              </w:tabs>
              <w:spacing w:line="276" w:lineRule="auto"/>
              <w:ind w:left="530" w:hanging="540"/>
              <w:jc w:val="both"/>
              <w:rPr>
                <w:rFonts w:eastAsia="Aptos" w:cs="Arial"/>
                <w:iCs/>
              </w:rPr>
            </w:pPr>
            <w:r w:rsidRPr="00551AB2">
              <w:rPr>
                <w:rFonts w:eastAsia="Aptos" w:cs="Arial"/>
                <w:i/>
                <w:color w:val="000000"/>
              </w:rPr>
              <w:t xml:space="preserve">EDF (Services) Limited v Romania, ICSID </w:t>
            </w:r>
            <w:r w:rsidRPr="00551AB2">
              <w:rPr>
                <w:rFonts w:eastAsia="Aptos" w:cs="Arial"/>
                <w:color w:val="000000"/>
              </w:rPr>
              <w:t>Case No. ARB/05/13, 8 October 2009</w:t>
            </w:r>
          </w:p>
        </w:tc>
        <w:tc>
          <w:tcPr>
            <w:tcW w:w="1848" w:type="dxa"/>
          </w:tcPr>
          <w:p w14:paraId="18669F33" w14:textId="0C6E0C9F" w:rsidR="00551AB2" w:rsidRPr="006D2915" w:rsidRDefault="0018542F"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23</w:t>
            </w:r>
          </w:p>
        </w:tc>
      </w:tr>
      <w:tr w:rsidR="00551AB2" w:rsidRPr="00551AB2" w14:paraId="61C22A32" w14:textId="77777777" w:rsidTr="0053700A">
        <w:trPr>
          <w:gridAfter w:val="1"/>
          <w:wAfter w:w="7" w:type="dxa"/>
          <w:trHeight w:val="300"/>
        </w:trPr>
        <w:tc>
          <w:tcPr>
            <w:tcW w:w="7560" w:type="dxa"/>
          </w:tcPr>
          <w:p w14:paraId="028DF184" w14:textId="77777777" w:rsidR="00551AB2" w:rsidRPr="00551AB2" w:rsidRDefault="00551AB2" w:rsidP="00551AB2">
            <w:pPr>
              <w:tabs>
                <w:tab w:val="left" w:pos="800"/>
                <w:tab w:val="left" w:pos="980"/>
              </w:tabs>
              <w:spacing w:line="276" w:lineRule="auto"/>
              <w:ind w:left="530" w:hanging="540"/>
              <w:jc w:val="both"/>
              <w:rPr>
                <w:rFonts w:eastAsia="Aptos" w:cs="Arial"/>
                <w:iCs/>
              </w:rPr>
            </w:pPr>
            <w:r w:rsidRPr="00551AB2">
              <w:rPr>
                <w:rFonts w:eastAsia="Aptos" w:cs="Arial"/>
                <w:i/>
              </w:rPr>
              <w:t>Gustav F W Hamester GmbH &amp; Co KG v Republic of Ghana</w:t>
            </w:r>
            <w:r w:rsidRPr="00551AB2">
              <w:rPr>
                <w:rFonts w:eastAsia="Aptos" w:cs="Arial"/>
              </w:rPr>
              <w:t>, ICSID Case No. ARB/07/24</w:t>
            </w:r>
          </w:p>
        </w:tc>
        <w:tc>
          <w:tcPr>
            <w:tcW w:w="1848" w:type="dxa"/>
          </w:tcPr>
          <w:p w14:paraId="1A76FC85" w14:textId="34C127C2" w:rsidR="00551AB2" w:rsidRPr="006D2915" w:rsidRDefault="007D7EC4"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w:t>
            </w:r>
            <w:r w:rsidR="00C52CD0">
              <w:rPr>
                <w:rFonts w:eastAsia="Aptos" w:cs="Arial"/>
                <w:color w:val="000000" w:themeColor="text1"/>
              </w:rPr>
              <w:t>5</w:t>
            </w:r>
          </w:p>
        </w:tc>
      </w:tr>
      <w:tr w:rsidR="00551AB2" w:rsidRPr="00551AB2" w14:paraId="5531AB44" w14:textId="77777777" w:rsidTr="0053700A">
        <w:trPr>
          <w:gridAfter w:val="1"/>
          <w:wAfter w:w="7" w:type="dxa"/>
          <w:trHeight w:val="300"/>
        </w:trPr>
        <w:tc>
          <w:tcPr>
            <w:tcW w:w="7560" w:type="dxa"/>
          </w:tcPr>
          <w:p w14:paraId="70D9B3A0" w14:textId="77777777" w:rsidR="00551AB2" w:rsidRPr="00551AB2" w:rsidRDefault="00551AB2" w:rsidP="00551AB2">
            <w:pPr>
              <w:tabs>
                <w:tab w:val="left" w:pos="800"/>
                <w:tab w:val="left" w:pos="980"/>
              </w:tabs>
              <w:spacing w:line="276" w:lineRule="auto"/>
              <w:ind w:left="530" w:hanging="540"/>
              <w:jc w:val="both"/>
              <w:rPr>
                <w:rFonts w:eastAsia="Aptos" w:cs="Arial"/>
                <w:iCs/>
              </w:rPr>
            </w:pPr>
            <w:r w:rsidRPr="00551AB2">
              <w:rPr>
                <w:rFonts w:eastAsia="Aptos" w:cs="Arial"/>
                <w:i/>
              </w:rPr>
              <w:t xml:space="preserve">Jan de </w:t>
            </w:r>
            <w:proofErr w:type="spellStart"/>
            <w:r w:rsidRPr="00551AB2">
              <w:rPr>
                <w:rFonts w:eastAsia="Aptos" w:cs="Arial"/>
                <w:i/>
              </w:rPr>
              <w:t>Nul</w:t>
            </w:r>
            <w:proofErr w:type="spellEnd"/>
            <w:r w:rsidRPr="00551AB2">
              <w:rPr>
                <w:rFonts w:eastAsia="Aptos" w:cs="Arial"/>
                <w:i/>
              </w:rPr>
              <w:t xml:space="preserve"> N.V. &amp; Dredging International N.V. v Egypt</w:t>
            </w:r>
            <w:r w:rsidRPr="00551AB2">
              <w:rPr>
                <w:rFonts w:eastAsia="Aptos" w:cs="Arial"/>
              </w:rPr>
              <w:t>, ICSID Case No. ARB/04/13, Award, 6 November 2008</w:t>
            </w:r>
          </w:p>
        </w:tc>
        <w:tc>
          <w:tcPr>
            <w:tcW w:w="1848" w:type="dxa"/>
          </w:tcPr>
          <w:p w14:paraId="6ACCFDCE" w14:textId="5C242C6B" w:rsidR="00551AB2" w:rsidRPr="006D2915" w:rsidRDefault="007D7EC4"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24</w:t>
            </w:r>
          </w:p>
        </w:tc>
      </w:tr>
      <w:tr w:rsidR="00551AB2" w:rsidRPr="00551AB2" w14:paraId="387A0FD3" w14:textId="77777777" w:rsidTr="0053700A">
        <w:trPr>
          <w:gridAfter w:val="1"/>
          <w:wAfter w:w="7" w:type="dxa"/>
          <w:trHeight w:val="300"/>
        </w:trPr>
        <w:tc>
          <w:tcPr>
            <w:tcW w:w="7560" w:type="dxa"/>
          </w:tcPr>
          <w:p w14:paraId="6D842B0A" w14:textId="5F8667CC" w:rsidR="00551AB2" w:rsidRPr="00551AB2" w:rsidRDefault="00551AB2" w:rsidP="00551AB2">
            <w:pPr>
              <w:tabs>
                <w:tab w:val="left" w:pos="800"/>
                <w:tab w:val="left" w:pos="980"/>
              </w:tabs>
              <w:spacing w:line="276" w:lineRule="auto"/>
              <w:ind w:left="530" w:hanging="540"/>
              <w:jc w:val="both"/>
              <w:rPr>
                <w:rFonts w:eastAsia="Aptos" w:cs="Arial"/>
                <w:i/>
              </w:rPr>
            </w:pPr>
            <w:r w:rsidRPr="00551AB2">
              <w:rPr>
                <w:rFonts w:eastAsia="Aptos" w:cs="Arial"/>
                <w:i/>
                <w:color w:val="000000"/>
              </w:rPr>
              <w:t xml:space="preserve">Jurisdictional Immunities of the State (Germany v Italy: Greece Intervening) </w:t>
            </w:r>
            <w:r w:rsidRPr="00551AB2">
              <w:rPr>
                <w:rFonts w:eastAsia="Aptos" w:cs="Arial"/>
                <w:color w:val="000000"/>
              </w:rPr>
              <w:t xml:space="preserve">[2012] ICJ Rep </w:t>
            </w:r>
            <w:r w:rsidR="00A4308F">
              <w:rPr>
                <w:rFonts w:eastAsia="Aptos" w:cs="Arial"/>
                <w:color w:val="000000"/>
              </w:rPr>
              <w:t>99</w:t>
            </w:r>
          </w:p>
        </w:tc>
        <w:tc>
          <w:tcPr>
            <w:tcW w:w="1848" w:type="dxa"/>
          </w:tcPr>
          <w:p w14:paraId="02740896" w14:textId="566A9A45" w:rsidR="00551AB2" w:rsidRPr="00B43ABA" w:rsidRDefault="00B43ABA" w:rsidP="006D2915">
            <w:pPr>
              <w:tabs>
                <w:tab w:val="left" w:pos="800"/>
                <w:tab w:val="left" w:pos="980"/>
              </w:tabs>
              <w:spacing w:line="276" w:lineRule="auto"/>
              <w:ind w:left="530" w:hanging="540"/>
              <w:jc w:val="right"/>
              <w:rPr>
                <w:rFonts w:eastAsia="Aptos" w:cs="Arial"/>
                <w:color w:val="000000" w:themeColor="text1"/>
              </w:rPr>
            </w:pPr>
            <w:r>
              <w:rPr>
                <w:rFonts w:eastAsia="Aptos" w:cs="Arial"/>
                <w:iCs/>
                <w:color w:val="000000" w:themeColor="text1"/>
              </w:rPr>
              <w:t>1</w:t>
            </w:r>
          </w:p>
        </w:tc>
      </w:tr>
      <w:tr w:rsidR="00551AB2" w:rsidRPr="00551AB2" w14:paraId="0222311E" w14:textId="77777777" w:rsidTr="0053700A">
        <w:trPr>
          <w:gridAfter w:val="1"/>
          <w:wAfter w:w="7" w:type="dxa"/>
          <w:trHeight w:val="300"/>
        </w:trPr>
        <w:tc>
          <w:tcPr>
            <w:tcW w:w="7560" w:type="dxa"/>
          </w:tcPr>
          <w:p w14:paraId="3DBDE760"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iCs/>
                <w:color w:val="000000"/>
              </w:rPr>
              <w:lastRenderedPageBreak/>
              <w:t>Jurisdictional Immunities of the State (Germany v Italy</w:t>
            </w:r>
            <w:r w:rsidRPr="00551AB2">
              <w:rPr>
                <w:rFonts w:eastAsia="Aptos" w:cs="Arial"/>
                <w:color w:val="000000"/>
              </w:rPr>
              <w:t>), Application to Intervene, Order of 4 July 2011 [2011], ICJ Rep 494</w:t>
            </w:r>
          </w:p>
        </w:tc>
        <w:tc>
          <w:tcPr>
            <w:tcW w:w="1848" w:type="dxa"/>
          </w:tcPr>
          <w:p w14:paraId="39621090" w14:textId="0D36F6A2" w:rsidR="00551AB2" w:rsidRPr="006D2915" w:rsidRDefault="005B44A9"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29</w:t>
            </w:r>
          </w:p>
        </w:tc>
      </w:tr>
      <w:tr w:rsidR="00551AB2" w:rsidRPr="00551AB2" w14:paraId="71AD7E15" w14:textId="77777777" w:rsidTr="0053700A">
        <w:trPr>
          <w:gridAfter w:val="1"/>
          <w:wAfter w:w="7" w:type="dxa"/>
          <w:trHeight w:val="300"/>
        </w:trPr>
        <w:tc>
          <w:tcPr>
            <w:tcW w:w="7560" w:type="dxa"/>
          </w:tcPr>
          <w:p w14:paraId="74C30657"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rPr>
              <w:t>Lake Lanoux Arbitration (France v Spain)</w:t>
            </w:r>
            <w:r w:rsidRPr="00551AB2">
              <w:rPr>
                <w:rFonts w:eastAsia="Aptos" w:cs="Times New Roman"/>
              </w:rPr>
              <w:t xml:space="preserve"> (1957), 12 RIAA 281</w:t>
            </w:r>
          </w:p>
        </w:tc>
        <w:tc>
          <w:tcPr>
            <w:tcW w:w="1848" w:type="dxa"/>
          </w:tcPr>
          <w:p w14:paraId="78D72B85" w14:textId="59850B33" w:rsidR="00551AB2" w:rsidRPr="006D2915" w:rsidRDefault="00094698"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6</w:t>
            </w:r>
          </w:p>
        </w:tc>
      </w:tr>
      <w:tr w:rsidR="00551AB2" w:rsidRPr="00551AB2" w14:paraId="4CA0A730" w14:textId="77777777" w:rsidTr="0053700A">
        <w:trPr>
          <w:gridAfter w:val="1"/>
          <w:wAfter w:w="7" w:type="dxa"/>
          <w:trHeight w:val="300"/>
        </w:trPr>
        <w:tc>
          <w:tcPr>
            <w:tcW w:w="7560" w:type="dxa"/>
          </w:tcPr>
          <w:p w14:paraId="27CAD3B5"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Times New Roman"/>
                <w:i/>
                <w:iCs/>
              </w:rPr>
              <w:t xml:space="preserve">Land, Island and Maritime Frontier Dispute (El Salvador v Honduras), </w:t>
            </w:r>
            <w:r w:rsidRPr="00551AB2">
              <w:rPr>
                <w:rFonts w:eastAsia="Aptos" w:cs="Times New Roman"/>
              </w:rPr>
              <w:t>Application to Intervene, [1990] ICJ Rep 92</w:t>
            </w:r>
          </w:p>
        </w:tc>
        <w:tc>
          <w:tcPr>
            <w:tcW w:w="1848" w:type="dxa"/>
          </w:tcPr>
          <w:p w14:paraId="2B2885C5" w14:textId="3F6AF7BB" w:rsidR="00551AB2" w:rsidRPr="006D2915" w:rsidRDefault="00F737C3" w:rsidP="00551AB2">
            <w:pPr>
              <w:widowControl w:val="0"/>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1,4</w:t>
            </w:r>
          </w:p>
        </w:tc>
      </w:tr>
      <w:tr w:rsidR="00551AB2" w:rsidRPr="00551AB2" w14:paraId="0F2F64B2" w14:textId="77777777" w:rsidTr="0053700A">
        <w:trPr>
          <w:gridAfter w:val="1"/>
          <w:wAfter w:w="7" w:type="dxa"/>
          <w:trHeight w:val="300"/>
        </w:trPr>
        <w:tc>
          <w:tcPr>
            <w:tcW w:w="7560" w:type="dxa"/>
          </w:tcPr>
          <w:p w14:paraId="4A3AC75C"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iCs/>
              </w:rPr>
              <w:t>Legality of the Threat or Use of Nuclear Weapons Case, Advisory opinion</w:t>
            </w:r>
            <w:r w:rsidRPr="00551AB2">
              <w:rPr>
                <w:rFonts w:eastAsia="Aptos" w:cs="Arial"/>
              </w:rPr>
              <w:t>, [1996] ICJ Rep 226</w:t>
            </w:r>
          </w:p>
        </w:tc>
        <w:tc>
          <w:tcPr>
            <w:tcW w:w="1848" w:type="dxa"/>
          </w:tcPr>
          <w:p w14:paraId="4BFEF5FA" w14:textId="501C27E3" w:rsidR="00551AB2" w:rsidRPr="006D2915" w:rsidRDefault="00471440"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9</w:t>
            </w:r>
          </w:p>
        </w:tc>
      </w:tr>
      <w:tr w:rsidR="00551AB2" w:rsidRPr="00551AB2" w14:paraId="19E86F68" w14:textId="77777777" w:rsidTr="0053700A">
        <w:trPr>
          <w:gridAfter w:val="1"/>
          <w:wAfter w:w="7" w:type="dxa"/>
          <w:trHeight w:val="300"/>
        </w:trPr>
        <w:tc>
          <w:tcPr>
            <w:tcW w:w="7560" w:type="dxa"/>
          </w:tcPr>
          <w:p w14:paraId="2836B138"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i/>
              </w:rPr>
              <w:t xml:space="preserve">LG and Others v Rina </w:t>
            </w:r>
            <w:proofErr w:type="spellStart"/>
            <w:r w:rsidRPr="00551AB2">
              <w:rPr>
                <w:rFonts w:eastAsia="Aptos" w:cs="Arial"/>
                <w:i/>
              </w:rPr>
              <w:t>SpA</w:t>
            </w:r>
            <w:proofErr w:type="spellEnd"/>
            <w:r w:rsidRPr="00551AB2">
              <w:rPr>
                <w:rFonts w:eastAsia="Aptos" w:cs="Arial"/>
                <w:i/>
              </w:rPr>
              <w:t xml:space="preserve"> and Ente Registro Italiano Navale</w:t>
            </w:r>
            <w:r w:rsidRPr="00551AB2">
              <w:rPr>
                <w:rFonts w:eastAsia="Aptos" w:cs="Arial"/>
              </w:rPr>
              <w:t>, 2020, C-641/18 (CJEU)</w:t>
            </w:r>
          </w:p>
        </w:tc>
        <w:tc>
          <w:tcPr>
            <w:tcW w:w="1848" w:type="dxa"/>
          </w:tcPr>
          <w:p w14:paraId="55397FCB" w14:textId="07A28FF3" w:rsidR="00551AB2" w:rsidRPr="006D2915" w:rsidRDefault="003D2E6A"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27</w:t>
            </w:r>
          </w:p>
        </w:tc>
      </w:tr>
      <w:tr w:rsidR="00551AB2" w:rsidRPr="00551AB2" w14:paraId="512EF8FB" w14:textId="77777777" w:rsidTr="0053700A">
        <w:trPr>
          <w:gridAfter w:val="1"/>
          <w:wAfter w:w="7" w:type="dxa"/>
          <w:trHeight w:val="300"/>
        </w:trPr>
        <w:tc>
          <w:tcPr>
            <w:tcW w:w="7560" w:type="dxa"/>
          </w:tcPr>
          <w:p w14:paraId="0506A866"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rPr>
              <w:t>North Sea Continental Shelf</w:t>
            </w:r>
            <w:r w:rsidRPr="00551AB2">
              <w:rPr>
                <w:rFonts w:eastAsia="Aptos" w:cs="Times New Roman"/>
              </w:rPr>
              <w:t>, [1969] ICJ Rep 3</w:t>
            </w:r>
          </w:p>
        </w:tc>
        <w:tc>
          <w:tcPr>
            <w:tcW w:w="1848" w:type="dxa"/>
          </w:tcPr>
          <w:p w14:paraId="6B770CB2" w14:textId="73FBFB87" w:rsidR="00551AB2" w:rsidRPr="006D2915" w:rsidRDefault="000B07C4"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8</w:t>
            </w:r>
            <w:r w:rsidR="00B13503">
              <w:rPr>
                <w:rFonts w:eastAsia="Times New Roman" w:cs="Times New Roman"/>
                <w:color w:val="000000" w:themeColor="text1"/>
                <w:kern w:val="0"/>
                <w:lang w:val="en-US" w:eastAsia="ja-JP"/>
                <w14:ligatures w14:val="none"/>
              </w:rPr>
              <w:t>, 29</w:t>
            </w:r>
          </w:p>
        </w:tc>
      </w:tr>
      <w:tr w:rsidR="00551AB2" w:rsidRPr="00551AB2" w14:paraId="1513D6D8" w14:textId="77777777" w:rsidTr="0053700A">
        <w:trPr>
          <w:gridAfter w:val="1"/>
          <w:wAfter w:w="7" w:type="dxa"/>
          <w:trHeight w:val="300"/>
        </w:trPr>
        <w:tc>
          <w:tcPr>
            <w:tcW w:w="7560" w:type="dxa"/>
          </w:tcPr>
          <w:p w14:paraId="121299D1"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rPr>
              <w:t xml:space="preserve">Pulp Mills on the River Uruguay (Argentina v Uruguay), </w:t>
            </w:r>
            <w:r w:rsidRPr="00551AB2">
              <w:rPr>
                <w:rFonts w:eastAsia="Aptos" w:cs="Times New Roman"/>
              </w:rPr>
              <w:t>[2010] ICJ Rep 14</w:t>
            </w:r>
          </w:p>
        </w:tc>
        <w:tc>
          <w:tcPr>
            <w:tcW w:w="1848" w:type="dxa"/>
          </w:tcPr>
          <w:p w14:paraId="6EA3983A" w14:textId="49C8409F" w:rsidR="00551AB2" w:rsidRPr="006D2915" w:rsidRDefault="007276A6"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6</w:t>
            </w:r>
          </w:p>
        </w:tc>
      </w:tr>
      <w:tr w:rsidR="00551AB2" w:rsidRPr="00551AB2" w14:paraId="1D72D1FB" w14:textId="77777777" w:rsidTr="0053700A">
        <w:trPr>
          <w:gridAfter w:val="1"/>
          <w:wAfter w:w="7" w:type="dxa"/>
          <w:trHeight w:val="300"/>
        </w:trPr>
        <w:tc>
          <w:tcPr>
            <w:tcW w:w="7560" w:type="dxa"/>
          </w:tcPr>
          <w:p w14:paraId="3525D3FE"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rPr>
              <w:t xml:space="preserve">Question of the Delimitation of the Continental Shelf between Nicaragua and Colombia beyond 200 Nautical Miles from the Nicaraguan Coast (Nicaragua v Colombia), </w:t>
            </w:r>
            <w:r w:rsidRPr="00551AB2">
              <w:rPr>
                <w:rFonts w:eastAsia="Aptos" w:cs="Times New Roman"/>
              </w:rPr>
              <w:t>[2016] ICJ</w:t>
            </w:r>
            <w:r w:rsidRPr="00551AB2">
              <w:rPr>
                <w:rFonts w:eastAsia="Aptos" w:cs="Times New Roman"/>
                <w:i/>
                <w:iCs/>
              </w:rPr>
              <w:t xml:space="preserve"> </w:t>
            </w:r>
            <w:r w:rsidRPr="00551AB2">
              <w:rPr>
                <w:rFonts w:eastAsia="Aptos" w:cs="Times New Roman"/>
              </w:rPr>
              <w:t>Rep 100</w:t>
            </w:r>
          </w:p>
        </w:tc>
        <w:tc>
          <w:tcPr>
            <w:tcW w:w="1848" w:type="dxa"/>
          </w:tcPr>
          <w:p w14:paraId="0742819B" w14:textId="3879D1F1" w:rsidR="00551AB2" w:rsidRPr="006D2915" w:rsidRDefault="00DB305E"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5</w:t>
            </w:r>
          </w:p>
        </w:tc>
      </w:tr>
      <w:tr w:rsidR="00551AB2" w:rsidRPr="00551AB2" w14:paraId="64214CFD" w14:textId="77777777" w:rsidTr="0053700A">
        <w:trPr>
          <w:gridAfter w:val="1"/>
          <w:wAfter w:w="7" w:type="dxa"/>
          <w:trHeight w:val="300"/>
        </w:trPr>
        <w:tc>
          <w:tcPr>
            <w:tcW w:w="7560" w:type="dxa"/>
          </w:tcPr>
          <w:p w14:paraId="58EE4646"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Arial"/>
                <w:i/>
              </w:rPr>
              <w:t>S.S. “Lotus” (France v Turkey)</w:t>
            </w:r>
            <w:r w:rsidRPr="00551AB2">
              <w:rPr>
                <w:rFonts w:eastAsia="Aptos" w:cs="Arial"/>
              </w:rPr>
              <w:t>, PCIJ Series A No 10 (1927)</w:t>
            </w:r>
          </w:p>
        </w:tc>
        <w:tc>
          <w:tcPr>
            <w:tcW w:w="1848" w:type="dxa"/>
          </w:tcPr>
          <w:p w14:paraId="480ADF32" w14:textId="027AE1A6" w:rsidR="00551AB2" w:rsidRPr="006D2915" w:rsidRDefault="00DC389B"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20</w:t>
            </w:r>
            <w:r w:rsidR="007E3BE7">
              <w:rPr>
                <w:rFonts w:eastAsia="Times New Roman" w:cs="Times New Roman"/>
                <w:color w:val="000000" w:themeColor="text1"/>
                <w:kern w:val="0"/>
                <w:lang w:val="en-US" w:eastAsia="ja-JP"/>
                <w14:ligatures w14:val="none"/>
              </w:rPr>
              <w:t>, 26</w:t>
            </w:r>
          </w:p>
        </w:tc>
      </w:tr>
      <w:tr w:rsidR="00551AB2" w:rsidRPr="00551AB2" w14:paraId="7F0134B3" w14:textId="77777777" w:rsidTr="0053700A">
        <w:trPr>
          <w:gridAfter w:val="1"/>
          <w:wAfter w:w="7" w:type="dxa"/>
          <w:trHeight w:val="300"/>
        </w:trPr>
        <w:tc>
          <w:tcPr>
            <w:tcW w:w="7560" w:type="dxa"/>
          </w:tcPr>
          <w:p w14:paraId="6C937F37"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proofErr w:type="gramStart"/>
            <w:r w:rsidRPr="00551AB2">
              <w:rPr>
                <w:rFonts w:eastAsia="Aptos" w:cs="Arial"/>
                <w:i/>
              </w:rPr>
              <w:t>South West</w:t>
            </w:r>
            <w:proofErr w:type="gramEnd"/>
            <w:r w:rsidRPr="00551AB2">
              <w:rPr>
                <w:rFonts w:eastAsia="Aptos" w:cs="Arial"/>
                <w:i/>
              </w:rPr>
              <w:t xml:space="preserve"> Africa (Ethiopia v South Africa; Liberia v South Africa)</w:t>
            </w:r>
            <w:r w:rsidRPr="00551AB2">
              <w:rPr>
                <w:rFonts w:eastAsia="Aptos" w:cs="Arial"/>
              </w:rPr>
              <w:t xml:space="preserve"> [1962] ICJ Rep 6</w:t>
            </w:r>
          </w:p>
        </w:tc>
        <w:tc>
          <w:tcPr>
            <w:tcW w:w="1848" w:type="dxa"/>
          </w:tcPr>
          <w:p w14:paraId="7184641A" w14:textId="14D99DB8" w:rsidR="00551AB2" w:rsidRPr="006D2915" w:rsidRDefault="00285563"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19</w:t>
            </w:r>
          </w:p>
        </w:tc>
      </w:tr>
      <w:tr w:rsidR="00551AB2" w:rsidRPr="00551AB2" w14:paraId="26ABA84C" w14:textId="77777777" w:rsidTr="0053700A">
        <w:trPr>
          <w:gridAfter w:val="1"/>
          <w:wAfter w:w="7" w:type="dxa"/>
          <w:trHeight w:val="300"/>
        </w:trPr>
        <w:tc>
          <w:tcPr>
            <w:tcW w:w="7560" w:type="dxa"/>
          </w:tcPr>
          <w:p w14:paraId="6C4FAF96"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rPr>
              <w:t>Sovereignty over Pulau Ligitan and Pulau Sipadan (Indonesia v Malaysia)</w:t>
            </w:r>
            <w:r w:rsidRPr="00551AB2">
              <w:rPr>
                <w:rFonts w:eastAsia="Aptos" w:cs="Times New Roman"/>
                <w:lang w:val="en-US"/>
              </w:rPr>
              <w:t xml:space="preserve">, </w:t>
            </w:r>
            <w:r w:rsidRPr="00551AB2">
              <w:rPr>
                <w:rFonts w:eastAsia="Aptos" w:cs="Arial"/>
                <w:color w:val="000000"/>
              </w:rPr>
              <w:t xml:space="preserve">Declaration of Judge </w:t>
            </w:r>
            <w:proofErr w:type="spellStart"/>
            <w:r w:rsidRPr="00551AB2">
              <w:rPr>
                <w:rFonts w:eastAsia="Aptos" w:cs="Arial"/>
                <w:color w:val="000000"/>
              </w:rPr>
              <w:t>Kooijmans</w:t>
            </w:r>
            <w:proofErr w:type="spellEnd"/>
            <w:r w:rsidRPr="00551AB2">
              <w:rPr>
                <w:rFonts w:eastAsia="Aptos" w:cs="Arial"/>
                <w:color w:val="000000"/>
              </w:rPr>
              <w:t>,</w:t>
            </w:r>
            <w:r w:rsidRPr="00551AB2">
              <w:rPr>
                <w:rFonts w:eastAsia="Aptos" w:cs="Times New Roman"/>
                <w:lang w:val="en-US"/>
              </w:rPr>
              <w:t xml:space="preserve"> [2001] ICJ Rep 625</w:t>
            </w:r>
          </w:p>
        </w:tc>
        <w:tc>
          <w:tcPr>
            <w:tcW w:w="1848" w:type="dxa"/>
          </w:tcPr>
          <w:p w14:paraId="480FF15F" w14:textId="27076E6F" w:rsidR="00551AB2" w:rsidRPr="006D2915" w:rsidRDefault="00B01310"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w:t>
            </w:r>
          </w:p>
        </w:tc>
      </w:tr>
      <w:tr w:rsidR="00551AB2" w:rsidRPr="00551AB2" w14:paraId="640069BD" w14:textId="77777777" w:rsidTr="0053700A">
        <w:trPr>
          <w:gridAfter w:val="1"/>
          <w:wAfter w:w="7" w:type="dxa"/>
          <w:trHeight w:val="300"/>
        </w:trPr>
        <w:tc>
          <w:tcPr>
            <w:tcW w:w="7560" w:type="dxa"/>
          </w:tcPr>
          <w:p w14:paraId="22643CD5"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rPr>
              <w:t>Sovereignty over Pulau Ligitan and Pulau Sipadan (Indonesia v Malaysia)</w:t>
            </w:r>
            <w:r w:rsidRPr="00551AB2">
              <w:rPr>
                <w:rFonts w:eastAsia="Aptos" w:cs="Times New Roman"/>
              </w:rPr>
              <w:t>,</w:t>
            </w:r>
            <w:r w:rsidRPr="00551AB2">
              <w:rPr>
                <w:rFonts w:eastAsia="Aptos" w:cs="Times New Roman"/>
                <w:i/>
                <w:iCs/>
              </w:rPr>
              <w:t xml:space="preserve"> </w:t>
            </w:r>
            <w:r w:rsidRPr="00551AB2">
              <w:rPr>
                <w:rFonts w:eastAsia="Aptos" w:cs="Times New Roman"/>
                <w:lang w:val="en-US"/>
              </w:rPr>
              <w:t>Application to Intervene [2001] ICJ Rep 575</w:t>
            </w:r>
          </w:p>
        </w:tc>
        <w:tc>
          <w:tcPr>
            <w:tcW w:w="1848" w:type="dxa"/>
          </w:tcPr>
          <w:p w14:paraId="7A7E8D52" w14:textId="632469D8" w:rsidR="00551AB2" w:rsidRPr="006D2915" w:rsidRDefault="00B01310"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w:t>
            </w:r>
          </w:p>
        </w:tc>
      </w:tr>
      <w:tr w:rsidR="00551AB2" w:rsidRPr="00551AB2" w14:paraId="386AA63B" w14:textId="77777777" w:rsidTr="0053700A">
        <w:trPr>
          <w:gridAfter w:val="1"/>
          <w:wAfter w:w="7" w:type="dxa"/>
          <w:trHeight w:val="300"/>
        </w:trPr>
        <w:tc>
          <w:tcPr>
            <w:tcW w:w="7560" w:type="dxa"/>
          </w:tcPr>
          <w:p w14:paraId="7EE56786"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bCs/>
                <w:color w:val="FF0000"/>
                <w:kern w:val="0"/>
                <w:lang w:val="en-US" w:eastAsia="ja-JP"/>
                <w14:ligatures w14:val="none"/>
              </w:rPr>
            </w:pPr>
            <w:r w:rsidRPr="00551AB2">
              <w:rPr>
                <w:rFonts w:eastAsia="Aptos" w:cs="Times New Roman"/>
                <w:i/>
                <w:iCs/>
                <w:kern w:val="0"/>
                <w:lang w:val="en-US"/>
              </w:rPr>
              <w:t>Territorial and Maritime Dispute (Nicaragua v Colombia)</w:t>
            </w:r>
            <w:r w:rsidRPr="00551AB2">
              <w:rPr>
                <w:rFonts w:eastAsia="Aptos" w:cs="Times New Roman"/>
                <w:kern w:val="0"/>
                <w:lang w:val="en-US"/>
              </w:rPr>
              <w:t>, Application to Intervene, [2011] ICJ Rep 420</w:t>
            </w:r>
          </w:p>
        </w:tc>
        <w:tc>
          <w:tcPr>
            <w:tcW w:w="1848" w:type="dxa"/>
          </w:tcPr>
          <w:p w14:paraId="41C18726" w14:textId="320A66B8" w:rsidR="00551AB2" w:rsidRPr="006D2915" w:rsidRDefault="00DF7D35"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w:t>
            </w:r>
          </w:p>
        </w:tc>
      </w:tr>
      <w:tr w:rsidR="00551AB2" w:rsidRPr="00551AB2" w14:paraId="49F33F13" w14:textId="77777777" w:rsidTr="0053700A">
        <w:trPr>
          <w:gridAfter w:val="1"/>
          <w:wAfter w:w="7" w:type="dxa"/>
          <w:trHeight w:val="300"/>
        </w:trPr>
        <w:tc>
          <w:tcPr>
            <w:tcW w:w="7560" w:type="dxa"/>
          </w:tcPr>
          <w:p w14:paraId="6E77EEB6" w14:textId="77777777" w:rsidR="00551AB2" w:rsidRPr="00551AB2" w:rsidRDefault="00551AB2" w:rsidP="00551AB2">
            <w:pPr>
              <w:tabs>
                <w:tab w:val="left" w:pos="800"/>
                <w:tab w:val="left" w:pos="980"/>
              </w:tabs>
              <w:spacing w:line="276" w:lineRule="auto"/>
              <w:ind w:left="530" w:hanging="540"/>
              <w:jc w:val="both"/>
              <w:rPr>
                <w:rFonts w:eastAsia="Aptos" w:cs="Arial"/>
                <w:iCs/>
              </w:rPr>
            </w:pPr>
            <w:r w:rsidRPr="00551AB2">
              <w:rPr>
                <w:rFonts w:eastAsia="Aptos" w:cs="Arial"/>
                <w:i/>
                <w:iCs/>
              </w:rPr>
              <w:t xml:space="preserve">White Industries Australia Limited v. The Republic of India, </w:t>
            </w:r>
            <w:r w:rsidRPr="00551AB2">
              <w:rPr>
                <w:rFonts w:eastAsia="Aptos" w:cs="Arial"/>
              </w:rPr>
              <w:t>UNCITRAL Arbitration</w:t>
            </w:r>
          </w:p>
        </w:tc>
        <w:tc>
          <w:tcPr>
            <w:tcW w:w="1848" w:type="dxa"/>
          </w:tcPr>
          <w:p w14:paraId="0A0DAEB0" w14:textId="74EDAFBE" w:rsidR="00551AB2" w:rsidRPr="006D2915" w:rsidRDefault="007E3BE7"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25</w:t>
            </w:r>
          </w:p>
        </w:tc>
      </w:tr>
      <w:tr w:rsidR="0040050D" w:rsidRPr="00551AB2" w14:paraId="11BAC7B7" w14:textId="77777777" w:rsidTr="0053700A">
        <w:trPr>
          <w:gridAfter w:val="1"/>
          <w:wAfter w:w="7" w:type="dxa"/>
          <w:trHeight w:val="300"/>
        </w:trPr>
        <w:tc>
          <w:tcPr>
            <w:tcW w:w="7560" w:type="dxa"/>
          </w:tcPr>
          <w:p w14:paraId="7D2EC582" w14:textId="77777777" w:rsidR="0040050D" w:rsidRPr="00551AB2" w:rsidRDefault="0040050D" w:rsidP="00551AB2">
            <w:pPr>
              <w:tabs>
                <w:tab w:val="left" w:pos="800"/>
                <w:tab w:val="left" w:pos="980"/>
              </w:tabs>
              <w:spacing w:line="276" w:lineRule="auto"/>
              <w:ind w:left="530" w:hanging="540"/>
              <w:jc w:val="both"/>
              <w:rPr>
                <w:rFonts w:eastAsia="Aptos" w:cs="Arial"/>
                <w:i/>
                <w:iCs/>
              </w:rPr>
            </w:pPr>
          </w:p>
        </w:tc>
        <w:tc>
          <w:tcPr>
            <w:tcW w:w="1848" w:type="dxa"/>
          </w:tcPr>
          <w:p w14:paraId="065BFB0D" w14:textId="77777777" w:rsidR="0040050D" w:rsidRPr="006D2915" w:rsidRDefault="0040050D" w:rsidP="006D2915">
            <w:pPr>
              <w:tabs>
                <w:tab w:val="left" w:pos="800"/>
                <w:tab w:val="left" w:pos="980"/>
              </w:tabs>
              <w:spacing w:line="276" w:lineRule="auto"/>
              <w:ind w:left="530" w:hanging="540"/>
              <w:jc w:val="right"/>
              <w:rPr>
                <w:rFonts w:eastAsia="Aptos" w:cs="Arial"/>
                <w:color w:val="000000" w:themeColor="text1"/>
              </w:rPr>
            </w:pPr>
          </w:p>
        </w:tc>
      </w:tr>
      <w:tr w:rsidR="00551AB2" w:rsidRPr="00551AB2" w14:paraId="692D5E30" w14:textId="77777777" w:rsidTr="0053700A">
        <w:trPr>
          <w:trHeight w:val="300"/>
        </w:trPr>
        <w:tc>
          <w:tcPr>
            <w:tcW w:w="9415" w:type="dxa"/>
            <w:gridSpan w:val="3"/>
          </w:tcPr>
          <w:p w14:paraId="13C78B08" w14:textId="77777777" w:rsidR="00551AB2" w:rsidRPr="006D2915" w:rsidRDefault="00551AB2" w:rsidP="00551AB2">
            <w:pPr>
              <w:widowControl w:val="0"/>
              <w:tabs>
                <w:tab w:val="left" w:pos="800"/>
                <w:tab w:val="left" w:pos="980"/>
              </w:tabs>
              <w:spacing w:line="276" w:lineRule="auto"/>
              <w:jc w:val="both"/>
              <w:rPr>
                <w:rFonts w:eastAsia="Times New Roman" w:cs="Times New Roman"/>
                <w:b/>
                <w:color w:val="000000" w:themeColor="text1"/>
                <w:kern w:val="0"/>
                <w:lang w:val="en-US" w:eastAsia="ja-JP"/>
                <w14:ligatures w14:val="none"/>
              </w:rPr>
            </w:pPr>
            <w:r w:rsidRPr="006D2915">
              <w:rPr>
                <w:rFonts w:eastAsia="Merriweather" w:cs="Times New Roman"/>
                <w:b/>
                <w:color w:val="000000" w:themeColor="text1"/>
                <w:kern w:val="0"/>
                <w:lang w:val="en-US" w:eastAsia="ja-JP"/>
                <w14:ligatures w14:val="none"/>
              </w:rPr>
              <w:t>Human Rights Tribunals</w:t>
            </w:r>
          </w:p>
        </w:tc>
      </w:tr>
      <w:tr w:rsidR="00551AB2" w:rsidRPr="00551AB2" w14:paraId="466CB30C" w14:textId="77777777" w:rsidTr="0053700A">
        <w:trPr>
          <w:gridAfter w:val="1"/>
          <w:wAfter w:w="7" w:type="dxa"/>
          <w:trHeight w:val="300"/>
        </w:trPr>
        <w:tc>
          <w:tcPr>
            <w:tcW w:w="7560" w:type="dxa"/>
          </w:tcPr>
          <w:p w14:paraId="0C833EB1"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A.P. v. Italy</w:t>
            </w:r>
            <w:r w:rsidRPr="00551AB2">
              <w:rPr>
                <w:rFonts w:eastAsia="Aptos" w:cs="Arial"/>
              </w:rPr>
              <w:t>, Human Rights Committee Decision CCPR/C/31/D/204/1986</w:t>
            </w:r>
          </w:p>
        </w:tc>
        <w:tc>
          <w:tcPr>
            <w:tcW w:w="1848" w:type="dxa"/>
          </w:tcPr>
          <w:p w14:paraId="2208CB51" w14:textId="09214614" w:rsidR="00551AB2" w:rsidRPr="006D2915" w:rsidRDefault="0078045E"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20</w:t>
            </w:r>
          </w:p>
        </w:tc>
      </w:tr>
      <w:tr w:rsidR="00551AB2" w:rsidRPr="00551AB2" w14:paraId="6FC37FFC" w14:textId="77777777" w:rsidTr="0053700A">
        <w:trPr>
          <w:gridAfter w:val="1"/>
          <w:wAfter w:w="7" w:type="dxa"/>
          <w:trHeight w:val="300"/>
        </w:trPr>
        <w:tc>
          <w:tcPr>
            <w:tcW w:w="7560" w:type="dxa"/>
          </w:tcPr>
          <w:p w14:paraId="531DBE48"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 xml:space="preserve">Case of the Saramaka People (Suriname) </w:t>
            </w:r>
            <w:r w:rsidRPr="00551AB2">
              <w:rPr>
                <w:rFonts w:eastAsia="Aptos" w:cs="Arial"/>
              </w:rPr>
              <w:t>(2007) IACtHR (Ser C) No 172</w:t>
            </w:r>
          </w:p>
        </w:tc>
        <w:tc>
          <w:tcPr>
            <w:tcW w:w="1848" w:type="dxa"/>
          </w:tcPr>
          <w:p w14:paraId="3719B1B7" w14:textId="21D20AA5" w:rsidR="00551AB2" w:rsidRPr="006D2915" w:rsidRDefault="00B820EA"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12</w:t>
            </w:r>
          </w:p>
        </w:tc>
      </w:tr>
      <w:tr w:rsidR="00551AB2" w:rsidRPr="00551AB2" w14:paraId="41C457E3" w14:textId="77777777" w:rsidTr="0053700A">
        <w:trPr>
          <w:gridAfter w:val="1"/>
          <w:wAfter w:w="7" w:type="dxa"/>
          <w:trHeight w:val="300"/>
        </w:trPr>
        <w:tc>
          <w:tcPr>
            <w:tcW w:w="7560" w:type="dxa"/>
          </w:tcPr>
          <w:p w14:paraId="3A11E3D4"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 xml:space="preserve">Case of the Saramaka People (Suriname) </w:t>
            </w:r>
            <w:r w:rsidRPr="00551AB2">
              <w:rPr>
                <w:rFonts w:eastAsia="Aptos" w:cs="Arial"/>
              </w:rPr>
              <w:t>(2008) Interpretation of Judgment, IACtHR (Ser C) No 185</w:t>
            </w:r>
          </w:p>
        </w:tc>
        <w:tc>
          <w:tcPr>
            <w:tcW w:w="1848" w:type="dxa"/>
          </w:tcPr>
          <w:p w14:paraId="5B5E0A77" w14:textId="49851A55" w:rsidR="00551AB2" w:rsidRPr="006D2915" w:rsidRDefault="008B18CC"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11</w:t>
            </w:r>
          </w:p>
        </w:tc>
      </w:tr>
      <w:tr w:rsidR="00551AB2" w:rsidRPr="00551AB2" w14:paraId="544F6367" w14:textId="77777777" w:rsidTr="0053700A">
        <w:trPr>
          <w:gridAfter w:val="1"/>
          <w:wAfter w:w="7" w:type="dxa"/>
          <w:trHeight w:val="300"/>
        </w:trPr>
        <w:tc>
          <w:tcPr>
            <w:tcW w:w="7560" w:type="dxa"/>
          </w:tcPr>
          <w:p w14:paraId="246C8572"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proofErr w:type="spellStart"/>
            <w:r w:rsidRPr="00551AB2">
              <w:rPr>
                <w:rFonts w:eastAsia="Aptos" w:cs="Arial"/>
                <w:i/>
                <w:iCs/>
                <w:color w:val="000000"/>
              </w:rPr>
              <w:t>Länsman</w:t>
            </w:r>
            <w:proofErr w:type="spellEnd"/>
            <w:r w:rsidRPr="00551AB2">
              <w:rPr>
                <w:rFonts w:eastAsia="Aptos" w:cs="Arial"/>
                <w:i/>
                <w:iCs/>
                <w:color w:val="000000"/>
              </w:rPr>
              <w:t xml:space="preserve"> et al. v Finland</w:t>
            </w:r>
            <w:r w:rsidRPr="00551AB2">
              <w:rPr>
                <w:rFonts w:eastAsia="Aptos" w:cs="Arial"/>
                <w:color w:val="000000"/>
              </w:rPr>
              <w:t>, HRC, 1994, UN Doc CCPR/C/52/D/511/1992 HRC Dec</w:t>
            </w:r>
          </w:p>
        </w:tc>
        <w:tc>
          <w:tcPr>
            <w:tcW w:w="1848" w:type="dxa"/>
          </w:tcPr>
          <w:p w14:paraId="7248220E" w14:textId="742FEE37" w:rsidR="00551AB2" w:rsidRPr="006D2915" w:rsidRDefault="008B18CC"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8</w:t>
            </w:r>
          </w:p>
        </w:tc>
      </w:tr>
      <w:tr w:rsidR="00551AB2" w:rsidRPr="00551AB2" w14:paraId="3EDE4AF3" w14:textId="77777777" w:rsidTr="0053700A">
        <w:trPr>
          <w:gridAfter w:val="1"/>
          <w:wAfter w:w="7" w:type="dxa"/>
          <w:trHeight w:val="300"/>
        </w:trPr>
        <w:tc>
          <w:tcPr>
            <w:tcW w:w="7560" w:type="dxa"/>
          </w:tcPr>
          <w:p w14:paraId="04A54B0D"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Mohamed v Argentina,</w:t>
            </w:r>
            <w:r w:rsidRPr="00551AB2">
              <w:rPr>
                <w:rFonts w:eastAsia="Aptos" w:cs="Arial"/>
              </w:rPr>
              <w:t xml:space="preserve"> Judgment, 23 November 2012, (IACtHR)</w:t>
            </w:r>
          </w:p>
        </w:tc>
        <w:tc>
          <w:tcPr>
            <w:tcW w:w="1848" w:type="dxa"/>
          </w:tcPr>
          <w:p w14:paraId="543CE306" w14:textId="7F65601E" w:rsidR="00551AB2" w:rsidRPr="006D2915" w:rsidRDefault="00EB630F"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565F9F">
              <w:rPr>
                <w:rFonts w:eastAsia="Times New Roman" w:cs="Times New Roman"/>
                <w:color w:val="000000" w:themeColor="text1"/>
                <w:kern w:val="0"/>
                <w:lang w:val="en-US" w:eastAsia="ja-JP"/>
                <w14:ligatures w14:val="none"/>
              </w:rPr>
              <w:t>8</w:t>
            </w:r>
          </w:p>
        </w:tc>
      </w:tr>
      <w:tr w:rsidR="00551AB2" w:rsidRPr="00551AB2" w14:paraId="2DEA8CB6" w14:textId="77777777" w:rsidTr="0053700A">
        <w:trPr>
          <w:gridAfter w:val="1"/>
          <w:wAfter w:w="7" w:type="dxa"/>
          <w:trHeight w:val="300"/>
        </w:trPr>
        <w:tc>
          <w:tcPr>
            <w:tcW w:w="7560" w:type="dxa"/>
          </w:tcPr>
          <w:p w14:paraId="70EE2A16"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Prosecutor v. Duško Tadić</w:t>
            </w:r>
            <w:r w:rsidRPr="00551AB2">
              <w:rPr>
                <w:rFonts w:eastAsia="Aptos" w:cs="Arial"/>
              </w:rPr>
              <w:t>, Case No. IT-94-1-A, Judgement, 15 July 1999, Appeals Chamber, (ICTY)</w:t>
            </w:r>
          </w:p>
        </w:tc>
        <w:tc>
          <w:tcPr>
            <w:tcW w:w="1848" w:type="dxa"/>
          </w:tcPr>
          <w:p w14:paraId="7BD177B6" w14:textId="1F5F1A1B" w:rsidR="00551AB2" w:rsidRPr="006D2915" w:rsidRDefault="00663002"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42F5DAEA" w14:textId="77777777" w:rsidTr="0053700A">
        <w:trPr>
          <w:gridAfter w:val="1"/>
          <w:wAfter w:w="7" w:type="dxa"/>
          <w:trHeight w:val="300"/>
        </w:trPr>
        <w:tc>
          <w:tcPr>
            <w:tcW w:w="7560" w:type="dxa"/>
          </w:tcPr>
          <w:p w14:paraId="1A24E4E2"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Prosecutor v. Miroslav Deronjić</w:t>
            </w:r>
            <w:r w:rsidRPr="00551AB2">
              <w:rPr>
                <w:rFonts w:eastAsia="Aptos" w:cs="Arial"/>
              </w:rPr>
              <w:t>, Case No. IT-02-61-A, Judgment on Sentencing Appeal, 20 July 2005, Appeals Chamber, (ICTY)</w:t>
            </w:r>
          </w:p>
        </w:tc>
        <w:tc>
          <w:tcPr>
            <w:tcW w:w="1848" w:type="dxa"/>
          </w:tcPr>
          <w:p w14:paraId="146D5F83" w14:textId="37B1373A" w:rsidR="00551AB2" w:rsidRPr="006D2915" w:rsidRDefault="0067287B"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151EA3B7" w14:textId="77777777" w:rsidTr="0053700A">
        <w:trPr>
          <w:gridAfter w:val="1"/>
          <w:wAfter w:w="7" w:type="dxa"/>
          <w:trHeight w:val="300"/>
        </w:trPr>
        <w:tc>
          <w:tcPr>
            <w:tcW w:w="7560" w:type="dxa"/>
          </w:tcPr>
          <w:p w14:paraId="6CDC10EE"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 xml:space="preserve">Prosecutor v. Nikola </w:t>
            </w:r>
            <w:proofErr w:type="spellStart"/>
            <w:r w:rsidRPr="00551AB2">
              <w:rPr>
                <w:rFonts w:eastAsia="Aptos" w:cs="Arial"/>
                <w:i/>
                <w:iCs/>
              </w:rPr>
              <w:t>Šainović</w:t>
            </w:r>
            <w:proofErr w:type="spellEnd"/>
            <w:r w:rsidRPr="00551AB2">
              <w:rPr>
                <w:rFonts w:eastAsia="Aptos" w:cs="Arial"/>
                <w:i/>
                <w:iCs/>
              </w:rPr>
              <w:t xml:space="preserve"> et al</w:t>
            </w:r>
            <w:r w:rsidRPr="00551AB2">
              <w:rPr>
                <w:rFonts w:eastAsia="Aptos" w:cs="Arial"/>
              </w:rPr>
              <w:t>., Case No. IT-05-87-A, Judgment, 23 January 2014, Appeals Chamber, (ICTY)</w:t>
            </w:r>
          </w:p>
        </w:tc>
        <w:tc>
          <w:tcPr>
            <w:tcW w:w="1848" w:type="dxa"/>
          </w:tcPr>
          <w:p w14:paraId="51827711" w14:textId="1832DE4F" w:rsidR="00551AB2" w:rsidRPr="006D2915" w:rsidRDefault="00A85D17"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17</w:t>
            </w:r>
          </w:p>
        </w:tc>
      </w:tr>
      <w:tr w:rsidR="00551AB2" w:rsidRPr="00551AB2" w14:paraId="0A98C7FB" w14:textId="77777777" w:rsidTr="0053700A">
        <w:trPr>
          <w:gridAfter w:val="1"/>
          <w:wAfter w:w="7" w:type="dxa"/>
          <w:trHeight w:val="300"/>
        </w:trPr>
        <w:tc>
          <w:tcPr>
            <w:tcW w:w="7560" w:type="dxa"/>
          </w:tcPr>
          <w:p w14:paraId="537B6378"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lastRenderedPageBreak/>
              <w:t xml:space="preserve">Prosecutor v. Sefer Halilovic, </w:t>
            </w:r>
            <w:r w:rsidRPr="00551AB2">
              <w:rPr>
                <w:rFonts w:eastAsia="Aptos" w:cs="Arial"/>
              </w:rPr>
              <w:t>ICTY Case No. IT-01-48-AR73.2, Decision on Interlocutory Appeal Concerning Admission of Record of Interview of the Accused from the Bar Table, 19 August 2005, Appeals Chamber</w:t>
            </w:r>
          </w:p>
        </w:tc>
        <w:tc>
          <w:tcPr>
            <w:tcW w:w="1848" w:type="dxa"/>
          </w:tcPr>
          <w:p w14:paraId="3FA3D114" w14:textId="3BB43F09" w:rsidR="00551AB2" w:rsidRPr="006D2915" w:rsidRDefault="0067287B"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44A30732" w14:textId="77777777" w:rsidTr="0053700A">
        <w:trPr>
          <w:gridAfter w:val="1"/>
          <w:wAfter w:w="7" w:type="dxa"/>
          <w:trHeight w:val="300"/>
        </w:trPr>
        <w:tc>
          <w:tcPr>
            <w:tcW w:w="7560" w:type="dxa"/>
          </w:tcPr>
          <w:p w14:paraId="223CA840"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Prosecutor v. Tadić</w:t>
            </w:r>
            <w:r w:rsidRPr="00551AB2">
              <w:rPr>
                <w:rFonts w:eastAsia="Aptos" w:cs="Arial"/>
              </w:rPr>
              <w:t>, Trial Chamber Decision on the Defence Motion on the Principle Non-Bis-in-Idem, IT-94-1-T (15 November 1995) (ICTY)</w:t>
            </w:r>
          </w:p>
        </w:tc>
        <w:tc>
          <w:tcPr>
            <w:tcW w:w="1848" w:type="dxa"/>
          </w:tcPr>
          <w:p w14:paraId="0C0F5E58" w14:textId="3C52C0EA" w:rsidR="00551AB2" w:rsidRPr="006D2915" w:rsidRDefault="002E2447"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17</w:t>
            </w:r>
            <w:r w:rsidR="002D331C">
              <w:rPr>
                <w:rFonts w:eastAsia="Times New Roman" w:cs="Times New Roman"/>
                <w:color w:val="000000" w:themeColor="text1"/>
                <w:kern w:val="0"/>
                <w:lang w:val="en-US" w:eastAsia="ja-JP"/>
                <w14:ligatures w14:val="none"/>
              </w:rPr>
              <w:t>, 21</w:t>
            </w:r>
          </w:p>
        </w:tc>
      </w:tr>
      <w:tr w:rsidR="00551AB2" w:rsidRPr="00551AB2" w14:paraId="4AC214BE" w14:textId="77777777" w:rsidTr="0053700A">
        <w:trPr>
          <w:gridAfter w:val="1"/>
          <w:wAfter w:w="7" w:type="dxa"/>
          <w:trHeight w:val="300"/>
        </w:trPr>
        <w:tc>
          <w:tcPr>
            <w:tcW w:w="7560" w:type="dxa"/>
          </w:tcPr>
          <w:p w14:paraId="3D57EFF7"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rPr>
              <w:t>Prosecutor v. Zoran Kupreškić et al.,</w:t>
            </w:r>
            <w:r w:rsidRPr="00551AB2">
              <w:rPr>
                <w:rFonts w:eastAsia="Aptos" w:cs="Arial"/>
              </w:rPr>
              <w:t xml:space="preserve"> Case No. IT-95-16, Judgement, 14 January 2000, (ICTY)</w:t>
            </w:r>
          </w:p>
        </w:tc>
        <w:tc>
          <w:tcPr>
            <w:tcW w:w="1848" w:type="dxa"/>
          </w:tcPr>
          <w:p w14:paraId="719DB8A9" w14:textId="48577ADB" w:rsidR="00551AB2" w:rsidRPr="006D2915" w:rsidRDefault="00950B43"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2B370FBF" w14:textId="77777777" w:rsidTr="0053700A">
        <w:trPr>
          <w:gridAfter w:val="1"/>
          <w:wAfter w:w="7" w:type="dxa"/>
          <w:trHeight w:val="300"/>
        </w:trPr>
        <w:tc>
          <w:tcPr>
            <w:tcW w:w="7560" w:type="dxa"/>
          </w:tcPr>
          <w:p w14:paraId="12A2A5B4"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iCs/>
                <w:color w:val="000000"/>
              </w:rPr>
              <w:t xml:space="preserve">Sergey Zolotukhin v Russia, </w:t>
            </w:r>
            <w:r w:rsidRPr="00551AB2">
              <w:rPr>
                <w:rFonts w:eastAsia="Aptos" w:cs="Arial"/>
                <w:color w:val="000000"/>
              </w:rPr>
              <w:t>App no 14939/03, Judgement, 10 February 2009,</w:t>
            </w:r>
            <w:r w:rsidRPr="00551AB2">
              <w:rPr>
                <w:rFonts w:eastAsia="Aptos" w:cs="Arial"/>
                <w:i/>
                <w:color w:val="000000"/>
              </w:rPr>
              <w:t xml:space="preserve"> </w:t>
            </w:r>
            <w:r w:rsidRPr="00551AB2">
              <w:rPr>
                <w:rFonts w:eastAsia="Aptos" w:cs="Arial"/>
                <w:color w:val="000000"/>
              </w:rPr>
              <w:t>(ECtHR)</w:t>
            </w:r>
          </w:p>
        </w:tc>
        <w:tc>
          <w:tcPr>
            <w:tcW w:w="1848" w:type="dxa"/>
          </w:tcPr>
          <w:p w14:paraId="04BB945B" w14:textId="1C5BB5F5" w:rsidR="00551AB2" w:rsidRPr="006D2915" w:rsidRDefault="00EB630F"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7A1CD6">
              <w:rPr>
                <w:rFonts w:eastAsia="Times New Roman" w:cs="Times New Roman"/>
                <w:color w:val="000000" w:themeColor="text1"/>
                <w:kern w:val="0"/>
                <w:lang w:val="en-US" w:eastAsia="ja-JP"/>
                <w14:ligatures w14:val="none"/>
              </w:rPr>
              <w:t>8</w:t>
            </w:r>
          </w:p>
        </w:tc>
      </w:tr>
      <w:tr w:rsidR="00551AB2" w:rsidRPr="00551AB2" w14:paraId="2AF9AB27" w14:textId="77777777" w:rsidTr="0053700A">
        <w:trPr>
          <w:gridAfter w:val="1"/>
          <w:wAfter w:w="7" w:type="dxa"/>
          <w:trHeight w:val="300"/>
        </w:trPr>
        <w:tc>
          <w:tcPr>
            <w:tcW w:w="7560" w:type="dxa"/>
          </w:tcPr>
          <w:p w14:paraId="7A63DE10" w14:textId="77777777" w:rsidR="00551AB2" w:rsidRPr="00551AB2" w:rsidRDefault="00551AB2" w:rsidP="00551AB2">
            <w:pPr>
              <w:tabs>
                <w:tab w:val="left" w:pos="800"/>
                <w:tab w:val="left" w:pos="980"/>
              </w:tabs>
              <w:spacing w:line="276" w:lineRule="auto"/>
              <w:ind w:left="530" w:hanging="540"/>
              <w:jc w:val="both"/>
              <w:rPr>
                <w:rFonts w:eastAsia="Merriweather" w:cs="Times New Roman"/>
                <w:b/>
                <w:bCs/>
                <w:color w:val="FF0000"/>
                <w:kern w:val="0"/>
                <w:lang w:val="en-US" w:eastAsia="ja-JP"/>
                <w14:ligatures w14:val="none"/>
              </w:rPr>
            </w:pPr>
            <w:r w:rsidRPr="00551AB2">
              <w:rPr>
                <w:rFonts w:eastAsia="Aptos" w:cs="Arial"/>
                <w:i/>
              </w:rPr>
              <w:t>The Prosecutor v Francis Kirimi Muthaufui and Uhuru Muigai Kenyatta</w:t>
            </w:r>
            <w:r w:rsidRPr="00551AB2">
              <w:rPr>
                <w:rFonts w:eastAsia="Aptos" w:cs="Arial"/>
              </w:rPr>
              <w:t xml:space="preserve">, No. ICC-01/09-02/11, Decision on the withdrawal of charges against </w:t>
            </w:r>
            <w:proofErr w:type="spellStart"/>
            <w:r w:rsidRPr="00551AB2">
              <w:rPr>
                <w:rFonts w:eastAsia="Aptos" w:cs="Arial"/>
              </w:rPr>
              <w:t>Mr</w:t>
            </w:r>
            <w:proofErr w:type="spellEnd"/>
            <w:r w:rsidRPr="00551AB2">
              <w:rPr>
                <w:rFonts w:eastAsia="Aptos" w:cs="Arial"/>
              </w:rPr>
              <w:t xml:space="preserve"> Muthaura, Partial Dissenting Opinion of Judge Ozaki, 19 March 2013</w:t>
            </w:r>
          </w:p>
        </w:tc>
        <w:tc>
          <w:tcPr>
            <w:tcW w:w="1848" w:type="dxa"/>
          </w:tcPr>
          <w:p w14:paraId="644AF72F" w14:textId="2817D840" w:rsidR="00551AB2" w:rsidRPr="006D2915" w:rsidRDefault="00565F9F"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19</w:t>
            </w:r>
          </w:p>
        </w:tc>
      </w:tr>
      <w:tr w:rsidR="0040050D" w:rsidRPr="00551AB2" w14:paraId="4DDF5907" w14:textId="77777777" w:rsidTr="0053700A">
        <w:trPr>
          <w:gridAfter w:val="1"/>
          <w:wAfter w:w="7" w:type="dxa"/>
          <w:trHeight w:val="300"/>
        </w:trPr>
        <w:tc>
          <w:tcPr>
            <w:tcW w:w="7560" w:type="dxa"/>
          </w:tcPr>
          <w:p w14:paraId="3B351653" w14:textId="77777777" w:rsidR="0040050D" w:rsidRPr="00551AB2" w:rsidRDefault="0040050D" w:rsidP="00551AB2">
            <w:pPr>
              <w:tabs>
                <w:tab w:val="left" w:pos="800"/>
                <w:tab w:val="left" w:pos="980"/>
              </w:tabs>
              <w:spacing w:line="276" w:lineRule="auto"/>
              <w:ind w:left="530" w:hanging="540"/>
              <w:jc w:val="both"/>
              <w:rPr>
                <w:rFonts w:eastAsia="Aptos" w:cs="Arial"/>
                <w:i/>
              </w:rPr>
            </w:pPr>
          </w:p>
        </w:tc>
        <w:tc>
          <w:tcPr>
            <w:tcW w:w="1848" w:type="dxa"/>
          </w:tcPr>
          <w:p w14:paraId="7EA65387" w14:textId="77777777" w:rsidR="0040050D" w:rsidRPr="006D2915" w:rsidRDefault="0040050D"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p>
        </w:tc>
      </w:tr>
      <w:tr w:rsidR="00551AB2" w:rsidRPr="00551AB2" w14:paraId="5DBAE933" w14:textId="77777777" w:rsidTr="0053700A">
        <w:trPr>
          <w:trHeight w:val="300"/>
        </w:trPr>
        <w:tc>
          <w:tcPr>
            <w:tcW w:w="9415" w:type="dxa"/>
            <w:gridSpan w:val="3"/>
          </w:tcPr>
          <w:p w14:paraId="4727D248" w14:textId="77777777" w:rsidR="00551AB2" w:rsidRPr="006D2915" w:rsidRDefault="00551AB2" w:rsidP="00551AB2">
            <w:pPr>
              <w:tabs>
                <w:tab w:val="left" w:pos="800"/>
                <w:tab w:val="left" w:pos="980"/>
              </w:tabs>
              <w:spacing w:line="276" w:lineRule="auto"/>
              <w:ind w:left="530" w:hanging="540"/>
              <w:rPr>
                <w:rFonts w:eastAsia="Times New Roman" w:cs="Times New Roman"/>
                <w:b/>
                <w:color w:val="000000" w:themeColor="text1"/>
                <w:kern w:val="0"/>
                <w:lang w:val="en-US" w:eastAsia="ja-JP"/>
                <w14:ligatures w14:val="none"/>
              </w:rPr>
            </w:pPr>
            <w:r w:rsidRPr="006D2915">
              <w:rPr>
                <w:rFonts w:eastAsia="Merriweather" w:cs="Times New Roman"/>
                <w:b/>
                <w:color w:val="000000" w:themeColor="text1"/>
                <w:kern w:val="0"/>
                <w:lang w:val="en-US" w:eastAsia="ja-JP"/>
                <w14:ligatures w14:val="none"/>
              </w:rPr>
              <w:t>Domestic Case Law</w:t>
            </w:r>
          </w:p>
        </w:tc>
      </w:tr>
      <w:tr w:rsidR="00551AB2" w:rsidRPr="00551AB2" w14:paraId="7EDC0C9A" w14:textId="77777777" w:rsidTr="0053700A">
        <w:trPr>
          <w:gridAfter w:val="1"/>
          <w:wAfter w:w="7" w:type="dxa"/>
          <w:trHeight w:val="300"/>
        </w:trPr>
        <w:tc>
          <w:tcPr>
            <w:tcW w:w="7560" w:type="dxa"/>
          </w:tcPr>
          <w:p w14:paraId="66912995" w14:textId="77777777" w:rsidR="00551AB2" w:rsidRPr="00551AB2" w:rsidRDefault="00551AB2" w:rsidP="00551AB2">
            <w:pPr>
              <w:tabs>
                <w:tab w:val="left" w:pos="800"/>
                <w:tab w:val="left" w:pos="980"/>
              </w:tabs>
              <w:spacing w:line="276" w:lineRule="auto"/>
              <w:ind w:left="530" w:hanging="540"/>
              <w:jc w:val="both"/>
              <w:rPr>
                <w:rFonts w:eastAsia="Aptos" w:cs="Arial"/>
                <w:i/>
                <w:lang w:val="fr-CA"/>
              </w:rPr>
            </w:pPr>
            <w:r w:rsidRPr="00551AB2">
              <w:rPr>
                <w:rFonts w:eastAsia="Aptos" w:cs="Times New Roman"/>
                <w:i/>
                <w:kern w:val="0"/>
                <w:lang w:val="en-US"/>
              </w:rPr>
              <w:t>Al-</w:t>
            </w:r>
            <w:proofErr w:type="spellStart"/>
            <w:r w:rsidRPr="00551AB2">
              <w:rPr>
                <w:rFonts w:eastAsia="Aptos" w:cs="Times New Roman"/>
                <w:i/>
                <w:kern w:val="0"/>
                <w:lang w:val="en-US"/>
              </w:rPr>
              <w:t>Masarir</w:t>
            </w:r>
            <w:proofErr w:type="spellEnd"/>
            <w:r w:rsidRPr="00551AB2">
              <w:rPr>
                <w:rFonts w:eastAsia="Aptos" w:cs="Times New Roman"/>
                <w:i/>
                <w:kern w:val="0"/>
                <w:lang w:val="en-US"/>
              </w:rPr>
              <w:t xml:space="preserve"> and Shehabi v Bahrain, </w:t>
            </w:r>
            <w:r w:rsidRPr="00551AB2">
              <w:rPr>
                <w:rFonts w:eastAsia="Aptos" w:cs="Times New Roman"/>
                <w:kern w:val="0"/>
                <w:lang w:val="en-US"/>
              </w:rPr>
              <w:t>[2024] EWCA Civ 1158 (United Kingdom)</w:t>
            </w:r>
          </w:p>
        </w:tc>
        <w:tc>
          <w:tcPr>
            <w:tcW w:w="1848" w:type="dxa"/>
          </w:tcPr>
          <w:p w14:paraId="69F53416" w14:textId="51337B0C" w:rsidR="00551AB2" w:rsidRPr="006D2915" w:rsidRDefault="005B44A9"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30</w:t>
            </w:r>
          </w:p>
        </w:tc>
      </w:tr>
      <w:tr w:rsidR="00551AB2" w:rsidRPr="00551AB2" w14:paraId="48C14C22" w14:textId="77777777" w:rsidTr="0053700A">
        <w:trPr>
          <w:gridAfter w:val="1"/>
          <w:wAfter w:w="7" w:type="dxa"/>
          <w:trHeight w:val="300"/>
        </w:trPr>
        <w:tc>
          <w:tcPr>
            <w:tcW w:w="7560" w:type="dxa"/>
          </w:tcPr>
          <w:p w14:paraId="5ADC5D44"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i/>
                <w:iCs/>
              </w:rPr>
              <w:t>Chippewas of the Thames First Nation v Enbridge Pipelines Inc.</w:t>
            </w:r>
            <w:r w:rsidRPr="00551AB2">
              <w:rPr>
                <w:rFonts w:eastAsia="Aptos" w:cs="Arial"/>
              </w:rPr>
              <w:t>, 2017 SCC 41 (Canada)</w:t>
            </w:r>
          </w:p>
        </w:tc>
        <w:tc>
          <w:tcPr>
            <w:tcW w:w="1848" w:type="dxa"/>
          </w:tcPr>
          <w:p w14:paraId="52F2D424" w14:textId="17903B02" w:rsidR="00551AB2" w:rsidRPr="006D2915" w:rsidRDefault="0077592D"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8, 12</w:t>
            </w:r>
          </w:p>
        </w:tc>
      </w:tr>
      <w:tr w:rsidR="00551AB2" w:rsidRPr="00551AB2" w14:paraId="7F96AB20" w14:textId="77777777" w:rsidTr="0053700A">
        <w:trPr>
          <w:gridAfter w:val="1"/>
          <w:wAfter w:w="7" w:type="dxa"/>
          <w:trHeight w:val="300"/>
        </w:trPr>
        <w:tc>
          <w:tcPr>
            <w:tcW w:w="7560" w:type="dxa"/>
          </w:tcPr>
          <w:p w14:paraId="3A929323" w14:textId="77777777" w:rsidR="00551AB2" w:rsidRPr="00551AB2" w:rsidRDefault="00551AB2" w:rsidP="00551AB2">
            <w:pPr>
              <w:tabs>
                <w:tab w:val="left" w:pos="800"/>
                <w:tab w:val="left" w:pos="980"/>
              </w:tabs>
              <w:spacing w:line="276" w:lineRule="auto"/>
              <w:ind w:left="530" w:hanging="540"/>
              <w:jc w:val="both"/>
              <w:rPr>
                <w:rFonts w:eastAsia="Aptos" w:cs="Arial"/>
                <w:i/>
                <w:iCs/>
                <w:color w:val="000000"/>
              </w:rPr>
            </w:pPr>
            <w:r w:rsidRPr="00551AB2">
              <w:rPr>
                <w:rFonts w:eastAsia="Aptos" w:cs="Arial"/>
                <w:i/>
                <w:iCs/>
              </w:rPr>
              <w:t xml:space="preserve">Co-Prosecutors v. Ieng Sary, </w:t>
            </w:r>
            <w:r w:rsidRPr="00551AB2">
              <w:rPr>
                <w:rFonts w:eastAsia="Aptos" w:cs="Arial"/>
              </w:rPr>
              <w:t>Case File No. 002/19-09-2007-ECCC/TC (Cambodia)</w:t>
            </w:r>
          </w:p>
        </w:tc>
        <w:tc>
          <w:tcPr>
            <w:tcW w:w="1848" w:type="dxa"/>
          </w:tcPr>
          <w:p w14:paraId="242376F0" w14:textId="5F6FA6C2" w:rsidR="00551AB2" w:rsidRPr="006D2915" w:rsidRDefault="0078045E"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21</w:t>
            </w:r>
          </w:p>
        </w:tc>
      </w:tr>
      <w:tr w:rsidR="00551AB2" w:rsidRPr="00551AB2" w14:paraId="7820D431" w14:textId="77777777" w:rsidTr="0053700A">
        <w:trPr>
          <w:gridAfter w:val="1"/>
          <w:wAfter w:w="7" w:type="dxa"/>
          <w:trHeight w:val="300"/>
        </w:trPr>
        <w:tc>
          <w:tcPr>
            <w:tcW w:w="7560" w:type="dxa"/>
          </w:tcPr>
          <w:p w14:paraId="522FF7F0"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i/>
                <w:iCs/>
                <w:color w:val="000000"/>
              </w:rPr>
              <w:t>Gamble v. United States</w:t>
            </w:r>
            <w:r w:rsidRPr="00551AB2">
              <w:rPr>
                <w:rFonts w:eastAsia="Aptos" w:cs="Arial"/>
                <w:color w:val="000000"/>
              </w:rPr>
              <w:t>, 587 U.S. 678, 1 (United States)</w:t>
            </w:r>
          </w:p>
        </w:tc>
        <w:tc>
          <w:tcPr>
            <w:tcW w:w="1848" w:type="dxa"/>
          </w:tcPr>
          <w:p w14:paraId="1547A20F" w14:textId="5D8D8A1C" w:rsidR="00551AB2" w:rsidRPr="006D2915" w:rsidRDefault="00DC389B"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20</w:t>
            </w:r>
          </w:p>
        </w:tc>
      </w:tr>
      <w:tr w:rsidR="00551AB2" w:rsidRPr="00551AB2" w14:paraId="122EA7C5" w14:textId="77777777" w:rsidTr="0053700A">
        <w:trPr>
          <w:gridAfter w:val="1"/>
          <w:wAfter w:w="7" w:type="dxa"/>
          <w:trHeight w:val="300"/>
        </w:trPr>
        <w:tc>
          <w:tcPr>
            <w:tcW w:w="7560" w:type="dxa"/>
          </w:tcPr>
          <w:p w14:paraId="1E79453A"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i/>
                <w:iCs/>
                <w:color w:val="000000"/>
              </w:rPr>
              <w:t>Haida Nation v. British Columbia</w:t>
            </w:r>
            <w:r w:rsidRPr="00551AB2">
              <w:rPr>
                <w:rFonts w:eastAsia="Aptos" w:cs="Arial"/>
                <w:color w:val="000000"/>
              </w:rPr>
              <w:t xml:space="preserve"> (Minister of Forests), </w:t>
            </w:r>
            <w:r w:rsidRPr="00551AB2">
              <w:rPr>
                <w:rFonts w:eastAsia="Aptos" w:cs="Arial"/>
                <w:color w:val="000000"/>
                <w:lang w:val="en-GB"/>
              </w:rPr>
              <w:t>2004 SCC 73 (Canada)</w:t>
            </w:r>
          </w:p>
        </w:tc>
        <w:tc>
          <w:tcPr>
            <w:tcW w:w="1848" w:type="dxa"/>
          </w:tcPr>
          <w:p w14:paraId="2D618B6D" w14:textId="786F19F7" w:rsidR="00551AB2" w:rsidRPr="006D2915" w:rsidRDefault="008525AD"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8</w:t>
            </w:r>
          </w:p>
        </w:tc>
      </w:tr>
      <w:tr w:rsidR="003D2E6A" w:rsidRPr="00551AB2" w14:paraId="46F55131" w14:textId="77777777" w:rsidTr="0053700A">
        <w:trPr>
          <w:gridAfter w:val="1"/>
          <w:wAfter w:w="7" w:type="dxa"/>
          <w:trHeight w:val="300"/>
        </w:trPr>
        <w:tc>
          <w:tcPr>
            <w:tcW w:w="7560" w:type="dxa"/>
          </w:tcPr>
          <w:p w14:paraId="1D1428C4" w14:textId="0DB56B3F" w:rsidR="003D2E6A" w:rsidRPr="00551AB2" w:rsidRDefault="003D2E6A" w:rsidP="00551AB2">
            <w:pPr>
              <w:tabs>
                <w:tab w:val="left" w:pos="800"/>
                <w:tab w:val="left" w:pos="980"/>
              </w:tabs>
              <w:spacing w:line="276" w:lineRule="auto"/>
              <w:ind w:left="530" w:hanging="540"/>
              <w:jc w:val="both"/>
              <w:rPr>
                <w:rFonts w:eastAsia="Aptos" w:cs="Arial"/>
                <w:i/>
                <w:iCs/>
                <w:color w:val="000000"/>
              </w:rPr>
            </w:pPr>
            <w:r w:rsidRPr="00A70607">
              <w:rPr>
                <w:i/>
                <w:iCs/>
              </w:rPr>
              <w:t>I Congreso del Partido</w:t>
            </w:r>
            <w:r>
              <w:rPr>
                <w:i/>
                <w:iCs/>
              </w:rPr>
              <w:t xml:space="preserve">, </w:t>
            </w:r>
            <w:r>
              <w:t xml:space="preserve">[1978] </w:t>
            </w:r>
            <w:r w:rsidRPr="009037D7">
              <w:t>1 All ER 1169</w:t>
            </w:r>
            <w:r>
              <w:t xml:space="preserve"> (Queen’s Bench Division, Admiralty Court)</w:t>
            </w:r>
          </w:p>
        </w:tc>
        <w:tc>
          <w:tcPr>
            <w:tcW w:w="1848" w:type="dxa"/>
          </w:tcPr>
          <w:p w14:paraId="296C9DFA" w14:textId="7F40D41E" w:rsidR="003D2E6A" w:rsidRDefault="003D2E6A"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27</w:t>
            </w:r>
          </w:p>
        </w:tc>
      </w:tr>
      <w:tr w:rsidR="00551AB2" w:rsidRPr="00551AB2" w14:paraId="0A2641BF" w14:textId="77777777" w:rsidTr="0053700A">
        <w:trPr>
          <w:gridAfter w:val="1"/>
          <w:wAfter w:w="7" w:type="dxa"/>
          <w:trHeight w:val="300"/>
        </w:trPr>
        <w:tc>
          <w:tcPr>
            <w:tcW w:w="7560" w:type="dxa"/>
          </w:tcPr>
          <w:p w14:paraId="22E6FBDF"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i/>
                <w:iCs/>
              </w:rPr>
              <w:t>Jones v. Ministry of Interior of the Kingdom of Saudi Arabia</w:t>
            </w:r>
            <w:r w:rsidRPr="00551AB2">
              <w:rPr>
                <w:rFonts w:eastAsia="Aptos" w:cs="Arial"/>
              </w:rPr>
              <w:t xml:space="preserve"> [2006] UKHL 26, [2007] 1 AC  270 (H.L. Jun. 14, 2006) (United Kingdom)</w:t>
            </w:r>
          </w:p>
        </w:tc>
        <w:tc>
          <w:tcPr>
            <w:tcW w:w="1848" w:type="dxa"/>
          </w:tcPr>
          <w:p w14:paraId="1259628C" w14:textId="6A5FB5B2" w:rsidR="00551AB2" w:rsidRPr="006D2915" w:rsidRDefault="00841F0E"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23</w:t>
            </w:r>
          </w:p>
        </w:tc>
      </w:tr>
      <w:tr w:rsidR="005B44A9" w:rsidRPr="00551AB2" w14:paraId="6C588CD9" w14:textId="77777777" w:rsidTr="0053700A">
        <w:trPr>
          <w:gridAfter w:val="1"/>
          <w:wAfter w:w="7" w:type="dxa"/>
          <w:trHeight w:val="300"/>
        </w:trPr>
        <w:tc>
          <w:tcPr>
            <w:tcW w:w="7560" w:type="dxa"/>
          </w:tcPr>
          <w:p w14:paraId="49B3AF9B" w14:textId="218DA424" w:rsidR="005B44A9" w:rsidRPr="00551AB2" w:rsidRDefault="005B44A9" w:rsidP="00551AB2">
            <w:pPr>
              <w:tabs>
                <w:tab w:val="left" w:pos="800"/>
                <w:tab w:val="left" w:pos="980"/>
              </w:tabs>
              <w:spacing w:line="276" w:lineRule="auto"/>
              <w:ind w:left="530" w:hanging="540"/>
              <w:jc w:val="both"/>
              <w:rPr>
                <w:rFonts w:eastAsia="Aptos" w:cs="Arial"/>
                <w:i/>
                <w:iCs/>
              </w:rPr>
            </w:pPr>
            <w:r w:rsidRPr="00B57AA1">
              <w:rPr>
                <w:i/>
                <w:iCs/>
              </w:rPr>
              <w:t>Kazemi v Iranian Republic of Iran</w:t>
            </w:r>
            <w:r>
              <w:t xml:space="preserve"> [2014] 3 SCR 176 (Canada)</w:t>
            </w:r>
          </w:p>
        </w:tc>
        <w:tc>
          <w:tcPr>
            <w:tcW w:w="1848" w:type="dxa"/>
          </w:tcPr>
          <w:p w14:paraId="0D64BAA2" w14:textId="6640F8BF" w:rsidR="005B44A9" w:rsidRDefault="005B44A9"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30</w:t>
            </w:r>
          </w:p>
        </w:tc>
      </w:tr>
      <w:tr w:rsidR="00551AB2" w:rsidRPr="00551AB2" w14:paraId="76164382" w14:textId="77777777" w:rsidTr="0053700A">
        <w:trPr>
          <w:gridAfter w:val="1"/>
          <w:wAfter w:w="7" w:type="dxa"/>
          <w:trHeight w:val="300"/>
        </w:trPr>
        <w:tc>
          <w:tcPr>
            <w:tcW w:w="7560" w:type="dxa"/>
          </w:tcPr>
          <w:p w14:paraId="78B4E84B" w14:textId="77777777" w:rsidR="00551AB2" w:rsidRPr="00551AB2" w:rsidRDefault="00551AB2" w:rsidP="00551AB2">
            <w:pPr>
              <w:tabs>
                <w:tab w:val="left" w:pos="800"/>
                <w:tab w:val="left" w:pos="980"/>
              </w:tabs>
              <w:spacing w:line="276" w:lineRule="auto"/>
              <w:ind w:left="530" w:hanging="540"/>
              <w:jc w:val="both"/>
              <w:rPr>
                <w:rFonts w:eastAsia="Aptos" w:cs="Arial"/>
                <w:u w:val="single"/>
              </w:rPr>
            </w:pPr>
            <w:proofErr w:type="spellStart"/>
            <w:r w:rsidRPr="00551AB2">
              <w:rPr>
                <w:rFonts w:eastAsia="Aptos" w:cs="Arial"/>
                <w:i/>
                <w:iCs/>
              </w:rPr>
              <w:t>Kebaowek</w:t>
            </w:r>
            <w:proofErr w:type="spellEnd"/>
            <w:r w:rsidRPr="00551AB2">
              <w:rPr>
                <w:rFonts w:eastAsia="Aptos" w:cs="Arial"/>
                <w:i/>
                <w:iCs/>
              </w:rPr>
              <w:t xml:space="preserve"> First Nation v. Canadian Nuclear Laboratories</w:t>
            </w:r>
            <w:r w:rsidRPr="00551AB2">
              <w:rPr>
                <w:rFonts w:eastAsia="Aptos" w:cs="Arial"/>
              </w:rPr>
              <w:t>, 2025 FC 319 (Canada)</w:t>
            </w:r>
          </w:p>
        </w:tc>
        <w:tc>
          <w:tcPr>
            <w:tcW w:w="1848" w:type="dxa"/>
          </w:tcPr>
          <w:p w14:paraId="4F407005" w14:textId="63FAEB33" w:rsidR="00551AB2" w:rsidRPr="006D2915" w:rsidRDefault="006D0A69"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13</w:t>
            </w:r>
          </w:p>
        </w:tc>
      </w:tr>
      <w:tr w:rsidR="00551AB2" w:rsidRPr="00551AB2" w14:paraId="152E3B42" w14:textId="77777777" w:rsidTr="0053700A">
        <w:trPr>
          <w:gridAfter w:val="1"/>
          <w:wAfter w:w="7" w:type="dxa"/>
          <w:trHeight w:val="300"/>
        </w:trPr>
        <w:tc>
          <w:tcPr>
            <w:tcW w:w="7560" w:type="dxa"/>
          </w:tcPr>
          <w:p w14:paraId="4F28CE4F" w14:textId="77777777" w:rsidR="00551AB2" w:rsidRPr="00551AB2" w:rsidRDefault="00551AB2" w:rsidP="00551AB2">
            <w:pPr>
              <w:tabs>
                <w:tab w:val="left" w:pos="800"/>
                <w:tab w:val="left" w:pos="980"/>
              </w:tabs>
              <w:spacing w:line="276" w:lineRule="auto"/>
              <w:ind w:left="530" w:hanging="540"/>
              <w:jc w:val="both"/>
              <w:rPr>
                <w:rFonts w:eastAsia="Aptos" w:cs="Arial"/>
                <w:lang w:val="fr-CA"/>
              </w:rPr>
            </w:pPr>
            <w:r w:rsidRPr="00551AB2">
              <w:rPr>
                <w:rFonts w:eastAsia="Aptos" w:cs="Arial"/>
                <w:i/>
                <w:lang w:val="fr-CA"/>
              </w:rPr>
              <w:t xml:space="preserve">La Générale des Carrières et des Mine v. FG </w:t>
            </w:r>
            <w:proofErr w:type="spellStart"/>
            <w:r w:rsidRPr="00551AB2">
              <w:rPr>
                <w:rFonts w:eastAsia="Aptos" w:cs="Arial"/>
                <w:i/>
                <w:lang w:val="fr-CA"/>
              </w:rPr>
              <w:t>Hemisphere</w:t>
            </w:r>
            <w:proofErr w:type="spellEnd"/>
            <w:r w:rsidRPr="00551AB2">
              <w:rPr>
                <w:rFonts w:eastAsia="Aptos" w:cs="Arial"/>
                <w:i/>
                <w:lang w:val="fr-CA"/>
              </w:rPr>
              <w:t xml:space="preserve"> Associates</w:t>
            </w:r>
            <w:r w:rsidRPr="00551AB2">
              <w:rPr>
                <w:rFonts w:eastAsia="Aptos" w:cs="Arial"/>
                <w:lang w:val="fr-CA"/>
              </w:rPr>
              <w:t xml:space="preserve">, 2012 UKPC at 27 (United </w:t>
            </w:r>
            <w:proofErr w:type="spellStart"/>
            <w:r w:rsidRPr="00551AB2">
              <w:rPr>
                <w:rFonts w:eastAsia="Aptos" w:cs="Arial"/>
                <w:lang w:val="fr-CA"/>
              </w:rPr>
              <w:t>Kingdom</w:t>
            </w:r>
            <w:proofErr w:type="spellEnd"/>
            <w:r w:rsidRPr="00551AB2">
              <w:rPr>
                <w:rFonts w:eastAsia="Aptos" w:cs="Arial"/>
                <w:lang w:val="fr-CA"/>
              </w:rPr>
              <w:t>)</w:t>
            </w:r>
          </w:p>
        </w:tc>
        <w:tc>
          <w:tcPr>
            <w:tcW w:w="1848" w:type="dxa"/>
          </w:tcPr>
          <w:p w14:paraId="6B7F7EBE" w14:textId="26F1726B" w:rsidR="00551AB2" w:rsidRPr="006D2915" w:rsidRDefault="00696C37"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26</w:t>
            </w:r>
          </w:p>
        </w:tc>
      </w:tr>
      <w:tr w:rsidR="005B44A9" w:rsidRPr="00551AB2" w14:paraId="4283ADEA" w14:textId="77777777" w:rsidTr="0053700A">
        <w:trPr>
          <w:gridAfter w:val="1"/>
          <w:wAfter w:w="7" w:type="dxa"/>
          <w:trHeight w:val="300"/>
        </w:trPr>
        <w:tc>
          <w:tcPr>
            <w:tcW w:w="7560" w:type="dxa"/>
          </w:tcPr>
          <w:p w14:paraId="7B4E3350" w14:textId="50B3C6EC" w:rsidR="005B44A9" w:rsidRPr="00551AB2" w:rsidRDefault="005B44A9" w:rsidP="00551AB2">
            <w:pPr>
              <w:tabs>
                <w:tab w:val="left" w:pos="800"/>
                <w:tab w:val="left" w:pos="980"/>
              </w:tabs>
              <w:spacing w:line="276" w:lineRule="auto"/>
              <w:ind w:left="530" w:hanging="540"/>
              <w:jc w:val="both"/>
              <w:rPr>
                <w:rFonts w:eastAsia="Aptos" w:cs="Arial"/>
                <w:i/>
                <w:lang w:val="fr-CA"/>
              </w:rPr>
            </w:pPr>
            <w:r w:rsidRPr="00AE522C">
              <w:rPr>
                <w:i/>
                <w:iCs/>
              </w:rPr>
              <w:t>Letelier v. Republic of Chile</w:t>
            </w:r>
            <w:r w:rsidRPr="00AE522C">
              <w:t>, 488 F. Supp. 665 (D.D.C. 1980)</w:t>
            </w:r>
            <w:r>
              <w:t xml:space="preserve"> (United States)</w:t>
            </w:r>
          </w:p>
        </w:tc>
        <w:tc>
          <w:tcPr>
            <w:tcW w:w="1848" w:type="dxa"/>
          </w:tcPr>
          <w:p w14:paraId="02138937" w14:textId="7330F510" w:rsidR="005B44A9" w:rsidRDefault="005B44A9"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30</w:t>
            </w:r>
          </w:p>
        </w:tc>
      </w:tr>
      <w:tr w:rsidR="00551AB2" w:rsidRPr="00551AB2" w14:paraId="077B2CFD" w14:textId="77777777" w:rsidTr="0053700A">
        <w:trPr>
          <w:gridAfter w:val="1"/>
          <w:wAfter w:w="7" w:type="dxa"/>
          <w:trHeight w:val="300"/>
        </w:trPr>
        <w:tc>
          <w:tcPr>
            <w:tcW w:w="7560" w:type="dxa"/>
          </w:tcPr>
          <w:p w14:paraId="29A40C99"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i/>
              </w:rPr>
              <w:t xml:space="preserve">Pitman, Lucas Leonel s/ </w:t>
            </w:r>
            <w:proofErr w:type="spellStart"/>
            <w:r w:rsidRPr="00551AB2">
              <w:rPr>
                <w:rFonts w:eastAsia="Aptos" w:cs="Arial"/>
                <w:i/>
              </w:rPr>
              <w:t>queja</w:t>
            </w:r>
            <w:proofErr w:type="spellEnd"/>
            <w:r w:rsidRPr="00551AB2">
              <w:rPr>
                <w:rFonts w:eastAsia="Aptos" w:cs="Arial"/>
                <w:i/>
              </w:rPr>
              <w:t xml:space="preserve"> </w:t>
            </w:r>
            <w:proofErr w:type="spellStart"/>
            <w:r w:rsidRPr="00551AB2">
              <w:rPr>
                <w:rFonts w:eastAsia="Aptos" w:cs="Arial"/>
                <w:i/>
              </w:rPr>
              <w:t>en</w:t>
            </w:r>
            <w:proofErr w:type="spellEnd"/>
            <w:r w:rsidRPr="00551AB2">
              <w:rPr>
                <w:rFonts w:eastAsia="Aptos" w:cs="Arial"/>
                <w:i/>
              </w:rPr>
              <w:t xml:space="preserve"> causa n° 113.577</w:t>
            </w:r>
            <w:r w:rsidRPr="00551AB2">
              <w:rPr>
                <w:rFonts w:eastAsia="Aptos" w:cs="Arial"/>
              </w:rPr>
              <w:t xml:space="preserve">, Tribunal de </w:t>
            </w:r>
            <w:proofErr w:type="spellStart"/>
            <w:r w:rsidRPr="00551AB2">
              <w:rPr>
                <w:rFonts w:eastAsia="Aptos" w:cs="Arial"/>
              </w:rPr>
              <w:t>Casación</w:t>
            </w:r>
            <w:proofErr w:type="spellEnd"/>
            <w:r w:rsidRPr="00551AB2">
              <w:rPr>
                <w:rFonts w:eastAsia="Aptos" w:cs="Arial"/>
              </w:rPr>
              <w:t xml:space="preserve"> Penal (Buenos Aires), Sala III, 18 March 2024 (Argentina)</w:t>
            </w:r>
          </w:p>
        </w:tc>
        <w:tc>
          <w:tcPr>
            <w:tcW w:w="1848" w:type="dxa"/>
          </w:tcPr>
          <w:p w14:paraId="15841736" w14:textId="7007295B" w:rsidR="00551AB2" w:rsidRPr="006D2915" w:rsidRDefault="00517018"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27645E">
              <w:rPr>
                <w:rFonts w:eastAsia="Times New Roman" w:cs="Times New Roman"/>
                <w:color w:val="000000" w:themeColor="text1"/>
                <w:kern w:val="0"/>
                <w:lang w:val="en-US" w:eastAsia="ja-JP"/>
                <w14:ligatures w14:val="none"/>
              </w:rPr>
              <w:t>8</w:t>
            </w:r>
          </w:p>
        </w:tc>
      </w:tr>
      <w:tr w:rsidR="00551AB2" w:rsidRPr="00551AB2" w14:paraId="668C8CB9" w14:textId="77777777" w:rsidTr="0053700A">
        <w:trPr>
          <w:gridAfter w:val="1"/>
          <w:wAfter w:w="7" w:type="dxa"/>
          <w:trHeight w:val="300"/>
        </w:trPr>
        <w:tc>
          <w:tcPr>
            <w:tcW w:w="7560" w:type="dxa"/>
          </w:tcPr>
          <w:p w14:paraId="1B79AC7F" w14:textId="77777777" w:rsidR="00551AB2" w:rsidRPr="00551AB2" w:rsidRDefault="00551AB2" w:rsidP="00551AB2">
            <w:pPr>
              <w:tabs>
                <w:tab w:val="left" w:pos="800"/>
                <w:tab w:val="left" w:pos="980"/>
              </w:tabs>
              <w:spacing w:line="276" w:lineRule="auto"/>
              <w:ind w:left="530" w:hanging="540"/>
              <w:jc w:val="both"/>
              <w:rPr>
                <w:rFonts w:eastAsia="Aptos" w:cs="Arial"/>
                <w:i/>
                <w:iCs/>
              </w:rPr>
            </w:pPr>
            <w:r w:rsidRPr="00551AB2">
              <w:rPr>
                <w:rFonts w:eastAsia="Aptos" w:cs="Arial"/>
                <w:i/>
                <w:iCs/>
              </w:rPr>
              <w:t>R. v. Wigglesworth</w:t>
            </w:r>
            <w:r w:rsidRPr="00551AB2">
              <w:rPr>
                <w:rFonts w:eastAsia="Aptos" w:cs="Arial"/>
              </w:rPr>
              <w:t>, [1987] 2 S.C.R. 541 (Canada)</w:t>
            </w:r>
          </w:p>
        </w:tc>
        <w:tc>
          <w:tcPr>
            <w:tcW w:w="1848" w:type="dxa"/>
          </w:tcPr>
          <w:p w14:paraId="25DB3BA9" w14:textId="3A20665F" w:rsidR="00551AB2" w:rsidRPr="006D2915" w:rsidRDefault="0078045E"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21</w:t>
            </w:r>
          </w:p>
        </w:tc>
      </w:tr>
      <w:tr w:rsidR="00551AB2" w:rsidRPr="00551AB2" w14:paraId="1BBA4ECD" w14:textId="77777777" w:rsidTr="0053700A">
        <w:trPr>
          <w:gridAfter w:val="1"/>
          <w:wAfter w:w="7" w:type="dxa"/>
          <w:trHeight w:val="300"/>
        </w:trPr>
        <w:tc>
          <w:tcPr>
            <w:tcW w:w="7560" w:type="dxa"/>
          </w:tcPr>
          <w:p w14:paraId="38FF763D" w14:textId="77777777" w:rsidR="00551AB2" w:rsidRPr="00551AB2" w:rsidRDefault="00551AB2" w:rsidP="00551AB2">
            <w:pPr>
              <w:tabs>
                <w:tab w:val="left" w:pos="800"/>
                <w:tab w:val="left" w:pos="980"/>
              </w:tabs>
              <w:spacing w:line="276" w:lineRule="auto"/>
              <w:ind w:left="530" w:hanging="540"/>
              <w:jc w:val="both"/>
              <w:rPr>
                <w:rFonts w:eastAsia="Aptos" w:cs="Arial"/>
              </w:rPr>
            </w:pPr>
            <w:proofErr w:type="spellStart"/>
            <w:r w:rsidRPr="00551AB2">
              <w:rPr>
                <w:rFonts w:eastAsia="Aptos" w:cs="Arial"/>
                <w:i/>
                <w:iCs/>
              </w:rPr>
              <w:t>Sindona</w:t>
            </w:r>
            <w:proofErr w:type="spellEnd"/>
            <w:r w:rsidRPr="00551AB2">
              <w:rPr>
                <w:rFonts w:eastAsia="Aptos" w:cs="Arial"/>
                <w:i/>
                <w:iCs/>
              </w:rPr>
              <w:t xml:space="preserve"> v. Grant, </w:t>
            </w:r>
            <w:r w:rsidRPr="00551AB2">
              <w:rPr>
                <w:rFonts w:eastAsia="Aptos" w:cs="Arial"/>
              </w:rPr>
              <w:t>461 F. Supp. 199 (1978) (United States)</w:t>
            </w:r>
          </w:p>
        </w:tc>
        <w:tc>
          <w:tcPr>
            <w:tcW w:w="1848" w:type="dxa"/>
          </w:tcPr>
          <w:p w14:paraId="3B67E49E" w14:textId="4E88674E" w:rsidR="00551AB2" w:rsidRPr="006D2915" w:rsidRDefault="002D331C"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22</w:t>
            </w:r>
          </w:p>
        </w:tc>
      </w:tr>
      <w:tr w:rsidR="00551AB2" w:rsidRPr="00551AB2" w14:paraId="63E3AA21" w14:textId="77777777" w:rsidTr="0053700A">
        <w:trPr>
          <w:gridAfter w:val="1"/>
          <w:wAfter w:w="7" w:type="dxa"/>
          <w:trHeight w:val="300"/>
        </w:trPr>
        <w:tc>
          <w:tcPr>
            <w:tcW w:w="7560" w:type="dxa"/>
          </w:tcPr>
          <w:p w14:paraId="556DDA4D" w14:textId="77777777" w:rsidR="00551AB2" w:rsidRPr="00551AB2" w:rsidRDefault="00551AB2" w:rsidP="00551AB2">
            <w:pPr>
              <w:tabs>
                <w:tab w:val="left" w:pos="800"/>
                <w:tab w:val="left" w:pos="980"/>
              </w:tabs>
              <w:spacing w:line="276" w:lineRule="auto"/>
              <w:ind w:left="530" w:hanging="540"/>
              <w:jc w:val="both"/>
              <w:rPr>
                <w:rFonts w:eastAsia="Aptos" w:cs="Arial"/>
                <w:i/>
                <w:iCs/>
              </w:rPr>
            </w:pPr>
            <w:r w:rsidRPr="00551AB2">
              <w:rPr>
                <w:rFonts w:eastAsia="Aptos" w:cs="Arial"/>
                <w:i/>
                <w:iCs/>
              </w:rPr>
              <w:t xml:space="preserve">Standing Rock Sioux Tribe v U.S. Army Corps of Engineers, United States District Court, District of Columbia, </w:t>
            </w:r>
            <w:r w:rsidRPr="00551AB2">
              <w:rPr>
                <w:rFonts w:eastAsia="Aptos" w:cs="Arial"/>
              </w:rPr>
              <w:t>2018 WL 1385660 (United States)</w:t>
            </w:r>
          </w:p>
        </w:tc>
        <w:tc>
          <w:tcPr>
            <w:tcW w:w="1848" w:type="dxa"/>
          </w:tcPr>
          <w:p w14:paraId="725C8EEA" w14:textId="423FB0E4" w:rsidR="00551AB2" w:rsidRPr="006D2915" w:rsidRDefault="00AA5126"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8</w:t>
            </w:r>
          </w:p>
        </w:tc>
      </w:tr>
      <w:tr w:rsidR="00551AB2" w:rsidRPr="00551AB2" w14:paraId="7E63E78F" w14:textId="77777777" w:rsidTr="0053700A">
        <w:trPr>
          <w:gridAfter w:val="1"/>
          <w:wAfter w:w="7" w:type="dxa"/>
          <w:trHeight w:val="300"/>
        </w:trPr>
        <w:tc>
          <w:tcPr>
            <w:tcW w:w="7560" w:type="dxa"/>
          </w:tcPr>
          <w:p w14:paraId="3002AF3F"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i/>
                <w:iCs/>
                <w:lang w:val="fr-CA"/>
              </w:rPr>
              <w:lastRenderedPageBreak/>
              <w:t>Trendtex Trading Corporation v Central Bank of Nigeria</w:t>
            </w:r>
            <w:r w:rsidRPr="00551AB2">
              <w:rPr>
                <w:rFonts w:eastAsia="Aptos" w:cs="Arial"/>
                <w:lang w:val="fr-CA"/>
              </w:rPr>
              <w:t xml:space="preserve">, [1977] QB 52 (United </w:t>
            </w:r>
            <w:proofErr w:type="spellStart"/>
            <w:r w:rsidRPr="00551AB2">
              <w:rPr>
                <w:rFonts w:eastAsia="Aptos" w:cs="Arial"/>
                <w:lang w:val="fr-CA"/>
              </w:rPr>
              <w:t>Kingdom</w:t>
            </w:r>
            <w:proofErr w:type="spellEnd"/>
            <w:r w:rsidRPr="00551AB2">
              <w:rPr>
                <w:rFonts w:eastAsia="Aptos" w:cs="Arial"/>
                <w:lang w:val="fr-CA"/>
              </w:rPr>
              <w:t>)</w:t>
            </w:r>
          </w:p>
        </w:tc>
        <w:tc>
          <w:tcPr>
            <w:tcW w:w="1848" w:type="dxa"/>
          </w:tcPr>
          <w:p w14:paraId="7209D601" w14:textId="1BA34342" w:rsidR="00551AB2" w:rsidRPr="006D2915" w:rsidRDefault="00696C37"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26</w:t>
            </w:r>
            <w:r w:rsidR="003D2E6A">
              <w:rPr>
                <w:rFonts w:eastAsia="Times New Roman" w:cs="Times New Roman"/>
                <w:color w:val="000000" w:themeColor="text1"/>
                <w:kern w:val="0"/>
                <w:lang w:val="en-US" w:eastAsia="ja-JP"/>
                <w14:ligatures w14:val="none"/>
              </w:rPr>
              <w:t>, 27</w:t>
            </w:r>
          </w:p>
        </w:tc>
      </w:tr>
      <w:tr w:rsidR="00A5369C" w:rsidRPr="00551AB2" w14:paraId="54256E60" w14:textId="77777777" w:rsidTr="0053700A">
        <w:trPr>
          <w:gridAfter w:val="1"/>
          <w:wAfter w:w="7" w:type="dxa"/>
          <w:trHeight w:val="300"/>
        </w:trPr>
        <w:tc>
          <w:tcPr>
            <w:tcW w:w="7560" w:type="dxa"/>
          </w:tcPr>
          <w:p w14:paraId="03E267F3" w14:textId="54FBE10D" w:rsidR="00A5369C" w:rsidRPr="00551AB2" w:rsidRDefault="00A5369C" w:rsidP="00551AB2">
            <w:pPr>
              <w:tabs>
                <w:tab w:val="left" w:pos="800"/>
                <w:tab w:val="left" w:pos="980"/>
              </w:tabs>
              <w:spacing w:line="276" w:lineRule="auto"/>
              <w:ind w:left="530" w:hanging="540"/>
              <w:jc w:val="both"/>
              <w:rPr>
                <w:rFonts w:eastAsia="Aptos" w:cs="Arial"/>
                <w:i/>
                <w:iCs/>
                <w:lang w:val="fr-CA"/>
              </w:rPr>
            </w:pPr>
            <w:proofErr w:type="spellStart"/>
            <w:r w:rsidRPr="00436C4F">
              <w:rPr>
                <w:i/>
                <w:iCs/>
              </w:rPr>
              <w:t>Tsavliris</w:t>
            </w:r>
            <w:proofErr w:type="spellEnd"/>
            <w:r w:rsidRPr="00436C4F">
              <w:rPr>
                <w:i/>
                <w:iCs/>
              </w:rPr>
              <w:t xml:space="preserve"> Salvage International Ltd. v. The Grain Board </w:t>
            </w:r>
            <w:proofErr w:type="gramStart"/>
            <w:r w:rsidRPr="00436C4F">
              <w:rPr>
                <w:i/>
                <w:iCs/>
              </w:rPr>
              <w:t>Of</w:t>
            </w:r>
            <w:proofErr w:type="gramEnd"/>
            <w:r w:rsidRPr="00436C4F">
              <w:rPr>
                <w:i/>
                <w:iCs/>
              </w:rPr>
              <w:t xml:space="preserve"> Iraq</w:t>
            </w:r>
            <w:r>
              <w:t>, [2008] EWHC 612 (Judgement of the High Court of Justice of England and Wales)</w:t>
            </w:r>
          </w:p>
        </w:tc>
        <w:tc>
          <w:tcPr>
            <w:tcW w:w="1848" w:type="dxa"/>
          </w:tcPr>
          <w:p w14:paraId="1FBA9651" w14:textId="32180F0D" w:rsidR="00A5369C" w:rsidRDefault="00A5369C"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27</w:t>
            </w:r>
          </w:p>
        </w:tc>
      </w:tr>
      <w:tr w:rsidR="0040050D" w:rsidRPr="00551AB2" w14:paraId="7E02E7B4" w14:textId="77777777" w:rsidTr="0053700A">
        <w:trPr>
          <w:gridAfter w:val="1"/>
          <w:wAfter w:w="7" w:type="dxa"/>
          <w:trHeight w:val="300"/>
        </w:trPr>
        <w:tc>
          <w:tcPr>
            <w:tcW w:w="7560" w:type="dxa"/>
          </w:tcPr>
          <w:p w14:paraId="388DD5E4" w14:textId="77777777" w:rsidR="0040050D" w:rsidRPr="00551AB2" w:rsidRDefault="0040050D" w:rsidP="00551AB2">
            <w:pPr>
              <w:tabs>
                <w:tab w:val="left" w:pos="800"/>
                <w:tab w:val="left" w:pos="980"/>
              </w:tabs>
              <w:spacing w:line="276" w:lineRule="auto"/>
              <w:ind w:left="530" w:hanging="540"/>
              <w:jc w:val="both"/>
              <w:rPr>
                <w:rFonts w:eastAsia="Aptos" w:cs="Arial"/>
                <w:i/>
                <w:iCs/>
                <w:lang w:val="fr-CA"/>
              </w:rPr>
            </w:pPr>
          </w:p>
        </w:tc>
        <w:tc>
          <w:tcPr>
            <w:tcW w:w="1848" w:type="dxa"/>
          </w:tcPr>
          <w:p w14:paraId="345362D2" w14:textId="77777777" w:rsidR="0040050D" w:rsidRPr="006D2915" w:rsidRDefault="0040050D" w:rsidP="00551AB2">
            <w:pPr>
              <w:tabs>
                <w:tab w:val="left" w:pos="800"/>
                <w:tab w:val="left" w:pos="980"/>
              </w:tabs>
              <w:spacing w:line="276" w:lineRule="auto"/>
              <w:jc w:val="right"/>
              <w:rPr>
                <w:rFonts w:eastAsia="Times New Roman" w:cs="Times New Roman"/>
                <w:color w:val="000000" w:themeColor="text1"/>
                <w:kern w:val="0"/>
                <w:lang w:val="en-US" w:eastAsia="ja-JP"/>
                <w14:ligatures w14:val="none"/>
              </w:rPr>
            </w:pPr>
          </w:p>
        </w:tc>
      </w:tr>
      <w:tr w:rsidR="00551AB2" w:rsidRPr="00551AB2" w14:paraId="6A347B4B" w14:textId="77777777" w:rsidTr="0053700A">
        <w:trPr>
          <w:trHeight w:val="300"/>
        </w:trPr>
        <w:tc>
          <w:tcPr>
            <w:tcW w:w="9415" w:type="dxa"/>
            <w:gridSpan w:val="3"/>
          </w:tcPr>
          <w:p w14:paraId="59B75B40" w14:textId="77777777" w:rsidR="00551AB2" w:rsidRPr="006D2915" w:rsidRDefault="00551AB2" w:rsidP="00551AB2">
            <w:pPr>
              <w:tabs>
                <w:tab w:val="left" w:pos="800"/>
                <w:tab w:val="left" w:pos="980"/>
              </w:tabs>
              <w:spacing w:line="276" w:lineRule="auto"/>
              <w:jc w:val="both"/>
              <w:rPr>
                <w:rFonts w:eastAsia="Times New Roman" w:cs="Times New Roman"/>
                <w:b/>
                <w:color w:val="000000" w:themeColor="text1"/>
                <w:kern w:val="0"/>
                <w:lang w:val="en-US" w:eastAsia="ja-JP"/>
                <w14:ligatures w14:val="none"/>
              </w:rPr>
            </w:pPr>
            <w:r w:rsidRPr="006D2915">
              <w:rPr>
                <w:rFonts w:eastAsia="Merriweather" w:cs="Times New Roman"/>
                <w:b/>
                <w:color w:val="000000" w:themeColor="text1"/>
                <w:kern w:val="0"/>
                <w:lang w:val="en-US" w:eastAsia="ja-JP"/>
                <w14:ligatures w14:val="none"/>
              </w:rPr>
              <w:t>DOMESTIC LAWS</w:t>
            </w:r>
          </w:p>
        </w:tc>
      </w:tr>
      <w:tr w:rsidR="00551AB2" w:rsidRPr="00551AB2" w14:paraId="4126A726" w14:textId="77777777" w:rsidTr="0053700A">
        <w:trPr>
          <w:gridAfter w:val="1"/>
          <w:wAfter w:w="7" w:type="dxa"/>
          <w:trHeight w:val="300"/>
        </w:trPr>
        <w:tc>
          <w:tcPr>
            <w:tcW w:w="7560" w:type="dxa"/>
          </w:tcPr>
          <w:p w14:paraId="7A6ACC4D" w14:textId="77777777" w:rsidR="00551AB2" w:rsidRPr="00551AB2" w:rsidRDefault="00551AB2" w:rsidP="00551AB2">
            <w:pPr>
              <w:tabs>
                <w:tab w:val="left" w:pos="800"/>
                <w:tab w:val="left" w:pos="980"/>
              </w:tabs>
              <w:spacing w:line="276" w:lineRule="auto"/>
              <w:ind w:left="530" w:hanging="540"/>
              <w:rPr>
                <w:rFonts w:eastAsia="Aptos" w:cs="Arial"/>
                <w:color w:val="000000"/>
              </w:rPr>
            </w:pPr>
            <w:r w:rsidRPr="00551AB2">
              <w:rPr>
                <w:rFonts w:eastAsia="Aptos" w:cs="Arial"/>
              </w:rPr>
              <w:t>Act on the Civil Jurisdiction of Japan with respect to Foreign States, 2009, No. 24 (Japan)</w:t>
            </w:r>
          </w:p>
        </w:tc>
        <w:tc>
          <w:tcPr>
            <w:tcW w:w="1848" w:type="dxa"/>
          </w:tcPr>
          <w:p w14:paraId="6E2CA0ED" w14:textId="2B16E08F"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3F5BEAB4" w14:textId="77777777" w:rsidTr="0053700A">
        <w:trPr>
          <w:gridAfter w:val="1"/>
          <w:wAfter w:w="7" w:type="dxa"/>
          <w:trHeight w:val="300"/>
        </w:trPr>
        <w:tc>
          <w:tcPr>
            <w:tcW w:w="7560" w:type="dxa"/>
          </w:tcPr>
          <w:p w14:paraId="02E72ACF"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rPr>
              <w:t>Basic Law of the Federal Republic of Germany [</w:t>
            </w:r>
            <w:proofErr w:type="spellStart"/>
            <w:r w:rsidRPr="00551AB2">
              <w:rPr>
                <w:rFonts w:eastAsia="Aptos" w:cs="Arial"/>
              </w:rPr>
              <w:t>Grundgesetz</w:t>
            </w:r>
            <w:proofErr w:type="spellEnd"/>
            <w:r w:rsidRPr="00551AB2">
              <w:rPr>
                <w:rFonts w:eastAsia="Aptos" w:cs="Arial"/>
              </w:rPr>
              <w:t xml:space="preserve"> für die </w:t>
            </w:r>
            <w:proofErr w:type="spellStart"/>
            <w:r w:rsidRPr="00551AB2">
              <w:rPr>
                <w:rFonts w:eastAsia="Aptos" w:cs="Arial"/>
              </w:rPr>
              <w:t>Bundesrepublik</w:t>
            </w:r>
            <w:proofErr w:type="spellEnd"/>
            <w:r w:rsidRPr="00551AB2">
              <w:rPr>
                <w:rFonts w:eastAsia="Aptos" w:cs="Arial"/>
              </w:rPr>
              <w:t xml:space="preserve"> Deutschland], 23 May 1949, </w:t>
            </w:r>
            <w:proofErr w:type="spellStart"/>
            <w:r w:rsidRPr="00551AB2">
              <w:rPr>
                <w:rFonts w:eastAsia="Aptos" w:cs="Arial"/>
              </w:rPr>
              <w:t>BGBl</w:t>
            </w:r>
            <w:proofErr w:type="spellEnd"/>
            <w:r w:rsidRPr="00551AB2">
              <w:rPr>
                <w:rFonts w:eastAsia="Aptos" w:cs="Arial"/>
              </w:rPr>
              <w:t xml:space="preserve"> I (Germany)</w:t>
            </w:r>
          </w:p>
        </w:tc>
        <w:tc>
          <w:tcPr>
            <w:tcW w:w="1848" w:type="dxa"/>
          </w:tcPr>
          <w:p w14:paraId="7961FE0B" w14:textId="66D25A7D" w:rsidR="00551AB2" w:rsidRPr="006D2915" w:rsidRDefault="00E96456"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17</w:t>
            </w:r>
          </w:p>
        </w:tc>
      </w:tr>
      <w:tr w:rsidR="00551AB2" w:rsidRPr="00551AB2" w14:paraId="720468F9" w14:textId="77777777" w:rsidTr="0053700A">
        <w:trPr>
          <w:gridAfter w:val="1"/>
          <w:wAfter w:w="7" w:type="dxa"/>
          <w:trHeight w:val="300"/>
        </w:trPr>
        <w:tc>
          <w:tcPr>
            <w:tcW w:w="7560" w:type="dxa"/>
          </w:tcPr>
          <w:p w14:paraId="4447CBCA"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Bharatiya Nagarik Suraksha Sanhita (BNSS), 2023 (India)</w:t>
            </w:r>
          </w:p>
        </w:tc>
        <w:tc>
          <w:tcPr>
            <w:tcW w:w="1848" w:type="dxa"/>
          </w:tcPr>
          <w:p w14:paraId="1161DA67" w14:textId="21F3625F" w:rsidR="00551AB2" w:rsidRPr="006D2915" w:rsidRDefault="0078045E"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21</w:t>
            </w:r>
          </w:p>
        </w:tc>
      </w:tr>
      <w:tr w:rsidR="00551AB2" w:rsidRPr="00551AB2" w14:paraId="1B38C26B" w14:textId="77777777" w:rsidTr="0053700A">
        <w:trPr>
          <w:gridAfter w:val="1"/>
          <w:wAfter w:w="7" w:type="dxa"/>
          <w:trHeight w:val="300"/>
        </w:trPr>
        <w:tc>
          <w:tcPr>
            <w:tcW w:w="7560" w:type="dxa"/>
          </w:tcPr>
          <w:p w14:paraId="2E3C0435"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i/>
              </w:rPr>
              <w:t>Canadian Charter of Rights and Freedoms</w:t>
            </w:r>
            <w:r w:rsidRPr="00551AB2">
              <w:rPr>
                <w:rFonts w:eastAsia="Aptos" w:cs="Arial"/>
              </w:rPr>
              <w:t>, Part 1 of the Constitution Act, 1982 (Canada)</w:t>
            </w:r>
          </w:p>
        </w:tc>
        <w:tc>
          <w:tcPr>
            <w:tcW w:w="1848" w:type="dxa"/>
          </w:tcPr>
          <w:p w14:paraId="4F7A205F" w14:textId="018B547C" w:rsidR="00551AB2" w:rsidRPr="006D2915" w:rsidRDefault="0086474F"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17</w:t>
            </w:r>
          </w:p>
        </w:tc>
      </w:tr>
      <w:tr w:rsidR="00551AB2" w:rsidRPr="00551AB2" w14:paraId="43EB8C01" w14:textId="77777777" w:rsidTr="0053700A">
        <w:trPr>
          <w:gridAfter w:val="1"/>
          <w:wAfter w:w="7" w:type="dxa"/>
          <w:trHeight w:val="300"/>
        </w:trPr>
        <w:tc>
          <w:tcPr>
            <w:tcW w:w="7560" w:type="dxa"/>
          </w:tcPr>
          <w:p w14:paraId="6B87378B"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rPr>
              <w:t>Constitution of India, 1950 (India)</w:t>
            </w:r>
          </w:p>
        </w:tc>
        <w:tc>
          <w:tcPr>
            <w:tcW w:w="1848" w:type="dxa"/>
          </w:tcPr>
          <w:p w14:paraId="3D6AC3EF" w14:textId="59BEC947" w:rsidR="00551AB2" w:rsidRPr="006D2915" w:rsidRDefault="00E96456"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1C6D5A">
              <w:rPr>
                <w:rFonts w:eastAsia="Times New Roman" w:cs="Times New Roman"/>
                <w:color w:val="000000" w:themeColor="text1"/>
                <w:kern w:val="0"/>
                <w:lang w:val="en-US" w:eastAsia="ja-JP"/>
                <w14:ligatures w14:val="none"/>
              </w:rPr>
              <w:t>8</w:t>
            </w:r>
          </w:p>
        </w:tc>
      </w:tr>
      <w:tr w:rsidR="00551AB2" w:rsidRPr="00551AB2" w14:paraId="4554CFE7" w14:textId="77777777" w:rsidTr="0053700A">
        <w:trPr>
          <w:gridAfter w:val="1"/>
          <w:wAfter w:w="7" w:type="dxa"/>
          <w:trHeight w:val="300"/>
        </w:trPr>
        <w:tc>
          <w:tcPr>
            <w:tcW w:w="7560" w:type="dxa"/>
          </w:tcPr>
          <w:p w14:paraId="3E66D695"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rPr>
              <w:t>Constitution of Japan [</w:t>
            </w:r>
            <w:proofErr w:type="spellStart"/>
            <w:r w:rsidRPr="00551AB2">
              <w:rPr>
                <w:rFonts w:eastAsia="Aptos" w:cs="Arial"/>
              </w:rPr>
              <w:t>Nihonkoku</w:t>
            </w:r>
            <w:proofErr w:type="spellEnd"/>
            <w:r w:rsidRPr="00551AB2">
              <w:rPr>
                <w:rFonts w:eastAsia="Aptos" w:cs="Arial"/>
              </w:rPr>
              <w:t xml:space="preserve"> </w:t>
            </w:r>
            <w:proofErr w:type="spellStart"/>
            <w:r w:rsidRPr="00551AB2">
              <w:rPr>
                <w:rFonts w:eastAsia="Aptos" w:cs="Arial"/>
              </w:rPr>
              <w:t>Kenpō</w:t>
            </w:r>
            <w:proofErr w:type="spellEnd"/>
            <w:r w:rsidRPr="00551AB2">
              <w:rPr>
                <w:rFonts w:eastAsia="Aptos" w:cs="Arial"/>
              </w:rPr>
              <w:t>], 1947 (Japan)</w:t>
            </w:r>
          </w:p>
        </w:tc>
        <w:tc>
          <w:tcPr>
            <w:tcW w:w="1848" w:type="dxa"/>
          </w:tcPr>
          <w:p w14:paraId="0A42F244" w14:textId="281E0E6B" w:rsidR="00551AB2" w:rsidRPr="006D2915" w:rsidRDefault="001D0601"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17</w:t>
            </w:r>
          </w:p>
        </w:tc>
      </w:tr>
      <w:tr w:rsidR="00551AB2" w:rsidRPr="00551AB2" w14:paraId="55AE6729" w14:textId="77777777" w:rsidTr="0053700A">
        <w:trPr>
          <w:gridAfter w:val="1"/>
          <w:wAfter w:w="7" w:type="dxa"/>
          <w:trHeight w:val="300"/>
        </w:trPr>
        <w:tc>
          <w:tcPr>
            <w:tcW w:w="7560" w:type="dxa"/>
          </w:tcPr>
          <w:p w14:paraId="61B8A968"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Constitution of the Islamic Republic of Pakistan</w:t>
            </w:r>
            <w:r w:rsidRPr="00551AB2">
              <w:rPr>
                <w:rFonts w:eastAsia="Aptos" w:cs="Arial"/>
                <w:i/>
              </w:rPr>
              <w:t xml:space="preserve">, </w:t>
            </w:r>
            <w:r w:rsidRPr="00551AB2">
              <w:rPr>
                <w:rFonts w:eastAsia="Aptos" w:cs="Arial"/>
                <w:iCs/>
              </w:rPr>
              <w:t>1973 (Pakistan)</w:t>
            </w:r>
          </w:p>
        </w:tc>
        <w:tc>
          <w:tcPr>
            <w:tcW w:w="1848" w:type="dxa"/>
          </w:tcPr>
          <w:p w14:paraId="0447E87B" w14:textId="37A5CFF0" w:rsidR="00551AB2" w:rsidRPr="006D2915" w:rsidRDefault="0038551C"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1C6D5A">
              <w:rPr>
                <w:rFonts w:eastAsia="Times New Roman" w:cs="Times New Roman"/>
                <w:color w:val="000000" w:themeColor="text1"/>
                <w:kern w:val="0"/>
                <w:lang w:val="en-US" w:eastAsia="ja-JP"/>
                <w14:ligatures w14:val="none"/>
              </w:rPr>
              <w:t>8</w:t>
            </w:r>
          </w:p>
        </w:tc>
      </w:tr>
      <w:tr w:rsidR="00551AB2" w:rsidRPr="00551AB2" w14:paraId="2D63CE4B" w14:textId="77777777" w:rsidTr="0053700A">
        <w:trPr>
          <w:gridAfter w:val="1"/>
          <w:wAfter w:w="7" w:type="dxa"/>
          <w:trHeight w:val="300"/>
        </w:trPr>
        <w:tc>
          <w:tcPr>
            <w:tcW w:w="7560" w:type="dxa"/>
          </w:tcPr>
          <w:p w14:paraId="1EB87DBE"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rPr>
              <w:t>Constitution of the Republic of South Africa, 1996 (South Africa)</w:t>
            </w:r>
          </w:p>
        </w:tc>
        <w:tc>
          <w:tcPr>
            <w:tcW w:w="1848" w:type="dxa"/>
          </w:tcPr>
          <w:p w14:paraId="26BCA071" w14:textId="69344C08" w:rsidR="00551AB2" w:rsidRPr="006D2915" w:rsidRDefault="00517018"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D32D6C">
              <w:rPr>
                <w:rFonts w:eastAsia="Times New Roman" w:cs="Times New Roman"/>
                <w:color w:val="000000" w:themeColor="text1"/>
                <w:kern w:val="0"/>
                <w:lang w:val="en-US" w:eastAsia="ja-JP"/>
                <w14:ligatures w14:val="none"/>
              </w:rPr>
              <w:t>8</w:t>
            </w:r>
          </w:p>
        </w:tc>
      </w:tr>
      <w:tr w:rsidR="00551AB2" w:rsidRPr="00551AB2" w14:paraId="582BB012" w14:textId="77777777" w:rsidTr="0053700A">
        <w:trPr>
          <w:gridAfter w:val="1"/>
          <w:wAfter w:w="7" w:type="dxa"/>
          <w:trHeight w:val="300"/>
        </w:trPr>
        <w:tc>
          <w:tcPr>
            <w:tcW w:w="7560" w:type="dxa"/>
          </w:tcPr>
          <w:p w14:paraId="68EDD269"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Crimes (Appeal and Review) Act 2001 No 120 (Australia)</w:t>
            </w:r>
          </w:p>
        </w:tc>
        <w:tc>
          <w:tcPr>
            <w:tcW w:w="1848" w:type="dxa"/>
          </w:tcPr>
          <w:p w14:paraId="06ADE4B5" w14:textId="311A5F93" w:rsidR="00551AB2" w:rsidRPr="006D2915" w:rsidRDefault="00053FB1"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18</w:t>
            </w:r>
          </w:p>
        </w:tc>
      </w:tr>
      <w:tr w:rsidR="00551AB2" w:rsidRPr="00551AB2" w14:paraId="487B8FAE" w14:textId="77777777" w:rsidTr="0053700A">
        <w:trPr>
          <w:gridAfter w:val="1"/>
          <w:wAfter w:w="7" w:type="dxa"/>
          <w:trHeight w:val="300"/>
        </w:trPr>
        <w:tc>
          <w:tcPr>
            <w:tcW w:w="7560" w:type="dxa"/>
          </w:tcPr>
          <w:p w14:paraId="1F0E84D9"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Criminal Code [</w:t>
            </w:r>
            <w:proofErr w:type="spellStart"/>
            <w:r w:rsidRPr="00551AB2">
              <w:rPr>
                <w:rFonts w:eastAsia="Aptos" w:cs="Arial"/>
              </w:rPr>
              <w:t>Wetboek</w:t>
            </w:r>
            <w:proofErr w:type="spellEnd"/>
            <w:r w:rsidRPr="00551AB2">
              <w:rPr>
                <w:rFonts w:eastAsia="Aptos" w:cs="Arial"/>
              </w:rPr>
              <w:t xml:space="preserve"> van </w:t>
            </w:r>
            <w:proofErr w:type="spellStart"/>
            <w:r w:rsidRPr="00551AB2">
              <w:rPr>
                <w:rFonts w:eastAsia="Aptos" w:cs="Arial"/>
              </w:rPr>
              <w:t>Strafrecht</w:t>
            </w:r>
            <w:proofErr w:type="spellEnd"/>
            <w:r w:rsidRPr="00551AB2">
              <w:rPr>
                <w:rFonts w:eastAsia="Aptos" w:cs="Arial"/>
              </w:rPr>
              <w:t>], 1881 (Netherlands)</w:t>
            </w:r>
          </w:p>
        </w:tc>
        <w:tc>
          <w:tcPr>
            <w:tcW w:w="1848" w:type="dxa"/>
          </w:tcPr>
          <w:p w14:paraId="0B0B384D" w14:textId="7F7FA58B" w:rsidR="00551AB2" w:rsidRPr="006D2915" w:rsidRDefault="003C0367"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27645E">
              <w:rPr>
                <w:rFonts w:eastAsia="Times New Roman" w:cs="Times New Roman"/>
                <w:color w:val="000000" w:themeColor="text1"/>
                <w:kern w:val="0"/>
                <w:lang w:val="en-US" w:eastAsia="ja-JP"/>
                <w14:ligatures w14:val="none"/>
              </w:rPr>
              <w:t>8</w:t>
            </w:r>
          </w:p>
        </w:tc>
      </w:tr>
      <w:tr w:rsidR="00551AB2" w:rsidRPr="00551AB2" w14:paraId="612DDF3B" w14:textId="77777777" w:rsidTr="0053700A">
        <w:trPr>
          <w:gridAfter w:val="1"/>
          <w:wAfter w:w="7" w:type="dxa"/>
          <w:trHeight w:val="300"/>
        </w:trPr>
        <w:tc>
          <w:tcPr>
            <w:tcW w:w="7560" w:type="dxa"/>
          </w:tcPr>
          <w:p w14:paraId="4743D868"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Criminal Justice Act, 2003, c 44 (United Kingdom)</w:t>
            </w:r>
          </w:p>
        </w:tc>
        <w:tc>
          <w:tcPr>
            <w:tcW w:w="1848" w:type="dxa"/>
          </w:tcPr>
          <w:p w14:paraId="10D1F197" w14:textId="0C629460" w:rsidR="00551AB2" w:rsidRPr="006D2915" w:rsidRDefault="00F41D3E"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744BC0">
              <w:rPr>
                <w:rFonts w:eastAsia="Times New Roman" w:cs="Times New Roman"/>
                <w:color w:val="000000" w:themeColor="text1"/>
                <w:kern w:val="0"/>
                <w:lang w:val="en-US" w:eastAsia="ja-JP"/>
                <w14:ligatures w14:val="none"/>
              </w:rPr>
              <w:t>8</w:t>
            </w:r>
          </w:p>
        </w:tc>
      </w:tr>
      <w:tr w:rsidR="00551AB2" w:rsidRPr="00551AB2" w14:paraId="6CD34495" w14:textId="77777777" w:rsidTr="0053700A">
        <w:trPr>
          <w:gridAfter w:val="1"/>
          <w:wAfter w:w="7" w:type="dxa"/>
          <w:trHeight w:val="300"/>
        </w:trPr>
        <w:tc>
          <w:tcPr>
            <w:tcW w:w="7560" w:type="dxa"/>
          </w:tcPr>
          <w:p w14:paraId="37D9CF2C" w14:textId="77777777" w:rsidR="00551AB2" w:rsidRPr="00551AB2" w:rsidRDefault="00551AB2" w:rsidP="00551AB2">
            <w:pPr>
              <w:tabs>
                <w:tab w:val="left" w:pos="800"/>
                <w:tab w:val="left" w:pos="980"/>
              </w:tabs>
              <w:spacing w:line="276" w:lineRule="auto"/>
              <w:ind w:left="530" w:hanging="540"/>
              <w:rPr>
                <w:rFonts w:eastAsia="Aptos" w:cs="Arial"/>
              </w:rPr>
            </w:pPr>
            <w:r w:rsidRPr="00551AB2">
              <w:rPr>
                <w:rFonts w:eastAsia="Aptos" w:cs="Arial"/>
              </w:rPr>
              <w:t>Federal Law of the Russian Federation, 2015, 297-FZ (Russia)</w:t>
            </w:r>
          </w:p>
        </w:tc>
        <w:tc>
          <w:tcPr>
            <w:tcW w:w="1848" w:type="dxa"/>
          </w:tcPr>
          <w:p w14:paraId="39EDA4AD" w14:textId="733175AC"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4749F52B" w14:textId="77777777" w:rsidTr="0053700A">
        <w:trPr>
          <w:gridAfter w:val="1"/>
          <w:wAfter w:w="7" w:type="dxa"/>
          <w:trHeight w:val="300"/>
        </w:trPr>
        <w:tc>
          <w:tcPr>
            <w:tcW w:w="7560" w:type="dxa"/>
          </w:tcPr>
          <w:p w14:paraId="7FFAE9C2" w14:textId="77777777" w:rsidR="00551AB2" w:rsidRPr="00551AB2" w:rsidRDefault="00551AB2" w:rsidP="00551AB2">
            <w:pPr>
              <w:tabs>
                <w:tab w:val="left" w:pos="800"/>
                <w:tab w:val="left" w:pos="980"/>
              </w:tabs>
              <w:spacing w:line="276" w:lineRule="auto"/>
              <w:ind w:left="530" w:hanging="540"/>
              <w:jc w:val="both"/>
              <w:rPr>
                <w:rFonts w:eastAsia="Aptos" w:cs="Arial"/>
                <w:i/>
                <w:lang w:val="fr-CA"/>
              </w:rPr>
            </w:pPr>
            <w:r w:rsidRPr="00551AB2">
              <w:rPr>
                <w:rFonts w:eastAsia="Aptos" w:cs="Arial"/>
                <w:color w:val="000000"/>
              </w:rPr>
              <w:t>Foreign Sovereign Immunities Act, 1976 (United States)</w:t>
            </w:r>
          </w:p>
        </w:tc>
        <w:tc>
          <w:tcPr>
            <w:tcW w:w="1848" w:type="dxa"/>
          </w:tcPr>
          <w:p w14:paraId="57E6AB64" w14:textId="5C96E07A" w:rsidR="00551AB2" w:rsidRPr="006D2915" w:rsidRDefault="00C15BEA"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28</w:t>
            </w:r>
          </w:p>
        </w:tc>
      </w:tr>
      <w:tr w:rsidR="00551AB2" w:rsidRPr="00551AB2" w14:paraId="18999D85" w14:textId="77777777" w:rsidTr="0053700A">
        <w:trPr>
          <w:gridAfter w:val="1"/>
          <w:wAfter w:w="7" w:type="dxa"/>
          <w:trHeight w:val="300"/>
        </w:trPr>
        <w:tc>
          <w:tcPr>
            <w:tcW w:w="7560" w:type="dxa"/>
          </w:tcPr>
          <w:p w14:paraId="7B4F444A" w14:textId="77777777" w:rsidR="00551AB2" w:rsidRPr="00551AB2" w:rsidRDefault="00551AB2" w:rsidP="00551AB2">
            <w:pPr>
              <w:tabs>
                <w:tab w:val="left" w:pos="800"/>
                <w:tab w:val="left" w:pos="980"/>
              </w:tabs>
              <w:spacing w:line="276" w:lineRule="auto"/>
              <w:ind w:left="530" w:hanging="540"/>
              <w:rPr>
                <w:rFonts w:eastAsia="Aptos" w:cs="Arial"/>
              </w:rPr>
            </w:pPr>
            <w:r w:rsidRPr="00551AB2">
              <w:rPr>
                <w:rFonts w:eastAsia="Aptos" w:cs="Arial"/>
              </w:rPr>
              <w:t>Foreign State Immunity Law (China)</w:t>
            </w:r>
          </w:p>
        </w:tc>
        <w:tc>
          <w:tcPr>
            <w:tcW w:w="1848" w:type="dxa"/>
          </w:tcPr>
          <w:p w14:paraId="2AFBCAA3" w14:textId="4B4A7615"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5FE239A5" w14:textId="77777777" w:rsidTr="0053700A">
        <w:trPr>
          <w:gridAfter w:val="1"/>
          <w:wAfter w:w="7" w:type="dxa"/>
          <w:trHeight w:val="300"/>
        </w:trPr>
        <w:tc>
          <w:tcPr>
            <w:tcW w:w="7560" w:type="dxa"/>
          </w:tcPr>
          <w:p w14:paraId="583CA3AC" w14:textId="77777777" w:rsidR="00551AB2" w:rsidRPr="00551AB2" w:rsidRDefault="00551AB2" w:rsidP="00551AB2">
            <w:pPr>
              <w:tabs>
                <w:tab w:val="left" w:pos="800"/>
                <w:tab w:val="left" w:pos="980"/>
              </w:tabs>
              <w:spacing w:line="276" w:lineRule="auto"/>
              <w:ind w:left="530" w:hanging="540"/>
              <w:rPr>
                <w:rFonts w:eastAsia="Aptos" w:cs="Arial"/>
              </w:rPr>
            </w:pPr>
            <w:r w:rsidRPr="00551AB2">
              <w:rPr>
                <w:rFonts w:eastAsia="Aptos" w:cs="Arial"/>
                <w:color w:val="000000"/>
              </w:rPr>
              <w:t>Foreign States Immunities Act, 1981 (South Africa)</w:t>
            </w:r>
          </w:p>
        </w:tc>
        <w:tc>
          <w:tcPr>
            <w:tcW w:w="1848" w:type="dxa"/>
          </w:tcPr>
          <w:p w14:paraId="295FEBB5" w14:textId="7197F5F4"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5DFA52D3" w14:textId="77777777" w:rsidTr="0053700A">
        <w:trPr>
          <w:gridAfter w:val="1"/>
          <w:wAfter w:w="7" w:type="dxa"/>
          <w:trHeight w:val="300"/>
        </w:trPr>
        <w:tc>
          <w:tcPr>
            <w:tcW w:w="7560" w:type="dxa"/>
          </w:tcPr>
          <w:p w14:paraId="04CA664E" w14:textId="77777777" w:rsidR="00551AB2" w:rsidRPr="00551AB2" w:rsidRDefault="00551AB2" w:rsidP="00551AB2">
            <w:pPr>
              <w:tabs>
                <w:tab w:val="left" w:pos="800"/>
                <w:tab w:val="left" w:pos="980"/>
              </w:tabs>
              <w:spacing w:line="276" w:lineRule="auto"/>
              <w:ind w:left="530" w:hanging="540"/>
              <w:rPr>
                <w:rFonts w:eastAsia="Aptos" w:cs="Arial"/>
              </w:rPr>
            </w:pPr>
            <w:r w:rsidRPr="00551AB2">
              <w:rPr>
                <w:rFonts w:eastAsia="Aptos" w:cs="Arial"/>
                <w:color w:val="000000"/>
              </w:rPr>
              <w:t>Foreign States Immunities Act, 1985, No. 196 (Australia)</w:t>
            </w:r>
          </w:p>
        </w:tc>
        <w:tc>
          <w:tcPr>
            <w:tcW w:w="1848" w:type="dxa"/>
          </w:tcPr>
          <w:p w14:paraId="63C37F5F" w14:textId="5DECE2B2" w:rsidR="00551AB2" w:rsidRPr="006D2915" w:rsidRDefault="00C15BEA"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07672F4D" w14:textId="77777777" w:rsidTr="0053700A">
        <w:trPr>
          <w:gridAfter w:val="1"/>
          <w:wAfter w:w="7" w:type="dxa"/>
          <w:trHeight w:val="300"/>
        </w:trPr>
        <w:tc>
          <w:tcPr>
            <w:tcW w:w="7560" w:type="dxa"/>
          </w:tcPr>
          <w:p w14:paraId="67485765" w14:textId="77777777" w:rsidR="00551AB2" w:rsidRPr="00551AB2" w:rsidRDefault="00551AB2" w:rsidP="00551AB2">
            <w:pPr>
              <w:tabs>
                <w:tab w:val="left" w:pos="800"/>
                <w:tab w:val="left" w:pos="980"/>
              </w:tabs>
              <w:spacing w:line="276" w:lineRule="auto"/>
              <w:ind w:left="530" w:hanging="540"/>
              <w:rPr>
                <w:rFonts w:eastAsia="Aptos" w:cs="Arial"/>
                <w:color w:val="000000"/>
              </w:rPr>
            </w:pPr>
            <w:r w:rsidRPr="00551AB2">
              <w:rPr>
                <w:rFonts w:eastAsia="Aptos" w:cs="Arial"/>
              </w:rPr>
              <w:t>Foreign States Immunity Law, 2009, 5769-2008 (Israel)</w:t>
            </w:r>
          </w:p>
        </w:tc>
        <w:tc>
          <w:tcPr>
            <w:tcW w:w="1848" w:type="dxa"/>
          </w:tcPr>
          <w:p w14:paraId="5D4DA95D" w14:textId="605FFD07"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232CF68D" w14:textId="77777777" w:rsidTr="0053700A">
        <w:trPr>
          <w:gridAfter w:val="1"/>
          <w:wAfter w:w="7" w:type="dxa"/>
          <w:trHeight w:val="300"/>
        </w:trPr>
        <w:tc>
          <w:tcPr>
            <w:tcW w:w="7560" w:type="dxa"/>
          </w:tcPr>
          <w:p w14:paraId="1C8E60A3" w14:textId="77777777" w:rsidR="00551AB2" w:rsidRPr="00551AB2" w:rsidRDefault="00551AB2" w:rsidP="00551AB2">
            <w:pPr>
              <w:tabs>
                <w:tab w:val="left" w:pos="800"/>
                <w:tab w:val="left" w:pos="980"/>
              </w:tabs>
              <w:spacing w:line="276" w:lineRule="auto"/>
              <w:ind w:left="530" w:hanging="540"/>
              <w:rPr>
                <w:rFonts w:eastAsia="Aptos" w:cs="Arial"/>
              </w:rPr>
            </w:pPr>
            <w:r w:rsidRPr="00551AB2">
              <w:rPr>
                <w:rFonts w:eastAsia="Aptos" w:cs="Arial"/>
              </w:rPr>
              <w:t>Jurisdictional Immunities of Foreign States Act, 2024, Act 853 (Malaysia)</w:t>
            </w:r>
          </w:p>
        </w:tc>
        <w:tc>
          <w:tcPr>
            <w:tcW w:w="1848" w:type="dxa"/>
          </w:tcPr>
          <w:p w14:paraId="1D1E0184" w14:textId="795E590A"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47A35743" w14:textId="77777777" w:rsidTr="0053700A">
        <w:trPr>
          <w:gridAfter w:val="1"/>
          <w:wAfter w:w="7" w:type="dxa"/>
          <w:trHeight w:val="300"/>
        </w:trPr>
        <w:tc>
          <w:tcPr>
            <w:tcW w:w="7560" w:type="dxa"/>
          </w:tcPr>
          <w:p w14:paraId="0EFB51A6"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 xml:space="preserve">Political Constitution of the United Mexican States [Constitución Política de </w:t>
            </w:r>
            <w:proofErr w:type="spellStart"/>
            <w:r w:rsidRPr="00551AB2">
              <w:rPr>
                <w:rFonts w:eastAsia="Aptos" w:cs="Arial"/>
              </w:rPr>
              <w:t>los</w:t>
            </w:r>
            <w:proofErr w:type="spellEnd"/>
            <w:r w:rsidRPr="00551AB2">
              <w:rPr>
                <w:rFonts w:eastAsia="Aptos" w:cs="Arial"/>
              </w:rPr>
              <w:t xml:space="preserve"> </w:t>
            </w:r>
            <w:proofErr w:type="spellStart"/>
            <w:r w:rsidRPr="00551AB2">
              <w:rPr>
                <w:rFonts w:eastAsia="Aptos" w:cs="Arial"/>
              </w:rPr>
              <w:t>Estados</w:t>
            </w:r>
            <w:proofErr w:type="spellEnd"/>
            <w:r w:rsidRPr="00551AB2">
              <w:rPr>
                <w:rFonts w:eastAsia="Aptos" w:cs="Arial"/>
              </w:rPr>
              <w:t xml:space="preserve"> Unidos Mexicanos], 1917 (Mexico)</w:t>
            </w:r>
          </w:p>
        </w:tc>
        <w:tc>
          <w:tcPr>
            <w:tcW w:w="1848" w:type="dxa"/>
          </w:tcPr>
          <w:p w14:paraId="5A77F949" w14:textId="0BB0EC3A" w:rsidR="00551AB2" w:rsidRPr="006D2915" w:rsidRDefault="003C0367"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27645E">
              <w:rPr>
                <w:rFonts w:eastAsia="Times New Roman" w:cs="Times New Roman"/>
                <w:color w:val="000000" w:themeColor="text1"/>
                <w:kern w:val="0"/>
                <w:lang w:val="en-US" w:eastAsia="ja-JP"/>
                <w14:ligatures w14:val="none"/>
              </w:rPr>
              <w:t>8</w:t>
            </w:r>
          </w:p>
        </w:tc>
      </w:tr>
      <w:tr w:rsidR="00551AB2" w:rsidRPr="00551AB2" w14:paraId="6AC94914" w14:textId="77777777" w:rsidTr="0053700A">
        <w:trPr>
          <w:gridAfter w:val="1"/>
          <w:wAfter w:w="7" w:type="dxa"/>
          <w:trHeight w:val="300"/>
        </w:trPr>
        <w:tc>
          <w:tcPr>
            <w:tcW w:w="7560" w:type="dxa"/>
          </w:tcPr>
          <w:p w14:paraId="605774D6" w14:textId="77777777" w:rsidR="00551AB2" w:rsidRPr="00551AB2" w:rsidRDefault="00551AB2" w:rsidP="00551AB2">
            <w:pPr>
              <w:tabs>
                <w:tab w:val="left" w:pos="800"/>
                <w:tab w:val="left" w:pos="980"/>
              </w:tabs>
              <w:spacing w:line="276" w:lineRule="auto"/>
              <w:ind w:left="530" w:hanging="540"/>
              <w:rPr>
                <w:rFonts w:eastAsia="Times New Roman" w:cs="Times New Roman"/>
                <w:b/>
                <w:bCs/>
                <w:color w:val="000000"/>
                <w:kern w:val="0"/>
                <w:lang w:val="en-US" w:eastAsia="ja-JP"/>
                <w14:ligatures w14:val="none"/>
              </w:rPr>
            </w:pPr>
            <w:r w:rsidRPr="00551AB2">
              <w:rPr>
                <w:rFonts w:eastAsia="Aptos" w:cs="Arial"/>
              </w:rPr>
              <w:t>State Immunity Act, 1978, c 33 (United Kingdom)</w:t>
            </w:r>
          </w:p>
        </w:tc>
        <w:tc>
          <w:tcPr>
            <w:tcW w:w="1848" w:type="dxa"/>
          </w:tcPr>
          <w:p w14:paraId="162A2B3C" w14:textId="4C46B96B" w:rsidR="00551AB2" w:rsidRPr="006D2915" w:rsidRDefault="00C15BEA"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28</w:t>
            </w:r>
          </w:p>
        </w:tc>
      </w:tr>
      <w:tr w:rsidR="00551AB2" w:rsidRPr="00551AB2" w14:paraId="67E66980" w14:textId="77777777" w:rsidTr="0053700A">
        <w:trPr>
          <w:gridAfter w:val="1"/>
          <w:wAfter w:w="7" w:type="dxa"/>
          <w:trHeight w:val="300"/>
        </w:trPr>
        <w:tc>
          <w:tcPr>
            <w:tcW w:w="7560" w:type="dxa"/>
          </w:tcPr>
          <w:p w14:paraId="47056B84" w14:textId="77777777" w:rsidR="00551AB2" w:rsidRPr="00551AB2" w:rsidRDefault="00551AB2" w:rsidP="00551AB2">
            <w:pPr>
              <w:tabs>
                <w:tab w:val="left" w:pos="800"/>
                <w:tab w:val="left" w:pos="980"/>
              </w:tabs>
              <w:spacing w:line="276" w:lineRule="auto"/>
              <w:ind w:left="530" w:hanging="540"/>
              <w:rPr>
                <w:rFonts w:eastAsia="Aptos" w:cs="Arial"/>
                <w:color w:val="000000"/>
              </w:rPr>
            </w:pPr>
            <w:r w:rsidRPr="00551AB2">
              <w:rPr>
                <w:rFonts w:eastAsia="Aptos" w:cs="Arial"/>
                <w:color w:val="000000"/>
              </w:rPr>
              <w:t>State Immunity Act, 1979, s 7 (Singapore)</w:t>
            </w:r>
          </w:p>
        </w:tc>
        <w:tc>
          <w:tcPr>
            <w:tcW w:w="1848" w:type="dxa"/>
          </w:tcPr>
          <w:p w14:paraId="35FA8C55" w14:textId="4D378DB2" w:rsidR="00551AB2" w:rsidRPr="006D2915" w:rsidRDefault="005854EE"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28</w:t>
            </w:r>
          </w:p>
        </w:tc>
      </w:tr>
      <w:tr w:rsidR="00551AB2" w:rsidRPr="00551AB2" w14:paraId="7F4AB040" w14:textId="77777777" w:rsidTr="0053700A">
        <w:trPr>
          <w:gridAfter w:val="1"/>
          <w:wAfter w:w="7" w:type="dxa"/>
          <w:trHeight w:val="300"/>
        </w:trPr>
        <w:tc>
          <w:tcPr>
            <w:tcW w:w="7560" w:type="dxa"/>
          </w:tcPr>
          <w:p w14:paraId="0D6A3E6D" w14:textId="77777777" w:rsidR="00551AB2" w:rsidRPr="00551AB2" w:rsidRDefault="00551AB2" w:rsidP="00551AB2">
            <w:pPr>
              <w:tabs>
                <w:tab w:val="left" w:pos="800"/>
                <w:tab w:val="left" w:pos="980"/>
              </w:tabs>
              <w:spacing w:line="276" w:lineRule="auto"/>
              <w:ind w:left="530" w:hanging="540"/>
              <w:jc w:val="both"/>
              <w:rPr>
                <w:rFonts w:eastAsia="Aptos" w:cs="Arial"/>
                <w:i/>
                <w:lang w:val="fr-CA"/>
              </w:rPr>
            </w:pPr>
            <w:r w:rsidRPr="00551AB2">
              <w:rPr>
                <w:rFonts w:eastAsia="Aptos" w:cs="Arial"/>
              </w:rPr>
              <w:t>State Immunity Act, RSC 1985, c S-18 (Canada)</w:t>
            </w:r>
          </w:p>
        </w:tc>
        <w:tc>
          <w:tcPr>
            <w:tcW w:w="1848" w:type="dxa"/>
          </w:tcPr>
          <w:p w14:paraId="3FE996CB" w14:textId="5C720C0C" w:rsidR="00551AB2" w:rsidRPr="006D2915" w:rsidRDefault="00C15BEA"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28</w:t>
            </w:r>
          </w:p>
        </w:tc>
      </w:tr>
      <w:tr w:rsidR="0040050D" w:rsidRPr="00551AB2" w14:paraId="5EA1B05A" w14:textId="77777777" w:rsidTr="0053700A">
        <w:trPr>
          <w:gridAfter w:val="1"/>
          <w:wAfter w:w="7" w:type="dxa"/>
          <w:trHeight w:val="300"/>
        </w:trPr>
        <w:tc>
          <w:tcPr>
            <w:tcW w:w="7560" w:type="dxa"/>
          </w:tcPr>
          <w:p w14:paraId="7D550426" w14:textId="77777777" w:rsidR="0040050D" w:rsidRPr="00551AB2" w:rsidRDefault="0040050D" w:rsidP="00551AB2">
            <w:pPr>
              <w:tabs>
                <w:tab w:val="left" w:pos="800"/>
                <w:tab w:val="left" w:pos="980"/>
              </w:tabs>
              <w:spacing w:line="276" w:lineRule="auto"/>
              <w:ind w:left="530" w:hanging="540"/>
              <w:jc w:val="both"/>
              <w:rPr>
                <w:rFonts w:eastAsia="Aptos" w:cs="Arial"/>
              </w:rPr>
            </w:pPr>
          </w:p>
        </w:tc>
        <w:tc>
          <w:tcPr>
            <w:tcW w:w="1848" w:type="dxa"/>
          </w:tcPr>
          <w:p w14:paraId="418D23C2" w14:textId="77777777" w:rsidR="0040050D" w:rsidRPr="006D2915" w:rsidRDefault="0040050D"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p>
        </w:tc>
      </w:tr>
      <w:tr w:rsidR="00551AB2" w:rsidRPr="00551AB2" w14:paraId="31E123DB" w14:textId="77777777" w:rsidTr="0053700A">
        <w:trPr>
          <w:trHeight w:val="300"/>
        </w:trPr>
        <w:tc>
          <w:tcPr>
            <w:tcW w:w="9415" w:type="dxa"/>
            <w:gridSpan w:val="3"/>
          </w:tcPr>
          <w:p w14:paraId="6F588487" w14:textId="77777777" w:rsidR="00551AB2" w:rsidRPr="006D2915" w:rsidRDefault="00551AB2" w:rsidP="00551AB2">
            <w:pPr>
              <w:tabs>
                <w:tab w:val="left" w:pos="800"/>
                <w:tab w:val="left" w:pos="980"/>
              </w:tabs>
              <w:spacing w:line="276" w:lineRule="auto"/>
              <w:ind w:left="530" w:hanging="540"/>
              <w:jc w:val="both"/>
              <w:rPr>
                <w:rFonts w:eastAsia="Times New Roman" w:cs="Times New Roman"/>
                <w:b/>
                <w:color w:val="000000" w:themeColor="text1"/>
                <w:kern w:val="0"/>
                <w:lang w:val="en-US" w:eastAsia="ja-JP"/>
                <w14:ligatures w14:val="none"/>
              </w:rPr>
            </w:pPr>
            <w:r w:rsidRPr="006D2915">
              <w:rPr>
                <w:rFonts w:eastAsia="Times New Roman" w:cs="Times New Roman"/>
                <w:b/>
                <w:color w:val="000000" w:themeColor="text1"/>
                <w:kern w:val="0"/>
                <w:lang w:val="en-US" w:eastAsia="ja-JP"/>
                <w14:ligatures w14:val="none"/>
              </w:rPr>
              <w:t>UN DOCUMENTS AND OTHER INTERNATIONAL INSTRUMENTS</w:t>
            </w:r>
          </w:p>
        </w:tc>
      </w:tr>
      <w:tr w:rsidR="00551AB2" w:rsidRPr="00551AB2" w14:paraId="1A602AE7" w14:textId="77777777" w:rsidTr="0053700A">
        <w:trPr>
          <w:gridAfter w:val="1"/>
          <w:wAfter w:w="7" w:type="dxa"/>
          <w:trHeight w:val="300"/>
        </w:trPr>
        <w:tc>
          <w:tcPr>
            <w:tcW w:w="7560" w:type="dxa"/>
          </w:tcPr>
          <w:p w14:paraId="2529694B"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Charter of Fundamental Rights of the European Union, 2012 O.J. C 326/391 (Dec. 12, 2007)</w:t>
            </w:r>
          </w:p>
        </w:tc>
        <w:tc>
          <w:tcPr>
            <w:tcW w:w="1848" w:type="dxa"/>
          </w:tcPr>
          <w:p w14:paraId="40B928D4" w14:textId="5419207F" w:rsidR="00551AB2" w:rsidRPr="006D2915" w:rsidRDefault="0078045E"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20</w:t>
            </w:r>
          </w:p>
        </w:tc>
      </w:tr>
      <w:tr w:rsidR="00551AB2" w:rsidRPr="00551AB2" w14:paraId="750300E6" w14:textId="77777777" w:rsidTr="0053700A">
        <w:trPr>
          <w:gridAfter w:val="1"/>
          <w:wAfter w:w="7" w:type="dxa"/>
          <w:trHeight w:val="300"/>
        </w:trPr>
        <w:tc>
          <w:tcPr>
            <w:tcW w:w="7560" w:type="dxa"/>
          </w:tcPr>
          <w:p w14:paraId="765AAA3E"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 xml:space="preserve">Expert Mechanism on the Rights of Indigenous Peoples, </w:t>
            </w:r>
            <w:r w:rsidRPr="00551AB2">
              <w:rPr>
                <w:rFonts w:eastAsia="Aptos" w:cs="Arial"/>
                <w:i/>
                <w:iCs/>
              </w:rPr>
              <w:t>Free, Prior and Informed Consent: A Human Rights-Based Approach</w:t>
            </w:r>
            <w:r w:rsidRPr="00551AB2">
              <w:rPr>
                <w:rFonts w:eastAsia="Aptos" w:cs="Arial"/>
              </w:rPr>
              <w:t>, HRC, 39th Sess, UN Doc A/HRC/39/62 (2018)</w:t>
            </w:r>
          </w:p>
        </w:tc>
        <w:tc>
          <w:tcPr>
            <w:tcW w:w="1848" w:type="dxa"/>
          </w:tcPr>
          <w:p w14:paraId="0F4213EC" w14:textId="717A5795" w:rsidR="00551AB2" w:rsidRPr="006D2915" w:rsidRDefault="00A63F0F"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8</w:t>
            </w:r>
            <w:r w:rsidR="00C83BA5">
              <w:rPr>
                <w:rFonts w:eastAsia="Times New Roman" w:cs="Times New Roman"/>
                <w:color w:val="000000" w:themeColor="text1"/>
                <w:kern w:val="0"/>
                <w:lang w:val="en-US" w:eastAsia="ja-JP"/>
                <w14:ligatures w14:val="none"/>
              </w:rPr>
              <w:t xml:space="preserve">, 10, </w:t>
            </w:r>
            <w:r w:rsidR="00CB6335">
              <w:rPr>
                <w:rFonts w:eastAsia="Times New Roman" w:cs="Times New Roman"/>
                <w:color w:val="000000" w:themeColor="text1"/>
                <w:kern w:val="0"/>
                <w:lang w:val="en-US" w:eastAsia="ja-JP"/>
                <w14:ligatures w14:val="none"/>
              </w:rPr>
              <w:t>11, 14</w:t>
            </w:r>
          </w:p>
        </w:tc>
      </w:tr>
      <w:tr w:rsidR="00551AB2" w:rsidRPr="00551AB2" w14:paraId="0C3C9C2E" w14:textId="77777777" w:rsidTr="0053700A">
        <w:trPr>
          <w:gridAfter w:val="1"/>
          <w:wAfter w:w="7" w:type="dxa"/>
          <w:trHeight w:val="300"/>
        </w:trPr>
        <w:tc>
          <w:tcPr>
            <w:tcW w:w="7560" w:type="dxa"/>
          </w:tcPr>
          <w:p w14:paraId="0F46724A"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lastRenderedPageBreak/>
              <w:t>Fifth Report of the Former Special Rapporteur: Yearbook of the ILC 1983, vol. II (Part One), A/CN.4/363</w:t>
            </w:r>
          </w:p>
        </w:tc>
        <w:tc>
          <w:tcPr>
            <w:tcW w:w="1848" w:type="dxa"/>
          </w:tcPr>
          <w:p w14:paraId="1C9B4897" w14:textId="186C86F4" w:rsidR="00551AB2" w:rsidRPr="006D2915" w:rsidRDefault="008B0DBC"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28</w:t>
            </w:r>
            <w:r w:rsidR="00700BB9">
              <w:rPr>
                <w:rFonts w:eastAsia="Times New Roman" w:cs="Times New Roman"/>
                <w:color w:val="000000" w:themeColor="text1"/>
                <w:kern w:val="0"/>
                <w:lang w:val="en-US" w:eastAsia="ja-JP"/>
                <w14:ligatures w14:val="none"/>
              </w:rPr>
              <w:t>, 29</w:t>
            </w:r>
          </w:p>
        </w:tc>
      </w:tr>
      <w:tr w:rsidR="00F03E26" w:rsidRPr="00551AB2" w14:paraId="3C943FE3" w14:textId="77777777" w:rsidTr="0053700A">
        <w:trPr>
          <w:gridAfter w:val="1"/>
          <w:wAfter w:w="7" w:type="dxa"/>
          <w:trHeight w:val="300"/>
        </w:trPr>
        <w:tc>
          <w:tcPr>
            <w:tcW w:w="7560" w:type="dxa"/>
          </w:tcPr>
          <w:p w14:paraId="120C0C81" w14:textId="2922F9D9" w:rsidR="00F03E26" w:rsidRPr="00065B41" w:rsidRDefault="00F03E26" w:rsidP="00F03E26">
            <w:pPr>
              <w:tabs>
                <w:tab w:val="left" w:pos="800"/>
                <w:tab w:val="left" w:pos="980"/>
              </w:tabs>
              <w:spacing w:line="276" w:lineRule="auto"/>
              <w:ind w:left="530" w:hanging="540"/>
              <w:jc w:val="both"/>
              <w:rPr>
                <w:rFonts w:cs="Times New Roman"/>
              </w:rPr>
            </w:pPr>
            <w:r>
              <w:rPr>
                <w:rFonts w:eastAsia="Aptos" w:cs="Arial"/>
              </w:rPr>
              <w:t>ILC</w:t>
            </w:r>
            <w:r w:rsidRPr="00551AB2">
              <w:rPr>
                <w:rFonts w:eastAsia="Aptos" w:cs="Arial"/>
              </w:rPr>
              <w:t xml:space="preserve">, </w:t>
            </w:r>
            <w:r w:rsidRPr="00564AC4">
              <w:rPr>
                <w:rFonts w:eastAsia="Aptos" w:cs="Arial"/>
                <w:i/>
                <w:iCs/>
              </w:rPr>
              <w:t>Draft articles on Jurisdictional Immunities of States and Their Property</w:t>
            </w:r>
            <w:r w:rsidRPr="00551AB2">
              <w:rPr>
                <w:rFonts w:eastAsia="Aptos" w:cs="Arial"/>
              </w:rPr>
              <w:t>, with commentaries A/46/10 (1991)</w:t>
            </w:r>
          </w:p>
        </w:tc>
        <w:tc>
          <w:tcPr>
            <w:tcW w:w="1848" w:type="dxa"/>
          </w:tcPr>
          <w:p w14:paraId="73486D41" w14:textId="3DD7C283" w:rsidR="00F03E26" w:rsidRDefault="00F03E26" w:rsidP="00F03E26">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26</w:t>
            </w:r>
          </w:p>
        </w:tc>
      </w:tr>
      <w:tr w:rsidR="00E96A23" w:rsidRPr="00551AB2" w14:paraId="7FA26365" w14:textId="77777777" w:rsidTr="0053700A">
        <w:trPr>
          <w:gridAfter w:val="1"/>
          <w:wAfter w:w="7" w:type="dxa"/>
          <w:trHeight w:val="300"/>
        </w:trPr>
        <w:tc>
          <w:tcPr>
            <w:tcW w:w="7560" w:type="dxa"/>
          </w:tcPr>
          <w:p w14:paraId="2DFF74DB" w14:textId="73927267" w:rsidR="00E96A23" w:rsidRPr="00551AB2" w:rsidRDefault="00E96A23" w:rsidP="00551AB2">
            <w:pPr>
              <w:tabs>
                <w:tab w:val="left" w:pos="800"/>
                <w:tab w:val="left" w:pos="980"/>
              </w:tabs>
              <w:spacing w:line="276" w:lineRule="auto"/>
              <w:ind w:left="530" w:hanging="540"/>
              <w:jc w:val="both"/>
              <w:rPr>
                <w:rFonts w:eastAsia="Aptos" w:cs="Arial"/>
              </w:rPr>
            </w:pPr>
            <w:r w:rsidRPr="00065B41">
              <w:rPr>
                <w:rFonts w:cs="Times New Roman"/>
              </w:rPr>
              <w:t xml:space="preserve">ILC, </w:t>
            </w:r>
            <w:r w:rsidRPr="00065B41">
              <w:rPr>
                <w:rFonts w:cs="Times New Roman"/>
                <w:i/>
                <w:iCs/>
              </w:rPr>
              <w:t>Draft Articles on Responsibility of States for Internationally Wrongful Acts</w:t>
            </w:r>
            <w:r w:rsidRPr="00065B41">
              <w:rPr>
                <w:rFonts w:cs="Times New Roman"/>
              </w:rPr>
              <w:t>, with commentaries (2001), ILC Yearbook, Vol.</w:t>
            </w:r>
            <w:r>
              <w:rPr>
                <w:rFonts w:cs="Times New Roman"/>
              </w:rPr>
              <w:t xml:space="preserve"> </w:t>
            </w:r>
            <w:proofErr w:type="gramStart"/>
            <w:r w:rsidRPr="00065B41">
              <w:rPr>
                <w:rFonts w:cs="Times New Roman"/>
              </w:rPr>
              <w:t>II(</w:t>
            </w:r>
            <w:proofErr w:type="gramEnd"/>
            <w:r w:rsidRPr="00065B41">
              <w:rPr>
                <w:rFonts w:cs="Times New Roman"/>
              </w:rPr>
              <w:t>2)</w:t>
            </w:r>
          </w:p>
        </w:tc>
        <w:tc>
          <w:tcPr>
            <w:tcW w:w="1848" w:type="dxa"/>
          </w:tcPr>
          <w:p w14:paraId="3C32B04E" w14:textId="096728DF" w:rsidR="00E96A23" w:rsidRPr="006D2915" w:rsidRDefault="00E96A23"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24</w:t>
            </w:r>
            <w:r w:rsidR="00C52CD0">
              <w:rPr>
                <w:rFonts w:eastAsia="Times New Roman" w:cs="Times New Roman"/>
                <w:color w:val="000000" w:themeColor="text1"/>
                <w:kern w:val="0"/>
                <w:lang w:val="en-US" w:eastAsia="ja-JP"/>
                <w14:ligatures w14:val="none"/>
              </w:rPr>
              <w:t>, 25</w:t>
            </w:r>
          </w:p>
        </w:tc>
      </w:tr>
      <w:tr w:rsidR="00551AB2" w:rsidRPr="00551AB2" w14:paraId="443E3770" w14:textId="77777777" w:rsidTr="0053700A">
        <w:trPr>
          <w:gridAfter w:val="1"/>
          <w:wAfter w:w="7" w:type="dxa"/>
          <w:trHeight w:val="300"/>
        </w:trPr>
        <w:tc>
          <w:tcPr>
            <w:tcW w:w="7560" w:type="dxa"/>
          </w:tcPr>
          <w:p w14:paraId="0C404397"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ILC General Principles of Law, Texts and titles of the draft conclusions adopted by the Drafting Committee (20 May 2025), A/CN.4/L.1018, Draft Conclusion 2</w:t>
            </w:r>
          </w:p>
        </w:tc>
        <w:tc>
          <w:tcPr>
            <w:tcW w:w="1848" w:type="dxa"/>
          </w:tcPr>
          <w:p w14:paraId="186DB826" w14:textId="2BE3705C" w:rsidR="00551AB2" w:rsidRPr="006D2915" w:rsidRDefault="008D0D75"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2C5C3E31" w14:textId="77777777" w:rsidTr="0053700A">
        <w:trPr>
          <w:gridAfter w:val="1"/>
          <w:wAfter w:w="7" w:type="dxa"/>
          <w:trHeight w:val="300"/>
        </w:trPr>
        <w:tc>
          <w:tcPr>
            <w:tcW w:w="7560" w:type="dxa"/>
          </w:tcPr>
          <w:p w14:paraId="21E18EEB"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Inter-American Draft Convention on Jurisdictional Immunity of States, OEA/Ser. G-CP/doc. 1352/83</w:t>
            </w:r>
          </w:p>
        </w:tc>
        <w:tc>
          <w:tcPr>
            <w:tcW w:w="1848" w:type="dxa"/>
          </w:tcPr>
          <w:p w14:paraId="65348EEE" w14:textId="58613E47" w:rsidR="00551AB2" w:rsidRPr="006D2915" w:rsidRDefault="00B10CF1"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29</w:t>
            </w:r>
          </w:p>
        </w:tc>
      </w:tr>
      <w:tr w:rsidR="00551AB2" w:rsidRPr="00551AB2" w14:paraId="109A3617" w14:textId="77777777" w:rsidTr="0053700A">
        <w:trPr>
          <w:gridAfter w:val="1"/>
          <w:wAfter w:w="7" w:type="dxa"/>
          <w:trHeight w:val="300"/>
        </w:trPr>
        <w:tc>
          <w:tcPr>
            <w:tcW w:w="7560" w:type="dxa"/>
          </w:tcPr>
          <w:p w14:paraId="577386D5" w14:textId="01CA6FC9" w:rsidR="00F85F5E" w:rsidRPr="00F85F5E" w:rsidRDefault="00551AB2" w:rsidP="00F85F5E">
            <w:pPr>
              <w:tabs>
                <w:tab w:val="left" w:pos="800"/>
                <w:tab w:val="left" w:pos="980"/>
              </w:tabs>
              <w:spacing w:line="276" w:lineRule="auto"/>
              <w:ind w:left="530" w:hanging="540"/>
              <w:jc w:val="both"/>
              <w:rPr>
                <w:rFonts w:eastAsia="Aptos" w:cs="Arial"/>
              </w:rPr>
            </w:pPr>
            <w:r w:rsidRPr="00551AB2">
              <w:rPr>
                <w:rFonts w:eastAsia="Aptos" w:cs="Arial"/>
              </w:rPr>
              <w:t>James Anaya,</w:t>
            </w:r>
            <w:r w:rsidRPr="00551AB2">
              <w:rPr>
                <w:rFonts w:eastAsia="Aptos" w:cs="Arial"/>
                <w:i/>
                <w:iCs/>
              </w:rPr>
              <w:t xml:space="preserve"> Report of the Special Rapporteur on the Rights of Indigenous Peoples: Extractive Industries and Indigenous Peoples</w:t>
            </w:r>
            <w:r w:rsidRPr="00551AB2">
              <w:rPr>
                <w:rFonts w:eastAsia="Aptos" w:cs="Arial"/>
              </w:rPr>
              <w:t>, UNHRC, 24th Sess, UN Doc A/HRC/24/41 (2013)</w:t>
            </w:r>
          </w:p>
        </w:tc>
        <w:tc>
          <w:tcPr>
            <w:tcW w:w="1848" w:type="dxa"/>
          </w:tcPr>
          <w:p w14:paraId="060889C6" w14:textId="257C6701" w:rsidR="00551AB2" w:rsidRPr="006D2915" w:rsidRDefault="00C10D06"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2, 10, 11, 12, 14</w:t>
            </w:r>
          </w:p>
        </w:tc>
      </w:tr>
      <w:tr w:rsidR="00F85F5E" w:rsidRPr="00551AB2" w14:paraId="0B69E7A4" w14:textId="77777777" w:rsidTr="0053700A">
        <w:trPr>
          <w:gridAfter w:val="1"/>
          <w:wAfter w:w="7" w:type="dxa"/>
          <w:trHeight w:val="300"/>
        </w:trPr>
        <w:tc>
          <w:tcPr>
            <w:tcW w:w="7560" w:type="dxa"/>
          </w:tcPr>
          <w:p w14:paraId="3B55658F" w14:textId="78E835B9" w:rsidR="00F85F5E" w:rsidRPr="00551AB2" w:rsidRDefault="00F85F5E" w:rsidP="00F85F5E">
            <w:pPr>
              <w:tabs>
                <w:tab w:val="left" w:pos="800"/>
                <w:tab w:val="left" w:pos="980"/>
              </w:tabs>
              <w:spacing w:line="276" w:lineRule="auto"/>
              <w:ind w:left="530" w:hanging="540"/>
              <w:jc w:val="both"/>
              <w:rPr>
                <w:rFonts w:eastAsia="Aptos" w:cs="Arial"/>
              </w:rPr>
            </w:pPr>
            <w:r w:rsidRPr="001D1A9A">
              <w:t>Marcelo Vázquez-Bermúdez, “First Report on General Principles of Law,” (2019) International Law Commission, A/CN.4/732</w:t>
            </w:r>
          </w:p>
        </w:tc>
        <w:tc>
          <w:tcPr>
            <w:tcW w:w="1848" w:type="dxa"/>
          </w:tcPr>
          <w:p w14:paraId="562603BA" w14:textId="76576363" w:rsidR="00F85F5E" w:rsidRDefault="002E2447"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6B0C0E" w:rsidRPr="00551AB2" w14:paraId="3913C280" w14:textId="77777777" w:rsidTr="0053700A">
        <w:trPr>
          <w:gridAfter w:val="1"/>
          <w:wAfter w:w="7" w:type="dxa"/>
          <w:trHeight w:val="300"/>
        </w:trPr>
        <w:tc>
          <w:tcPr>
            <w:tcW w:w="7560" w:type="dxa"/>
          </w:tcPr>
          <w:p w14:paraId="6248A92B" w14:textId="56096A9C" w:rsidR="006B0C0E" w:rsidRPr="001D1A9A" w:rsidRDefault="00715822" w:rsidP="006B0C0E">
            <w:pPr>
              <w:pStyle w:val="FootnoteText"/>
              <w:ind w:left="360" w:hanging="360"/>
            </w:pPr>
            <w:r w:rsidRPr="00A14347">
              <w:rPr>
                <w:rFonts w:eastAsia="Aptos" w:cs="Arial"/>
                <w:i/>
                <w:iCs/>
              </w:rPr>
              <w:t>Report of the International Law Commission</w:t>
            </w:r>
            <w:r w:rsidR="006B0C0E" w:rsidRPr="00CA325D">
              <w:t xml:space="preserve">, </w:t>
            </w:r>
            <w:r>
              <w:t>73</w:t>
            </w:r>
            <w:r w:rsidRPr="00715822">
              <w:rPr>
                <w:vertAlign w:val="superscript"/>
              </w:rPr>
              <w:t>rd</w:t>
            </w:r>
            <w:r>
              <w:t xml:space="preserve"> Sess, UNGA</w:t>
            </w:r>
            <w:r w:rsidR="006B0C0E" w:rsidRPr="00CA325D">
              <w:t xml:space="preserve">, </w:t>
            </w:r>
            <w:r>
              <w:t>UN</w:t>
            </w:r>
            <w:r w:rsidR="006B0C0E" w:rsidRPr="00CA325D">
              <w:t xml:space="preserve"> Doc. A/77/10, (2022)</w:t>
            </w:r>
          </w:p>
        </w:tc>
        <w:tc>
          <w:tcPr>
            <w:tcW w:w="1848" w:type="dxa"/>
          </w:tcPr>
          <w:p w14:paraId="188ECB23" w14:textId="67C2BD20" w:rsidR="006B0C0E" w:rsidRDefault="00C94DB6"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23</w:t>
            </w:r>
          </w:p>
        </w:tc>
      </w:tr>
      <w:tr w:rsidR="00551AB2" w:rsidRPr="00551AB2" w14:paraId="01B3217D" w14:textId="77777777" w:rsidTr="0053700A">
        <w:trPr>
          <w:gridAfter w:val="1"/>
          <w:wAfter w:w="7" w:type="dxa"/>
          <w:trHeight w:val="300"/>
        </w:trPr>
        <w:tc>
          <w:tcPr>
            <w:tcW w:w="7560" w:type="dxa"/>
          </w:tcPr>
          <w:p w14:paraId="0719DCF0" w14:textId="2D7E9CA6" w:rsidR="00551AB2" w:rsidRPr="00551AB2" w:rsidRDefault="00551AB2" w:rsidP="00551AB2">
            <w:pPr>
              <w:tabs>
                <w:tab w:val="left" w:pos="800"/>
                <w:tab w:val="left" w:pos="980"/>
              </w:tabs>
              <w:spacing w:line="276" w:lineRule="auto"/>
              <w:ind w:left="530" w:hanging="540"/>
              <w:jc w:val="both"/>
              <w:rPr>
                <w:rFonts w:eastAsia="Aptos" w:cs="Arial"/>
              </w:rPr>
            </w:pPr>
            <w:r w:rsidRPr="00A14347">
              <w:rPr>
                <w:rFonts w:eastAsia="Aptos" w:cs="Arial"/>
                <w:i/>
                <w:iCs/>
              </w:rPr>
              <w:t>Report of the International Law Commission</w:t>
            </w:r>
            <w:r w:rsidRPr="00551AB2">
              <w:rPr>
                <w:rFonts w:eastAsia="Aptos" w:cs="Arial"/>
              </w:rPr>
              <w:t>, 74</w:t>
            </w:r>
            <w:r w:rsidRPr="00551AB2">
              <w:rPr>
                <w:rFonts w:eastAsia="Aptos" w:cs="Arial"/>
                <w:vertAlign w:val="superscript"/>
              </w:rPr>
              <w:t>th</w:t>
            </w:r>
            <w:r w:rsidRPr="00551AB2">
              <w:rPr>
                <w:rFonts w:eastAsia="Aptos" w:cs="Arial"/>
              </w:rPr>
              <w:t xml:space="preserve"> </w:t>
            </w:r>
            <w:r w:rsidR="00C8744F">
              <w:rPr>
                <w:rFonts w:eastAsia="Aptos" w:cs="Arial"/>
              </w:rPr>
              <w:t>Sess</w:t>
            </w:r>
            <w:r w:rsidRPr="00551AB2">
              <w:rPr>
                <w:rFonts w:eastAsia="Aptos" w:cs="Arial"/>
              </w:rPr>
              <w:t xml:space="preserve">, </w:t>
            </w:r>
            <w:r w:rsidR="00A14347">
              <w:rPr>
                <w:rFonts w:eastAsia="Aptos" w:cs="Arial"/>
              </w:rPr>
              <w:t xml:space="preserve">UNGA, </w:t>
            </w:r>
            <w:r w:rsidR="00C8744F">
              <w:rPr>
                <w:rFonts w:eastAsia="Aptos" w:cs="Arial"/>
              </w:rPr>
              <w:t xml:space="preserve">UN Doc </w:t>
            </w:r>
            <w:r w:rsidRPr="00551AB2">
              <w:rPr>
                <w:rFonts w:eastAsia="Aptos" w:cs="Arial"/>
              </w:rPr>
              <w:t>A/78/10</w:t>
            </w:r>
            <w:r w:rsidR="008B07E5">
              <w:rPr>
                <w:rFonts w:eastAsia="Aptos" w:cs="Arial"/>
              </w:rPr>
              <w:t xml:space="preserve"> (2023)</w:t>
            </w:r>
          </w:p>
        </w:tc>
        <w:tc>
          <w:tcPr>
            <w:tcW w:w="1848" w:type="dxa"/>
          </w:tcPr>
          <w:p w14:paraId="063D88BB" w14:textId="5479117F" w:rsidR="00551AB2" w:rsidRPr="006D2915" w:rsidRDefault="00285563"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19</w:t>
            </w:r>
          </w:p>
        </w:tc>
      </w:tr>
      <w:tr w:rsidR="00551AB2" w:rsidRPr="00551AB2" w14:paraId="499E51DB" w14:textId="77777777" w:rsidTr="0053700A">
        <w:trPr>
          <w:gridAfter w:val="1"/>
          <w:wAfter w:w="7" w:type="dxa"/>
          <w:trHeight w:val="300"/>
        </w:trPr>
        <w:tc>
          <w:tcPr>
            <w:tcW w:w="7560" w:type="dxa"/>
          </w:tcPr>
          <w:p w14:paraId="50186AB0"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i/>
                <w:iCs/>
              </w:rPr>
              <w:t>United Nations Declaration on the Rights of Indigenous Peoples</w:t>
            </w:r>
            <w:r w:rsidRPr="00551AB2">
              <w:rPr>
                <w:rFonts w:eastAsia="Aptos" w:cs="Arial"/>
              </w:rPr>
              <w:t>, UNGA, 61st Sess, UN Doc A/RES/61/295 (2007)</w:t>
            </w:r>
          </w:p>
        </w:tc>
        <w:tc>
          <w:tcPr>
            <w:tcW w:w="1848" w:type="dxa"/>
          </w:tcPr>
          <w:p w14:paraId="53C1B735" w14:textId="6D3449B6" w:rsidR="00551AB2" w:rsidRPr="006D2915" w:rsidRDefault="00630B15"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9,10, 14</w:t>
            </w:r>
          </w:p>
        </w:tc>
      </w:tr>
      <w:tr w:rsidR="0040050D" w:rsidRPr="00551AB2" w14:paraId="62C5869A" w14:textId="77777777" w:rsidTr="0053700A">
        <w:trPr>
          <w:gridAfter w:val="1"/>
          <w:wAfter w:w="7" w:type="dxa"/>
          <w:trHeight w:val="300"/>
        </w:trPr>
        <w:tc>
          <w:tcPr>
            <w:tcW w:w="7560" w:type="dxa"/>
          </w:tcPr>
          <w:p w14:paraId="1C8E378A" w14:textId="77777777" w:rsidR="0040050D" w:rsidRPr="00551AB2" w:rsidRDefault="0040050D" w:rsidP="00551AB2">
            <w:pPr>
              <w:tabs>
                <w:tab w:val="left" w:pos="800"/>
                <w:tab w:val="left" w:pos="980"/>
              </w:tabs>
              <w:spacing w:line="276" w:lineRule="auto"/>
              <w:ind w:left="530" w:hanging="540"/>
              <w:jc w:val="both"/>
              <w:rPr>
                <w:rFonts w:eastAsia="Aptos" w:cs="Arial"/>
                <w:i/>
                <w:iCs/>
              </w:rPr>
            </w:pPr>
          </w:p>
        </w:tc>
        <w:tc>
          <w:tcPr>
            <w:tcW w:w="1848" w:type="dxa"/>
          </w:tcPr>
          <w:p w14:paraId="16F57CE8" w14:textId="77777777" w:rsidR="0040050D" w:rsidRPr="006D2915" w:rsidRDefault="0040050D"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p>
        </w:tc>
      </w:tr>
      <w:tr w:rsidR="00551AB2" w:rsidRPr="00551AB2" w14:paraId="61F03E8D" w14:textId="77777777" w:rsidTr="0053700A">
        <w:trPr>
          <w:trHeight w:val="300"/>
        </w:trPr>
        <w:tc>
          <w:tcPr>
            <w:tcW w:w="9415" w:type="dxa"/>
            <w:gridSpan w:val="3"/>
          </w:tcPr>
          <w:p w14:paraId="59B72416" w14:textId="77777777" w:rsidR="00551AB2" w:rsidRPr="006D2915" w:rsidRDefault="00551AB2" w:rsidP="00551AB2">
            <w:pPr>
              <w:tabs>
                <w:tab w:val="left" w:pos="800"/>
                <w:tab w:val="left" w:pos="980"/>
              </w:tabs>
              <w:spacing w:line="276" w:lineRule="auto"/>
              <w:ind w:left="530" w:hanging="540"/>
              <w:jc w:val="both"/>
              <w:rPr>
                <w:rFonts w:eastAsia="Merriweather" w:cs="Times New Roman"/>
                <w:b/>
                <w:color w:val="000000" w:themeColor="text1"/>
                <w:kern w:val="0"/>
                <w:lang w:val="en-US" w:eastAsia="ja-JP"/>
                <w14:ligatures w14:val="none"/>
              </w:rPr>
            </w:pPr>
            <w:r w:rsidRPr="006D2915">
              <w:rPr>
                <w:rFonts w:eastAsia="Times New Roman" w:cs="Times New Roman"/>
                <w:b/>
                <w:color w:val="000000" w:themeColor="text1"/>
                <w:kern w:val="0"/>
                <w:lang w:val="en-US" w:eastAsia="ja-JP"/>
                <w14:ligatures w14:val="none"/>
              </w:rPr>
              <w:t>BOOKS</w:t>
            </w:r>
          </w:p>
        </w:tc>
      </w:tr>
      <w:tr w:rsidR="00551AB2" w:rsidRPr="00551AB2" w14:paraId="63638188" w14:textId="77777777" w:rsidTr="0053700A">
        <w:trPr>
          <w:gridAfter w:val="1"/>
          <w:wAfter w:w="7" w:type="dxa"/>
          <w:trHeight w:val="300"/>
        </w:trPr>
        <w:tc>
          <w:tcPr>
            <w:tcW w:w="7560" w:type="dxa"/>
          </w:tcPr>
          <w:p w14:paraId="589C89E7"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color w:val="000000"/>
                <w:kern w:val="0"/>
                <w:lang w:val="en-US" w:eastAsia="ja-JP"/>
                <w14:ligatures w14:val="none"/>
              </w:rPr>
            </w:pPr>
            <w:r w:rsidRPr="00551AB2">
              <w:rPr>
                <w:rFonts w:eastAsia="Aptos" w:cs="Arial"/>
              </w:rPr>
              <w:t xml:space="preserve">Bin Cheng, </w:t>
            </w:r>
            <w:r w:rsidRPr="00551AB2">
              <w:rPr>
                <w:rFonts w:eastAsia="Aptos" w:cs="Arial"/>
                <w:i/>
                <w:iCs/>
              </w:rPr>
              <w:t>General Principles of Law</w:t>
            </w:r>
            <w:r w:rsidRPr="00551AB2">
              <w:rPr>
                <w:rFonts w:eastAsia="Aptos" w:cs="Arial"/>
                <w:i/>
              </w:rPr>
              <w:t xml:space="preserve"> </w:t>
            </w:r>
            <w:r w:rsidRPr="00551AB2">
              <w:rPr>
                <w:rFonts w:eastAsia="Aptos" w:cs="Arial"/>
                <w:i/>
                <w:iCs/>
              </w:rPr>
              <w:t xml:space="preserve">as Applied by International Courts and Tribunals, </w:t>
            </w:r>
            <w:r w:rsidRPr="00551AB2">
              <w:rPr>
                <w:rFonts w:eastAsia="Aptos" w:cs="Arial"/>
                <w:iCs/>
              </w:rPr>
              <w:t>(Cambridge: Cambridge University Press, 1953)</w:t>
            </w:r>
          </w:p>
        </w:tc>
        <w:tc>
          <w:tcPr>
            <w:tcW w:w="1848" w:type="dxa"/>
          </w:tcPr>
          <w:p w14:paraId="0863453A" w14:textId="603D8CA9" w:rsidR="00551AB2" w:rsidRPr="006D2915" w:rsidRDefault="002E2447"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16</w:t>
            </w:r>
          </w:p>
        </w:tc>
      </w:tr>
      <w:tr w:rsidR="00551AB2" w:rsidRPr="00551AB2" w14:paraId="7D0A07D9" w14:textId="77777777" w:rsidTr="0053700A">
        <w:trPr>
          <w:gridAfter w:val="1"/>
          <w:wAfter w:w="7" w:type="dxa"/>
          <w:trHeight w:val="300"/>
        </w:trPr>
        <w:tc>
          <w:tcPr>
            <w:tcW w:w="7560" w:type="dxa"/>
          </w:tcPr>
          <w:p w14:paraId="7B6D38D6"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color w:val="000000"/>
                <w:kern w:val="0"/>
                <w:lang w:val="en-US" w:eastAsia="ja-JP"/>
                <w14:ligatures w14:val="none"/>
              </w:rPr>
            </w:pPr>
            <w:r w:rsidRPr="00551AB2">
              <w:rPr>
                <w:rFonts w:eastAsia="Aptos" w:cs="Arial"/>
              </w:rPr>
              <w:t xml:space="preserve">Harmen van der Wilt, </w:t>
            </w:r>
            <w:r w:rsidRPr="00551AB2">
              <w:rPr>
                <w:rFonts w:eastAsia="Aptos" w:cs="Arial"/>
                <w:i/>
                <w:iCs/>
              </w:rPr>
              <w:t xml:space="preserve">The Law and Practice of Extradition, </w:t>
            </w:r>
            <w:r w:rsidRPr="00551AB2">
              <w:rPr>
                <w:rFonts w:eastAsia="Aptos" w:cs="Arial"/>
              </w:rPr>
              <w:t>(New York: Routledge, 2022)</w:t>
            </w:r>
          </w:p>
        </w:tc>
        <w:tc>
          <w:tcPr>
            <w:tcW w:w="1848" w:type="dxa"/>
          </w:tcPr>
          <w:p w14:paraId="282A624E" w14:textId="25D50811" w:rsidR="00551AB2" w:rsidRPr="006D2915" w:rsidRDefault="000F2B26"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15</w:t>
            </w:r>
            <w:r w:rsidR="00DC389B">
              <w:rPr>
                <w:rFonts w:eastAsia="Times New Roman" w:cs="Times New Roman"/>
                <w:color w:val="000000" w:themeColor="text1"/>
                <w:kern w:val="0"/>
                <w:lang w:val="en-US" w:eastAsia="ja-JP"/>
                <w14:ligatures w14:val="none"/>
              </w:rPr>
              <w:t>, 20</w:t>
            </w:r>
          </w:p>
        </w:tc>
      </w:tr>
      <w:tr w:rsidR="00551AB2" w:rsidRPr="00551AB2" w14:paraId="420BABD5" w14:textId="77777777" w:rsidTr="0053700A">
        <w:trPr>
          <w:gridAfter w:val="1"/>
          <w:wAfter w:w="7" w:type="dxa"/>
          <w:trHeight w:val="300"/>
        </w:trPr>
        <w:tc>
          <w:tcPr>
            <w:tcW w:w="7560" w:type="dxa"/>
          </w:tcPr>
          <w:p w14:paraId="04DC14E9"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color w:val="000000"/>
                <w:kern w:val="0"/>
                <w:lang w:val="en-US" w:eastAsia="ja-JP"/>
                <w14:ligatures w14:val="none"/>
              </w:rPr>
            </w:pPr>
            <w:r w:rsidRPr="00551AB2">
              <w:rPr>
                <w:rFonts w:eastAsia="Aptos" w:cs="Arial"/>
                <w:color w:val="000000"/>
              </w:rPr>
              <w:t xml:space="preserve">Hazel Fox and Philippa Webb, </w:t>
            </w:r>
            <w:r w:rsidRPr="00551AB2">
              <w:rPr>
                <w:rFonts w:eastAsia="Aptos" w:cs="Arial"/>
                <w:i/>
                <w:color w:val="000000"/>
              </w:rPr>
              <w:t>The Law of State Immunity</w:t>
            </w:r>
            <w:r w:rsidRPr="00551AB2">
              <w:rPr>
                <w:rFonts w:eastAsia="Aptos" w:cs="Arial"/>
                <w:color w:val="000000"/>
              </w:rPr>
              <w:t xml:space="preserve"> (Oxford: Oxford University Press, 2015)</w:t>
            </w:r>
          </w:p>
        </w:tc>
        <w:tc>
          <w:tcPr>
            <w:tcW w:w="1848" w:type="dxa"/>
          </w:tcPr>
          <w:p w14:paraId="0A1AD28A" w14:textId="7AEDDED0" w:rsidR="00551AB2" w:rsidRPr="006D2915" w:rsidRDefault="007E3BE7"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26</w:t>
            </w:r>
          </w:p>
        </w:tc>
      </w:tr>
      <w:tr w:rsidR="00551AB2" w:rsidRPr="00551AB2" w14:paraId="09F26642" w14:textId="77777777" w:rsidTr="0053700A">
        <w:trPr>
          <w:gridAfter w:val="1"/>
          <w:wAfter w:w="7" w:type="dxa"/>
          <w:trHeight w:val="300"/>
        </w:trPr>
        <w:tc>
          <w:tcPr>
            <w:tcW w:w="7560" w:type="dxa"/>
          </w:tcPr>
          <w:p w14:paraId="54CBF0F4"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color w:val="000000"/>
                <w:kern w:val="0"/>
                <w:lang w:val="en-US" w:eastAsia="ja-JP"/>
                <w14:ligatures w14:val="none"/>
              </w:rPr>
            </w:pPr>
            <w:r w:rsidRPr="00551AB2">
              <w:rPr>
                <w:rFonts w:eastAsia="Aptos" w:cs="Arial"/>
              </w:rPr>
              <w:t xml:space="preserve">Kai Ambos, </w:t>
            </w:r>
            <w:r w:rsidRPr="00551AB2">
              <w:rPr>
                <w:rFonts w:eastAsia="Aptos" w:cs="Times New Roman"/>
                <w:i/>
                <w:iCs/>
                <w:color w:val="2A2A2A"/>
                <w:bdr w:val="none" w:sz="0" w:space="0" w:color="auto" w:frame="1"/>
                <w:shd w:val="clear" w:color="auto" w:fill="FFFFFF"/>
              </w:rPr>
              <w:t>Rome Statute of the International Criminal Court, Article-by-Article Commentar</w:t>
            </w:r>
            <w:r w:rsidRPr="00551AB2">
              <w:rPr>
                <w:rFonts w:eastAsia="Aptos" w:cs="Times New Roman"/>
              </w:rPr>
              <w:t>y,</w:t>
            </w:r>
            <w:r w:rsidRPr="00551AB2">
              <w:rPr>
                <w:rFonts w:eastAsia="Aptos" w:cs="Arial"/>
              </w:rPr>
              <w:t xml:space="preserve"> (Munich: CH Beck, 2021)</w:t>
            </w:r>
          </w:p>
        </w:tc>
        <w:tc>
          <w:tcPr>
            <w:tcW w:w="1848" w:type="dxa"/>
          </w:tcPr>
          <w:p w14:paraId="2EE7B408" w14:textId="07F49688" w:rsidR="00551AB2" w:rsidRPr="006D2915" w:rsidRDefault="00DC389B"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19</w:t>
            </w:r>
          </w:p>
        </w:tc>
      </w:tr>
      <w:tr w:rsidR="00551AB2" w:rsidRPr="00551AB2" w14:paraId="03AFCAF3" w14:textId="77777777" w:rsidTr="0053700A">
        <w:trPr>
          <w:gridAfter w:val="1"/>
          <w:wAfter w:w="7" w:type="dxa"/>
          <w:trHeight w:val="300"/>
        </w:trPr>
        <w:tc>
          <w:tcPr>
            <w:tcW w:w="7560" w:type="dxa"/>
          </w:tcPr>
          <w:p w14:paraId="3349B32A" w14:textId="77777777" w:rsidR="00551AB2" w:rsidRPr="00551AB2" w:rsidRDefault="00551AB2" w:rsidP="00551AB2">
            <w:pPr>
              <w:tabs>
                <w:tab w:val="left" w:pos="800"/>
                <w:tab w:val="left" w:pos="980"/>
              </w:tabs>
              <w:spacing w:line="276" w:lineRule="auto"/>
              <w:ind w:left="530" w:hanging="540"/>
              <w:jc w:val="both"/>
              <w:rPr>
                <w:rFonts w:eastAsia="Times New Roman" w:cs="Times New Roman"/>
                <w:b/>
                <w:color w:val="000000"/>
                <w:kern w:val="0"/>
                <w:lang w:val="en-US" w:eastAsia="ja-JP"/>
                <w14:ligatures w14:val="none"/>
              </w:rPr>
            </w:pPr>
            <w:r w:rsidRPr="00551AB2">
              <w:rPr>
                <w:rFonts w:eastAsia="Aptos" w:cs="Arial"/>
              </w:rPr>
              <w:t xml:space="preserve">Majed Mandi Alsolami, </w:t>
            </w:r>
            <w:r w:rsidRPr="00551AB2">
              <w:rPr>
                <w:rFonts w:eastAsia="Aptos" w:cs="Arial"/>
                <w:i/>
                <w:iCs/>
              </w:rPr>
              <w:t xml:space="preserve">The Rome Statute and Islamic Law: A Comparative Analysis </w:t>
            </w:r>
            <w:r w:rsidRPr="00551AB2">
              <w:rPr>
                <w:rFonts w:eastAsia="Aptos" w:cs="Arial"/>
              </w:rPr>
              <w:t>(Boston: Brill, 2024)</w:t>
            </w:r>
          </w:p>
        </w:tc>
        <w:tc>
          <w:tcPr>
            <w:tcW w:w="1848" w:type="dxa"/>
          </w:tcPr>
          <w:p w14:paraId="2D6B2D26" w14:textId="0B66EB8B" w:rsidR="00551AB2" w:rsidRPr="006D2915" w:rsidRDefault="00F41D3E"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w:t>
            </w:r>
            <w:r w:rsidR="00053FB1">
              <w:rPr>
                <w:rFonts w:eastAsia="Times New Roman" w:cs="Times New Roman"/>
                <w:color w:val="000000" w:themeColor="text1"/>
                <w:kern w:val="0"/>
                <w:lang w:val="en-US" w:eastAsia="ja-JP"/>
                <w14:ligatures w14:val="none"/>
              </w:rPr>
              <w:t>8</w:t>
            </w:r>
          </w:p>
        </w:tc>
      </w:tr>
      <w:tr w:rsidR="00551AB2" w:rsidRPr="00551AB2" w14:paraId="17FD2547" w14:textId="77777777" w:rsidTr="0053700A">
        <w:trPr>
          <w:gridAfter w:val="1"/>
          <w:wAfter w:w="7" w:type="dxa"/>
          <w:trHeight w:val="300"/>
        </w:trPr>
        <w:tc>
          <w:tcPr>
            <w:tcW w:w="7560" w:type="dxa"/>
          </w:tcPr>
          <w:p w14:paraId="0A096BFA" w14:textId="77777777" w:rsidR="00551AB2" w:rsidRPr="00551AB2" w:rsidRDefault="00551AB2" w:rsidP="00551AB2">
            <w:pPr>
              <w:tabs>
                <w:tab w:val="left" w:pos="800"/>
                <w:tab w:val="left" w:pos="980"/>
              </w:tabs>
              <w:spacing w:line="276" w:lineRule="auto"/>
              <w:ind w:left="530" w:hanging="540"/>
              <w:jc w:val="both"/>
              <w:rPr>
                <w:rFonts w:eastAsia="Aptos" w:cs="Arial"/>
              </w:rPr>
            </w:pPr>
            <w:r w:rsidRPr="00551AB2">
              <w:rPr>
                <w:rFonts w:eastAsia="Aptos" w:cs="Arial"/>
              </w:rPr>
              <w:t xml:space="preserve">Robert Currie, </w:t>
            </w:r>
            <w:r w:rsidRPr="00551AB2">
              <w:rPr>
                <w:rFonts w:eastAsia="Aptos" w:cs="Arial"/>
                <w:i/>
              </w:rPr>
              <w:t>International and Transnational Criminal Law</w:t>
            </w:r>
            <w:r w:rsidRPr="00551AB2">
              <w:rPr>
                <w:rFonts w:eastAsia="Aptos" w:cs="Arial"/>
              </w:rPr>
              <w:t xml:space="preserve"> (Toronto: Irwin Law, 2010)</w:t>
            </w:r>
          </w:p>
        </w:tc>
        <w:tc>
          <w:tcPr>
            <w:tcW w:w="1848" w:type="dxa"/>
          </w:tcPr>
          <w:p w14:paraId="268002EE" w14:textId="0208624F" w:rsidR="00551AB2" w:rsidRPr="006D2915" w:rsidRDefault="000F2B26"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15</w:t>
            </w:r>
          </w:p>
        </w:tc>
      </w:tr>
      <w:tr w:rsidR="00551AB2" w:rsidRPr="00551AB2" w14:paraId="4EB1F761" w14:textId="77777777" w:rsidTr="0053700A">
        <w:trPr>
          <w:gridAfter w:val="1"/>
          <w:wAfter w:w="7" w:type="dxa"/>
          <w:trHeight w:val="300"/>
        </w:trPr>
        <w:tc>
          <w:tcPr>
            <w:tcW w:w="7560" w:type="dxa"/>
          </w:tcPr>
          <w:p w14:paraId="658BCCD6"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rPr>
              <w:t xml:space="preserve">Salvador </w:t>
            </w:r>
            <w:proofErr w:type="spellStart"/>
            <w:r w:rsidRPr="00551AB2">
              <w:rPr>
                <w:rFonts w:eastAsia="Aptos" w:cs="Arial"/>
              </w:rPr>
              <w:t>Henrencia</w:t>
            </w:r>
            <w:proofErr w:type="spellEnd"/>
            <w:r w:rsidRPr="00551AB2">
              <w:rPr>
                <w:rFonts w:eastAsia="Aptos" w:cs="Arial"/>
              </w:rPr>
              <w:t xml:space="preserve">-Carrasco &amp; Jordi Feo Valero, “Challenges to the Protection of Consultation in Latin America: The Role of the Inter-American Court of Human Rights” in Paul Haslam et al., eds, </w:t>
            </w:r>
            <w:r w:rsidRPr="00551AB2">
              <w:rPr>
                <w:rFonts w:eastAsia="Aptos" w:cs="Arial"/>
                <w:i/>
                <w:iCs/>
              </w:rPr>
              <w:t>Contested Consultations in the Extractive Industries: Rights, Processes, and Tensions</w:t>
            </w:r>
            <w:r w:rsidRPr="00551AB2">
              <w:rPr>
                <w:rFonts w:eastAsia="Aptos" w:cs="Arial"/>
              </w:rPr>
              <w:t xml:space="preserve"> (New York: Routledge, 2026)</w:t>
            </w:r>
          </w:p>
        </w:tc>
        <w:tc>
          <w:tcPr>
            <w:tcW w:w="1848" w:type="dxa"/>
          </w:tcPr>
          <w:p w14:paraId="3F3E28DA" w14:textId="2824EE5C" w:rsidR="00551AB2" w:rsidRPr="006D2915" w:rsidRDefault="00975F92" w:rsidP="00551AB2">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11</w:t>
            </w:r>
          </w:p>
        </w:tc>
      </w:tr>
      <w:tr w:rsidR="00551AB2" w:rsidRPr="00551AB2" w14:paraId="7C79E389" w14:textId="77777777" w:rsidTr="0053700A">
        <w:trPr>
          <w:gridAfter w:val="1"/>
          <w:wAfter w:w="7" w:type="dxa"/>
          <w:trHeight w:val="300"/>
        </w:trPr>
        <w:tc>
          <w:tcPr>
            <w:tcW w:w="7560" w:type="dxa"/>
          </w:tcPr>
          <w:p w14:paraId="4BD11777" w14:textId="77777777" w:rsidR="006D2915" w:rsidRPr="006D2915" w:rsidRDefault="006D2915" w:rsidP="00551AB2">
            <w:pPr>
              <w:tabs>
                <w:tab w:val="left" w:pos="800"/>
                <w:tab w:val="left" w:pos="980"/>
              </w:tabs>
              <w:spacing w:line="276" w:lineRule="auto"/>
              <w:ind w:left="530" w:hanging="540"/>
              <w:jc w:val="both"/>
              <w:rPr>
                <w:rFonts w:eastAsia="Aptos" w:cs="Arial"/>
                <w:color w:val="000000" w:themeColor="text1"/>
              </w:rPr>
            </w:pPr>
            <w:r w:rsidRPr="006D2915">
              <w:rPr>
                <w:rFonts w:eastAsia="Aptos" w:cs="Arial"/>
                <w:color w:val="000000" w:themeColor="text1"/>
              </w:rPr>
              <w:lastRenderedPageBreak/>
              <w:t xml:space="preserve">Xiaodong Yang, </w:t>
            </w:r>
            <w:r w:rsidRPr="006D2915">
              <w:rPr>
                <w:rFonts w:eastAsia="Aptos" w:cs="Arial"/>
                <w:i/>
                <w:color w:val="000000" w:themeColor="text1"/>
              </w:rPr>
              <w:t>State Immunity in International Law</w:t>
            </w:r>
            <w:r w:rsidRPr="006D2915">
              <w:rPr>
                <w:rFonts w:eastAsia="Aptos" w:cs="Arial"/>
                <w:color w:val="000000" w:themeColor="text1"/>
              </w:rPr>
              <w:t xml:space="preserve"> (Cambridge: Cambridge University Press, 1963)</w:t>
            </w:r>
          </w:p>
        </w:tc>
        <w:tc>
          <w:tcPr>
            <w:tcW w:w="1848" w:type="dxa"/>
          </w:tcPr>
          <w:p w14:paraId="1C6C2952" w14:textId="2AF0E3BF" w:rsidR="00551AB2" w:rsidRPr="006D2915" w:rsidRDefault="002D331C" w:rsidP="002D331C">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23</w:t>
            </w:r>
            <w:r w:rsidR="007E3BE7">
              <w:rPr>
                <w:rFonts w:eastAsia="Aptos" w:cs="Arial"/>
                <w:color w:val="000000" w:themeColor="text1"/>
              </w:rPr>
              <w:t>, 26</w:t>
            </w:r>
            <w:r w:rsidR="00696C37">
              <w:rPr>
                <w:rFonts w:eastAsia="Aptos" w:cs="Arial"/>
                <w:color w:val="000000" w:themeColor="text1"/>
              </w:rPr>
              <w:t>, 27</w:t>
            </w:r>
            <w:r w:rsidR="00B13503">
              <w:rPr>
                <w:rFonts w:eastAsia="Aptos" w:cs="Arial"/>
                <w:color w:val="000000" w:themeColor="text1"/>
              </w:rPr>
              <w:t>, 29</w:t>
            </w:r>
          </w:p>
        </w:tc>
      </w:tr>
      <w:tr w:rsidR="0040050D" w:rsidRPr="00551AB2" w14:paraId="41324618" w14:textId="77777777" w:rsidTr="0053700A">
        <w:trPr>
          <w:trHeight w:val="300"/>
        </w:trPr>
        <w:tc>
          <w:tcPr>
            <w:tcW w:w="9415" w:type="dxa"/>
            <w:gridSpan w:val="3"/>
          </w:tcPr>
          <w:p w14:paraId="2B60F20A" w14:textId="77777777" w:rsidR="0040050D" w:rsidRPr="006D2915" w:rsidRDefault="0040050D" w:rsidP="00551AB2">
            <w:pPr>
              <w:tabs>
                <w:tab w:val="left" w:pos="800"/>
                <w:tab w:val="left" w:pos="980"/>
              </w:tabs>
              <w:spacing w:line="276" w:lineRule="auto"/>
              <w:ind w:left="530" w:hanging="540"/>
              <w:jc w:val="both"/>
              <w:rPr>
                <w:rFonts w:eastAsia="Aptos" w:cs="Arial"/>
                <w:color w:val="000000" w:themeColor="text1"/>
              </w:rPr>
            </w:pPr>
          </w:p>
        </w:tc>
      </w:tr>
      <w:tr w:rsidR="00551AB2" w:rsidRPr="00551AB2" w14:paraId="04FC707C" w14:textId="77777777" w:rsidTr="0053700A">
        <w:trPr>
          <w:trHeight w:val="300"/>
        </w:trPr>
        <w:tc>
          <w:tcPr>
            <w:tcW w:w="9415" w:type="dxa"/>
            <w:gridSpan w:val="3"/>
          </w:tcPr>
          <w:p w14:paraId="6B1AFA2D" w14:textId="77777777" w:rsidR="00551AB2" w:rsidRPr="006D2915" w:rsidRDefault="00551AB2" w:rsidP="00551AB2">
            <w:pPr>
              <w:tabs>
                <w:tab w:val="left" w:pos="800"/>
                <w:tab w:val="left" w:pos="980"/>
              </w:tabs>
              <w:spacing w:line="276" w:lineRule="auto"/>
              <w:ind w:left="530" w:hanging="540"/>
              <w:jc w:val="both"/>
              <w:rPr>
                <w:rFonts w:eastAsia="Times New Roman" w:cs="Times New Roman"/>
                <w:b/>
                <w:color w:val="000000" w:themeColor="text1"/>
                <w:kern w:val="0"/>
                <w:lang w:val="en-US" w:eastAsia="ja-JP"/>
                <w14:ligatures w14:val="none"/>
              </w:rPr>
            </w:pPr>
            <w:r w:rsidRPr="006D2915">
              <w:rPr>
                <w:rFonts w:eastAsia="Times New Roman" w:cs="Times New Roman"/>
                <w:b/>
                <w:color w:val="000000" w:themeColor="text1"/>
                <w:kern w:val="0"/>
                <w:lang w:val="en-US" w:eastAsia="ja-JP"/>
                <w14:ligatures w14:val="none"/>
              </w:rPr>
              <w:t>ESSAYS, ARTICLES, &amp; JOURNALS</w:t>
            </w:r>
          </w:p>
        </w:tc>
      </w:tr>
      <w:tr w:rsidR="00551AB2" w:rsidRPr="00551AB2" w14:paraId="6AF18975" w14:textId="77777777" w:rsidTr="0053700A">
        <w:trPr>
          <w:gridAfter w:val="1"/>
          <w:wAfter w:w="7" w:type="dxa"/>
          <w:trHeight w:val="300"/>
        </w:trPr>
        <w:tc>
          <w:tcPr>
            <w:tcW w:w="7560" w:type="dxa"/>
          </w:tcPr>
          <w:p w14:paraId="6373FA52"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Times New Roman"/>
              </w:rPr>
              <w:t xml:space="preserve">Beatrice I </w:t>
            </w:r>
            <w:proofErr w:type="spellStart"/>
            <w:r w:rsidRPr="00551AB2">
              <w:rPr>
                <w:rFonts w:eastAsia="Aptos" w:cs="Times New Roman"/>
                <w:lang w:val="en-US"/>
              </w:rPr>
              <w:t>Bonafé</w:t>
            </w:r>
            <w:proofErr w:type="spellEnd"/>
            <w:r w:rsidRPr="00551AB2">
              <w:rPr>
                <w:rFonts w:eastAsia="Aptos" w:cs="Times New Roman"/>
              </w:rPr>
              <w:t>, “Interests of a Legal Nature Justifying Intervention before the ICJ” (2012) 25:3 Leiden J Intl L</w:t>
            </w:r>
          </w:p>
        </w:tc>
        <w:tc>
          <w:tcPr>
            <w:tcW w:w="1848" w:type="dxa"/>
          </w:tcPr>
          <w:p w14:paraId="7356FB3F" w14:textId="26A7F587" w:rsidR="00551AB2" w:rsidRPr="006D2915" w:rsidRDefault="00816F39" w:rsidP="00551AB2">
            <w:pPr>
              <w:tabs>
                <w:tab w:val="left" w:pos="800"/>
                <w:tab w:val="left" w:pos="980"/>
              </w:tabs>
              <w:spacing w:line="276" w:lineRule="auto"/>
              <w:ind w:left="530" w:hanging="540"/>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1</w:t>
            </w:r>
          </w:p>
        </w:tc>
      </w:tr>
      <w:tr w:rsidR="00551AB2" w:rsidRPr="00551AB2" w14:paraId="432F0093" w14:textId="77777777" w:rsidTr="0053700A">
        <w:trPr>
          <w:gridAfter w:val="1"/>
          <w:wAfter w:w="7" w:type="dxa"/>
          <w:trHeight w:val="300"/>
        </w:trPr>
        <w:tc>
          <w:tcPr>
            <w:tcW w:w="7560" w:type="dxa"/>
          </w:tcPr>
          <w:p w14:paraId="4F334B28" w14:textId="77777777" w:rsidR="00551AB2" w:rsidRPr="00551AB2" w:rsidRDefault="00551AB2" w:rsidP="00551AB2">
            <w:pPr>
              <w:tabs>
                <w:tab w:val="left" w:pos="800"/>
                <w:tab w:val="left" w:pos="980"/>
              </w:tabs>
              <w:spacing w:line="276" w:lineRule="auto"/>
              <w:ind w:left="530" w:hanging="540"/>
              <w:rPr>
                <w:rFonts w:eastAsia="Aptos" w:cs="Arial"/>
              </w:rPr>
            </w:pPr>
            <w:r w:rsidRPr="00551AB2">
              <w:rPr>
                <w:rFonts w:eastAsia="Aptos" w:cs="Arial"/>
              </w:rPr>
              <w:t>Bohdan Karnaukh, “Territorial Tort Exception? The Ukrainian Supreme Court Held That the Russian Federation Could Not Plead Immunity with Regard to Tort Claims Brought by the Victims of the Russia-Ukraine War,” (2022), 3:15 Access Justice East. Eur.</w:t>
            </w:r>
          </w:p>
        </w:tc>
        <w:tc>
          <w:tcPr>
            <w:tcW w:w="1848" w:type="dxa"/>
          </w:tcPr>
          <w:p w14:paraId="7DD72EE5" w14:textId="10F47A7C" w:rsidR="00551AB2" w:rsidRPr="006D2915" w:rsidRDefault="00700BB9" w:rsidP="006D2915">
            <w:pPr>
              <w:tabs>
                <w:tab w:val="left" w:pos="800"/>
                <w:tab w:val="left" w:pos="980"/>
              </w:tabs>
              <w:spacing w:line="276" w:lineRule="auto"/>
              <w:ind w:left="530" w:hanging="540"/>
              <w:jc w:val="right"/>
              <w:rPr>
                <w:rFonts w:eastAsia="Aptos" w:cs="Arial"/>
                <w:color w:val="000000" w:themeColor="text1"/>
              </w:rPr>
            </w:pPr>
            <w:r>
              <w:rPr>
                <w:rFonts w:eastAsia="Aptos" w:cs="Arial"/>
                <w:color w:val="000000" w:themeColor="text1"/>
              </w:rPr>
              <w:t>29</w:t>
            </w:r>
          </w:p>
        </w:tc>
      </w:tr>
      <w:tr w:rsidR="00551AB2" w:rsidRPr="00551AB2" w14:paraId="0BFDC620" w14:textId="77777777" w:rsidTr="0053700A">
        <w:trPr>
          <w:gridAfter w:val="1"/>
          <w:wAfter w:w="7" w:type="dxa"/>
          <w:trHeight w:val="300"/>
        </w:trPr>
        <w:tc>
          <w:tcPr>
            <w:tcW w:w="7560" w:type="dxa"/>
          </w:tcPr>
          <w:p w14:paraId="7D35EB21" w14:textId="77777777" w:rsidR="00551AB2" w:rsidRPr="00551AB2" w:rsidRDefault="00551AB2" w:rsidP="00551AB2">
            <w:pPr>
              <w:tabs>
                <w:tab w:val="left" w:pos="800"/>
                <w:tab w:val="left" w:pos="980"/>
              </w:tabs>
              <w:spacing w:line="276" w:lineRule="auto"/>
              <w:ind w:left="530" w:hanging="540"/>
              <w:jc w:val="both"/>
              <w:rPr>
                <w:rFonts w:eastAsia="Aptos" w:cs="Times New Roman"/>
              </w:rPr>
            </w:pPr>
            <w:r w:rsidRPr="00551AB2">
              <w:rPr>
                <w:rFonts w:eastAsia="Aptos" w:cs="Times New Roman"/>
              </w:rPr>
              <w:t xml:space="preserve">Cherif Bassiouni, “Human Rights in the Context of Criminal Justice: Identifying International Protections and Equivalent Protections in National Constitutions”, (1993) 3 Duke </w:t>
            </w:r>
            <w:proofErr w:type="spellStart"/>
            <w:r w:rsidRPr="00551AB2">
              <w:rPr>
                <w:rFonts w:eastAsia="Aptos" w:cs="Times New Roman"/>
              </w:rPr>
              <w:t>J.Comp</w:t>
            </w:r>
            <w:proofErr w:type="spellEnd"/>
            <w:r w:rsidRPr="00551AB2">
              <w:rPr>
                <w:rFonts w:eastAsia="Aptos" w:cs="Times New Roman"/>
              </w:rPr>
              <w:t>.&amp; Int'l L</w:t>
            </w:r>
          </w:p>
        </w:tc>
        <w:tc>
          <w:tcPr>
            <w:tcW w:w="1848" w:type="dxa"/>
          </w:tcPr>
          <w:p w14:paraId="188A4821" w14:textId="3FAAEAC7" w:rsidR="00551AB2" w:rsidRPr="006D2915" w:rsidRDefault="008D0D75" w:rsidP="00551AB2">
            <w:pPr>
              <w:tabs>
                <w:tab w:val="left" w:pos="800"/>
                <w:tab w:val="left" w:pos="980"/>
              </w:tabs>
              <w:spacing w:line="276" w:lineRule="auto"/>
              <w:ind w:left="530" w:hanging="540"/>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15</w:t>
            </w:r>
            <w:r w:rsidR="002E2447">
              <w:rPr>
                <w:rFonts w:eastAsia="Merriweather" w:cs="Times New Roman"/>
                <w:color w:val="000000" w:themeColor="text1"/>
                <w:kern w:val="0"/>
                <w:lang w:val="en-US" w:eastAsia="ja-JP"/>
                <w14:ligatures w14:val="none"/>
              </w:rPr>
              <w:t>, 17</w:t>
            </w:r>
          </w:p>
        </w:tc>
      </w:tr>
      <w:tr w:rsidR="00551AB2" w:rsidRPr="00551AB2" w14:paraId="0485830F" w14:textId="77777777" w:rsidTr="0053700A">
        <w:trPr>
          <w:gridAfter w:val="1"/>
          <w:wAfter w:w="7" w:type="dxa"/>
          <w:trHeight w:val="300"/>
        </w:trPr>
        <w:tc>
          <w:tcPr>
            <w:tcW w:w="7560" w:type="dxa"/>
          </w:tcPr>
          <w:p w14:paraId="21A66C94" w14:textId="77777777" w:rsidR="00551AB2" w:rsidRPr="00551AB2" w:rsidRDefault="00551AB2" w:rsidP="00551AB2">
            <w:pPr>
              <w:tabs>
                <w:tab w:val="left" w:pos="800"/>
                <w:tab w:val="left" w:pos="980"/>
              </w:tabs>
              <w:spacing w:line="276" w:lineRule="auto"/>
              <w:ind w:left="530" w:hanging="540"/>
              <w:rPr>
                <w:rFonts w:eastAsia="Times New Roman" w:cs="Times New Roman"/>
                <w:bCs/>
                <w:color w:val="000000"/>
                <w:kern w:val="0"/>
                <w:lang w:val="en-US" w:eastAsia="ja-JP"/>
                <w14:ligatures w14:val="none"/>
              </w:rPr>
            </w:pPr>
            <w:r w:rsidRPr="00551AB2">
              <w:rPr>
                <w:rFonts w:eastAsia="Times New Roman" w:cs="Times New Roman"/>
                <w:bCs/>
                <w:color w:val="000000"/>
                <w:kern w:val="0"/>
                <w:lang w:eastAsia="ja-JP"/>
                <w14:ligatures w14:val="none"/>
              </w:rPr>
              <w:t xml:space="preserve">Gerard Conway, “Ne Bis </w:t>
            </w:r>
            <w:proofErr w:type="gramStart"/>
            <w:r w:rsidRPr="00551AB2">
              <w:rPr>
                <w:rFonts w:eastAsia="Times New Roman" w:cs="Times New Roman"/>
                <w:bCs/>
                <w:color w:val="000000"/>
                <w:kern w:val="0"/>
                <w:lang w:eastAsia="ja-JP"/>
                <w14:ligatures w14:val="none"/>
              </w:rPr>
              <w:t>In</w:t>
            </w:r>
            <w:proofErr w:type="gramEnd"/>
            <w:r w:rsidRPr="00551AB2">
              <w:rPr>
                <w:rFonts w:eastAsia="Times New Roman" w:cs="Times New Roman"/>
                <w:bCs/>
                <w:color w:val="000000"/>
                <w:kern w:val="0"/>
                <w:lang w:eastAsia="ja-JP"/>
                <w14:ligatures w14:val="none"/>
              </w:rPr>
              <w:t xml:space="preserve"> Idem and the International Criminal Tribunals” (2003) 14:4 Crim. L. Forum</w:t>
            </w:r>
          </w:p>
        </w:tc>
        <w:tc>
          <w:tcPr>
            <w:tcW w:w="1848" w:type="dxa"/>
          </w:tcPr>
          <w:p w14:paraId="08A03107" w14:textId="5041A7F2" w:rsidR="00551AB2" w:rsidRPr="006D2915" w:rsidRDefault="00F0502B"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19</w:t>
            </w:r>
            <w:r w:rsidR="00DC389B">
              <w:rPr>
                <w:rFonts w:eastAsia="Times New Roman" w:cs="Times New Roman"/>
                <w:color w:val="000000" w:themeColor="text1"/>
                <w:kern w:val="0"/>
                <w:lang w:val="en-US" w:eastAsia="ja-JP"/>
                <w14:ligatures w14:val="none"/>
              </w:rPr>
              <w:t>, 20</w:t>
            </w:r>
          </w:p>
        </w:tc>
      </w:tr>
      <w:tr w:rsidR="00551AB2" w:rsidRPr="00551AB2" w14:paraId="036E39BC" w14:textId="77777777" w:rsidTr="0053700A">
        <w:trPr>
          <w:gridAfter w:val="1"/>
          <w:wAfter w:w="7" w:type="dxa"/>
          <w:trHeight w:val="300"/>
        </w:trPr>
        <w:tc>
          <w:tcPr>
            <w:tcW w:w="7560" w:type="dxa"/>
          </w:tcPr>
          <w:p w14:paraId="11017BB1" w14:textId="77777777" w:rsidR="00551AB2" w:rsidRPr="00551AB2" w:rsidRDefault="00551AB2" w:rsidP="00551AB2">
            <w:pPr>
              <w:tabs>
                <w:tab w:val="left" w:pos="800"/>
                <w:tab w:val="left" w:pos="980"/>
              </w:tabs>
              <w:spacing w:line="276" w:lineRule="auto"/>
              <w:ind w:left="530" w:hanging="540"/>
              <w:rPr>
                <w:rFonts w:eastAsia="Times New Roman" w:cs="Times New Roman"/>
                <w:bCs/>
                <w:color w:val="000000"/>
                <w:kern w:val="0"/>
                <w:lang w:val="en-US" w:eastAsia="ja-JP"/>
                <w14:ligatures w14:val="none"/>
              </w:rPr>
            </w:pPr>
            <w:r w:rsidRPr="00551AB2">
              <w:rPr>
                <w:rFonts w:eastAsia="Aptos" w:cs="Arial"/>
              </w:rPr>
              <w:t xml:space="preserve">Giorgio Gaja, “General Principles of Law,” </w:t>
            </w:r>
            <w:r w:rsidRPr="00551AB2">
              <w:rPr>
                <w:rFonts w:eastAsia="Aptos" w:cs="Arial"/>
                <w:i/>
                <w:iCs/>
              </w:rPr>
              <w:t>Max Planck Encyclopedias of International Law</w:t>
            </w:r>
            <w:r w:rsidRPr="00551AB2">
              <w:rPr>
                <w:rFonts w:eastAsia="Aptos" w:cs="Arial"/>
              </w:rPr>
              <w:t>, April 2020</w:t>
            </w:r>
          </w:p>
        </w:tc>
        <w:tc>
          <w:tcPr>
            <w:tcW w:w="1848" w:type="dxa"/>
          </w:tcPr>
          <w:p w14:paraId="00F2F358" w14:textId="1FDDB7B4" w:rsidR="00551AB2" w:rsidRPr="006D2915" w:rsidRDefault="00285563"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19</w:t>
            </w:r>
          </w:p>
        </w:tc>
      </w:tr>
      <w:tr w:rsidR="00551AB2" w:rsidRPr="00551AB2" w14:paraId="6EFC4560" w14:textId="77777777" w:rsidTr="0053700A">
        <w:trPr>
          <w:gridAfter w:val="1"/>
          <w:wAfter w:w="7" w:type="dxa"/>
          <w:trHeight w:val="300"/>
        </w:trPr>
        <w:tc>
          <w:tcPr>
            <w:tcW w:w="7560" w:type="dxa"/>
          </w:tcPr>
          <w:p w14:paraId="36A98EB5" w14:textId="77777777" w:rsidR="00551AB2" w:rsidRPr="00551AB2" w:rsidRDefault="00551AB2" w:rsidP="00551AB2">
            <w:pPr>
              <w:tabs>
                <w:tab w:val="left" w:pos="800"/>
                <w:tab w:val="left" w:pos="980"/>
              </w:tabs>
              <w:spacing w:line="276" w:lineRule="auto"/>
              <w:ind w:left="530" w:hanging="540"/>
              <w:jc w:val="both"/>
              <w:rPr>
                <w:rFonts w:eastAsia="Aptos" w:cs="Times New Roman"/>
              </w:rPr>
            </w:pPr>
            <w:r w:rsidRPr="00551AB2">
              <w:rPr>
                <w:rFonts w:eastAsia="Aptos" w:cs="Arial"/>
              </w:rPr>
              <w:t>Mauro Barelli, “Free, Prior and Informed Consent in the Aftermath of the UN Declaration on the Rights of Indigenous Peoples: Developments and Challenges Ahead” (2012) 16:1 Intl JHR</w:t>
            </w:r>
          </w:p>
        </w:tc>
        <w:tc>
          <w:tcPr>
            <w:tcW w:w="1848" w:type="dxa"/>
          </w:tcPr>
          <w:p w14:paraId="21D47795" w14:textId="4727DB7F" w:rsidR="00551AB2" w:rsidRPr="006D2915" w:rsidRDefault="00656BB5" w:rsidP="00551AB2">
            <w:pPr>
              <w:tabs>
                <w:tab w:val="left" w:pos="800"/>
                <w:tab w:val="left" w:pos="980"/>
              </w:tabs>
              <w:spacing w:line="276" w:lineRule="auto"/>
              <w:ind w:left="530" w:hanging="540"/>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10</w:t>
            </w:r>
          </w:p>
        </w:tc>
      </w:tr>
      <w:tr w:rsidR="00551AB2" w:rsidRPr="00551AB2" w14:paraId="38EF1800" w14:textId="77777777" w:rsidTr="0053700A">
        <w:trPr>
          <w:gridAfter w:val="1"/>
          <w:wAfter w:w="7" w:type="dxa"/>
          <w:trHeight w:val="300"/>
        </w:trPr>
        <w:tc>
          <w:tcPr>
            <w:tcW w:w="7560" w:type="dxa"/>
          </w:tcPr>
          <w:p w14:paraId="5EFE6132" w14:textId="77777777" w:rsidR="00551AB2" w:rsidRPr="00551AB2" w:rsidRDefault="00551AB2" w:rsidP="00551AB2">
            <w:pPr>
              <w:tabs>
                <w:tab w:val="left" w:pos="800"/>
                <w:tab w:val="left" w:pos="980"/>
              </w:tabs>
              <w:spacing w:line="276" w:lineRule="auto"/>
              <w:ind w:left="530" w:hanging="540"/>
              <w:jc w:val="both"/>
              <w:rPr>
                <w:rFonts w:eastAsia="Aptos" w:cs="Times New Roman"/>
              </w:rPr>
            </w:pPr>
            <w:r w:rsidRPr="00551AB2">
              <w:rPr>
                <w:rFonts w:eastAsia="Aptos" w:cs="Arial"/>
              </w:rPr>
              <w:t>Neil Boister, “A History of Double Criminality in Extradition”, (2003) 25:2 J. Hist. Int. Law</w:t>
            </w:r>
          </w:p>
        </w:tc>
        <w:tc>
          <w:tcPr>
            <w:tcW w:w="1848" w:type="dxa"/>
          </w:tcPr>
          <w:p w14:paraId="5FE3959A" w14:textId="0B574CBF" w:rsidR="00551AB2" w:rsidRPr="006D2915" w:rsidRDefault="008D0D75" w:rsidP="00551AB2">
            <w:pPr>
              <w:tabs>
                <w:tab w:val="left" w:pos="800"/>
                <w:tab w:val="left" w:pos="980"/>
              </w:tabs>
              <w:spacing w:line="276" w:lineRule="auto"/>
              <w:ind w:left="530" w:hanging="540"/>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15</w:t>
            </w:r>
          </w:p>
        </w:tc>
      </w:tr>
      <w:tr w:rsidR="00551AB2" w:rsidRPr="00551AB2" w14:paraId="67BB1677" w14:textId="77777777" w:rsidTr="0053700A">
        <w:trPr>
          <w:gridAfter w:val="1"/>
          <w:wAfter w:w="7" w:type="dxa"/>
          <w:trHeight w:val="300"/>
        </w:trPr>
        <w:tc>
          <w:tcPr>
            <w:tcW w:w="7560" w:type="dxa"/>
          </w:tcPr>
          <w:p w14:paraId="477896C9" w14:textId="77777777" w:rsidR="00551AB2" w:rsidRPr="00551AB2" w:rsidRDefault="00551AB2" w:rsidP="00551AB2">
            <w:pPr>
              <w:tabs>
                <w:tab w:val="left" w:pos="800"/>
                <w:tab w:val="left" w:pos="980"/>
              </w:tabs>
              <w:spacing w:line="276" w:lineRule="auto"/>
              <w:ind w:left="530" w:hanging="540"/>
              <w:jc w:val="both"/>
              <w:rPr>
                <w:rFonts w:eastAsia="Aptos" w:cs="Times New Roman"/>
              </w:rPr>
            </w:pPr>
            <w:r w:rsidRPr="00551AB2">
              <w:rPr>
                <w:rFonts w:eastAsia="Aptos" w:cs="Times New Roman"/>
              </w:rPr>
              <w:t>Panos Merkouris &amp; Daniel Peat, “The Interpretative Practice of the International Court of Justice” (2023) 26:1 UNYB</w:t>
            </w:r>
          </w:p>
        </w:tc>
        <w:tc>
          <w:tcPr>
            <w:tcW w:w="1848" w:type="dxa"/>
          </w:tcPr>
          <w:p w14:paraId="783D6E3D" w14:textId="0F6ECDA1" w:rsidR="00551AB2" w:rsidRPr="006D2915" w:rsidRDefault="008A5734" w:rsidP="00551AB2">
            <w:pPr>
              <w:tabs>
                <w:tab w:val="left" w:pos="800"/>
                <w:tab w:val="left" w:pos="980"/>
              </w:tabs>
              <w:spacing w:line="276" w:lineRule="auto"/>
              <w:ind w:left="530" w:hanging="540"/>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13</w:t>
            </w:r>
          </w:p>
        </w:tc>
      </w:tr>
      <w:tr w:rsidR="00551AB2" w:rsidRPr="00551AB2" w14:paraId="62DA86C3" w14:textId="77777777" w:rsidTr="0053700A">
        <w:trPr>
          <w:gridAfter w:val="1"/>
          <w:wAfter w:w="7" w:type="dxa"/>
          <w:trHeight w:val="300"/>
        </w:trPr>
        <w:tc>
          <w:tcPr>
            <w:tcW w:w="7560" w:type="dxa"/>
          </w:tcPr>
          <w:p w14:paraId="0F59BA43" w14:textId="77777777" w:rsidR="00551AB2" w:rsidRPr="00551AB2" w:rsidRDefault="00551AB2" w:rsidP="00551AB2">
            <w:pPr>
              <w:tabs>
                <w:tab w:val="left" w:pos="800"/>
                <w:tab w:val="left" w:pos="980"/>
              </w:tabs>
              <w:spacing w:line="276" w:lineRule="auto"/>
              <w:ind w:left="530" w:hanging="540"/>
              <w:rPr>
                <w:rFonts w:eastAsia="Times New Roman" w:cs="Times New Roman"/>
                <w:bCs/>
                <w:color w:val="000000"/>
                <w:kern w:val="0"/>
                <w:lang w:val="en-US" w:eastAsia="ja-JP"/>
                <w14:ligatures w14:val="none"/>
              </w:rPr>
            </w:pPr>
            <w:r w:rsidRPr="00551AB2">
              <w:rPr>
                <w:rFonts w:eastAsia="Aptos" w:cs="Arial"/>
              </w:rPr>
              <w:t xml:space="preserve">Richard Garnett, “Foreign State Immunity and the Harassment of Dissidents” (2023) 24:2 </w:t>
            </w:r>
            <w:proofErr w:type="spellStart"/>
            <w:proofErr w:type="gramStart"/>
            <w:r w:rsidRPr="00551AB2">
              <w:rPr>
                <w:rFonts w:eastAsia="Aptos" w:cs="Arial"/>
              </w:rPr>
              <w:t>Melb.J.Int.L</w:t>
            </w:r>
            <w:proofErr w:type="spellEnd"/>
            <w:proofErr w:type="gramEnd"/>
          </w:p>
        </w:tc>
        <w:tc>
          <w:tcPr>
            <w:tcW w:w="1848" w:type="dxa"/>
          </w:tcPr>
          <w:p w14:paraId="004B4674" w14:textId="1434C36D" w:rsidR="00551AB2" w:rsidRPr="006D2915" w:rsidRDefault="00700BB9"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29</w:t>
            </w:r>
          </w:p>
        </w:tc>
      </w:tr>
      <w:tr w:rsidR="00551AB2" w:rsidRPr="00551AB2" w14:paraId="6B2C4D72" w14:textId="77777777" w:rsidTr="0053700A">
        <w:trPr>
          <w:gridAfter w:val="1"/>
          <w:wAfter w:w="7" w:type="dxa"/>
          <w:trHeight w:val="300"/>
        </w:trPr>
        <w:tc>
          <w:tcPr>
            <w:tcW w:w="7560" w:type="dxa"/>
          </w:tcPr>
          <w:p w14:paraId="7470D0A3" w14:textId="77777777" w:rsidR="00551AB2" w:rsidRPr="00551AB2" w:rsidRDefault="00551AB2" w:rsidP="00551AB2">
            <w:pPr>
              <w:tabs>
                <w:tab w:val="left" w:pos="800"/>
                <w:tab w:val="left" w:pos="980"/>
              </w:tabs>
              <w:spacing w:line="276" w:lineRule="auto"/>
              <w:ind w:left="530" w:hanging="540"/>
              <w:rPr>
                <w:rFonts w:eastAsia="Times New Roman" w:cs="Times New Roman"/>
                <w:bCs/>
                <w:color w:val="000000"/>
                <w:kern w:val="0"/>
                <w:lang w:val="en-US" w:eastAsia="ja-JP"/>
                <w14:ligatures w14:val="none"/>
              </w:rPr>
            </w:pPr>
            <w:r w:rsidRPr="00551AB2">
              <w:rPr>
                <w:rFonts w:eastAsia="Aptos" w:cs="Arial"/>
              </w:rPr>
              <w:t xml:space="preserve">Toshihiro Kawaide, “Japan, concurrent national and international criminal jurisdiction and the principle </w:t>
            </w:r>
            <w:r w:rsidRPr="00551AB2">
              <w:rPr>
                <w:rFonts w:eastAsia="Aptos" w:cs="Arial"/>
                <w:i/>
                <w:iCs/>
              </w:rPr>
              <w:t>‘ne bis in dem’</w:t>
            </w:r>
            <w:r w:rsidRPr="00551AB2">
              <w:rPr>
                <w:rFonts w:eastAsia="Aptos" w:cs="Arial"/>
              </w:rPr>
              <w:t>,” (2002) 73:3 Rev int dr pén</w:t>
            </w:r>
          </w:p>
        </w:tc>
        <w:tc>
          <w:tcPr>
            <w:tcW w:w="1848" w:type="dxa"/>
          </w:tcPr>
          <w:p w14:paraId="2700F7B9" w14:textId="547BC615" w:rsidR="00551AB2" w:rsidRPr="006D2915" w:rsidRDefault="00E96456" w:rsidP="006D2915">
            <w:pPr>
              <w:tabs>
                <w:tab w:val="left" w:pos="800"/>
                <w:tab w:val="left" w:pos="980"/>
              </w:tabs>
              <w:spacing w:line="276" w:lineRule="auto"/>
              <w:ind w:left="530" w:hanging="540"/>
              <w:jc w:val="right"/>
              <w:rPr>
                <w:rFonts w:eastAsia="Times New Roman" w:cs="Times New Roman"/>
                <w:color w:val="000000" w:themeColor="text1"/>
                <w:kern w:val="0"/>
                <w:lang w:val="en-US" w:eastAsia="ja-JP"/>
                <w14:ligatures w14:val="none"/>
              </w:rPr>
            </w:pPr>
            <w:r>
              <w:rPr>
                <w:rFonts w:eastAsia="Times New Roman" w:cs="Times New Roman"/>
                <w:color w:val="000000" w:themeColor="text1"/>
                <w:kern w:val="0"/>
                <w:lang w:val="en-US" w:eastAsia="ja-JP"/>
                <w14:ligatures w14:val="none"/>
              </w:rPr>
              <w:t>17</w:t>
            </w:r>
          </w:p>
        </w:tc>
      </w:tr>
      <w:tr w:rsidR="0040050D" w:rsidRPr="00551AB2" w14:paraId="1DAA6DC1" w14:textId="77777777" w:rsidTr="0053700A">
        <w:trPr>
          <w:gridAfter w:val="1"/>
          <w:wAfter w:w="7" w:type="dxa"/>
          <w:trHeight w:val="300"/>
        </w:trPr>
        <w:tc>
          <w:tcPr>
            <w:tcW w:w="7560" w:type="dxa"/>
          </w:tcPr>
          <w:p w14:paraId="1D090C10" w14:textId="77777777" w:rsidR="0040050D" w:rsidRPr="00551AB2" w:rsidRDefault="0040050D" w:rsidP="00551AB2">
            <w:pPr>
              <w:tabs>
                <w:tab w:val="left" w:pos="800"/>
                <w:tab w:val="left" w:pos="980"/>
              </w:tabs>
              <w:spacing w:line="276" w:lineRule="auto"/>
              <w:ind w:left="530" w:hanging="540"/>
              <w:rPr>
                <w:rFonts w:eastAsia="Aptos" w:cs="Arial"/>
              </w:rPr>
            </w:pPr>
          </w:p>
        </w:tc>
        <w:tc>
          <w:tcPr>
            <w:tcW w:w="1848" w:type="dxa"/>
          </w:tcPr>
          <w:p w14:paraId="7F208565" w14:textId="77777777" w:rsidR="0040050D" w:rsidRPr="006D2915" w:rsidRDefault="0040050D" w:rsidP="00551AB2">
            <w:pPr>
              <w:tabs>
                <w:tab w:val="left" w:pos="800"/>
                <w:tab w:val="left" w:pos="980"/>
              </w:tabs>
              <w:spacing w:line="276" w:lineRule="auto"/>
              <w:ind w:left="530" w:hanging="540"/>
              <w:rPr>
                <w:rFonts w:eastAsia="Times New Roman" w:cs="Times New Roman"/>
                <w:color w:val="000000" w:themeColor="text1"/>
                <w:kern w:val="0"/>
                <w:lang w:val="en-US" w:eastAsia="ja-JP"/>
                <w14:ligatures w14:val="none"/>
              </w:rPr>
            </w:pPr>
          </w:p>
        </w:tc>
      </w:tr>
      <w:tr w:rsidR="00551AB2" w:rsidRPr="00551AB2" w14:paraId="35FD612C" w14:textId="77777777" w:rsidTr="0053700A">
        <w:trPr>
          <w:trHeight w:val="300"/>
        </w:trPr>
        <w:tc>
          <w:tcPr>
            <w:tcW w:w="9415" w:type="dxa"/>
            <w:gridSpan w:val="3"/>
          </w:tcPr>
          <w:p w14:paraId="1DA3F511" w14:textId="77777777" w:rsidR="00551AB2" w:rsidRPr="006D2915" w:rsidRDefault="00551AB2" w:rsidP="00551AB2">
            <w:pPr>
              <w:tabs>
                <w:tab w:val="left" w:pos="800"/>
                <w:tab w:val="left" w:pos="980"/>
              </w:tabs>
              <w:spacing w:line="276" w:lineRule="auto"/>
              <w:ind w:left="530" w:hanging="540"/>
              <w:jc w:val="both"/>
              <w:rPr>
                <w:rFonts w:eastAsia="Merriweather" w:cs="Times New Roman"/>
                <w:b/>
                <w:color w:val="000000" w:themeColor="text1"/>
                <w:kern w:val="0"/>
                <w:lang w:val="en-US" w:eastAsia="ja-JP"/>
                <w14:ligatures w14:val="none"/>
              </w:rPr>
            </w:pPr>
            <w:r w:rsidRPr="006D2915">
              <w:rPr>
                <w:rFonts w:eastAsia="Times New Roman" w:cs="Times New Roman"/>
                <w:b/>
                <w:color w:val="000000" w:themeColor="text1"/>
                <w:kern w:val="0"/>
                <w:lang w:val="en-US" w:eastAsia="ja-JP"/>
                <w14:ligatures w14:val="none"/>
              </w:rPr>
              <w:t xml:space="preserve">MISCELLANEOUS </w:t>
            </w:r>
          </w:p>
        </w:tc>
      </w:tr>
      <w:tr w:rsidR="00551AB2" w:rsidRPr="00551AB2" w14:paraId="73A6EEDC" w14:textId="77777777" w:rsidTr="0053700A">
        <w:trPr>
          <w:gridAfter w:val="1"/>
          <w:wAfter w:w="7" w:type="dxa"/>
          <w:trHeight w:val="300"/>
        </w:trPr>
        <w:tc>
          <w:tcPr>
            <w:tcW w:w="7560" w:type="dxa"/>
          </w:tcPr>
          <w:p w14:paraId="5485A036"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000000"/>
                <w:kern w:val="0"/>
                <w:lang w:val="en-US" w:eastAsia="ja-JP"/>
                <w14:ligatures w14:val="none"/>
              </w:rPr>
            </w:pPr>
            <w:r w:rsidRPr="00551AB2">
              <w:rPr>
                <w:rFonts w:eastAsia="Aptos" w:cs="Arial"/>
              </w:rPr>
              <w:t xml:space="preserve">Canada, Indian and Northern Affairs Canada, </w:t>
            </w:r>
            <w:r w:rsidRPr="00551AB2">
              <w:rPr>
                <w:rFonts w:eastAsia="Aptos" w:cs="Arial"/>
                <w:i/>
                <w:iCs/>
              </w:rPr>
              <w:t xml:space="preserve">Canada’s Statement of Support on the United Nations Declaration on the Rights of Indigenous Peoples </w:t>
            </w:r>
            <w:r w:rsidRPr="00551AB2">
              <w:rPr>
                <w:rFonts w:eastAsia="Aptos" w:cs="Arial"/>
              </w:rPr>
              <w:t>(12 November 2010)</w:t>
            </w:r>
          </w:p>
        </w:tc>
        <w:tc>
          <w:tcPr>
            <w:tcW w:w="1848" w:type="dxa"/>
          </w:tcPr>
          <w:p w14:paraId="25601F8B" w14:textId="45BE16A2" w:rsidR="00551AB2" w:rsidRPr="006D2915" w:rsidRDefault="00233F0B" w:rsidP="00551AB2">
            <w:pPr>
              <w:tabs>
                <w:tab w:val="left" w:pos="800"/>
                <w:tab w:val="left" w:pos="980"/>
              </w:tabs>
              <w:spacing w:line="276" w:lineRule="auto"/>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9</w:t>
            </w:r>
          </w:p>
        </w:tc>
      </w:tr>
      <w:tr w:rsidR="00551AB2" w:rsidRPr="00551AB2" w14:paraId="300396A0" w14:textId="77777777" w:rsidTr="0053700A">
        <w:trPr>
          <w:gridAfter w:val="1"/>
          <w:wAfter w:w="7" w:type="dxa"/>
          <w:trHeight w:val="300"/>
        </w:trPr>
        <w:tc>
          <w:tcPr>
            <w:tcW w:w="7560" w:type="dxa"/>
          </w:tcPr>
          <w:p w14:paraId="6A2AE114" w14:textId="27B239C4" w:rsidR="00551AB2" w:rsidRPr="0053700A" w:rsidRDefault="00551AB2" w:rsidP="0053700A">
            <w:pPr>
              <w:spacing w:line="276" w:lineRule="auto"/>
              <w:rPr>
                <w:rFonts w:ascii="Aptos" w:eastAsia="Aptos" w:hAnsi="Aptos" w:cs="Arial"/>
                <w:sz w:val="16"/>
              </w:rPr>
            </w:pPr>
            <w:r w:rsidRPr="00551AB2">
              <w:rPr>
                <w:rFonts w:eastAsia="Aptos" w:cs="Arial"/>
              </w:rPr>
              <w:t xml:space="preserve">Minister of Māori Affairs of New Zealand, </w:t>
            </w:r>
            <w:r w:rsidRPr="00551AB2">
              <w:rPr>
                <w:rFonts w:eastAsia="Aptos" w:cs="Arial"/>
                <w:i/>
                <w:iCs/>
              </w:rPr>
              <w:t>Press Conference on Ninth Session of UN Permanent Forum on Indigenous Issues</w:t>
            </w:r>
            <w:r w:rsidRPr="00551AB2">
              <w:rPr>
                <w:rFonts w:eastAsia="Aptos" w:cs="Arial"/>
              </w:rPr>
              <w:t xml:space="preserve"> (19 Apr 2010)</w:t>
            </w:r>
          </w:p>
        </w:tc>
        <w:tc>
          <w:tcPr>
            <w:tcW w:w="1848" w:type="dxa"/>
          </w:tcPr>
          <w:p w14:paraId="0A09AB76" w14:textId="7FFEA520" w:rsidR="00551AB2" w:rsidRPr="006D2915" w:rsidRDefault="00233F0B" w:rsidP="00551AB2">
            <w:pPr>
              <w:tabs>
                <w:tab w:val="left" w:pos="800"/>
                <w:tab w:val="left" w:pos="980"/>
              </w:tabs>
              <w:spacing w:line="276" w:lineRule="auto"/>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9</w:t>
            </w:r>
          </w:p>
        </w:tc>
      </w:tr>
      <w:tr w:rsidR="00B13503" w:rsidRPr="00551AB2" w14:paraId="73252512" w14:textId="77777777" w:rsidTr="0053700A">
        <w:trPr>
          <w:gridAfter w:val="1"/>
          <w:wAfter w:w="7" w:type="dxa"/>
          <w:trHeight w:val="300"/>
        </w:trPr>
        <w:tc>
          <w:tcPr>
            <w:tcW w:w="7560" w:type="dxa"/>
          </w:tcPr>
          <w:p w14:paraId="730C1B1F" w14:textId="77777777" w:rsidR="00B13503" w:rsidRDefault="00B13503" w:rsidP="0053700A">
            <w:pPr>
              <w:pStyle w:val="FootnoteText"/>
              <w:keepLines/>
              <w:ind w:left="360" w:hanging="360"/>
              <w:rPr>
                <w:szCs w:val="24"/>
              </w:rPr>
            </w:pPr>
            <w:r w:rsidRPr="001D1A9A">
              <w:rPr>
                <w:szCs w:val="24"/>
              </w:rPr>
              <w:t xml:space="preserve">Status of Treaties, </w:t>
            </w:r>
            <w:r w:rsidRPr="001D1A9A">
              <w:rPr>
                <w:i/>
                <w:iCs/>
                <w:szCs w:val="24"/>
              </w:rPr>
              <w:t>UNCJISP</w:t>
            </w:r>
            <w:r w:rsidRPr="001D1A9A">
              <w:rPr>
                <w:szCs w:val="24"/>
              </w:rPr>
              <w:t>, online:</w:t>
            </w:r>
            <w:r>
              <w:rPr>
                <w:szCs w:val="24"/>
              </w:rPr>
              <w:t xml:space="preserve">  </w:t>
            </w:r>
          </w:p>
          <w:p w14:paraId="6DF91DA5" w14:textId="278F5756" w:rsidR="00B13503" w:rsidRPr="0053700A" w:rsidRDefault="0053700A" w:rsidP="0053700A">
            <w:pPr>
              <w:keepLines/>
              <w:spacing w:line="276" w:lineRule="auto"/>
              <w:ind w:left="523"/>
              <w:rPr>
                <w:rFonts w:eastAsia="Aptos" w:cs="Arial"/>
                <w:u w:val="single"/>
              </w:rPr>
            </w:pPr>
            <w:r w:rsidRPr="0053700A">
              <w:t>https://treaties.un.org/pages/viewdetails.aspx?src=treaty&amp;mtdsg_no=iii-13&amp;chapter=3&amp;clang=_en#:~:text=in%20accordance%20with%20 article%</w:t>
            </w:r>
            <w:proofErr w:type="gramStart"/>
            <w:r w:rsidRPr="0053700A">
              <w:t>2030,%</w:t>
            </w:r>
            <w:proofErr w:type="gramEnd"/>
            <w:r w:rsidRPr="0053700A">
              <w:t>2C%20approval%20or%20</w:t>
            </w:r>
            <w:proofErr w:type="gramStart"/>
            <w:r w:rsidRPr="0053700A">
              <w:t>accession.%</w:t>
            </w:r>
            <w:proofErr w:type="gramEnd"/>
            <w:r w:rsidRPr="0053700A">
              <w:t>22</w:t>
            </w:r>
            <w:r w:rsidR="00B13503" w:rsidRPr="0053700A">
              <w:rPr>
                <w:u w:val="single"/>
              </w:rPr>
              <w:t>.</w:t>
            </w:r>
          </w:p>
        </w:tc>
        <w:tc>
          <w:tcPr>
            <w:tcW w:w="1848" w:type="dxa"/>
          </w:tcPr>
          <w:p w14:paraId="08F326D3" w14:textId="20D2CFDF" w:rsidR="00B13503" w:rsidRDefault="00B13503" w:rsidP="00551AB2">
            <w:pPr>
              <w:tabs>
                <w:tab w:val="left" w:pos="800"/>
                <w:tab w:val="left" w:pos="980"/>
              </w:tabs>
              <w:spacing w:line="276" w:lineRule="auto"/>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29</w:t>
            </w:r>
          </w:p>
        </w:tc>
      </w:tr>
      <w:tr w:rsidR="00551AB2" w:rsidRPr="00551AB2" w14:paraId="677C7BE7" w14:textId="77777777" w:rsidTr="0053700A">
        <w:trPr>
          <w:gridAfter w:val="1"/>
          <w:wAfter w:w="7" w:type="dxa"/>
          <w:trHeight w:val="28"/>
        </w:trPr>
        <w:tc>
          <w:tcPr>
            <w:tcW w:w="7560" w:type="dxa"/>
          </w:tcPr>
          <w:p w14:paraId="14B639EA" w14:textId="77777777" w:rsidR="00551AB2" w:rsidRPr="00551AB2" w:rsidRDefault="00551AB2" w:rsidP="00551AB2">
            <w:pPr>
              <w:tabs>
                <w:tab w:val="left" w:pos="800"/>
                <w:tab w:val="left" w:pos="980"/>
              </w:tabs>
              <w:spacing w:line="276" w:lineRule="auto"/>
              <w:ind w:left="530" w:hanging="540"/>
              <w:jc w:val="both"/>
              <w:rPr>
                <w:rFonts w:eastAsia="Times New Roman" w:cs="Times New Roman"/>
                <w:color w:val="FF0000"/>
                <w:kern w:val="0"/>
                <w:lang w:val="en-US" w:eastAsia="ja-JP"/>
                <w14:ligatures w14:val="none"/>
              </w:rPr>
            </w:pPr>
            <w:r w:rsidRPr="00551AB2">
              <w:rPr>
                <w:rFonts w:eastAsia="Aptos" w:cs="Arial"/>
              </w:rPr>
              <w:lastRenderedPageBreak/>
              <w:t xml:space="preserve">United States, U.S. Department of State, </w:t>
            </w:r>
            <w:r w:rsidRPr="00551AB2">
              <w:rPr>
                <w:rFonts w:eastAsia="Aptos" w:cs="Arial"/>
                <w:i/>
                <w:iCs/>
              </w:rPr>
              <w:t>Announcement of U.S. Support for the United Nations Declaration on the Rights of Indigenous Peoples</w:t>
            </w:r>
            <w:r w:rsidRPr="00551AB2">
              <w:rPr>
                <w:rFonts w:eastAsia="Aptos" w:cs="Arial"/>
              </w:rPr>
              <w:t xml:space="preserve"> (16 Dec 2010)</w:t>
            </w:r>
          </w:p>
        </w:tc>
        <w:tc>
          <w:tcPr>
            <w:tcW w:w="1848" w:type="dxa"/>
          </w:tcPr>
          <w:p w14:paraId="2DD88BEB" w14:textId="44525AF9" w:rsidR="00551AB2" w:rsidRPr="006D2915" w:rsidRDefault="00B00724" w:rsidP="00551AB2">
            <w:pPr>
              <w:tabs>
                <w:tab w:val="left" w:pos="800"/>
                <w:tab w:val="left" w:pos="980"/>
              </w:tabs>
              <w:spacing w:line="276" w:lineRule="auto"/>
              <w:jc w:val="right"/>
              <w:rPr>
                <w:rFonts w:eastAsia="Merriweather" w:cs="Times New Roman"/>
                <w:color w:val="000000" w:themeColor="text1"/>
                <w:kern w:val="0"/>
                <w:lang w:val="en-US" w:eastAsia="ja-JP"/>
                <w14:ligatures w14:val="none"/>
              </w:rPr>
            </w:pPr>
            <w:r>
              <w:rPr>
                <w:rFonts w:eastAsia="Merriweather" w:cs="Times New Roman"/>
                <w:color w:val="000000" w:themeColor="text1"/>
                <w:kern w:val="0"/>
                <w:lang w:val="en-US" w:eastAsia="ja-JP"/>
                <w14:ligatures w14:val="none"/>
              </w:rPr>
              <w:t>9</w:t>
            </w:r>
          </w:p>
        </w:tc>
      </w:tr>
    </w:tbl>
    <w:p w14:paraId="1DA8346D" w14:textId="77777777" w:rsidR="00B037C4" w:rsidRDefault="00B037C4">
      <w:pPr>
        <w:rPr>
          <w:rFonts w:eastAsia="Times New Roman" w:cs="Times New Roman"/>
          <w:b/>
          <w:bCs/>
          <w:kern w:val="28"/>
          <w:u w:val="single"/>
          <w14:ligatures w14:val="none"/>
        </w:rPr>
      </w:pPr>
    </w:p>
    <w:p w14:paraId="1316A64D" w14:textId="77777777" w:rsidR="00B037C4" w:rsidRDefault="00B037C4">
      <w:pPr>
        <w:rPr>
          <w:rFonts w:eastAsia="Times New Roman" w:cs="Times New Roman"/>
          <w:b/>
          <w:bCs/>
          <w:kern w:val="28"/>
          <w:u w:val="single"/>
          <w14:ligatures w14:val="none"/>
        </w:rPr>
      </w:pPr>
    </w:p>
    <w:p w14:paraId="229F852F" w14:textId="0D3B0B89" w:rsidR="0053700A" w:rsidRDefault="0053700A">
      <w:pPr>
        <w:spacing w:line="278" w:lineRule="auto"/>
        <w:rPr>
          <w:rFonts w:eastAsia="Times New Roman" w:cs="Times New Roman"/>
          <w:b/>
          <w:bCs/>
          <w:kern w:val="28"/>
          <w:u w:val="single"/>
          <w14:ligatures w14:val="none"/>
        </w:rPr>
      </w:pPr>
      <w:r>
        <w:rPr>
          <w:rFonts w:eastAsia="Times New Roman" w:cs="Times New Roman"/>
          <w:b/>
          <w:bCs/>
          <w:kern w:val="28"/>
          <w:u w:val="single"/>
          <w14:ligatures w14:val="none"/>
        </w:rPr>
        <w:br w:type="page"/>
      </w:r>
    </w:p>
    <w:p w14:paraId="18BB1056" w14:textId="79E79C0C" w:rsidR="003E45B8" w:rsidRPr="003E45B8" w:rsidRDefault="00945696" w:rsidP="00572951">
      <w:pPr>
        <w:pStyle w:val="Title"/>
        <w:spacing w:after="0" w:line="480" w:lineRule="auto"/>
      </w:pPr>
      <w:bookmarkStart w:id="2" w:name="_Toc219103213"/>
      <w:r w:rsidRPr="003E45B8">
        <w:lastRenderedPageBreak/>
        <w:t>STATEMENT OF JURISDICTION</w:t>
      </w:r>
      <w:bookmarkEnd w:id="2"/>
    </w:p>
    <w:p w14:paraId="40FC5D69" w14:textId="2D76B0F7" w:rsidR="003E45B8" w:rsidRDefault="008F1FAB" w:rsidP="008F1FAB">
      <w:pPr>
        <w:spacing w:after="0"/>
        <w:jc w:val="both"/>
      </w:pPr>
      <w:r>
        <w:tab/>
      </w:r>
      <w:r w:rsidR="00D12408">
        <w:t xml:space="preserve">The </w:t>
      </w:r>
      <w:r w:rsidR="00D12408" w:rsidRPr="00D12408">
        <w:t>Dominion of Alekostria</w:t>
      </w:r>
      <w:r w:rsidR="00D12408">
        <w:t xml:space="preserve"> </w:t>
      </w:r>
      <w:r w:rsidR="003E45B8">
        <w:t>(“</w:t>
      </w:r>
      <w:r w:rsidR="00D12408" w:rsidRPr="00114583">
        <w:t>Alekostria</w:t>
      </w:r>
      <w:r w:rsidR="003E45B8">
        <w:t xml:space="preserve">”) and </w:t>
      </w:r>
      <w:r w:rsidR="00D12408">
        <w:rPr>
          <w:rFonts w:cs="Times New Roman"/>
          <w:kern w:val="0"/>
          <w:lang w:val="en-US"/>
        </w:rPr>
        <w:t>Republic of Restovia</w:t>
      </w:r>
      <w:r w:rsidR="00D774FC">
        <w:rPr>
          <w:rFonts w:cs="Times New Roman"/>
          <w:kern w:val="0"/>
          <w:lang w:val="en-US"/>
        </w:rPr>
        <w:t xml:space="preserve"> </w:t>
      </w:r>
      <w:r w:rsidR="003E45B8">
        <w:t>(“</w:t>
      </w:r>
      <w:r w:rsidR="00D12408" w:rsidRPr="00114583">
        <w:t>Restovia</w:t>
      </w:r>
      <w:r w:rsidR="003E45B8">
        <w:t>”)</w:t>
      </w:r>
      <w:r w:rsidR="00D774FC">
        <w:t xml:space="preserve"> </w:t>
      </w:r>
      <w:r w:rsidR="003E45B8">
        <w:t>(collectively, “</w:t>
      </w:r>
      <w:r w:rsidR="003E45B8" w:rsidRPr="00114583">
        <w:t>the Parties</w:t>
      </w:r>
      <w:r w:rsidR="003E45B8">
        <w:t>”) appear before the International Court of Justic</w:t>
      </w:r>
      <w:r w:rsidR="00D774FC">
        <w:t xml:space="preserve">e </w:t>
      </w:r>
      <w:r w:rsidR="00D774FC" w:rsidRPr="00D774FC">
        <w:t>in accordance with Article 40(1) of the Statute of the International Court of Justice through submission of a Special Agreement for the resolution of the differences between them concerning the “</w:t>
      </w:r>
      <w:r w:rsidR="00D774FC">
        <w:t>Gordian Gorge</w:t>
      </w:r>
      <w:r w:rsidR="00D774FC" w:rsidRPr="00D774FC">
        <w:t xml:space="preserve">” and other matters. The Parties have referred the dispute to </w:t>
      </w:r>
      <w:r w:rsidR="00640062">
        <w:t>this</w:t>
      </w:r>
      <w:r w:rsidR="00D774FC" w:rsidRPr="00D774FC">
        <w:t xml:space="preserve"> Court, granting it jurisdiction under Article 36(1) of the Statute. The Parties concluded the Special Agreement in The Hague, the Netherlands, and jointly notified this Court of their Special Agreement on 1</w:t>
      </w:r>
      <w:r w:rsidR="00D774FC">
        <w:t>5</w:t>
      </w:r>
      <w:r w:rsidR="00D774FC" w:rsidRPr="00D774FC">
        <w:t xml:space="preserve"> September 202</w:t>
      </w:r>
      <w:r w:rsidR="00D774FC">
        <w:t>5</w:t>
      </w:r>
      <w:r w:rsidR="00D774FC" w:rsidRPr="00D774FC">
        <w:t>.</w:t>
      </w:r>
    </w:p>
    <w:p w14:paraId="0231AEEC" w14:textId="77777777" w:rsidR="003E45B8" w:rsidRDefault="003E45B8">
      <w:pPr>
        <w:spacing w:line="278" w:lineRule="auto"/>
      </w:pPr>
      <w:r>
        <w:br w:type="page"/>
      </w:r>
    </w:p>
    <w:p w14:paraId="34F2A7A1" w14:textId="6CCD2BCD" w:rsidR="00493B20" w:rsidRPr="004505F1" w:rsidRDefault="00945696" w:rsidP="00572951">
      <w:pPr>
        <w:pStyle w:val="Title"/>
        <w:spacing w:after="0" w:line="480" w:lineRule="auto"/>
      </w:pPr>
      <w:bookmarkStart w:id="3" w:name="_Toc219103214"/>
      <w:r w:rsidRPr="003E45B8">
        <w:lastRenderedPageBreak/>
        <w:t>STATEMENT OF FACTS</w:t>
      </w:r>
      <w:bookmarkEnd w:id="3"/>
    </w:p>
    <w:p w14:paraId="53C9B55A" w14:textId="6377FF96" w:rsidR="00B10383" w:rsidRPr="00B10383" w:rsidRDefault="00B10383" w:rsidP="00B26F4D">
      <w:pPr>
        <w:spacing w:after="0"/>
        <w:jc w:val="both"/>
        <w:rPr>
          <w:b/>
          <w:bCs/>
          <w:smallCaps/>
        </w:rPr>
      </w:pPr>
      <w:r w:rsidRPr="00B10383">
        <w:rPr>
          <w:b/>
          <w:bCs/>
          <w:smallCaps/>
        </w:rPr>
        <w:t xml:space="preserve">Overview of the Parties </w:t>
      </w:r>
    </w:p>
    <w:p w14:paraId="12DD41F6" w14:textId="7F4B6963" w:rsidR="00BB73D8" w:rsidRDefault="00B85188" w:rsidP="00B26F4D">
      <w:pPr>
        <w:spacing w:after="0"/>
        <w:ind w:firstLine="720"/>
        <w:jc w:val="both"/>
        <w:rPr>
          <w:rFonts w:cs="Times New Roman"/>
          <w:color w:val="000000"/>
        </w:rPr>
      </w:pPr>
      <w:r w:rsidRPr="40D08253">
        <w:rPr>
          <w:rFonts w:cs="Times New Roman"/>
          <w:color w:val="000000" w:themeColor="text1"/>
        </w:rPr>
        <w:t>Pilemo</w:t>
      </w:r>
      <w:r w:rsidR="00BB73D8" w:rsidRPr="40D08253">
        <w:rPr>
          <w:rFonts w:cs="Times New Roman"/>
          <w:color w:val="000000" w:themeColor="text1"/>
        </w:rPr>
        <w:t xml:space="preserve"> </w:t>
      </w:r>
      <w:r w:rsidR="00AC5A45">
        <w:rPr>
          <w:rFonts w:cs="Times New Roman"/>
          <w:color w:val="000000" w:themeColor="text1"/>
        </w:rPr>
        <w:t xml:space="preserve">is the traditional homeland of the </w:t>
      </w:r>
      <w:r w:rsidR="00BB73D8" w:rsidRPr="40D08253">
        <w:rPr>
          <w:rFonts w:cs="Times New Roman"/>
          <w:color w:val="000000" w:themeColor="text1"/>
        </w:rPr>
        <w:t xml:space="preserve">Pilemon people, whose social organization </w:t>
      </w:r>
      <w:r w:rsidR="00FA6422" w:rsidRPr="40D08253">
        <w:rPr>
          <w:rFonts w:cs="Times New Roman"/>
          <w:color w:val="000000" w:themeColor="text1"/>
        </w:rPr>
        <w:t>was</w:t>
      </w:r>
      <w:r w:rsidR="00BB73D8" w:rsidRPr="40D08253">
        <w:rPr>
          <w:rFonts w:cs="Times New Roman"/>
          <w:color w:val="000000" w:themeColor="text1"/>
        </w:rPr>
        <w:t xml:space="preserve"> historically centered on village-level governance</w:t>
      </w:r>
      <w:r w:rsidR="00FA6422" w:rsidRPr="40D08253">
        <w:rPr>
          <w:rFonts w:cs="Times New Roman"/>
          <w:color w:val="000000" w:themeColor="text1"/>
        </w:rPr>
        <w:t>.</w:t>
      </w:r>
    </w:p>
    <w:p w14:paraId="2C626D9D" w14:textId="089EE7CF" w:rsidR="007C0CF3" w:rsidRDefault="00D108E1" w:rsidP="00572951">
      <w:pPr>
        <w:spacing w:after="0"/>
        <w:ind w:firstLine="720"/>
        <w:jc w:val="both"/>
        <w:rPr>
          <w:rFonts w:cs="Times New Roman"/>
          <w:color w:val="000000" w:themeColor="text1"/>
        </w:rPr>
      </w:pPr>
      <w:r w:rsidRPr="40D08253">
        <w:rPr>
          <w:rFonts w:cs="Times New Roman"/>
          <w:color w:val="000000" w:themeColor="text1"/>
        </w:rPr>
        <w:t>The Republic of Restovia and the Dominion of Alekostria</w:t>
      </w:r>
      <w:r w:rsidR="0029122E" w:rsidRPr="40D08253">
        <w:rPr>
          <w:rFonts w:cs="Times New Roman"/>
          <w:color w:val="000000" w:themeColor="text1"/>
        </w:rPr>
        <w:t>, Parties to the proceeding,</w:t>
      </w:r>
      <w:r w:rsidRPr="40D08253">
        <w:rPr>
          <w:rFonts w:cs="Times New Roman"/>
          <w:color w:val="000000" w:themeColor="text1"/>
        </w:rPr>
        <w:t xml:space="preserve"> are neighbo</w:t>
      </w:r>
      <w:r w:rsidR="00CE36B6">
        <w:rPr>
          <w:rFonts w:cs="Times New Roman"/>
          <w:color w:val="000000" w:themeColor="text1"/>
        </w:rPr>
        <w:t>u</w:t>
      </w:r>
      <w:r w:rsidRPr="40D08253">
        <w:rPr>
          <w:rFonts w:cs="Times New Roman"/>
          <w:color w:val="000000" w:themeColor="text1"/>
        </w:rPr>
        <w:t xml:space="preserve">ring States on the island of Pilemo. Restovia occupies the southern half and Alekostria the northern half; both populations include Indigenous Pilemon communities. </w:t>
      </w:r>
      <w:r w:rsidR="007C0CF3" w:rsidRPr="007C0CF3">
        <w:rPr>
          <w:rFonts w:cs="Times New Roman"/>
          <w:color w:val="000000" w:themeColor="text1"/>
        </w:rPr>
        <w:t>Across both States, many Pilemons live in remote, largely self-contained villages, and governance continues to operate through localized structures. Alekostrian Elders formed a Council to meet periodically on matters of shared concern</w:t>
      </w:r>
      <w:r w:rsidR="003C1E19">
        <w:rPr>
          <w:rFonts w:cs="Times New Roman"/>
          <w:color w:val="000000" w:themeColor="text1"/>
        </w:rPr>
        <w:t>,</w:t>
      </w:r>
      <w:r w:rsidR="00C11F9A">
        <w:rPr>
          <w:rFonts w:cs="Times New Roman"/>
          <w:color w:val="000000" w:themeColor="text1"/>
        </w:rPr>
        <w:t xml:space="preserve"> and</w:t>
      </w:r>
      <w:r w:rsidR="007C0CF3" w:rsidRPr="007C0CF3">
        <w:rPr>
          <w:rFonts w:cs="Times New Roman"/>
          <w:color w:val="000000" w:themeColor="text1"/>
        </w:rPr>
        <w:t xml:space="preserve"> Restovian Elders continue to exercise authority in accordance with Pilemon custom.</w:t>
      </w:r>
    </w:p>
    <w:p w14:paraId="3A3AE978" w14:textId="7042CB08" w:rsidR="00572951" w:rsidRDefault="00D108E1" w:rsidP="00572951">
      <w:pPr>
        <w:spacing w:after="0"/>
        <w:ind w:firstLine="720"/>
        <w:jc w:val="both"/>
        <w:rPr>
          <w:rFonts w:cs="Times New Roman"/>
          <w:color w:val="000000" w:themeColor="text1"/>
        </w:rPr>
      </w:pPr>
      <w:r w:rsidRPr="40D08253">
        <w:rPr>
          <w:rFonts w:cs="Times New Roman"/>
          <w:color w:val="000000" w:themeColor="text1"/>
        </w:rPr>
        <w:t>The Union of Sollania</w:t>
      </w:r>
      <w:r w:rsidR="00685315" w:rsidRPr="40D08253">
        <w:rPr>
          <w:rFonts w:cs="Times New Roman"/>
          <w:color w:val="000000" w:themeColor="text1"/>
        </w:rPr>
        <w:t xml:space="preserve"> (“Sollania”)</w:t>
      </w:r>
      <w:r w:rsidRPr="40D08253">
        <w:rPr>
          <w:rFonts w:cs="Times New Roman"/>
          <w:color w:val="000000" w:themeColor="text1"/>
        </w:rPr>
        <w:t>, located on the nearby Isla Sollania, is governed by Pilemon customary law and spiritual traditions. Sollania is not a party to these proceedings.</w:t>
      </w:r>
    </w:p>
    <w:p w14:paraId="6726DEED" w14:textId="77777777" w:rsidR="00D84560" w:rsidRPr="00D84560" w:rsidRDefault="00D84560" w:rsidP="00D84560">
      <w:pPr>
        <w:spacing w:after="0"/>
        <w:ind w:firstLine="720"/>
        <w:jc w:val="both"/>
        <w:rPr>
          <w:rFonts w:cs="Times New Roman"/>
          <w:color w:val="000000" w:themeColor="text1"/>
        </w:rPr>
      </w:pPr>
    </w:p>
    <w:p w14:paraId="52DBD8A8" w14:textId="104DE68F" w:rsidR="474C97E1" w:rsidRDefault="474C97E1" w:rsidP="40D08253">
      <w:pPr>
        <w:spacing w:after="0"/>
        <w:jc w:val="both"/>
      </w:pPr>
      <w:r w:rsidRPr="40D08253">
        <w:rPr>
          <w:rFonts w:eastAsia="Times New Roman" w:cs="Times New Roman"/>
          <w:b/>
          <w:bCs/>
          <w:smallCaps/>
          <w:color w:val="000000" w:themeColor="text1"/>
        </w:rPr>
        <w:t xml:space="preserve">The Extradition Treaty </w:t>
      </w:r>
    </w:p>
    <w:p w14:paraId="384A9F89" w14:textId="3470EB5E" w:rsidR="474C97E1" w:rsidRDefault="474C97E1" w:rsidP="40D08253">
      <w:pPr>
        <w:spacing w:after="0"/>
        <w:ind w:firstLine="720"/>
        <w:jc w:val="both"/>
      </w:pPr>
      <w:r w:rsidRPr="40D08253">
        <w:rPr>
          <w:rFonts w:eastAsia="Times New Roman" w:cs="Times New Roman"/>
          <w:color w:val="000000" w:themeColor="text1"/>
        </w:rPr>
        <w:t>In 1965, Alekostria and Restovia entered into an Extradition Treaty. Article 4 provides that the proposed judicial process and any sanction in the requesting State must be consistent with the general principles of law recognized by civilized nations, as reflected in Article 38(1)(c) of the Statute of the International Court of Justice (“ICJ”).</w:t>
      </w:r>
    </w:p>
    <w:p w14:paraId="3B037FE2" w14:textId="77777777" w:rsidR="00315FF7" w:rsidRDefault="00315FF7" w:rsidP="00B26F4D">
      <w:pPr>
        <w:spacing w:after="0"/>
        <w:jc w:val="both"/>
        <w:rPr>
          <w:b/>
          <w:bCs/>
          <w:smallCaps/>
        </w:rPr>
      </w:pPr>
    </w:p>
    <w:p w14:paraId="5373F87B" w14:textId="484FDDF9" w:rsidR="00493B20" w:rsidRPr="00493B20" w:rsidRDefault="00493B20" w:rsidP="00B26F4D">
      <w:pPr>
        <w:spacing w:after="0"/>
        <w:jc w:val="both"/>
        <w:rPr>
          <w:rFonts w:eastAsia="Times New Roman" w:cs="Times New Roman"/>
          <w:kern w:val="28"/>
          <w14:ligatures w14:val="none"/>
        </w:rPr>
      </w:pPr>
      <w:r w:rsidRPr="00493B20">
        <w:rPr>
          <w:b/>
          <w:bCs/>
          <w:smallCaps/>
        </w:rPr>
        <w:t xml:space="preserve">The Torngat Plateau and </w:t>
      </w:r>
      <w:r w:rsidR="004401BF">
        <w:rPr>
          <w:b/>
          <w:bCs/>
          <w:smallCaps/>
        </w:rPr>
        <w:t xml:space="preserve">Governing </w:t>
      </w:r>
      <w:r w:rsidRPr="00BA1DE4">
        <w:rPr>
          <w:b/>
          <w:bCs/>
          <w:smallCaps/>
        </w:rPr>
        <w:t xml:space="preserve">Treaty Framework  </w:t>
      </w:r>
    </w:p>
    <w:p w14:paraId="354BB7AA" w14:textId="70FFA7AF" w:rsidR="00D108E1" w:rsidRPr="00D108E1" w:rsidRDefault="00D108E1" w:rsidP="00B26F4D">
      <w:pPr>
        <w:spacing w:after="0"/>
        <w:ind w:firstLine="720"/>
        <w:jc w:val="both"/>
        <w:rPr>
          <w:rFonts w:eastAsia="Times New Roman" w:cs="Times New Roman"/>
          <w:kern w:val="28"/>
          <w14:ligatures w14:val="none"/>
        </w:rPr>
      </w:pPr>
      <w:r w:rsidRPr="00D108E1">
        <w:rPr>
          <w:rFonts w:eastAsia="Times New Roman" w:cs="Times New Roman"/>
          <w:kern w:val="28"/>
          <w14:ligatures w14:val="none"/>
        </w:rPr>
        <w:t>The Torngat Plateau lies entirely within Restovian territory. The Gordian Gorge, in the Plateau's northwest, is a</w:t>
      </w:r>
      <w:r>
        <w:rPr>
          <w:rFonts w:eastAsia="Times New Roman" w:cs="Times New Roman"/>
          <w:kern w:val="28"/>
          <w14:ligatures w14:val="none"/>
        </w:rPr>
        <w:t xml:space="preserve"> </w:t>
      </w:r>
      <w:r w:rsidRPr="00D108E1">
        <w:rPr>
          <w:rFonts w:eastAsia="Times New Roman" w:cs="Times New Roman"/>
          <w:kern w:val="28"/>
          <w14:ligatures w14:val="none"/>
        </w:rPr>
        <w:t>site for religious ceremonies and</w:t>
      </w:r>
      <w:r w:rsidR="0035303F">
        <w:rPr>
          <w:rFonts w:eastAsia="Times New Roman" w:cs="Times New Roman"/>
          <w:kern w:val="28"/>
          <w14:ligatures w14:val="none"/>
        </w:rPr>
        <w:t xml:space="preserve"> </w:t>
      </w:r>
      <w:r w:rsidR="00590DF0">
        <w:rPr>
          <w:rFonts w:eastAsia="Times New Roman" w:cs="Times New Roman"/>
          <w:kern w:val="28"/>
          <w14:ligatures w14:val="none"/>
        </w:rPr>
        <w:t>Pilemon</w:t>
      </w:r>
      <w:r w:rsidR="00590DF0" w:rsidRPr="00D108E1">
        <w:rPr>
          <w:rFonts w:eastAsia="Times New Roman" w:cs="Times New Roman"/>
          <w:kern w:val="28"/>
          <w14:ligatures w14:val="none"/>
        </w:rPr>
        <w:t xml:space="preserve"> Elder</w:t>
      </w:r>
      <w:r w:rsidR="00590DF0">
        <w:rPr>
          <w:rFonts w:eastAsia="Times New Roman" w:cs="Times New Roman"/>
          <w:kern w:val="28"/>
          <w14:ligatures w14:val="none"/>
        </w:rPr>
        <w:t>s’</w:t>
      </w:r>
      <w:r w:rsidR="0035303F">
        <w:rPr>
          <w:rFonts w:eastAsia="Times New Roman" w:cs="Times New Roman"/>
          <w:kern w:val="28"/>
          <w14:ligatures w14:val="none"/>
        </w:rPr>
        <w:t xml:space="preserve"> training</w:t>
      </w:r>
      <w:r w:rsidR="00590DF0">
        <w:rPr>
          <w:rFonts w:eastAsia="Times New Roman" w:cs="Times New Roman"/>
          <w:kern w:val="28"/>
          <w14:ligatures w14:val="none"/>
        </w:rPr>
        <w:t>.</w:t>
      </w:r>
      <w:r w:rsidRPr="00D108E1">
        <w:rPr>
          <w:rFonts w:eastAsia="Times New Roman" w:cs="Times New Roman"/>
          <w:kern w:val="28"/>
          <w14:ligatures w14:val="none"/>
        </w:rPr>
        <w:t xml:space="preserve"> Restovia has </w:t>
      </w:r>
      <w:r w:rsidR="0029122E">
        <w:rPr>
          <w:rFonts w:eastAsia="Times New Roman" w:cs="Times New Roman"/>
          <w:kern w:val="28"/>
          <w14:ligatures w14:val="none"/>
        </w:rPr>
        <w:t>provided</w:t>
      </w:r>
      <w:r w:rsidRPr="00D108E1">
        <w:rPr>
          <w:rFonts w:eastAsia="Times New Roman" w:cs="Times New Roman"/>
          <w:kern w:val="28"/>
          <w14:ligatures w14:val="none"/>
        </w:rPr>
        <w:t xml:space="preserve"> unimpeded access to the Plateau for Pilemon</w:t>
      </w:r>
      <w:r w:rsidR="001A46A5">
        <w:rPr>
          <w:rFonts w:eastAsia="Times New Roman" w:cs="Times New Roman"/>
          <w:kern w:val="28"/>
          <w14:ligatures w14:val="none"/>
        </w:rPr>
        <w:t>s</w:t>
      </w:r>
      <w:r w:rsidRPr="00D108E1">
        <w:rPr>
          <w:rFonts w:eastAsia="Times New Roman" w:cs="Times New Roman"/>
          <w:kern w:val="28"/>
          <w14:ligatures w14:val="none"/>
        </w:rPr>
        <w:t xml:space="preserve"> from Alekostria and Sollania.</w:t>
      </w:r>
    </w:p>
    <w:p w14:paraId="6FAA985B" w14:textId="2E1DA213" w:rsidR="00D108E1" w:rsidRPr="00D108E1" w:rsidRDefault="00D108E1" w:rsidP="00B26F4D">
      <w:pPr>
        <w:spacing w:after="0"/>
        <w:ind w:firstLine="720"/>
        <w:jc w:val="both"/>
        <w:rPr>
          <w:rFonts w:eastAsia="Times New Roman" w:cs="Times New Roman"/>
          <w:kern w:val="28"/>
          <w14:ligatures w14:val="none"/>
        </w:rPr>
      </w:pPr>
      <w:r w:rsidRPr="00D108E1">
        <w:rPr>
          <w:rFonts w:eastAsia="Times New Roman" w:cs="Times New Roman"/>
          <w:kern w:val="28"/>
          <w14:ligatures w14:val="none"/>
        </w:rPr>
        <w:t xml:space="preserve">In 1971, the three States convened to discuss the Plateau. </w:t>
      </w:r>
      <w:r w:rsidR="00D46040" w:rsidRPr="00D46040">
        <w:rPr>
          <w:rFonts w:eastAsia="Times New Roman" w:cs="Times New Roman"/>
          <w:kern w:val="28"/>
          <w14:ligatures w14:val="none"/>
        </w:rPr>
        <w:t xml:space="preserve">Although </w:t>
      </w:r>
      <w:r w:rsidRPr="00D108E1">
        <w:rPr>
          <w:rFonts w:eastAsia="Times New Roman" w:cs="Times New Roman"/>
          <w:kern w:val="28"/>
          <w14:ligatures w14:val="none"/>
        </w:rPr>
        <w:t xml:space="preserve">Sollania </w:t>
      </w:r>
      <w:r w:rsidR="00D84560">
        <w:rPr>
          <w:rFonts w:eastAsia="Times New Roman" w:cs="Times New Roman"/>
          <w:kern w:val="28"/>
          <w14:ligatures w14:val="none"/>
        </w:rPr>
        <w:t>recognized</w:t>
      </w:r>
      <w:r w:rsidRPr="00D108E1">
        <w:rPr>
          <w:rFonts w:eastAsia="Times New Roman" w:cs="Times New Roman"/>
          <w:kern w:val="28"/>
          <w14:ligatures w14:val="none"/>
        </w:rPr>
        <w:t xml:space="preserve"> </w:t>
      </w:r>
      <w:r w:rsidR="00D46040" w:rsidRPr="00D46040">
        <w:rPr>
          <w:rFonts w:eastAsia="Times New Roman" w:cs="Times New Roman"/>
          <w:kern w:val="28"/>
          <w14:ligatures w14:val="none"/>
        </w:rPr>
        <w:t xml:space="preserve">its citizens had not encountered any barriers to </w:t>
      </w:r>
      <w:r w:rsidR="001A46A5">
        <w:rPr>
          <w:rFonts w:eastAsia="Times New Roman" w:cs="Times New Roman"/>
          <w:kern w:val="28"/>
          <w14:ligatures w14:val="none"/>
        </w:rPr>
        <w:t>accessing</w:t>
      </w:r>
      <w:r w:rsidR="00D46040" w:rsidRPr="00D46040">
        <w:rPr>
          <w:rFonts w:eastAsia="Times New Roman" w:cs="Times New Roman"/>
          <w:kern w:val="28"/>
          <w14:ligatures w14:val="none"/>
        </w:rPr>
        <w:t xml:space="preserve"> the Plateau, it nevertheless </w:t>
      </w:r>
      <w:r w:rsidRPr="00D108E1">
        <w:rPr>
          <w:rFonts w:eastAsia="Times New Roman" w:cs="Times New Roman"/>
          <w:kern w:val="28"/>
          <w14:ligatures w14:val="none"/>
        </w:rPr>
        <w:t xml:space="preserve">sought </w:t>
      </w:r>
      <w:r w:rsidR="0063150C">
        <w:rPr>
          <w:rFonts w:eastAsia="Times New Roman" w:cs="Times New Roman"/>
          <w:kern w:val="28"/>
          <w14:ligatures w14:val="none"/>
        </w:rPr>
        <w:t xml:space="preserve">an </w:t>
      </w:r>
      <w:r w:rsidRPr="00D108E1">
        <w:rPr>
          <w:rFonts w:eastAsia="Times New Roman" w:cs="Times New Roman"/>
          <w:kern w:val="28"/>
          <w14:ligatures w14:val="none"/>
        </w:rPr>
        <w:t xml:space="preserve">enforceable </w:t>
      </w:r>
      <w:r w:rsidR="00D46040" w:rsidRPr="00D46040">
        <w:rPr>
          <w:rFonts w:eastAsia="Times New Roman" w:cs="Times New Roman"/>
          <w:kern w:val="28"/>
          <w14:ligatures w14:val="none"/>
        </w:rPr>
        <w:t>guarantee</w:t>
      </w:r>
      <w:r w:rsidRPr="00D108E1">
        <w:rPr>
          <w:rFonts w:eastAsia="Times New Roman" w:cs="Times New Roman"/>
          <w:kern w:val="28"/>
          <w14:ligatures w14:val="none"/>
        </w:rPr>
        <w:t xml:space="preserve"> of access and proposed a </w:t>
      </w:r>
      <w:r w:rsidR="0063150C">
        <w:rPr>
          <w:rFonts w:eastAsia="Times New Roman" w:cs="Times New Roman"/>
          <w:kern w:val="28"/>
          <w14:ligatures w14:val="none"/>
        </w:rPr>
        <w:t>trilateral fund</w:t>
      </w:r>
      <w:r w:rsidR="00F3364E">
        <w:rPr>
          <w:rFonts w:eastAsia="Times New Roman" w:cs="Times New Roman"/>
          <w:kern w:val="28"/>
          <w14:ligatures w14:val="none"/>
        </w:rPr>
        <w:t xml:space="preserve"> </w:t>
      </w:r>
      <w:r w:rsidR="006619D3">
        <w:rPr>
          <w:rFonts w:eastAsia="Times New Roman" w:cs="Times New Roman"/>
          <w:kern w:val="28"/>
          <w14:ligatures w14:val="none"/>
        </w:rPr>
        <w:t>to</w:t>
      </w:r>
      <w:r w:rsidR="00F3364E">
        <w:rPr>
          <w:rFonts w:eastAsia="Times New Roman" w:cs="Times New Roman"/>
          <w:kern w:val="28"/>
          <w14:ligatures w14:val="none"/>
        </w:rPr>
        <w:t xml:space="preserve"> </w:t>
      </w:r>
      <w:r w:rsidR="006619D3">
        <w:rPr>
          <w:rFonts w:eastAsia="Times New Roman" w:cs="Times New Roman"/>
          <w:kern w:val="28"/>
          <w14:ligatures w14:val="none"/>
        </w:rPr>
        <w:t>manage</w:t>
      </w:r>
      <w:r w:rsidR="001A46A5">
        <w:rPr>
          <w:rFonts w:eastAsia="Times New Roman" w:cs="Times New Roman"/>
          <w:kern w:val="28"/>
          <w14:ligatures w14:val="none"/>
        </w:rPr>
        <w:t xml:space="preserve"> </w:t>
      </w:r>
      <w:r w:rsidR="00D46040" w:rsidRPr="00D46040">
        <w:rPr>
          <w:rFonts w:eastAsia="Times New Roman" w:cs="Times New Roman"/>
          <w:kern w:val="28"/>
          <w14:ligatures w14:val="none"/>
        </w:rPr>
        <w:t>the Plateau</w:t>
      </w:r>
      <w:r>
        <w:rPr>
          <w:rFonts w:eastAsia="Times New Roman" w:cs="Times New Roman"/>
          <w:kern w:val="28"/>
          <w14:ligatures w14:val="none"/>
        </w:rPr>
        <w:t>.</w:t>
      </w:r>
      <w:r w:rsidRPr="00D108E1">
        <w:rPr>
          <w:rFonts w:eastAsia="Times New Roman" w:cs="Times New Roman"/>
          <w:kern w:val="28"/>
          <w14:ligatures w14:val="none"/>
        </w:rPr>
        <w:t xml:space="preserve"> Restovia agreed to </w:t>
      </w:r>
      <w:r w:rsidR="001A46A5" w:rsidRPr="00D108E1">
        <w:rPr>
          <w:rFonts w:eastAsia="Times New Roman" w:cs="Times New Roman"/>
          <w:kern w:val="28"/>
          <w14:ligatures w14:val="none"/>
        </w:rPr>
        <w:t>protect</w:t>
      </w:r>
      <w:r w:rsidRPr="00D108E1">
        <w:rPr>
          <w:rFonts w:eastAsia="Times New Roman" w:cs="Times New Roman"/>
          <w:kern w:val="28"/>
          <w14:ligatures w14:val="none"/>
        </w:rPr>
        <w:t xml:space="preserve"> access rights but rejected any transfer of decision-making authority as an infringement on its sovereignty. </w:t>
      </w:r>
      <w:r w:rsidR="00D15F02" w:rsidRPr="00D15F02">
        <w:rPr>
          <w:rFonts w:eastAsia="Times New Roman" w:cs="Times New Roman"/>
          <w:kern w:val="28"/>
          <w14:ligatures w14:val="none"/>
        </w:rPr>
        <w:t xml:space="preserve">Alekostria </w:t>
      </w:r>
      <w:r w:rsidR="00D15F02">
        <w:rPr>
          <w:rFonts w:eastAsia="Times New Roman" w:cs="Times New Roman"/>
          <w:kern w:val="28"/>
          <w14:ligatures w14:val="none"/>
        </w:rPr>
        <w:t>was satisfied with</w:t>
      </w:r>
      <w:r w:rsidR="00D15F02" w:rsidRPr="00D15F02">
        <w:rPr>
          <w:rFonts w:eastAsia="Times New Roman" w:cs="Times New Roman"/>
          <w:kern w:val="28"/>
          <w14:ligatures w14:val="none"/>
        </w:rPr>
        <w:t xml:space="preserve"> Restovia’s </w:t>
      </w:r>
      <w:proofErr w:type="gramStart"/>
      <w:r w:rsidR="00D15F02" w:rsidRPr="00D15F02">
        <w:rPr>
          <w:rFonts w:eastAsia="Times New Roman" w:cs="Times New Roman"/>
          <w:kern w:val="28"/>
          <w14:ligatures w14:val="none"/>
        </w:rPr>
        <w:t>counter-proposal</w:t>
      </w:r>
      <w:proofErr w:type="gramEnd"/>
      <w:r w:rsidR="00F744DD">
        <w:rPr>
          <w:rFonts w:eastAsia="Times New Roman" w:cs="Times New Roman"/>
          <w:kern w:val="28"/>
          <w14:ligatures w14:val="none"/>
        </w:rPr>
        <w:t>;</w:t>
      </w:r>
      <w:r w:rsidR="00D15F02" w:rsidRPr="00D15F02">
        <w:rPr>
          <w:rFonts w:eastAsia="Times New Roman" w:cs="Times New Roman"/>
          <w:kern w:val="28"/>
          <w14:ligatures w14:val="none"/>
        </w:rPr>
        <w:t xml:space="preserve"> Sollania agreed but expressed hope for a more comprehensive agreement</w:t>
      </w:r>
      <w:r w:rsidR="00F744DD">
        <w:rPr>
          <w:rFonts w:eastAsia="Times New Roman" w:cs="Times New Roman"/>
          <w:kern w:val="28"/>
          <w14:ligatures w14:val="none"/>
        </w:rPr>
        <w:t xml:space="preserve"> in the future</w:t>
      </w:r>
      <w:r w:rsidR="00D15F02" w:rsidRPr="00D15F02">
        <w:rPr>
          <w:rFonts w:eastAsia="Times New Roman" w:cs="Times New Roman"/>
          <w:kern w:val="28"/>
          <w14:ligatures w14:val="none"/>
        </w:rPr>
        <w:t>.</w:t>
      </w:r>
    </w:p>
    <w:p w14:paraId="46B425A1" w14:textId="20D84B51" w:rsidR="00BA1DE4" w:rsidRPr="00D108E1" w:rsidRDefault="00D108E1" w:rsidP="00B26F4D">
      <w:pPr>
        <w:spacing w:after="0"/>
        <w:ind w:firstLine="720"/>
        <w:jc w:val="both"/>
        <w:rPr>
          <w:rStyle w:val="relative"/>
          <w:rFonts w:eastAsia="Times New Roman" w:cs="Times New Roman"/>
          <w:kern w:val="28"/>
          <w14:ligatures w14:val="none"/>
        </w:rPr>
      </w:pPr>
      <w:r w:rsidRPr="00D108E1">
        <w:rPr>
          <w:rFonts w:eastAsia="Times New Roman" w:cs="Times New Roman"/>
          <w:kern w:val="28"/>
          <w14:ligatures w14:val="none"/>
        </w:rPr>
        <w:lastRenderedPageBreak/>
        <w:t>The conference produced two bilateral treaties: the Alekostria–Restovia Plateau Agreement (</w:t>
      </w:r>
      <w:r w:rsidR="00114583">
        <w:rPr>
          <w:rFonts w:eastAsia="Times New Roman" w:cs="Times New Roman"/>
          <w:kern w:val="28"/>
          <w14:ligatures w14:val="none"/>
        </w:rPr>
        <w:t>“</w:t>
      </w:r>
      <w:r w:rsidRPr="00D108E1">
        <w:rPr>
          <w:rFonts w:eastAsia="Times New Roman" w:cs="Times New Roman"/>
          <w:kern w:val="28"/>
          <w14:ligatures w14:val="none"/>
        </w:rPr>
        <w:t>ARPA</w:t>
      </w:r>
      <w:r w:rsidR="00114583">
        <w:rPr>
          <w:rFonts w:eastAsia="Times New Roman" w:cs="Times New Roman"/>
          <w:kern w:val="28"/>
          <w14:ligatures w14:val="none"/>
        </w:rPr>
        <w:t>”</w:t>
      </w:r>
      <w:r w:rsidRPr="00D108E1">
        <w:rPr>
          <w:rFonts w:eastAsia="Times New Roman" w:cs="Times New Roman"/>
          <w:kern w:val="28"/>
          <w14:ligatures w14:val="none"/>
        </w:rPr>
        <w:t>) and the Sollania–Restovia Plateau Agreement (</w:t>
      </w:r>
      <w:r w:rsidR="00114583">
        <w:rPr>
          <w:rFonts w:eastAsia="Times New Roman" w:cs="Times New Roman"/>
          <w:kern w:val="28"/>
          <w14:ligatures w14:val="none"/>
        </w:rPr>
        <w:t>“</w:t>
      </w:r>
      <w:r w:rsidRPr="00D108E1">
        <w:rPr>
          <w:rFonts w:eastAsia="Times New Roman" w:cs="Times New Roman"/>
          <w:kern w:val="28"/>
          <w14:ligatures w14:val="none"/>
        </w:rPr>
        <w:t>SRPA</w:t>
      </w:r>
      <w:r w:rsidR="00114583">
        <w:rPr>
          <w:rFonts w:eastAsia="Times New Roman" w:cs="Times New Roman"/>
          <w:kern w:val="28"/>
          <w14:ligatures w14:val="none"/>
        </w:rPr>
        <w:t>”</w:t>
      </w:r>
      <w:r w:rsidRPr="00D108E1">
        <w:rPr>
          <w:rFonts w:eastAsia="Times New Roman" w:cs="Times New Roman"/>
          <w:kern w:val="28"/>
          <w14:ligatures w14:val="none"/>
        </w:rPr>
        <w:t xml:space="preserve">). Both treaties guarantee access and require the inclusion of Pilemon representatives in decision-making processes before </w:t>
      </w:r>
      <w:r w:rsidR="004B7295">
        <w:rPr>
          <w:rFonts w:eastAsia="Times New Roman" w:cs="Times New Roman"/>
          <w:kern w:val="28"/>
          <w14:ligatures w14:val="none"/>
        </w:rPr>
        <w:t xml:space="preserve">making </w:t>
      </w:r>
      <w:r w:rsidRPr="00D108E1">
        <w:rPr>
          <w:rFonts w:eastAsia="Times New Roman" w:cs="Times New Roman"/>
          <w:kern w:val="28"/>
          <w14:ligatures w14:val="none"/>
        </w:rPr>
        <w:t>substantial changes</w:t>
      </w:r>
      <w:r w:rsidR="004B7295">
        <w:rPr>
          <w:rFonts w:eastAsia="Times New Roman" w:cs="Times New Roman"/>
          <w:kern w:val="28"/>
          <w14:ligatures w14:val="none"/>
        </w:rPr>
        <w:t xml:space="preserve"> to the Plateau</w:t>
      </w:r>
      <w:r w:rsidRPr="00D108E1">
        <w:rPr>
          <w:rFonts w:eastAsia="Times New Roman" w:cs="Times New Roman"/>
          <w:kern w:val="28"/>
          <w14:ligatures w14:val="none"/>
        </w:rPr>
        <w:t>.</w:t>
      </w:r>
    </w:p>
    <w:p w14:paraId="6D6069BE" w14:textId="77777777" w:rsidR="003A0E45" w:rsidRDefault="003A0E45" w:rsidP="00B26F4D">
      <w:pPr>
        <w:spacing w:after="0"/>
        <w:jc w:val="both"/>
        <w:rPr>
          <w:b/>
          <w:bCs/>
          <w:smallCaps/>
        </w:rPr>
      </w:pPr>
    </w:p>
    <w:p w14:paraId="19E0EE00" w14:textId="77777777" w:rsidR="00BA1DE4" w:rsidRDefault="00BA1DE4" w:rsidP="00B26F4D">
      <w:pPr>
        <w:spacing w:after="0"/>
        <w:jc w:val="both"/>
        <w:rPr>
          <w:b/>
          <w:bCs/>
          <w:smallCaps/>
        </w:rPr>
      </w:pPr>
      <w:r w:rsidRPr="00BA1DE4">
        <w:rPr>
          <w:b/>
          <w:bCs/>
          <w:smallCaps/>
        </w:rPr>
        <w:t>Discovery of Rare Earth Deposits and Initiation of Consultation</w:t>
      </w:r>
    </w:p>
    <w:p w14:paraId="0E22CD34" w14:textId="62E0300C" w:rsidR="007D1CC1" w:rsidRDefault="004F4481" w:rsidP="00B26F4D">
      <w:pPr>
        <w:spacing w:after="0"/>
        <w:jc w:val="both"/>
        <w:rPr>
          <w:rFonts w:eastAsia="Times New Roman" w:cs="Times New Roman"/>
          <w:kern w:val="28"/>
          <w14:ligatures w14:val="none"/>
        </w:rPr>
      </w:pPr>
      <w:r>
        <w:rPr>
          <w:rFonts w:eastAsia="Times New Roman" w:cs="Times New Roman"/>
          <w:kern w:val="28"/>
          <w14:ligatures w14:val="none"/>
        </w:rPr>
        <w:tab/>
      </w:r>
      <w:r w:rsidR="003D74E4" w:rsidRPr="003D74E4">
        <w:rPr>
          <w:rFonts w:eastAsia="Times New Roman" w:cs="Times New Roman"/>
          <w:kern w:val="28"/>
          <w14:ligatures w14:val="none"/>
        </w:rPr>
        <w:t>In 2019, Restovia commissioned imaging to assess its natural resources</w:t>
      </w:r>
      <w:r w:rsidR="008745CA">
        <w:rPr>
          <w:rFonts w:eastAsia="Times New Roman" w:cs="Times New Roman"/>
          <w:kern w:val="28"/>
          <w14:ligatures w14:val="none"/>
        </w:rPr>
        <w:t xml:space="preserve"> </w:t>
      </w:r>
      <w:r w:rsidR="003C05D9">
        <w:rPr>
          <w:rFonts w:eastAsia="Times New Roman" w:cs="Times New Roman"/>
          <w:kern w:val="28"/>
          <w14:ligatures w14:val="none"/>
        </w:rPr>
        <w:t>and found</w:t>
      </w:r>
      <w:r w:rsidR="003D74E4" w:rsidRPr="003D74E4">
        <w:rPr>
          <w:rFonts w:eastAsia="Times New Roman" w:cs="Times New Roman"/>
          <w:kern w:val="28"/>
          <w14:ligatures w14:val="none"/>
        </w:rPr>
        <w:t xml:space="preserve"> a substantial deposit of rare earth oxides in the Gordian Gorge. </w:t>
      </w:r>
      <w:r w:rsidR="005414E7">
        <w:rPr>
          <w:rFonts w:eastAsia="Times New Roman" w:cs="Times New Roman"/>
          <w:kern w:val="28"/>
          <w14:ligatures w14:val="none"/>
        </w:rPr>
        <w:t>The Restovian</w:t>
      </w:r>
      <w:r w:rsidR="003D74E4" w:rsidRPr="003D74E4">
        <w:rPr>
          <w:rFonts w:eastAsia="Times New Roman" w:cs="Times New Roman"/>
          <w:kern w:val="28"/>
          <w14:ligatures w14:val="none"/>
        </w:rPr>
        <w:t xml:space="preserve"> Parliament </w:t>
      </w:r>
      <w:r w:rsidR="00656FE4">
        <w:rPr>
          <w:rFonts w:eastAsia="Times New Roman" w:cs="Times New Roman"/>
          <w:kern w:val="28"/>
          <w14:ligatures w14:val="none"/>
        </w:rPr>
        <w:t xml:space="preserve">then </w:t>
      </w:r>
      <w:r w:rsidR="008027A9">
        <w:rPr>
          <w:rFonts w:eastAsia="Times New Roman" w:cs="Times New Roman"/>
          <w:kern w:val="28"/>
          <w14:ligatures w14:val="none"/>
        </w:rPr>
        <w:t>issued a resolution</w:t>
      </w:r>
      <w:r w:rsidR="003D74E4" w:rsidRPr="003D74E4">
        <w:rPr>
          <w:rFonts w:eastAsia="Times New Roman" w:cs="Times New Roman"/>
          <w:kern w:val="28"/>
          <w14:ligatures w14:val="none"/>
        </w:rPr>
        <w:t xml:space="preserve"> </w:t>
      </w:r>
      <w:r w:rsidR="00443554">
        <w:rPr>
          <w:rFonts w:eastAsia="Times New Roman" w:cs="Times New Roman"/>
          <w:kern w:val="28"/>
          <w14:ligatures w14:val="none"/>
        </w:rPr>
        <w:t>directing</w:t>
      </w:r>
      <w:r w:rsidR="003D74E4" w:rsidRPr="003D74E4">
        <w:rPr>
          <w:rFonts w:eastAsia="Times New Roman" w:cs="Times New Roman"/>
          <w:kern w:val="28"/>
          <w14:ligatures w14:val="none"/>
        </w:rPr>
        <w:t xml:space="preserve"> the government to exploit the deposits, citing their importance to national security and economic development. </w:t>
      </w:r>
    </w:p>
    <w:p w14:paraId="3F75FE36" w14:textId="6D9F8E80" w:rsidR="40D08253" w:rsidRPr="002F0586" w:rsidRDefault="003D74E4" w:rsidP="000002C3">
      <w:pPr>
        <w:spacing w:after="0"/>
        <w:ind w:firstLine="720"/>
        <w:jc w:val="both"/>
        <w:rPr>
          <w:rFonts w:eastAsia="Times New Roman" w:cs="Times New Roman"/>
          <w:kern w:val="28"/>
          <w14:ligatures w14:val="none"/>
        </w:rPr>
      </w:pPr>
      <w:r w:rsidRPr="003D74E4">
        <w:rPr>
          <w:rFonts w:eastAsia="Times New Roman" w:cs="Times New Roman"/>
          <w:kern w:val="28"/>
          <w14:ligatures w14:val="none"/>
        </w:rPr>
        <w:t xml:space="preserve">The Ministry of Natural Resources </w:t>
      </w:r>
      <w:r w:rsidR="00690E62">
        <w:rPr>
          <w:rFonts w:eastAsia="Times New Roman" w:cs="Times New Roman"/>
          <w:kern w:val="28"/>
          <w14:ligatures w14:val="none"/>
        </w:rPr>
        <w:t xml:space="preserve">(“the Ministry”) </w:t>
      </w:r>
      <w:r w:rsidRPr="003D74E4">
        <w:rPr>
          <w:rFonts w:eastAsia="Times New Roman" w:cs="Times New Roman"/>
          <w:kern w:val="28"/>
          <w14:ligatures w14:val="none"/>
        </w:rPr>
        <w:t>initiated a public tender process requiring bidders to explain how they would protect Pilemon sites in accordance with ARPA and SRPA and to commit to repairing any environmental or cultural damage in cooperation with Pilemon Elders.</w:t>
      </w:r>
      <w:r w:rsidR="007D1CC1">
        <w:rPr>
          <w:rFonts w:eastAsia="Times New Roman" w:cs="Times New Roman"/>
          <w:kern w:val="28"/>
          <w14:ligatures w14:val="none"/>
        </w:rPr>
        <w:t xml:space="preserve"> </w:t>
      </w:r>
      <w:r w:rsidR="00D108E1" w:rsidRPr="00D108E1">
        <w:rPr>
          <w:rFonts w:eastAsia="Times New Roman" w:cs="Times New Roman"/>
          <w:kern w:val="28"/>
          <w14:ligatures w14:val="none"/>
        </w:rPr>
        <w:t>Simultaneously, the Ministry established an Indigenous Consultation Mechanism (</w:t>
      </w:r>
      <w:r w:rsidR="00E26409">
        <w:rPr>
          <w:rFonts w:eastAsia="Times New Roman" w:cs="Times New Roman"/>
          <w:kern w:val="28"/>
          <w14:ligatures w14:val="none"/>
        </w:rPr>
        <w:t>“</w:t>
      </w:r>
      <w:r w:rsidR="00D108E1" w:rsidRPr="00D108E1">
        <w:rPr>
          <w:rFonts w:eastAsia="Times New Roman" w:cs="Times New Roman"/>
          <w:kern w:val="28"/>
          <w14:ligatures w14:val="none"/>
        </w:rPr>
        <w:t>ICM</w:t>
      </w:r>
      <w:r w:rsidR="00E26409">
        <w:rPr>
          <w:rFonts w:eastAsia="Times New Roman" w:cs="Times New Roman"/>
          <w:kern w:val="28"/>
          <w14:ligatures w14:val="none"/>
        </w:rPr>
        <w:t>”</w:t>
      </w:r>
      <w:r w:rsidR="00D108E1" w:rsidRPr="00D108E1">
        <w:rPr>
          <w:rFonts w:eastAsia="Times New Roman" w:cs="Times New Roman"/>
          <w:kern w:val="28"/>
          <w14:ligatures w14:val="none"/>
        </w:rPr>
        <w:t>). Elders were granted access to technical materials, invited to submit comments, and included in meetings with bidders and officials.</w:t>
      </w:r>
      <w:r w:rsidR="000002C3">
        <w:rPr>
          <w:rFonts w:eastAsia="Times New Roman" w:cs="Times New Roman"/>
          <w:kern w:val="28"/>
          <w14:ligatures w14:val="none"/>
        </w:rPr>
        <w:t xml:space="preserve"> </w:t>
      </w:r>
      <w:r w:rsidR="00D108E1" w:rsidRPr="00D108E1">
        <w:rPr>
          <w:rFonts w:eastAsia="Times New Roman" w:cs="Times New Roman"/>
          <w:kern w:val="28"/>
          <w14:ligatures w14:val="none"/>
        </w:rPr>
        <w:t xml:space="preserve">The ICM was publicized online, communicated to the Alekostrian and Sollanian governments, and mailed to all Pilemon villages in Restovia. </w:t>
      </w:r>
      <w:r w:rsidR="006611CA" w:rsidRPr="006611CA">
        <w:rPr>
          <w:rFonts w:eastAsia="Times New Roman" w:cs="Times New Roman"/>
          <w:kern w:val="28"/>
          <w14:ligatures w14:val="none"/>
        </w:rPr>
        <w:t>Sollania informed Restovia that none of its Elders intended to participate.</w:t>
      </w:r>
      <w:r w:rsidR="008B6351">
        <w:rPr>
          <w:rFonts w:eastAsia="Times New Roman" w:cs="Times New Roman"/>
          <w:kern w:val="28"/>
          <w14:ligatures w14:val="none"/>
        </w:rPr>
        <w:t xml:space="preserve"> </w:t>
      </w:r>
      <w:r w:rsidR="008B6351" w:rsidRPr="008B6351">
        <w:rPr>
          <w:rFonts w:eastAsia="Times New Roman" w:cs="Times New Roman"/>
          <w:kern w:val="28"/>
          <w14:ligatures w14:val="none"/>
        </w:rPr>
        <w:t>The Council of Elders of Alekostria</w:t>
      </w:r>
      <w:r w:rsidR="008B6351">
        <w:rPr>
          <w:rFonts w:eastAsia="Times New Roman" w:cs="Times New Roman"/>
          <w:kern w:val="28"/>
          <w14:ligatures w14:val="none"/>
        </w:rPr>
        <w:t xml:space="preserve"> issued a statement denouncing the </w:t>
      </w:r>
      <w:r w:rsidR="008B6351" w:rsidRPr="008B6351">
        <w:rPr>
          <w:rFonts w:eastAsia="Times New Roman" w:cs="Times New Roman"/>
          <w:kern w:val="28"/>
          <w14:ligatures w14:val="none"/>
        </w:rPr>
        <w:t>mining initiative</w:t>
      </w:r>
      <w:r w:rsidR="008B6351">
        <w:rPr>
          <w:rFonts w:eastAsia="Times New Roman" w:cs="Times New Roman"/>
          <w:kern w:val="28"/>
          <w14:ligatures w14:val="none"/>
        </w:rPr>
        <w:t xml:space="preserve">. </w:t>
      </w:r>
      <w:r w:rsidR="008F7FD4" w:rsidRPr="008F7FD4">
        <w:rPr>
          <w:rFonts w:eastAsia="Times New Roman" w:cs="Times New Roman"/>
          <w:kern w:val="28"/>
          <w:lang w:val="en-US"/>
          <w14:ligatures w14:val="none"/>
        </w:rPr>
        <w:t>Several members of the Council, however, declined to endorse the statement as they held that careful development of the Plateau would be compatible with Pilemon beliefs</w:t>
      </w:r>
      <w:r w:rsidR="00214190">
        <w:rPr>
          <w:rFonts w:eastAsia="Times New Roman" w:cs="Times New Roman"/>
          <w:kern w:val="28"/>
          <w:lang w:val="en-US"/>
          <w14:ligatures w14:val="none"/>
        </w:rPr>
        <w:t>.</w:t>
      </w:r>
    </w:p>
    <w:p w14:paraId="0651D9D9" w14:textId="77777777" w:rsidR="000002C3" w:rsidRDefault="000002C3" w:rsidP="40D08253">
      <w:pPr>
        <w:spacing w:after="0"/>
        <w:jc w:val="both"/>
        <w:rPr>
          <w:rFonts w:eastAsia="Times New Roman" w:cs="Times New Roman"/>
          <w:b/>
          <w:bCs/>
        </w:rPr>
      </w:pPr>
    </w:p>
    <w:p w14:paraId="207E4C01" w14:textId="4EA40B49" w:rsidR="2B7EE2B8" w:rsidRDefault="2B7EE2B8" w:rsidP="40D08253">
      <w:pPr>
        <w:spacing w:after="0"/>
        <w:jc w:val="both"/>
        <w:rPr>
          <w:rFonts w:eastAsia="Times New Roman" w:cs="Times New Roman"/>
          <w:b/>
          <w:bCs/>
        </w:rPr>
      </w:pPr>
      <w:r w:rsidRPr="006A05F3">
        <w:rPr>
          <w:b/>
          <w:bCs/>
          <w:smallCaps/>
        </w:rPr>
        <w:t>NEXCA’s Bid</w:t>
      </w:r>
      <w:r w:rsidRPr="40D08253">
        <w:rPr>
          <w:rFonts w:eastAsia="Times New Roman" w:cs="Times New Roman"/>
          <w:b/>
          <w:bCs/>
        </w:rPr>
        <w:t xml:space="preserve"> </w:t>
      </w:r>
    </w:p>
    <w:p w14:paraId="5F28213B" w14:textId="1CFD6681" w:rsidR="2B7EE2B8" w:rsidRDefault="2B7EE2B8" w:rsidP="40D08253">
      <w:pPr>
        <w:spacing w:after="0"/>
        <w:ind w:firstLine="720"/>
        <w:jc w:val="both"/>
        <w:rPr>
          <w:rFonts w:eastAsia="Times New Roman" w:cs="Times New Roman"/>
        </w:rPr>
      </w:pPr>
      <w:r w:rsidRPr="40D08253">
        <w:rPr>
          <w:rFonts w:eastAsia="Times New Roman" w:cs="Times New Roman"/>
        </w:rPr>
        <w:t xml:space="preserve"> NEXCA was created by </w:t>
      </w:r>
      <w:r w:rsidR="005964E3">
        <w:rPr>
          <w:rFonts w:eastAsia="Times New Roman" w:cs="Times New Roman"/>
        </w:rPr>
        <w:t>an</w:t>
      </w:r>
      <w:r w:rsidRPr="40D08253">
        <w:rPr>
          <w:rFonts w:eastAsia="Times New Roman" w:cs="Times New Roman"/>
        </w:rPr>
        <w:t xml:space="preserve"> Act of Parliament and incorporated under Alekostrian law, with all shares held by the government. Its mining activities require parliamentary authorization, and any foreign project must be certified by the Minister of Foreign Relations. Its Board is chaired by the Minister of Mining, with other members appointed by the Prime Minister</w:t>
      </w:r>
      <w:r w:rsidR="00C34D1D">
        <w:rPr>
          <w:rFonts w:eastAsia="Times New Roman" w:cs="Times New Roman"/>
        </w:rPr>
        <w:t>.</w:t>
      </w:r>
    </w:p>
    <w:p w14:paraId="269BBAF7" w14:textId="562DB474" w:rsidR="2B7EE2B8" w:rsidRDefault="2B7EE2B8" w:rsidP="40D08253">
      <w:pPr>
        <w:spacing w:after="0"/>
        <w:ind w:firstLine="720"/>
        <w:jc w:val="both"/>
        <w:rPr>
          <w:rFonts w:eastAsia="Times New Roman" w:cs="Times New Roman"/>
        </w:rPr>
      </w:pPr>
      <w:r w:rsidRPr="40D08253">
        <w:rPr>
          <w:rFonts w:eastAsia="Times New Roman" w:cs="Times New Roman"/>
        </w:rPr>
        <w:t xml:space="preserve">In March 2021, Alekostria’s Parliament authorized NEXCA to bid on the Restovian project, subject to compliance with ARPA. NEXCA submitted its bid in August 2021 and applied </w:t>
      </w:r>
      <w:r w:rsidR="003319A5">
        <w:rPr>
          <w:rFonts w:eastAsia="Times New Roman" w:cs="Times New Roman"/>
        </w:rPr>
        <w:t xml:space="preserve">for </w:t>
      </w:r>
      <w:r w:rsidR="00B80291">
        <w:rPr>
          <w:rFonts w:eastAsia="Times New Roman" w:cs="Times New Roman"/>
        </w:rPr>
        <w:t xml:space="preserve">and received </w:t>
      </w:r>
      <w:r w:rsidRPr="40D08253">
        <w:rPr>
          <w:rFonts w:eastAsia="Times New Roman" w:cs="Times New Roman"/>
        </w:rPr>
        <w:t>the required national security clearance in June 2022.</w:t>
      </w:r>
    </w:p>
    <w:p w14:paraId="18015660" w14:textId="0DF72B10" w:rsidR="009F59AC" w:rsidRPr="008B65CF" w:rsidRDefault="003D74E4" w:rsidP="008B65CF">
      <w:pPr>
        <w:spacing w:after="0"/>
        <w:ind w:firstLine="720"/>
        <w:jc w:val="both"/>
        <w:rPr>
          <w:rFonts w:eastAsia="Times New Roman" w:cs="Times New Roman"/>
        </w:rPr>
      </w:pPr>
      <w:r w:rsidRPr="40D08253">
        <w:rPr>
          <w:rFonts w:eastAsia="Times New Roman" w:cs="Times New Roman"/>
        </w:rPr>
        <w:lastRenderedPageBreak/>
        <w:t>Following environmental impact assessments, the Ministry organized consultation forums with Pilemon Elders from Alekostria and Restovia. Approximately 60 percent of Elders from the Parties attended at least one forum. Elders proposed safeguards related to explosives and road construction, which were incorporated by all finalist</w:t>
      </w:r>
      <w:r w:rsidR="00ED361C">
        <w:rPr>
          <w:rFonts w:eastAsia="Times New Roman" w:cs="Times New Roman"/>
        </w:rPr>
        <w:t>s</w:t>
      </w:r>
      <w:r w:rsidRPr="40D08253">
        <w:rPr>
          <w:rFonts w:eastAsia="Times New Roman" w:cs="Times New Roman"/>
        </w:rPr>
        <w:t xml:space="preserve"> into revised project designs. </w:t>
      </w:r>
      <w:r w:rsidR="009C58D0">
        <w:rPr>
          <w:rFonts w:eastAsia="Times New Roman" w:cs="Times New Roman"/>
        </w:rPr>
        <w:t>A</w:t>
      </w:r>
      <w:r w:rsidRPr="40D08253">
        <w:rPr>
          <w:rFonts w:eastAsia="Times New Roman" w:cs="Times New Roman"/>
        </w:rPr>
        <w:t xml:space="preserve"> majority of attending Elders supported NEXC</w:t>
      </w:r>
      <w:r w:rsidR="00A66930">
        <w:rPr>
          <w:rFonts w:eastAsia="Times New Roman" w:cs="Times New Roman"/>
        </w:rPr>
        <w:t>A</w:t>
      </w:r>
      <w:r w:rsidR="00B67627">
        <w:rPr>
          <w:rFonts w:eastAsia="Times New Roman" w:cs="Times New Roman"/>
        </w:rPr>
        <w:t>’s bid</w:t>
      </w:r>
      <w:r w:rsidRPr="40D08253">
        <w:rPr>
          <w:rFonts w:eastAsia="Times New Roman" w:cs="Times New Roman"/>
        </w:rPr>
        <w:t>.</w:t>
      </w:r>
    </w:p>
    <w:p w14:paraId="0CD5DF76" w14:textId="77777777" w:rsidR="004410CF" w:rsidRDefault="004410CF" w:rsidP="00B26F4D">
      <w:pPr>
        <w:spacing w:after="0"/>
        <w:jc w:val="both"/>
        <w:rPr>
          <w:b/>
          <w:bCs/>
          <w:smallCaps/>
        </w:rPr>
      </w:pPr>
    </w:p>
    <w:p w14:paraId="3DC5F198" w14:textId="35D8AF96" w:rsidR="009F59AC" w:rsidRDefault="009F59AC" w:rsidP="00B26F4D">
      <w:pPr>
        <w:spacing w:after="0"/>
        <w:jc w:val="both"/>
        <w:rPr>
          <w:b/>
          <w:bCs/>
          <w:smallCaps/>
        </w:rPr>
      </w:pPr>
      <w:r>
        <w:rPr>
          <w:b/>
          <w:bCs/>
          <w:smallCaps/>
        </w:rPr>
        <w:t xml:space="preserve">Survey </w:t>
      </w:r>
      <w:r w:rsidR="00174F96">
        <w:rPr>
          <w:b/>
          <w:bCs/>
          <w:smallCaps/>
        </w:rPr>
        <w:t>of the Go</w:t>
      </w:r>
      <w:r w:rsidR="005B7BCF">
        <w:rPr>
          <w:b/>
          <w:bCs/>
          <w:smallCaps/>
        </w:rPr>
        <w:t>rge</w:t>
      </w:r>
      <w:r w:rsidR="00504738">
        <w:rPr>
          <w:b/>
          <w:bCs/>
          <w:smallCaps/>
        </w:rPr>
        <w:t xml:space="preserve"> and Death of Domingo Montoya</w:t>
      </w:r>
    </w:p>
    <w:p w14:paraId="2DA7203B" w14:textId="5A487D13" w:rsidR="005B7BCF" w:rsidRPr="00FB1B83" w:rsidRDefault="003E3A5A" w:rsidP="00FB1B83">
      <w:pPr>
        <w:spacing w:after="0"/>
        <w:ind w:firstLine="720"/>
        <w:jc w:val="both"/>
        <w:rPr>
          <w:rFonts w:eastAsia="Times New Roman" w:cs="Times New Roman"/>
          <w:kern w:val="28"/>
          <w14:ligatures w14:val="none"/>
        </w:rPr>
      </w:pPr>
      <w:r>
        <w:rPr>
          <w:rFonts w:eastAsia="Times New Roman" w:cs="Times New Roman"/>
          <w:kern w:val="28"/>
          <w14:ligatures w14:val="none"/>
        </w:rPr>
        <w:t xml:space="preserve">NEXCA </w:t>
      </w:r>
      <w:r w:rsidR="008A0D72">
        <w:rPr>
          <w:rFonts w:eastAsia="Times New Roman" w:cs="Times New Roman"/>
          <w:kern w:val="28"/>
          <w14:ligatures w14:val="none"/>
        </w:rPr>
        <w:t>employe</w:t>
      </w:r>
      <w:r>
        <w:rPr>
          <w:rFonts w:eastAsia="Times New Roman" w:cs="Times New Roman"/>
          <w:kern w:val="28"/>
          <w14:ligatures w14:val="none"/>
        </w:rPr>
        <w:t xml:space="preserve">d a </w:t>
      </w:r>
      <w:r w:rsidR="00C24BDB">
        <w:rPr>
          <w:rFonts w:eastAsia="Times New Roman" w:cs="Times New Roman"/>
          <w:kern w:val="28"/>
          <w14:ligatures w14:val="none"/>
        </w:rPr>
        <w:t>semi</w:t>
      </w:r>
      <w:r w:rsidR="008A0D72">
        <w:rPr>
          <w:rFonts w:eastAsia="Times New Roman" w:cs="Times New Roman"/>
          <w:kern w:val="28"/>
          <w14:ligatures w14:val="none"/>
        </w:rPr>
        <w:t>-autonomous robotic vehicle (“SARV”)</w:t>
      </w:r>
      <w:r w:rsidR="00F46DB2">
        <w:rPr>
          <w:rFonts w:eastAsia="Times New Roman" w:cs="Times New Roman"/>
          <w:kern w:val="28"/>
          <w14:ligatures w14:val="none"/>
        </w:rPr>
        <w:t xml:space="preserve"> to conduct a survey of the Gordion Gorge in finalizing its bid</w:t>
      </w:r>
      <w:r w:rsidR="008A0D72">
        <w:rPr>
          <w:rFonts w:eastAsia="Times New Roman" w:cs="Times New Roman"/>
          <w:kern w:val="28"/>
          <w14:ligatures w14:val="none"/>
        </w:rPr>
        <w:t xml:space="preserve">. On </w:t>
      </w:r>
      <w:r w:rsidR="00116207">
        <w:rPr>
          <w:rFonts w:eastAsia="Times New Roman" w:cs="Times New Roman"/>
          <w:kern w:val="28"/>
          <w14:ligatures w14:val="none"/>
        </w:rPr>
        <w:t>3 February 2023</w:t>
      </w:r>
      <w:r w:rsidR="006C385A">
        <w:rPr>
          <w:rFonts w:eastAsia="Times New Roman" w:cs="Times New Roman"/>
          <w:kern w:val="28"/>
          <w14:ligatures w14:val="none"/>
        </w:rPr>
        <w:t>,</w:t>
      </w:r>
      <w:r w:rsidR="00AD7326">
        <w:rPr>
          <w:rFonts w:eastAsia="Times New Roman" w:cs="Times New Roman"/>
          <w:kern w:val="28"/>
          <w14:ligatures w14:val="none"/>
        </w:rPr>
        <w:t xml:space="preserve"> the SARV </w:t>
      </w:r>
      <w:r w:rsidR="00704298">
        <w:rPr>
          <w:rFonts w:eastAsia="Times New Roman" w:cs="Times New Roman"/>
          <w:kern w:val="28"/>
          <w14:ligatures w14:val="none"/>
        </w:rPr>
        <w:t xml:space="preserve">unexpectedly </w:t>
      </w:r>
      <w:r w:rsidR="00AD7326">
        <w:rPr>
          <w:rFonts w:eastAsia="Times New Roman" w:cs="Times New Roman"/>
          <w:kern w:val="28"/>
          <w14:ligatures w14:val="none"/>
        </w:rPr>
        <w:t xml:space="preserve">accelerated and crashed through a safety </w:t>
      </w:r>
      <w:r w:rsidR="00704298">
        <w:rPr>
          <w:rFonts w:eastAsia="Times New Roman" w:cs="Times New Roman"/>
          <w:kern w:val="28"/>
          <w14:ligatures w14:val="none"/>
        </w:rPr>
        <w:t>fence</w:t>
      </w:r>
      <w:r w:rsidR="00E21A5D">
        <w:rPr>
          <w:rFonts w:eastAsia="Times New Roman" w:cs="Times New Roman"/>
          <w:kern w:val="28"/>
          <w14:ligatures w14:val="none"/>
        </w:rPr>
        <w:t>,</w:t>
      </w:r>
      <w:r w:rsidR="00704298">
        <w:rPr>
          <w:rFonts w:eastAsia="Times New Roman" w:cs="Times New Roman"/>
          <w:kern w:val="28"/>
          <w14:ligatures w14:val="none"/>
        </w:rPr>
        <w:t xml:space="preserve"> killing Domingo Montoya, a Restovia</w:t>
      </w:r>
      <w:r w:rsidR="00E21A5D">
        <w:rPr>
          <w:rFonts w:eastAsia="Times New Roman" w:cs="Times New Roman"/>
          <w:kern w:val="28"/>
          <w14:ligatures w14:val="none"/>
        </w:rPr>
        <w:t>n</w:t>
      </w:r>
      <w:r w:rsidR="00704298">
        <w:rPr>
          <w:rFonts w:eastAsia="Times New Roman" w:cs="Times New Roman"/>
          <w:kern w:val="28"/>
          <w14:ligatures w14:val="none"/>
        </w:rPr>
        <w:t xml:space="preserve"> security guard.</w:t>
      </w:r>
      <w:r w:rsidR="0070056D">
        <w:rPr>
          <w:rFonts w:eastAsia="Times New Roman" w:cs="Times New Roman"/>
          <w:kern w:val="28"/>
          <w14:ligatures w14:val="none"/>
        </w:rPr>
        <w:t xml:space="preserve"> </w:t>
      </w:r>
      <w:r w:rsidR="00567248">
        <w:rPr>
          <w:rFonts w:eastAsia="Times New Roman" w:cs="Times New Roman"/>
          <w:kern w:val="28"/>
          <w14:ligatures w14:val="none"/>
        </w:rPr>
        <w:t>On 18 April 2023, t</w:t>
      </w:r>
      <w:r w:rsidR="0070056D">
        <w:rPr>
          <w:rFonts w:eastAsia="Times New Roman" w:cs="Times New Roman"/>
          <w:kern w:val="28"/>
          <w14:ligatures w14:val="none"/>
        </w:rPr>
        <w:t xml:space="preserve">he </w:t>
      </w:r>
      <w:r w:rsidR="00F11AB5">
        <w:rPr>
          <w:rFonts w:eastAsia="Times New Roman" w:cs="Times New Roman"/>
          <w:kern w:val="28"/>
          <w14:ligatures w14:val="none"/>
        </w:rPr>
        <w:t xml:space="preserve">ILSA </w:t>
      </w:r>
      <w:r w:rsidR="00567248">
        <w:rPr>
          <w:rFonts w:eastAsia="Times New Roman" w:cs="Times New Roman"/>
          <w:kern w:val="28"/>
          <w14:ligatures w14:val="none"/>
        </w:rPr>
        <w:t>con</w:t>
      </w:r>
      <w:r w:rsidR="00653CF7">
        <w:rPr>
          <w:rFonts w:eastAsia="Times New Roman" w:cs="Times New Roman"/>
          <w:kern w:val="28"/>
          <w14:ligatures w14:val="none"/>
        </w:rPr>
        <w:t>cluded</w:t>
      </w:r>
      <w:r w:rsidR="00567248">
        <w:rPr>
          <w:rFonts w:eastAsia="Times New Roman" w:cs="Times New Roman"/>
          <w:kern w:val="28"/>
          <w14:ligatures w14:val="none"/>
        </w:rPr>
        <w:t xml:space="preserve"> </w:t>
      </w:r>
      <w:r w:rsidR="00E21A5D">
        <w:rPr>
          <w:rFonts w:eastAsia="Times New Roman" w:cs="Times New Roman"/>
          <w:kern w:val="28"/>
          <w14:ligatures w14:val="none"/>
        </w:rPr>
        <w:t xml:space="preserve">that </w:t>
      </w:r>
      <w:r w:rsidR="000B4328">
        <w:rPr>
          <w:rFonts w:eastAsia="Times New Roman" w:cs="Times New Roman"/>
          <w:kern w:val="28"/>
          <w14:ligatures w14:val="none"/>
        </w:rPr>
        <w:t>NEXCA’</w:t>
      </w:r>
      <w:r w:rsidR="004D4C0B">
        <w:rPr>
          <w:rFonts w:eastAsia="Times New Roman" w:cs="Times New Roman"/>
          <w:kern w:val="28"/>
          <w14:ligatures w14:val="none"/>
        </w:rPr>
        <w:t xml:space="preserve">s computer network had been compromised by an unknown malware </w:t>
      </w:r>
      <w:r w:rsidR="00ED4C07">
        <w:rPr>
          <w:rFonts w:eastAsia="Times New Roman" w:cs="Times New Roman"/>
          <w:kern w:val="28"/>
          <w14:ligatures w14:val="none"/>
        </w:rPr>
        <w:t>attack</w:t>
      </w:r>
      <w:r w:rsidR="00752154">
        <w:rPr>
          <w:rFonts w:eastAsia="Times New Roman" w:cs="Times New Roman"/>
          <w:kern w:val="28"/>
          <w14:ligatures w14:val="none"/>
        </w:rPr>
        <w:t>.</w:t>
      </w:r>
      <w:r w:rsidR="00F46DB2">
        <w:rPr>
          <w:rFonts w:eastAsia="Times New Roman" w:cs="Times New Roman"/>
          <w:kern w:val="28"/>
          <w14:ligatures w14:val="none"/>
        </w:rPr>
        <w:t xml:space="preserve"> Accordingly</w:t>
      </w:r>
      <w:r w:rsidR="004D747A">
        <w:rPr>
          <w:rFonts w:eastAsia="Times New Roman" w:cs="Times New Roman"/>
          <w:kern w:val="28"/>
          <w14:ligatures w14:val="none"/>
        </w:rPr>
        <w:t>,</w:t>
      </w:r>
      <w:r w:rsidR="00752154">
        <w:rPr>
          <w:rFonts w:eastAsia="Times New Roman" w:cs="Times New Roman"/>
          <w:kern w:val="28"/>
          <w14:ligatures w14:val="none"/>
        </w:rPr>
        <w:t xml:space="preserve"> </w:t>
      </w:r>
      <w:r w:rsidR="004D747A">
        <w:rPr>
          <w:rFonts w:eastAsia="Times New Roman" w:cs="Times New Roman"/>
          <w:kern w:val="28"/>
          <w14:ligatures w14:val="none"/>
        </w:rPr>
        <w:t xml:space="preserve">the vehicle received incomplete commands </w:t>
      </w:r>
      <w:r w:rsidR="00E62B31">
        <w:rPr>
          <w:rFonts w:eastAsia="Times New Roman" w:cs="Times New Roman"/>
          <w:kern w:val="28"/>
          <w14:ligatures w14:val="none"/>
        </w:rPr>
        <w:t>from human operators</w:t>
      </w:r>
      <w:r w:rsidR="00FB1B83">
        <w:rPr>
          <w:rFonts w:eastAsia="Times New Roman" w:cs="Times New Roman"/>
          <w:kern w:val="28"/>
          <w14:ligatures w14:val="none"/>
        </w:rPr>
        <w:t>, who were then unable to monitor or control it. The mal</w:t>
      </w:r>
      <w:r w:rsidR="000F278F">
        <w:rPr>
          <w:rFonts w:eastAsia="Times New Roman" w:cs="Times New Roman"/>
          <w:kern w:val="28"/>
          <w14:ligatures w14:val="none"/>
        </w:rPr>
        <w:t>ware breach was made possible</w:t>
      </w:r>
      <w:r w:rsidR="00FE67E2">
        <w:rPr>
          <w:rFonts w:eastAsia="Times New Roman" w:cs="Times New Roman"/>
          <w:kern w:val="28"/>
          <w14:ligatures w14:val="none"/>
        </w:rPr>
        <w:t xml:space="preserve"> </w:t>
      </w:r>
      <w:r w:rsidR="000F278F">
        <w:rPr>
          <w:rFonts w:eastAsia="Times New Roman" w:cs="Times New Roman"/>
          <w:kern w:val="28"/>
          <w14:ligatures w14:val="none"/>
        </w:rPr>
        <w:t>due to</w:t>
      </w:r>
      <w:r w:rsidR="00FE67E2">
        <w:rPr>
          <w:rFonts w:eastAsia="Times New Roman" w:cs="Times New Roman"/>
          <w:kern w:val="28"/>
          <w14:ligatures w14:val="none"/>
        </w:rPr>
        <w:t xml:space="preserve"> </w:t>
      </w:r>
      <w:r w:rsidR="006A3758">
        <w:rPr>
          <w:rFonts w:eastAsia="Times New Roman" w:cs="Times New Roman"/>
          <w:kern w:val="28"/>
          <w14:ligatures w14:val="none"/>
        </w:rPr>
        <w:t xml:space="preserve">NEXCA’s failure to change default passwords </w:t>
      </w:r>
      <w:r w:rsidR="001B0E14">
        <w:rPr>
          <w:rFonts w:eastAsia="Times New Roman" w:cs="Times New Roman"/>
          <w:kern w:val="28"/>
          <w14:ligatures w14:val="none"/>
        </w:rPr>
        <w:t xml:space="preserve">and properly </w:t>
      </w:r>
      <w:r w:rsidR="00F311DF">
        <w:rPr>
          <w:rFonts w:eastAsia="Times New Roman" w:cs="Times New Roman"/>
          <w:kern w:val="28"/>
          <w14:ligatures w14:val="none"/>
        </w:rPr>
        <w:t>compartmentalize</w:t>
      </w:r>
      <w:r w:rsidR="001B0E14">
        <w:rPr>
          <w:rFonts w:eastAsia="Times New Roman" w:cs="Times New Roman"/>
          <w:kern w:val="28"/>
          <w14:ligatures w14:val="none"/>
        </w:rPr>
        <w:t xml:space="preserve"> </w:t>
      </w:r>
      <w:r w:rsidR="004345B8">
        <w:rPr>
          <w:rFonts w:eastAsia="Times New Roman" w:cs="Times New Roman"/>
          <w:kern w:val="28"/>
          <w14:ligatures w14:val="none"/>
        </w:rPr>
        <w:t>off-site</w:t>
      </w:r>
      <w:r w:rsidR="008E494C">
        <w:rPr>
          <w:rFonts w:eastAsia="Times New Roman" w:cs="Times New Roman"/>
          <w:kern w:val="28"/>
          <w14:ligatures w14:val="none"/>
        </w:rPr>
        <w:t xml:space="preserve"> industrial assets from its internet-facing infrastructure.</w:t>
      </w:r>
    </w:p>
    <w:p w14:paraId="7BE4BEF3" w14:textId="77777777" w:rsidR="003D2BE8" w:rsidRDefault="003D2BE8" w:rsidP="00B26F4D">
      <w:pPr>
        <w:spacing w:after="0"/>
        <w:jc w:val="both"/>
        <w:rPr>
          <w:b/>
          <w:bCs/>
          <w:smallCaps/>
        </w:rPr>
      </w:pPr>
    </w:p>
    <w:p w14:paraId="32F02A9D" w14:textId="012867F3" w:rsidR="009F59AC" w:rsidRDefault="00AA3AF9" w:rsidP="00B26F4D">
      <w:pPr>
        <w:spacing w:after="0"/>
        <w:jc w:val="both"/>
        <w:rPr>
          <w:b/>
          <w:bCs/>
          <w:smallCaps/>
        </w:rPr>
      </w:pPr>
      <w:r>
        <w:rPr>
          <w:b/>
          <w:bCs/>
          <w:smallCaps/>
        </w:rPr>
        <w:t>Co</w:t>
      </w:r>
      <w:r w:rsidR="007E7380">
        <w:rPr>
          <w:b/>
          <w:bCs/>
          <w:smallCaps/>
        </w:rPr>
        <w:t xml:space="preserve">rruption in the Process </w:t>
      </w:r>
    </w:p>
    <w:p w14:paraId="5D077ACB" w14:textId="661187D8" w:rsidR="007E7380" w:rsidRDefault="007E7380" w:rsidP="007E7380">
      <w:pPr>
        <w:spacing w:after="0"/>
        <w:ind w:firstLine="720"/>
        <w:jc w:val="both"/>
        <w:rPr>
          <w:rFonts w:eastAsia="Times New Roman" w:cs="Times New Roman"/>
          <w:kern w:val="28"/>
          <w14:ligatures w14:val="none"/>
        </w:rPr>
      </w:pPr>
      <w:r>
        <w:rPr>
          <w:rFonts w:eastAsia="Times New Roman" w:cs="Times New Roman"/>
          <w:kern w:val="28"/>
          <w14:ligatures w14:val="none"/>
        </w:rPr>
        <w:t xml:space="preserve">On </w:t>
      </w:r>
      <w:r w:rsidR="00031EC8">
        <w:rPr>
          <w:rFonts w:eastAsia="Times New Roman" w:cs="Times New Roman"/>
          <w:kern w:val="28"/>
          <w14:ligatures w14:val="none"/>
        </w:rPr>
        <w:t>9 May 2023, Restovian police announced th</w:t>
      </w:r>
      <w:r w:rsidR="00E2388F">
        <w:rPr>
          <w:rFonts w:eastAsia="Times New Roman" w:cs="Times New Roman"/>
          <w:kern w:val="28"/>
          <w14:ligatures w14:val="none"/>
        </w:rPr>
        <w:t>e arrest of</w:t>
      </w:r>
      <w:r w:rsidR="00031EC8">
        <w:rPr>
          <w:rFonts w:eastAsia="Times New Roman" w:cs="Times New Roman"/>
          <w:kern w:val="28"/>
          <w14:ligatures w14:val="none"/>
        </w:rPr>
        <w:t xml:space="preserve"> Ted Moore, </w:t>
      </w:r>
      <w:r w:rsidR="00F46C25">
        <w:rPr>
          <w:rFonts w:eastAsia="Times New Roman" w:cs="Times New Roman"/>
          <w:kern w:val="28"/>
          <w14:ligatures w14:val="none"/>
        </w:rPr>
        <w:t xml:space="preserve">the </w:t>
      </w:r>
      <w:r w:rsidR="001068CA">
        <w:rPr>
          <w:rFonts w:eastAsia="Times New Roman" w:cs="Times New Roman"/>
          <w:kern w:val="28"/>
          <w14:ligatures w14:val="none"/>
        </w:rPr>
        <w:t>Deputy Director of Industrial Cooperation at the Ministry</w:t>
      </w:r>
      <w:r w:rsidR="00E2388F">
        <w:rPr>
          <w:rFonts w:eastAsia="Times New Roman" w:cs="Times New Roman"/>
          <w:kern w:val="28"/>
          <w14:ligatures w14:val="none"/>
        </w:rPr>
        <w:t xml:space="preserve">. </w:t>
      </w:r>
      <w:r w:rsidR="00E66BC7">
        <w:rPr>
          <w:rFonts w:eastAsia="Times New Roman" w:cs="Times New Roman"/>
          <w:kern w:val="28"/>
          <w14:ligatures w14:val="none"/>
        </w:rPr>
        <w:t>Mr. Moore</w:t>
      </w:r>
      <w:r w:rsidR="00E2388F">
        <w:rPr>
          <w:rFonts w:eastAsia="Times New Roman" w:cs="Times New Roman"/>
          <w:kern w:val="28"/>
          <w14:ligatures w14:val="none"/>
        </w:rPr>
        <w:t xml:space="preserve"> was charged with corruption, embezzlement and misuse of public office</w:t>
      </w:r>
      <w:r w:rsidR="00E66BC7">
        <w:rPr>
          <w:rFonts w:eastAsia="Times New Roman" w:cs="Times New Roman"/>
          <w:kern w:val="28"/>
          <w14:ligatures w14:val="none"/>
        </w:rPr>
        <w:t>,</w:t>
      </w:r>
      <w:r w:rsidR="005361AB">
        <w:rPr>
          <w:rFonts w:eastAsia="Times New Roman" w:cs="Times New Roman"/>
          <w:kern w:val="28"/>
          <w14:ligatures w14:val="none"/>
        </w:rPr>
        <w:t xml:space="preserve"> in connection </w:t>
      </w:r>
      <w:r w:rsidR="00033CBE">
        <w:rPr>
          <w:rFonts w:eastAsia="Times New Roman" w:cs="Times New Roman"/>
          <w:kern w:val="28"/>
          <w14:ligatures w14:val="none"/>
        </w:rPr>
        <w:t>with</w:t>
      </w:r>
      <w:r w:rsidR="005361AB">
        <w:rPr>
          <w:rFonts w:eastAsia="Times New Roman" w:cs="Times New Roman"/>
          <w:kern w:val="28"/>
          <w14:ligatures w14:val="none"/>
        </w:rPr>
        <w:t xml:space="preserve"> payments received from</w:t>
      </w:r>
      <w:r w:rsidR="0034651C">
        <w:rPr>
          <w:rFonts w:eastAsia="Times New Roman" w:cs="Times New Roman"/>
          <w:kern w:val="28"/>
          <w14:ligatures w14:val="none"/>
        </w:rPr>
        <w:t xml:space="preserve"> Ms. Liz Scott, </w:t>
      </w:r>
      <w:r w:rsidR="000A39CD">
        <w:rPr>
          <w:rFonts w:eastAsia="Times New Roman" w:cs="Times New Roman"/>
          <w:kern w:val="28"/>
          <w14:ligatures w14:val="none"/>
        </w:rPr>
        <w:t>a senior manager at NEXCA</w:t>
      </w:r>
      <w:r w:rsidR="00A146F3">
        <w:rPr>
          <w:rFonts w:eastAsia="Times New Roman" w:cs="Times New Roman"/>
          <w:kern w:val="28"/>
          <w14:ligatures w14:val="none"/>
        </w:rPr>
        <w:t xml:space="preserve">, who oversaw the Gordion Gorge project. </w:t>
      </w:r>
      <w:r w:rsidR="003D2BE8">
        <w:rPr>
          <w:rFonts w:eastAsia="Times New Roman" w:cs="Times New Roman"/>
          <w:kern w:val="28"/>
          <w14:ligatures w14:val="none"/>
        </w:rPr>
        <w:t xml:space="preserve">Restovia </w:t>
      </w:r>
      <w:r w:rsidR="00EB4023">
        <w:rPr>
          <w:rFonts w:eastAsia="Times New Roman" w:cs="Times New Roman"/>
          <w:kern w:val="28"/>
          <w14:ligatures w14:val="none"/>
        </w:rPr>
        <w:t xml:space="preserve">sent Alekostrian </w:t>
      </w:r>
      <w:proofErr w:type="gramStart"/>
      <w:r w:rsidR="00EB4023">
        <w:rPr>
          <w:rFonts w:eastAsia="Times New Roman" w:cs="Times New Roman"/>
          <w:kern w:val="28"/>
          <w14:ligatures w14:val="none"/>
        </w:rPr>
        <w:t>authorities</w:t>
      </w:r>
      <w:proofErr w:type="gramEnd"/>
      <w:r w:rsidR="00EB4023">
        <w:rPr>
          <w:rFonts w:eastAsia="Times New Roman" w:cs="Times New Roman"/>
          <w:kern w:val="28"/>
          <w14:ligatures w14:val="none"/>
        </w:rPr>
        <w:t xml:space="preserve"> </w:t>
      </w:r>
      <w:r w:rsidR="00AF1B15">
        <w:rPr>
          <w:rFonts w:eastAsia="Times New Roman" w:cs="Times New Roman"/>
          <w:kern w:val="28"/>
          <w14:ligatures w14:val="none"/>
        </w:rPr>
        <w:t xml:space="preserve">evidence of Ms. Scott’s involvement </w:t>
      </w:r>
      <w:r w:rsidR="00EB4023">
        <w:rPr>
          <w:rFonts w:eastAsia="Times New Roman" w:cs="Times New Roman"/>
          <w:kern w:val="28"/>
          <w14:ligatures w14:val="none"/>
        </w:rPr>
        <w:t>pursuant to a mutual legal assistance treaty</w:t>
      </w:r>
      <w:r w:rsidR="009D3359">
        <w:rPr>
          <w:rFonts w:eastAsia="Times New Roman" w:cs="Times New Roman"/>
          <w:kern w:val="28"/>
          <w14:ligatures w14:val="none"/>
        </w:rPr>
        <w:t xml:space="preserve"> between the States</w:t>
      </w:r>
      <w:r w:rsidR="0067215C">
        <w:rPr>
          <w:rFonts w:eastAsia="Times New Roman" w:cs="Times New Roman"/>
          <w:kern w:val="28"/>
          <w14:ligatures w14:val="none"/>
        </w:rPr>
        <w:t xml:space="preserve">. Subsequently, </w:t>
      </w:r>
      <w:r w:rsidR="00136EF2">
        <w:rPr>
          <w:rFonts w:eastAsia="Times New Roman" w:cs="Times New Roman"/>
          <w:kern w:val="28"/>
          <w14:ligatures w14:val="none"/>
        </w:rPr>
        <w:t>Alekostrian authori</w:t>
      </w:r>
      <w:r w:rsidR="0046121B">
        <w:rPr>
          <w:rFonts w:eastAsia="Times New Roman" w:cs="Times New Roman"/>
          <w:kern w:val="28"/>
          <w14:ligatures w14:val="none"/>
        </w:rPr>
        <w:t>ti</w:t>
      </w:r>
      <w:r w:rsidR="00136EF2">
        <w:rPr>
          <w:rFonts w:eastAsia="Times New Roman" w:cs="Times New Roman"/>
          <w:kern w:val="28"/>
          <w14:ligatures w14:val="none"/>
        </w:rPr>
        <w:t>es arrested and charged Ms. Scott under a statute which criminalizes “promising, offering, or providing to a foreign public official</w:t>
      </w:r>
      <w:r w:rsidR="0046121B">
        <w:rPr>
          <w:rFonts w:eastAsia="Times New Roman" w:cs="Times New Roman"/>
          <w:kern w:val="28"/>
          <w14:ligatures w14:val="none"/>
        </w:rPr>
        <w:t>”.</w:t>
      </w:r>
    </w:p>
    <w:p w14:paraId="6F777D14" w14:textId="2DACD473" w:rsidR="00E26E34" w:rsidRDefault="00E26E34" w:rsidP="007E7380">
      <w:pPr>
        <w:spacing w:after="0"/>
        <w:ind w:firstLine="720"/>
        <w:jc w:val="both"/>
        <w:rPr>
          <w:rFonts w:eastAsia="Times New Roman" w:cs="Times New Roman"/>
          <w:kern w:val="28"/>
          <w14:ligatures w14:val="none"/>
        </w:rPr>
      </w:pPr>
      <w:r>
        <w:rPr>
          <w:rFonts w:eastAsia="Times New Roman" w:cs="Times New Roman"/>
          <w:kern w:val="28"/>
          <w14:ligatures w14:val="none"/>
        </w:rPr>
        <w:t>Ms. Scott was tried in Alekostrian Criminal Court and found guilty</w:t>
      </w:r>
      <w:r w:rsidR="007015B8">
        <w:rPr>
          <w:rFonts w:eastAsia="Times New Roman" w:cs="Times New Roman"/>
          <w:kern w:val="28"/>
          <w14:ligatures w14:val="none"/>
        </w:rPr>
        <w:t>.</w:t>
      </w:r>
      <w:r w:rsidR="008518EC">
        <w:rPr>
          <w:rFonts w:eastAsia="Times New Roman" w:cs="Times New Roman"/>
          <w:kern w:val="28"/>
          <w14:ligatures w14:val="none"/>
        </w:rPr>
        <w:t xml:space="preserve"> On appeal,</w:t>
      </w:r>
      <w:r w:rsidR="0078745D">
        <w:rPr>
          <w:rFonts w:eastAsia="Times New Roman" w:cs="Times New Roman"/>
          <w:kern w:val="28"/>
          <w14:ligatures w14:val="none"/>
        </w:rPr>
        <w:t xml:space="preserve"> the charges against Ms. Scott were dismissed</w:t>
      </w:r>
      <w:r w:rsidR="00805F21">
        <w:rPr>
          <w:rFonts w:eastAsia="Times New Roman" w:cs="Times New Roman"/>
          <w:kern w:val="28"/>
          <w14:ligatures w14:val="none"/>
        </w:rPr>
        <w:t xml:space="preserve">, as </w:t>
      </w:r>
      <w:r w:rsidR="00365033">
        <w:rPr>
          <w:rFonts w:eastAsia="Times New Roman" w:cs="Times New Roman"/>
          <w:kern w:val="28"/>
          <w14:ligatures w14:val="none"/>
        </w:rPr>
        <w:t xml:space="preserve">Ms. Scott was not </w:t>
      </w:r>
      <w:r w:rsidR="00DE129D">
        <w:rPr>
          <w:rFonts w:eastAsia="Times New Roman" w:cs="Times New Roman"/>
          <w:kern w:val="28"/>
          <w14:ligatures w14:val="none"/>
        </w:rPr>
        <w:t xml:space="preserve">informed of her rights </w:t>
      </w:r>
      <w:r w:rsidR="009D3359">
        <w:rPr>
          <w:rFonts w:eastAsia="Times New Roman" w:cs="Times New Roman"/>
          <w:kern w:val="28"/>
          <w14:ligatures w14:val="none"/>
        </w:rPr>
        <w:t xml:space="preserve">when </w:t>
      </w:r>
      <w:r w:rsidR="00DE129D">
        <w:rPr>
          <w:rFonts w:eastAsia="Times New Roman" w:cs="Times New Roman"/>
          <w:kern w:val="28"/>
          <w14:ligatures w14:val="none"/>
        </w:rPr>
        <w:t>arrest</w:t>
      </w:r>
      <w:r w:rsidR="009D3359">
        <w:rPr>
          <w:rFonts w:eastAsia="Times New Roman" w:cs="Times New Roman"/>
          <w:kern w:val="28"/>
          <w14:ligatures w14:val="none"/>
        </w:rPr>
        <w:t>ed</w:t>
      </w:r>
      <w:r w:rsidR="00DE129D">
        <w:rPr>
          <w:rFonts w:eastAsia="Times New Roman" w:cs="Times New Roman"/>
          <w:kern w:val="28"/>
          <w14:ligatures w14:val="none"/>
        </w:rPr>
        <w:t xml:space="preserve">. </w:t>
      </w:r>
      <w:r w:rsidR="00544F32">
        <w:rPr>
          <w:rFonts w:eastAsia="Times New Roman" w:cs="Times New Roman"/>
          <w:kern w:val="28"/>
          <w14:ligatures w14:val="none"/>
        </w:rPr>
        <w:t>On 21 December 2023, Restovia sent a formal request for the extradition of Ms. Scott</w:t>
      </w:r>
      <w:r w:rsidR="00A055D3">
        <w:rPr>
          <w:rFonts w:eastAsia="Times New Roman" w:cs="Times New Roman"/>
          <w:kern w:val="28"/>
          <w14:ligatures w14:val="none"/>
        </w:rPr>
        <w:t xml:space="preserve"> to stand trial for “providing a public servant with a personal benefit with the intent of influencing that person in the exercise of his or her official duties”</w:t>
      </w:r>
      <w:r w:rsidR="00C1147D">
        <w:rPr>
          <w:rFonts w:eastAsia="Times New Roman" w:cs="Times New Roman"/>
          <w:kern w:val="28"/>
          <w14:ligatures w14:val="none"/>
        </w:rPr>
        <w:t>,</w:t>
      </w:r>
      <w:r w:rsidR="00346BE7">
        <w:rPr>
          <w:rFonts w:eastAsia="Times New Roman" w:cs="Times New Roman"/>
          <w:kern w:val="28"/>
          <w14:ligatures w14:val="none"/>
        </w:rPr>
        <w:t xml:space="preserve"> contrary to </w:t>
      </w:r>
      <w:r w:rsidR="00B20824">
        <w:rPr>
          <w:rFonts w:eastAsia="Times New Roman" w:cs="Times New Roman"/>
          <w:kern w:val="28"/>
          <w14:ligatures w14:val="none"/>
        </w:rPr>
        <w:t xml:space="preserve">Restovian law. </w:t>
      </w:r>
    </w:p>
    <w:p w14:paraId="334D61BF" w14:textId="4B113F43" w:rsidR="00845AE2" w:rsidRDefault="00845AE2" w:rsidP="007E7380">
      <w:pPr>
        <w:spacing w:after="0"/>
        <w:ind w:firstLine="720"/>
        <w:jc w:val="both"/>
        <w:rPr>
          <w:b/>
          <w:bCs/>
          <w:smallCaps/>
        </w:rPr>
      </w:pPr>
      <w:r>
        <w:rPr>
          <w:rFonts w:eastAsia="Times New Roman" w:cs="Times New Roman"/>
          <w:kern w:val="28"/>
          <w14:ligatures w14:val="none"/>
        </w:rPr>
        <w:t>On 1 February 2024</w:t>
      </w:r>
      <w:r w:rsidR="009D3359">
        <w:rPr>
          <w:rFonts w:eastAsia="Times New Roman" w:cs="Times New Roman"/>
          <w:kern w:val="28"/>
          <w14:ligatures w14:val="none"/>
        </w:rPr>
        <w:t>,</w:t>
      </w:r>
      <w:r>
        <w:rPr>
          <w:rFonts w:eastAsia="Times New Roman" w:cs="Times New Roman"/>
          <w:kern w:val="28"/>
          <w14:ligatures w14:val="none"/>
        </w:rPr>
        <w:t xml:space="preserve"> Judge Rumi Zhang </w:t>
      </w:r>
      <w:r w:rsidR="001C348A">
        <w:rPr>
          <w:rFonts w:eastAsia="Times New Roman" w:cs="Times New Roman"/>
          <w:kern w:val="28"/>
          <w14:ligatures w14:val="none"/>
        </w:rPr>
        <w:t>of the Alekostrian District Court found that extradition pursuant to the request would be illegal</w:t>
      </w:r>
      <w:r w:rsidR="00EF56BE">
        <w:rPr>
          <w:rFonts w:eastAsia="Times New Roman" w:cs="Times New Roman"/>
          <w:kern w:val="28"/>
          <w14:ligatures w14:val="none"/>
        </w:rPr>
        <w:t xml:space="preserve">, stating that the prosecution of Ms. Scott in </w:t>
      </w:r>
      <w:r w:rsidR="00EF56BE">
        <w:rPr>
          <w:rFonts w:eastAsia="Times New Roman" w:cs="Times New Roman"/>
          <w:kern w:val="28"/>
          <w14:ligatures w14:val="none"/>
        </w:rPr>
        <w:lastRenderedPageBreak/>
        <w:t xml:space="preserve">Restovia would place her in double jeopardy. This would be inconsistent with the general principles of law, </w:t>
      </w:r>
      <w:r w:rsidR="001648B2">
        <w:rPr>
          <w:rFonts w:eastAsia="Times New Roman" w:cs="Times New Roman"/>
          <w:kern w:val="28"/>
          <w14:ligatures w14:val="none"/>
        </w:rPr>
        <w:t>as required by</w:t>
      </w:r>
      <w:r w:rsidR="00710C5B">
        <w:rPr>
          <w:rFonts w:eastAsia="Times New Roman" w:cs="Times New Roman"/>
          <w:kern w:val="28"/>
          <w14:ligatures w14:val="none"/>
        </w:rPr>
        <w:t xml:space="preserve"> the Extradition Treaty.</w:t>
      </w:r>
    </w:p>
    <w:p w14:paraId="3C90DAB4" w14:textId="77777777" w:rsidR="003D2BE8" w:rsidRDefault="003D2BE8" w:rsidP="00B26F4D">
      <w:pPr>
        <w:spacing w:after="0"/>
        <w:jc w:val="both"/>
        <w:rPr>
          <w:b/>
          <w:bCs/>
          <w:smallCaps/>
        </w:rPr>
      </w:pPr>
    </w:p>
    <w:p w14:paraId="58E4A182" w14:textId="77777777" w:rsidR="003D74E4" w:rsidRDefault="003D74E4" w:rsidP="006A05F3">
      <w:pPr>
        <w:keepNext/>
        <w:spacing w:after="0"/>
        <w:jc w:val="both"/>
        <w:rPr>
          <w:b/>
          <w:bCs/>
          <w:smallCaps/>
        </w:rPr>
      </w:pPr>
      <w:r w:rsidRPr="003D74E4">
        <w:rPr>
          <w:b/>
          <w:bCs/>
          <w:smallCaps/>
        </w:rPr>
        <w:t>Tender Outcome and Proceedings Before the Court</w:t>
      </w:r>
    </w:p>
    <w:p w14:paraId="1468FD3F" w14:textId="126FBBA3" w:rsidR="00C5482D" w:rsidRPr="00C5482D" w:rsidRDefault="00C5482D" w:rsidP="00B26F4D">
      <w:pPr>
        <w:spacing w:after="0"/>
        <w:ind w:firstLine="720"/>
        <w:jc w:val="both"/>
        <w:rPr>
          <w:rFonts w:eastAsia="Times New Roman" w:cs="Times New Roman"/>
          <w:kern w:val="28"/>
          <w14:ligatures w14:val="none"/>
        </w:rPr>
      </w:pPr>
      <w:r w:rsidRPr="00C5482D">
        <w:rPr>
          <w:rFonts w:eastAsia="Times New Roman" w:cs="Times New Roman"/>
          <w:kern w:val="28"/>
          <w14:ligatures w14:val="none"/>
        </w:rPr>
        <w:t>In July 2024, the Ministry disqualified NEXCA</w:t>
      </w:r>
      <w:r w:rsidR="00ED361C">
        <w:rPr>
          <w:rFonts w:eastAsia="Times New Roman" w:cs="Times New Roman"/>
          <w:kern w:val="28"/>
          <w14:ligatures w14:val="none"/>
        </w:rPr>
        <w:t>’s</w:t>
      </w:r>
      <w:r w:rsidRPr="00C5482D">
        <w:rPr>
          <w:rFonts w:eastAsia="Times New Roman" w:cs="Times New Roman"/>
          <w:kern w:val="28"/>
          <w14:ligatures w14:val="none"/>
        </w:rPr>
        <w:t xml:space="preserve"> bid. Shortly </w:t>
      </w:r>
      <w:r w:rsidR="00ED361C">
        <w:rPr>
          <w:rFonts w:eastAsia="Times New Roman" w:cs="Times New Roman"/>
          <w:kern w:val="28"/>
          <w14:ligatures w14:val="none"/>
        </w:rPr>
        <w:t>after</w:t>
      </w:r>
      <w:r w:rsidRPr="00C5482D">
        <w:rPr>
          <w:rFonts w:eastAsia="Times New Roman" w:cs="Times New Roman"/>
          <w:kern w:val="28"/>
          <w14:ligatures w14:val="none"/>
        </w:rPr>
        <w:t>, Rare Earths Ltd. (</w:t>
      </w:r>
      <w:r w:rsidR="00584EE3">
        <w:rPr>
          <w:rFonts w:eastAsia="Times New Roman" w:cs="Times New Roman"/>
          <w:kern w:val="28"/>
          <w14:ligatures w14:val="none"/>
        </w:rPr>
        <w:t>“</w:t>
      </w:r>
      <w:r w:rsidRPr="00C5482D">
        <w:rPr>
          <w:rFonts w:eastAsia="Times New Roman" w:cs="Times New Roman"/>
          <w:kern w:val="28"/>
          <w14:ligatures w14:val="none"/>
        </w:rPr>
        <w:t>REL</w:t>
      </w:r>
      <w:r w:rsidR="00584EE3">
        <w:rPr>
          <w:rFonts w:eastAsia="Times New Roman" w:cs="Times New Roman"/>
          <w:kern w:val="28"/>
          <w14:ligatures w14:val="none"/>
        </w:rPr>
        <w:t>”</w:t>
      </w:r>
      <w:r w:rsidRPr="00C5482D">
        <w:rPr>
          <w:rFonts w:eastAsia="Times New Roman" w:cs="Times New Roman"/>
          <w:kern w:val="28"/>
          <w14:ligatures w14:val="none"/>
        </w:rPr>
        <w:t>) withdrew from the process, leaving a single bidder, Hyperion</w:t>
      </w:r>
      <w:r w:rsidR="00B02202">
        <w:rPr>
          <w:rFonts w:eastAsia="Times New Roman" w:cs="Times New Roman"/>
          <w:kern w:val="28"/>
          <w14:ligatures w14:val="none"/>
        </w:rPr>
        <w:t xml:space="preserve"> Inc. (“</w:t>
      </w:r>
      <w:r w:rsidR="00B02202" w:rsidRPr="00C5482D">
        <w:rPr>
          <w:rFonts w:eastAsia="Times New Roman" w:cs="Times New Roman"/>
          <w:kern w:val="28"/>
          <w14:ligatures w14:val="none"/>
        </w:rPr>
        <w:t>Hyperion</w:t>
      </w:r>
      <w:r w:rsidR="00B02202">
        <w:rPr>
          <w:rFonts w:eastAsia="Times New Roman" w:cs="Times New Roman"/>
          <w:kern w:val="28"/>
          <w14:ligatures w14:val="none"/>
        </w:rPr>
        <w:t>”)</w:t>
      </w:r>
      <w:r w:rsidRPr="00C5482D">
        <w:rPr>
          <w:rFonts w:eastAsia="Times New Roman" w:cs="Times New Roman"/>
          <w:kern w:val="28"/>
          <w14:ligatures w14:val="none"/>
        </w:rPr>
        <w:t xml:space="preserve">, a Restovian enterprise. The contract was </w:t>
      </w:r>
      <w:r w:rsidR="0029122E">
        <w:rPr>
          <w:rFonts w:eastAsia="Times New Roman" w:cs="Times New Roman"/>
          <w:kern w:val="28"/>
          <w14:ligatures w14:val="none"/>
        </w:rPr>
        <w:t xml:space="preserve">ultimately </w:t>
      </w:r>
      <w:r w:rsidRPr="00C5482D">
        <w:rPr>
          <w:rFonts w:eastAsia="Times New Roman" w:cs="Times New Roman"/>
          <w:kern w:val="28"/>
          <w14:ligatures w14:val="none"/>
        </w:rPr>
        <w:t>awarded to Hyperion.</w:t>
      </w:r>
    </w:p>
    <w:p w14:paraId="1A249878" w14:textId="58394003" w:rsidR="004E11B3" w:rsidRPr="004E11B3" w:rsidRDefault="00A92B2A" w:rsidP="004E11B3">
      <w:pPr>
        <w:spacing w:after="0"/>
        <w:ind w:firstLine="720"/>
        <w:jc w:val="both"/>
        <w:rPr>
          <w:rFonts w:eastAsia="Times New Roman" w:cs="Times New Roman"/>
          <w:kern w:val="28"/>
          <w14:ligatures w14:val="none"/>
        </w:rPr>
      </w:pPr>
      <w:r>
        <w:rPr>
          <w:rFonts w:eastAsia="Times New Roman" w:cs="Times New Roman"/>
          <w:kern w:val="28"/>
          <w14:ligatures w14:val="none"/>
        </w:rPr>
        <w:t>B</w:t>
      </w:r>
      <w:r w:rsidR="00C5482D" w:rsidRPr="00C5482D">
        <w:rPr>
          <w:rFonts w:eastAsia="Times New Roman" w:cs="Times New Roman"/>
          <w:kern w:val="28"/>
          <w14:ligatures w14:val="none"/>
        </w:rPr>
        <w:t xml:space="preserve">efore operations commenced, Hyperion and Restovia agreed to postpone all work until issues concerning the project’s legality were resolved. Following the initiation of proceedings, Sollania sought leave to intervene </w:t>
      </w:r>
      <w:r w:rsidR="00C5482D">
        <w:rPr>
          <w:rFonts w:eastAsia="Times New Roman" w:cs="Times New Roman"/>
          <w:kern w:val="28"/>
          <w14:ligatures w14:val="none"/>
        </w:rPr>
        <w:t xml:space="preserve">under Article 62 </w:t>
      </w:r>
      <w:r w:rsidR="00C5482D" w:rsidRPr="00C5482D">
        <w:rPr>
          <w:rFonts w:eastAsia="Times New Roman" w:cs="Times New Roman"/>
          <w:kern w:val="28"/>
          <w14:ligatures w14:val="none"/>
        </w:rPr>
        <w:t xml:space="preserve">of the Statute of the Court, to which Restovia objected. </w:t>
      </w:r>
    </w:p>
    <w:p w14:paraId="0FF83338" w14:textId="77777777" w:rsidR="004E11B3" w:rsidRDefault="004E11B3" w:rsidP="004E11B3">
      <w:pPr>
        <w:spacing w:after="0"/>
        <w:jc w:val="both"/>
        <w:rPr>
          <w:b/>
          <w:bCs/>
          <w:smallCaps/>
        </w:rPr>
      </w:pPr>
    </w:p>
    <w:p w14:paraId="59D11A55" w14:textId="752F4B20" w:rsidR="004E11B3" w:rsidRDefault="004E11B3" w:rsidP="004E11B3">
      <w:pPr>
        <w:spacing w:after="0"/>
        <w:jc w:val="both"/>
        <w:rPr>
          <w:b/>
          <w:bCs/>
          <w:smallCaps/>
        </w:rPr>
      </w:pPr>
      <w:r>
        <w:rPr>
          <w:b/>
          <w:bCs/>
          <w:smallCaps/>
        </w:rPr>
        <w:t>The</w:t>
      </w:r>
      <w:r w:rsidR="00FD043B">
        <w:rPr>
          <w:b/>
          <w:bCs/>
          <w:smallCaps/>
        </w:rPr>
        <w:t xml:space="preserve"> Wrongful Death Lawsuit </w:t>
      </w:r>
    </w:p>
    <w:p w14:paraId="7438305A" w14:textId="7F825DCB" w:rsidR="00FD043B" w:rsidRDefault="00FD043B" w:rsidP="00FD043B">
      <w:pPr>
        <w:spacing w:after="0"/>
        <w:ind w:firstLine="720"/>
        <w:jc w:val="both"/>
        <w:rPr>
          <w:b/>
          <w:bCs/>
          <w:smallCaps/>
        </w:rPr>
      </w:pPr>
      <w:r w:rsidRPr="00C5482D">
        <w:rPr>
          <w:rFonts w:eastAsia="Times New Roman" w:cs="Times New Roman"/>
          <w:kern w:val="28"/>
          <w14:ligatures w14:val="none"/>
        </w:rPr>
        <w:t xml:space="preserve">On </w:t>
      </w:r>
      <w:r>
        <w:rPr>
          <w:rFonts w:eastAsia="Times New Roman" w:cs="Times New Roman"/>
          <w:kern w:val="28"/>
          <w14:ligatures w14:val="none"/>
        </w:rPr>
        <w:t>5 September 2024, Domingo Montoya</w:t>
      </w:r>
      <w:r w:rsidR="006E46B6">
        <w:rPr>
          <w:rFonts w:eastAsia="Times New Roman" w:cs="Times New Roman"/>
          <w:kern w:val="28"/>
          <w14:ligatures w14:val="none"/>
        </w:rPr>
        <w:t>’s estate</w:t>
      </w:r>
      <w:r>
        <w:rPr>
          <w:rFonts w:eastAsia="Times New Roman" w:cs="Times New Roman"/>
          <w:kern w:val="28"/>
          <w14:ligatures w14:val="none"/>
        </w:rPr>
        <w:t xml:space="preserve"> filed a wrongful death lawsuit against NEXCA in Restovian </w:t>
      </w:r>
      <w:r w:rsidR="00B44281">
        <w:rPr>
          <w:rFonts w:eastAsia="Times New Roman" w:cs="Times New Roman"/>
          <w:kern w:val="28"/>
          <w14:ligatures w14:val="none"/>
        </w:rPr>
        <w:t xml:space="preserve">district </w:t>
      </w:r>
      <w:r>
        <w:rPr>
          <w:rFonts w:eastAsia="Times New Roman" w:cs="Times New Roman"/>
          <w:kern w:val="28"/>
          <w14:ligatures w14:val="none"/>
        </w:rPr>
        <w:t xml:space="preserve">court </w:t>
      </w:r>
      <w:r w:rsidR="001D57B2">
        <w:rPr>
          <w:rFonts w:eastAsia="Times New Roman" w:cs="Times New Roman"/>
          <w:kern w:val="28"/>
          <w14:ligatures w14:val="none"/>
        </w:rPr>
        <w:t>in connection with the SARV accident. NEXCA moved to dismiss the action, invoking Section 1668 of the Restovian code of civil procedure</w:t>
      </w:r>
      <w:r w:rsidR="00025853">
        <w:rPr>
          <w:rFonts w:eastAsia="Times New Roman" w:cs="Times New Roman"/>
          <w:kern w:val="28"/>
          <w14:ligatures w14:val="none"/>
        </w:rPr>
        <w:t xml:space="preserve">, under which </w:t>
      </w:r>
      <w:r w:rsidR="00567E71">
        <w:rPr>
          <w:rFonts w:eastAsia="Times New Roman" w:cs="Times New Roman"/>
          <w:kern w:val="28"/>
          <w14:ligatures w14:val="none"/>
        </w:rPr>
        <w:t xml:space="preserve">the enforceability of judicial decisions is limited to exceptions recognized </w:t>
      </w:r>
      <w:r w:rsidR="003E15F2">
        <w:rPr>
          <w:rFonts w:eastAsia="Times New Roman" w:cs="Times New Roman"/>
          <w:kern w:val="28"/>
          <w14:ligatures w14:val="none"/>
        </w:rPr>
        <w:t xml:space="preserve">in international law. </w:t>
      </w:r>
      <w:r w:rsidR="00E80CC1">
        <w:rPr>
          <w:rFonts w:eastAsia="Times New Roman" w:cs="Times New Roman"/>
          <w:kern w:val="28"/>
          <w14:ligatures w14:val="none"/>
        </w:rPr>
        <w:t>The</w:t>
      </w:r>
      <w:r w:rsidR="00A77055">
        <w:rPr>
          <w:rFonts w:eastAsia="Times New Roman" w:cs="Times New Roman"/>
          <w:kern w:val="28"/>
          <w14:ligatures w14:val="none"/>
        </w:rPr>
        <w:t xml:space="preserve"> motion was denied by the district court on 29 November 2024. </w:t>
      </w:r>
    </w:p>
    <w:p w14:paraId="12143F5A" w14:textId="77777777" w:rsidR="003E45B8" w:rsidRPr="003E45B8" w:rsidRDefault="003E45B8" w:rsidP="003E45B8">
      <w:pPr>
        <w:spacing w:after="0" w:line="240" w:lineRule="auto"/>
        <w:rPr>
          <w:rFonts w:eastAsia="Times New Roman" w:cs="Times New Roman"/>
          <w:b/>
          <w:bCs/>
          <w:caps/>
          <w:kern w:val="28"/>
          <w:u w:val="single"/>
          <w14:ligatures w14:val="none"/>
        </w:rPr>
      </w:pPr>
    </w:p>
    <w:p w14:paraId="4CCECAF6" w14:textId="77777777" w:rsidR="003E45B8" w:rsidRPr="003E45B8" w:rsidRDefault="003E45B8" w:rsidP="003E45B8">
      <w:pPr>
        <w:spacing w:after="0" w:line="240" w:lineRule="auto"/>
        <w:jc w:val="center"/>
        <w:rPr>
          <w:rFonts w:eastAsia="Times New Roman" w:cs="Times New Roman"/>
          <w:b/>
          <w:caps/>
          <w:kern w:val="28"/>
          <w14:ligatures w14:val="none"/>
        </w:rPr>
      </w:pPr>
    </w:p>
    <w:p w14:paraId="344D1589" w14:textId="1BC79430" w:rsidR="00910D3A" w:rsidRDefault="00910D3A">
      <w:pPr>
        <w:spacing w:line="278" w:lineRule="auto"/>
        <w:rPr>
          <w:rFonts w:eastAsia="Times New Roman" w:cs="Times New Roman"/>
          <w:bCs/>
          <w:iCs/>
          <w:smallCaps/>
          <w:kern w:val="32"/>
          <w14:ligatures w14:val="none"/>
        </w:rPr>
      </w:pPr>
      <w:r>
        <w:rPr>
          <w:rFonts w:eastAsia="Times New Roman" w:cs="Times New Roman"/>
          <w:bCs/>
          <w:iCs/>
          <w:smallCaps/>
          <w:kern w:val="32"/>
          <w14:ligatures w14:val="none"/>
        </w:rPr>
        <w:br w:type="page"/>
      </w:r>
    </w:p>
    <w:p w14:paraId="528CB74C" w14:textId="743F742B" w:rsidR="003E45B8" w:rsidRPr="00945696" w:rsidRDefault="00945696" w:rsidP="004110AE">
      <w:pPr>
        <w:pStyle w:val="Title"/>
      </w:pPr>
      <w:bookmarkStart w:id="4" w:name="_Toc219103215"/>
      <w:r w:rsidRPr="00945696">
        <w:lastRenderedPageBreak/>
        <w:t>SUMMARY OF PLEADINGS</w:t>
      </w:r>
      <w:bookmarkEnd w:id="4"/>
    </w:p>
    <w:p w14:paraId="035689FE" w14:textId="672AE461" w:rsidR="005F4293" w:rsidRPr="005F4293" w:rsidRDefault="00910D3A" w:rsidP="009C75CB">
      <w:pPr>
        <w:spacing w:after="0"/>
        <w:jc w:val="center"/>
        <w:rPr>
          <w:b/>
          <w:bCs/>
        </w:rPr>
      </w:pPr>
      <w:r>
        <w:rPr>
          <w:b/>
          <w:bCs/>
        </w:rPr>
        <w:t>I</w:t>
      </w:r>
    </w:p>
    <w:p w14:paraId="27C708C8" w14:textId="77777777" w:rsidR="004A36E4" w:rsidRDefault="008A7638" w:rsidP="009C75CB">
      <w:pPr>
        <w:spacing w:after="0"/>
        <w:ind w:firstLine="720"/>
        <w:jc w:val="both"/>
      </w:pPr>
      <w:r w:rsidRPr="008A7638">
        <w:t>Sollania should not be permitted to intervene under Article 62 of this Court’s Statute</w:t>
      </w:r>
      <w:r w:rsidR="002358C0">
        <w:t xml:space="preserve"> because it </w:t>
      </w:r>
      <w:r w:rsidRPr="008A7638">
        <w:t>does not have a specific legal interest</w:t>
      </w:r>
      <w:r w:rsidR="00FD0C1D">
        <w:t xml:space="preserve"> in the current proceeding</w:t>
      </w:r>
      <w:r w:rsidRPr="008A7638">
        <w:t xml:space="preserve">. Its asserted interest in how this Court may address </w:t>
      </w:r>
      <w:r w:rsidR="003B1D0F">
        <w:t xml:space="preserve">a custom on </w:t>
      </w:r>
      <w:r w:rsidR="00A8646C">
        <w:t>consultation or</w:t>
      </w:r>
      <w:r w:rsidRPr="008A7638">
        <w:t xml:space="preserve"> </w:t>
      </w:r>
      <w:r w:rsidR="003B1D0F">
        <w:t xml:space="preserve">free, prior, and informed consent </w:t>
      </w:r>
      <w:r w:rsidR="00A8646C">
        <w:t>(“</w:t>
      </w:r>
      <w:r w:rsidRPr="008A7638">
        <w:t>FPIC</w:t>
      </w:r>
      <w:r w:rsidR="00A8646C">
        <w:t>”)</w:t>
      </w:r>
      <w:r w:rsidRPr="008A7638">
        <w:t xml:space="preserve"> reflects only a general interest in the development of customary international law. </w:t>
      </w:r>
    </w:p>
    <w:p w14:paraId="780253B7" w14:textId="76669A5B" w:rsidR="008A7638" w:rsidRDefault="008A7638" w:rsidP="009C75CB">
      <w:pPr>
        <w:spacing w:after="0"/>
        <w:ind w:firstLine="720"/>
        <w:jc w:val="both"/>
      </w:pPr>
      <w:r w:rsidRPr="008A7638">
        <w:t>Sollania lacks a legal interest under treaty law as intervention cannot be grounded in a treaty to which it is not a party, nor in a treaty outside the subject</w:t>
      </w:r>
      <w:r w:rsidR="004222A3">
        <w:t xml:space="preserve"> </w:t>
      </w:r>
      <w:r w:rsidRPr="008A7638">
        <w:t>matter of the dispute</w:t>
      </w:r>
      <w:r w:rsidR="001E101D" w:rsidRPr="001E101D">
        <w:t xml:space="preserve">. </w:t>
      </w:r>
      <w:r w:rsidR="00E0587C">
        <w:t>Furthermore,</w:t>
      </w:r>
      <w:r w:rsidRPr="008A7638">
        <w:t xml:space="preserve"> common articles in ARPA and SRPA </w:t>
      </w:r>
      <w:r w:rsidR="005F615C" w:rsidRPr="005F615C">
        <w:t>do</w:t>
      </w:r>
      <w:r w:rsidRPr="008A7638">
        <w:t xml:space="preserve"> not </w:t>
      </w:r>
      <w:r w:rsidR="005F615C" w:rsidRPr="005F615C">
        <w:t>establish</w:t>
      </w:r>
      <w:r w:rsidRPr="008A7638">
        <w:t xml:space="preserve"> a legal interest, </w:t>
      </w:r>
      <w:r w:rsidR="005F615C" w:rsidRPr="005F615C">
        <w:t>as</w:t>
      </w:r>
      <w:r w:rsidRPr="008A7638">
        <w:t xml:space="preserve"> Article 59 </w:t>
      </w:r>
      <w:r w:rsidR="00A32A9C">
        <w:t xml:space="preserve">of this Court’s Statute </w:t>
      </w:r>
      <w:r w:rsidR="005F615C" w:rsidRPr="005F615C">
        <w:t>precludes</w:t>
      </w:r>
      <w:r w:rsidRPr="008A7638">
        <w:t xml:space="preserve"> the interpretation of one treaty </w:t>
      </w:r>
      <w:r w:rsidR="005F615C" w:rsidRPr="005F615C">
        <w:t>from determining</w:t>
      </w:r>
      <w:r w:rsidRPr="008A7638">
        <w:t xml:space="preserve"> another</w:t>
      </w:r>
      <w:r w:rsidR="005F615C" w:rsidRPr="005F615C">
        <w:t>, a conclusion</w:t>
      </w:r>
      <w:r w:rsidRPr="008A7638">
        <w:t xml:space="preserve"> reinforced by the </w:t>
      </w:r>
      <w:r w:rsidR="005F615C">
        <w:t>treaties’</w:t>
      </w:r>
      <w:r w:rsidR="005F615C" w:rsidRPr="005F615C">
        <w:t xml:space="preserve"> </w:t>
      </w:r>
      <w:r w:rsidRPr="008A7638">
        <w:t>distinct negotiating histories</w:t>
      </w:r>
      <w:r w:rsidR="000662BF">
        <w:t>.</w:t>
      </w:r>
    </w:p>
    <w:p w14:paraId="29F8962A" w14:textId="7BC48202" w:rsidR="005F4293" w:rsidRDefault="008E7299" w:rsidP="009C75CB">
      <w:pPr>
        <w:spacing w:after="0"/>
        <w:ind w:firstLine="720"/>
        <w:jc w:val="both"/>
      </w:pPr>
      <w:r>
        <w:t>Additionally</w:t>
      </w:r>
      <w:r w:rsidR="005F4293">
        <w:t xml:space="preserve">, the object of Sollania’s intervention is improper as it seeks a judicial pronouncement on its own claims, rather than to protect a specific legal interest in the </w:t>
      </w:r>
      <w:r w:rsidR="000662BF">
        <w:t>current</w:t>
      </w:r>
      <w:r w:rsidR="005F4293">
        <w:t xml:space="preserve"> </w:t>
      </w:r>
      <w:r w:rsidR="000662BF">
        <w:t>proceeding</w:t>
      </w:r>
      <w:r w:rsidR="005F4293">
        <w:t>.</w:t>
      </w:r>
    </w:p>
    <w:p w14:paraId="2674D320" w14:textId="77777777" w:rsidR="009C75CB" w:rsidRDefault="009C75CB" w:rsidP="009C75CB">
      <w:pPr>
        <w:spacing w:after="0"/>
        <w:ind w:firstLine="720"/>
      </w:pPr>
    </w:p>
    <w:p w14:paraId="40A58846" w14:textId="77777777" w:rsidR="005F4293" w:rsidRPr="005F4293" w:rsidRDefault="005F4293" w:rsidP="009C75CB">
      <w:pPr>
        <w:spacing w:after="0"/>
        <w:jc w:val="center"/>
        <w:rPr>
          <w:b/>
          <w:bCs/>
        </w:rPr>
      </w:pPr>
      <w:r w:rsidRPr="005F4293">
        <w:rPr>
          <w:b/>
          <w:bCs/>
        </w:rPr>
        <w:t>II</w:t>
      </w:r>
    </w:p>
    <w:p w14:paraId="0FA2B179" w14:textId="58D83065" w:rsidR="002358C0" w:rsidRDefault="002358C0" w:rsidP="009C75CB">
      <w:pPr>
        <w:spacing w:after="0"/>
        <w:ind w:firstLine="720"/>
        <w:jc w:val="both"/>
      </w:pPr>
      <w:r w:rsidRPr="002358C0">
        <w:t>Restovia did not breach any treaty or customary international law obligation</w:t>
      </w:r>
      <w:r w:rsidR="00602708">
        <w:t xml:space="preserve"> </w:t>
      </w:r>
      <w:r w:rsidR="00A3005E">
        <w:t>in conducting its proposed development of the Gordian Gorge</w:t>
      </w:r>
      <w:r w:rsidRPr="002358C0">
        <w:t xml:space="preserve">. </w:t>
      </w:r>
      <w:r w:rsidR="00736F4B">
        <w:t xml:space="preserve">The </w:t>
      </w:r>
      <w:r w:rsidRPr="002358C0">
        <w:t>ARPA establishes a duty of consultation, not a requirement to obtain consent. Its text, context, and purpose confirm that inclusion in decision-making is procedural and does not confer a veto over Restovia’s exercise of territorial jurisdiction. Even if Article 18 incorporates FPIC, it operates on a sliding-scale model rather than a categorical consent requirement.</w:t>
      </w:r>
    </w:p>
    <w:p w14:paraId="5779FBA5" w14:textId="0C5FEEBD" w:rsidR="005F4293" w:rsidRDefault="005F4293" w:rsidP="009C75CB">
      <w:pPr>
        <w:spacing w:after="0"/>
        <w:ind w:firstLine="720"/>
        <w:jc w:val="both"/>
      </w:pPr>
      <w:r>
        <w:t>No customary international law obligation requiring FPIC has crystallized. State practice is inconsistent</w:t>
      </w:r>
      <w:r w:rsidR="007A530B">
        <w:t>,</w:t>
      </w:r>
      <w:r>
        <w:t xml:space="preserve"> and </w:t>
      </w:r>
      <w:r w:rsidRPr="005F4293">
        <w:rPr>
          <w:i/>
          <w:iCs/>
        </w:rPr>
        <w:t>opinio juris</w:t>
      </w:r>
      <w:r>
        <w:t xml:space="preserve"> is lacking. At most, </w:t>
      </w:r>
      <w:r w:rsidR="001E101D">
        <w:t>customary law</w:t>
      </w:r>
      <w:r w:rsidR="00E5616E">
        <w:rPr>
          <w:i/>
          <w:iCs/>
        </w:rPr>
        <w:t xml:space="preserve"> </w:t>
      </w:r>
      <w:r w:rsidR="00E5616E">
        <w:t>support</w:t>
      </w:r>
      <w:r w:rsidR="001E101D">
        <w:t>s</w:t>
      </w:r>
      <w:r w:rsidR="00E5616E">
        <w:t xml:space="preserve"> a duty of </w:t>
      </w:r>
      <w:r>
        <w:t>consultation aimed at seeking consent, not an obligation to obtain consent in all circumstances. Any FPIC custom, if recognized, would therefore apply on a sliding scale</w:t>
      </w:r>
      <w:r w:rsidR="002358C0">
        <w:t>.</w:t>
      </w:r>
    </w:p>
    <w:p w14:paraId="31E10E1C" w14:textId="2FFA5CA2" w:rsidR="00910D3A" w:rsidRPr="0070770B" w:rsidRDefault="005F4293" w:rsidP="009C75CB">
      <w:pPr>
        <w:spacing w:after="0"/>
        <w:ind w:firstLine="720"/>
        <w:jc w:val="both"/>
      </w:pPr>
      <w:r>
        <w:t xml:space="preserve">In any event, Restovia satisfied any applicable obligation to consult. </w:t>
      </w:r>
      <w:r w:rsidR="002358C0" w:rsidRPr="002358C0">
        <w:t>It conducted a structured, good-faith consultation process involving early notice, engagement through Pilemon Elders, access to information, meaningful dialogue, and incorporation of Elder-recommended safeguards. Accordingly, Restovia fully complied with its obligations, and no breach of treaty or custom occurred.</w:t>
      </w:r>
    </w:p>
    <w:p w14:paraId="3A8984D7" w14:textId="1F0EBDCE" w:rsidR="00910D3A" w:rsidRDefault="00910D3A" w:rsidP="009C75CB">
      <w:pPr>
        <w:spacing w:after="0"/>
        <w:jc w:val="center"/>
        <w:rPr>
          <w:b/>
          <w:bCs/>
        </w:rPr>
      </w:pPr>
      <w:r>
        <w:rPr>
          <w:b/>
          <w:bCs/>
        </w:rPr>
        <w:lastRenderedPageBreak/>
        <w:t>III</w:t>
      </w:r>
    </w:p>
    <w:p w14:paraId="5615EE55" w14:textId="764C2077" w:rsidR="00B76CAD" w:rsidRDefault="00BA5BB2" w:rsidP="009C75CB">
      <w:pPr>
        <w:spacing w:after="0"/>
        <w:ind w:firstLine="720"/>
        <w:jc w:val="both"/>
      </w:pPr>
      <w:r>
        <w:t xml:space="preserve">Alekostria breached the </w:t>
      </w:r>
      <w:r w:rsidR="00BC6AAC">
        <w:t xml:space="preserve">Extradition Treaty by refusing to extradite Ms. Scott. </w:t>
      </w:r>
      <w:r w:rsidR="00CE2FED">
        <w:t>The Extradition Treaty</w:t>
      </w:r>
      <w:r w:rsidR="00192F21">
        <w:t xml:space="preserve"> between the two States</w:t>
      </w:r>
      <w:r w:rsidR="00CE2FED">
        <w:t xml:space="preserve"> obligates Alekostria to </w:t>
      </w:r>
      <w:r w:rsidR="00D54C6E">
        <w:t>surrender</w:t>
      </w:r>
      <w:r w:rsidR="00AA2586">
        <w:t xml:space="preserve"> any person </w:t>
      </w:r>
      <w:r w:rsidR="0064309B">
        <w:t xml:space="preserve">sought </w:t>
      </w:r>
      <w:r w:rsidR="00B316F2">
        <w:t xml:space="preserve">for prosecution </w:t>
      </w:r>
      <w:r w:rsidR="008730DA">
        <w:t>in Restovia</w:t>
      </w:r>
      <w:r w:rsidR="00411784">
        <w:t xml:space="preserve"> </w:t>
      </w:r>
      <w:r w:rsidR="00AA226C">
        <w:t>when they have</w:t>
      </w:r>
      <w:r w:rsidR="00120AF4">
        <w:t xml:space="preserve"> </w:t>
      </w:r>
      <w:r w:rsidR="00570FAB">
        <w:t>committed an offence punishable under the laws of both States</w:t>
      </w:r>
      <w:r w:rsidR="006334E3">
        <w:t xml:space="preserve"> and if the proposed judicial process </w:t>
      </w:r>
      <w:r w:rsidR="00461D15">
        <w:t>carried out by the requesting State is consistent with</w:t>
      </w:r>
      <w:r w:rsidR="00AA226C">
        <w:t xml:space="preserve"> </w:t>
      </w:r>
      <w:r w:rsidR="00461D15">
        <w:t>general principles of law.</w:t>
      </w:r>
      <w:r w:rsidR="00CE2FED">
        <w:t xml:space="preserve"> </w:t>
      </w:r>
      <w:r w:rsidR="008469A0">
        <w:t xml:space="preserve">Ms. Scott is charged with an offence punishable by the laws of both Alekostria and Restovia. </w:t>
      </w:r>
    </w:p>
    <w:p w14:paraId="01464E36" w14:textId="4E086D02" w:rsidR="00183404" w:rsidRDefault="008469A0" w:rsidP="009C75CB">
      <w:pPr>
        <w:spacing w:after="0"/>
        <w:ind w:firstLine="720"/>
        <w:jc w:val="both"/>
      </w:pPr>
      <w:r>
        <w:t>Furthermore, Ms. Scott</w:t>
      </w:r>
      <w:r w:rsidR="0012742A">
        <w:t xml:space="preserve">’s prosecution </w:t>
      </w:r>
      <w:r>
        <w:t>in Restovia would be consistent with the general principles of law.</w:t>
      </w:r>
      <w:r w:rsidR="00461D15">
        <w:t xml:space="preserve"> Judge </w:t>
      </w:r>
      <w:r w:rsidR="00145584">
        <w:t>Zhang of Alekostria erred in concluding that</w:t>
      </w:r>
      <w:r>
        <w:t xml:space="preserve"> </w:t>
      </w:r>
      <w:r w:rsidR="00145584">
        <w:rPr>
          <w:i/>
          <w:iCs/>
        </w:rPr>
        <w:t>n</w:t>
      </w:r>
      <w:r>
        <w:rPr>
          <w:i/>
          <w:iCs/>
        </w:rPr>
        <w:t xml:space="preserve">e bis in idem </w:t>
      </w:r>
      <w:r>
        <w:t>is a</w:t>
      </w:r>
      <w:r w:rsidR="00504BEB">
        <w:t xml:space="preserve"> </w:t>
      </w:r>
      <w:r>
        <w:t>general principle of law</w:t>
      </w:r>
      <w:r w:rsidR="006F7A1B">
        <w:t xml:space="preserve"> </w:t>
      </w:r>
      <w:r w:rsidR="00684D07">
        <w:t>as the basis for</w:t>
      </w:r>
      <w:r w:rsidR="006F7A1B">
        <w:t xml:space="preserve"> refusing to extradite Ms. Scott</w:t>
      </w:r>
      <w:r w:rsidR="00504BEB">
        <w:t xml:space="preserve">. </w:t>
      </w:r>
      <w:r w:rsidR="00357398">
        <w:rPr>
          <w:i/>
          <w:iCs/>
        </w:rPr>
        <w:t xml:space="preserve">Ne bis in idem </w:t>
      </w:r>
      <w:r w:rsidR="00357398">
        <w:t>is</w:t>
      </w:r>
      <w:r w:rsidR="00504BEB">
        <w:t xml:space="preserve"> not </w:t>
      </w:r>
      <w:r w:rsidR="006F7A1B">
        <w:t>a general principle of law as</w:t>
      </w:r>
      <w:r w:rsidR="00331E64">
        <w:t xml:space="preserve"> it is inconsistently </w:t>
      </w:r>
      <w:r w:rsidR="006825A8">
        <w:t>recogniz</w:t>
      </w:r>
      <w:r w:rsidR="00331E64">
        <w:t>ed by States, nor</w:t>
      </w:r>
      <w:r w:rsidR="00504BEB">
        <w:t xml:space="preserve"> is </w:t>
      </w:r>
      <w:r w:rsidR="00331E64">
        <w:t xml:space="preserve">it </w:t>
      </w:r>
      <w:r w:rsidR="00504BEB">
        <w:t>transposable to the international legal system.</w:t>
      </w:r>
      <w:r w:rsidR="009C75CB">
        <w:t xml:space="preserve"> </w:t>
      </w:r>
    </w:p>
    <w:p w14:paraId="79DF8970" w14:textId="076B06D7" w:rsidR="00504BEB" w:rsidRDefault="00504BEB" w:rsidP="009C75CB">
      <w:pPr>
        <w:spacing w:after="0"/>
        <w:ind w:firstLine="720"/>
        <w:jc w:val="both"/>
      </w:pPr>
      <w:r>
        <w:t xml:space="preserve">Even if </w:t>
      </w:r>
      <w:r>
        <w:rPr>
          <w:i/>
          <w:iCs/>
        </w:rPr>
        <w:t>ne bis in idem</w:t>
      </w:r>
      <w:r>
        <w:t xml:space="preserve"> were recognized as a general principle of law, the principle is not absolute in nature</w:t>
      </w:r>
      <w:r w:rsidR="002C2CCD">
        <w:t>,</w:t>
      </w:r>
      <w:r>
        <w:t xml:space="preserve"> nor would it be violated by Restovia</w:t>
      </w:r>
      <w:r w:rsidR="002C2CCD">
        <w:t xml:space="preserve">’s </w:t>
      </w:r>
      <w:r>
        <w:t>prosecution</w:t>
      </w:r>
      <w:r w:rsidR="004F7355">
        <w:t xml:space="preserve">. </w:t>
      </w:r>
    </w:p>
    <w:p w14:paraId="1B5A0933" w14:textId="77777777" w:rsidR="009C75CB" w:rsidRPr="00504BEB" w:rsidRDefault="009C75CB" w:rsidP="009C75CB">
      <w:pPr>
        <w:spacing w:after="0"/>
        <w:ind w:firstLine="720"/>
        <w:jc w:val="both"/>
      </w:pPr>
    </w:p>
    <w:p w14:paraId="4E13BFDA" w14:textId="01B4B18E" w:rsidR="00A94D25" w:rsidRPr="00A94D25" w:rsidRDefault="00910D3A" w:rsidP="009C75CB">
      <w:pPr>
        <w:spacing w:after="0"/>
        <w:jc w:val="center"/>
        <w:rPr>
          <w:b/>
          <w:bCs/>
        </w:rPr>
      </w:pPr>
      <w:r>
        <w:rPr>
          <w:b/>
          <w:bCs/>
        </w:rPr>
        <w:t>IV</w:t>
      </w:r>
    </w:p>
    <w:p w14:paraId="4E6BE2B2" w14:textId="1F550296" w:rsidR="00E7765C" w:rsidRDefault="00A94D25" w:rsidP="009C75CB">
      <w:pPr>
        <w:spacing w:after="0"/>
        <w:jc w:val="both"/>
      </w:pPr>
      <w:r>
        <w:tab/>
        <w:t xml:space="preserve">Restovia lawfully refused to grant NEXCA </w:t>
      </w:r>
      <w:r w:rsidR="00EF6034">
        <w:t>S</w:t>
      </w:r>
      <w:r>
        <w:t>tate immunity</w:t>
      </w:r>
      <w:r w:rsidR="0045268E">
        <w:t xml:space="preserve"> in the wrongful death suit filed by the estate of Mr. Montoya</w:t>
      </w:r>
      <w:r>
        <w:t xml:space="preserve">. </w:t>
      </w:r>
      <w:r w:rsidR="00CA42F7">
        <w:t>Jurisdictional immunity is a prerogative of the State</w:t>
      </w:r>
      <w:r w:rsidR="008E6E2C">
        <w:t>, and Alekostria has not demonstrated that it is responsible for the acts of NEXCA</w:t>
      </w:r>
      <w:r w:rsidR="004F7355">
        <w:t xml:space="preserve">. </w:t>
      </w:r>
      <w:r w:rsidR="00E7765C">
        <w:t xml:space="preserve">The mere fact that </w:t>
      </w:r>
      <w:proofErr w:type="spellStart"/>
      <w:r w:rsidR="009655DE">
        <w:t>Alexostria</w:t>
      </w:r>
      <w:proofErr w:type="spellEnd"/>
      <w:r w:rsidR="00E7765C">
        <w:t xml:space="preserve"> own</w:t>
      </w:r>
      <w:r w:rsidR="009655DE">
        <w:t xml:space="preserve">s NEXCA </w:t>
      </w:r>
      <w:r w:rsidR="00E7765C">
        <w:t xml:space="preserve">does not </w:t>
      </w:r>
      <w:r w:rsidR="009655DE">
        <w:t>make NEXCA</w:t>
      </w:r>
      <w:r w:rsidR="00E7765C">
        <w:t xml:space="preserve"> a </w:t>
      </w:r>
      <w:proofErr w:type="gramStart"/>
      <w:r w:rsidR="00EF6034">
        <w:t>S</w:t>
      </w:r>
      <w:r w:rsidR="00E7765C">
        <w:t>tate</w:t>
      </w:r>
      <w:proofErr w:type="gramEnd"/>
      <w:r w:rsidR="00E7765C">
        <w:t xml:space="preserve"> organ or </w:t>
      </w:r>
      <w:r w:rsidR="00954CA4">
        <w:t xml:space="preserve">imply </w:t>
      </w:r>
      <w:r w:rsidR="00E7765C">
        <w:t xml:space="preserve">that NEXCA exercised governmental authority. </w:t>
      </w:r>
      <w:r w:rsidR="00DC2C0F">
        <w:t>Additionally,</w:t>
      </w:r>
      <w:r w:rsidR="00E7765C">
        <w:t xml:space="preserve"> NEXCA </w:t>
      </w:r>
      <w:r w:rsidR="00006CD7">
        <w:t xml:space="preserve">did not </w:t>
      </w:r>
      <w:r w:rsidR="00E7765C">
        <w:t xml:space="preserve">act under the direction or control of Alekostria. </w:t>
      </w:r>
      <w:r w:rsidR="005A71AF">
        <w:t xml:space="preserve"> </w:t>
      </w:r>
    </w:p>
    <w:p w14:paraId="1D7C3155" w14:textId="34726EA3" w:rsidR="009C75CB" w:rsidRDefault="00E7765C" w:rsidP="009C75CB">
      <w:pPr>
        <w:spacing w:after="0"/>
        <w:jc w:val="both"/>
      </w:pPr>
      <w:r>
        <w:tab/>
        <w:t xml:space="preserve">Alternatively, if NEXCA’s acts are attributable to Alekostria, Restovia did not breach international law by denying NEXCA </w:t>
      </w:r>
      <w:r w:rsidR="00EF6034">
        <w:t>S</w:t>
      </w:r>
      <w:r>
        <w:t xml:space="preserve">tate immunity. Three exceptions to immunity are applicable. First, as a </w:t>
      </w:r>
      <w:r w:rsidR="002D3D6F">
        <w:t>S</w:t>
      </w:r>
      <w:r>
        <w:t xml:space="preserve">tate instrumentality, NEXCA has </w:t>
      </w:r>
      <w:r w:rsidR="00E002E7">
        <w:t xml:space="preserve">a </w:t>
      </w:r>
      <w:r>
        <w:t xml:space="preserve">separate personality </w:t>
      </w:r>
      <w:r w:rsidR="00D0763D">
        <w:t>from</w:t>
      </w:r>
      <w:r>
        <w:t xml:space="preserve"> Alekostria. Secondly, NEXCA’s actions were commercial, and only </w:t>
      </w:r>
      <w:r w:rsidR="00EF7AEA">
        <w:t xml:space="preserve">non-commercial </w:t>
      </w:r>
      <w:r>
        <w:t xml:space="preserve">sovereign acts </w:t>
      </w:r>
      <w:r w:rsidR="001336D3">
        <w:t>can be</w:t>
      </w:r>
      <w:r>
        <w:t xml:space="preserve"> immune in domestic proceedings. Finally, Restovia is entitled to recognize the territorial tort exception to immunity</w:t>
      </w:r>
      <w:r w:rsidR="00062D61">
        <w:t>,</w:t>
      </w:r>
      <w:r>
        <w:t xml:space="preserve"> which is widely </w:t>
      </w:r>
      <w:r w:rsidR="0096330F">
        <w:t>accepted in international law</w:t>
      </w:r>
      <w:r>
        <w:t xml:space="preserve">. </w:t>
      </w:r>
      <w:r w:rsidR="00EF7AEA">
        <w:t xml:space="preserve">NEXCA’s </w:t>
      </w:r>
      <w:r w:rsidR="004064BA">
        <w:t xml:space="preserve">alleged </w:t>
      </w:r>
      <w:r w:rsidR="00EF7AEA">
        <w:t>conduct in t</w:t>
      </w:r>
      <w:r>
        <w:t>he wrongful death lawsuit qualifies as a territorial tort</w:t>
      </w:r>
      <w:r w:rsidR="004064BA">
        <w:t>.</w:t>
      </w:r>
      <w:r w:rsidR="00B301C5">
        <w:t xml:space="preserve"> </w:t>
      </w:r>
      <w:r w:rsidR="004064BA">
        <w:t>H</w:t>
      </w:r>
      <w:r w:rsidR="00B301C5">
        <w:t>ence</w:t>
      </w:r>
      <w:r w:rsidR="004064BA">
        <w:t>,</w:t>
      </w:r>
      <w:r w:rsidR="00B301C5">
        <w:t xml:space="preserve"> NEXCA cannot claim immunity in these proceedings.</w:t>
      </w:r>
    </w:p>
    <w:p w14:paraId="7543556F" w14:textId="7232AF4E" w:rsidR="00E7765C" w:rsidRDefault="00B301C5" w:rsidP="009C75CB">
      <w:pPr>
        <w:spacing w:after="0"/>
        <w:jc w:val="both"/>
        <w:sectPr w:rsidR="00E7765C" w:rsidSect="00620717">
          <w:pgSz w:w="12240" w:h="15840"/>
          <w:pgMar w:top="1440" w:right="1440" w:bottom="1440" w:left="1440" w:header="708" w:footer="708" w:gutter="0"/>
          <w:pgNumType w:fmt="lowerRoman" w:start="1"/>
          <w:cols w:space="708"/>
          <w:docGrid w:linePitch="360"/>
        </w:sectPr>
      </w:pPr>
      <w:r>
        <w:t xml:space="preserve"> </w:t>
      </w:r>
    </w:p>
    <w:p w14:paraId="73D5E109" w14:textId="53E423D3" w:rsidR="00910D3A" w:rsidRPr="004110AE" w:rsidRDefault="00945696" w:rsidP="007F3AE2">
      <w:pPr>
        <w:pStyle w:val="Title"/>
        <w:spacing w:after="0" w:line="480" w:lineRule="auto"/>
      </w:pPr>
      <w:bookmarkStart w:id="5" w:name="_Toc219103216"/>
      <w:r w:rsidRPr="004110AE">
        <w:lastRenderedPageBreak/>
        <w:t>P</w:t>
      </w:r>
      <w:r>
        <w:t>LEADINGS</w:t>
      </w:r>
      <w:bookmarkEnd w:id="5"/>
    </w:p>
    <w:p w14:paraId="00099619" w14:textId="783A0B09" w:rsidR="00910D3A" w:rsidRPr="00395591" w:rsidRDefault="008D7341" w:rsidP="00EF7AEA">
      <w:pPr>
        <w:pStyle w:val="Heading1"/>
        <w:keepLines w:val="0"/>
        <w:spacing w:after="160" w:line="240" w:lineRule="auto"/>
        <w:rPr>
          <w:rFonts w:ascii="Times New Roman Bold" w:hAnsi="Times New Roman Bold"/>
          <w:caps/>
          <w:smallCaps w:val="0"/>
        </w:rPr>
      </w:pPr>
      <w:bookmarkStart w:id="6" w:name="_Toc219103217"/>
      <w:r w:rsidRPr="00395591">
        <w:rPr>
          <w:rFonts w:ascii="Times New Roman Bold" w:hAnsi="Times New Roman Bold"/>
          <w:caps/>
          <w:smallCaps w:val="0"/>
        </w:rPr>
        <w:t xml:space="preserve">Sollania </w:t>
      </w:r>
      <w:r w:rsidR="00B60E88" w:rsidRPr="00395591">
        <w:rPr>
          <w:rFonts w:ascii="Times New Roman Bold" w:hAnsi="Times New Roman Bold"/>
          <w:caps/>
          <w:smallCaps w:val="0"/>
        </w:rPr>
        <w:t>Should</w:t>
      </w:r>
      <w:r w:rsidRPr="00395591">
        <w:rPr>
          <w:rFonts w:ascii="Times New Roman Bold" w:hAnsi="Times New Roman Bold"/>
          <w:caps/>
          <w:smallCaps w:val="0"/>
        </w:rPr>
        <w:t xml:space="preserve"> </w:t>
      </w:r>
      <w:r w:rsidR="00C34369" w:rsidRPr="00395591">
        <w:rPr>
          <w:rFonts w:ascii="Times New Roman Bold" w:hAnsi="Times New Roman Bold"/>
          <w:caps/>
          <w:smallCaps w:val="0"/>
        </w:rPr>
        <w:t>N</w:t>
      </w:r>
      <w:r w:rsidRPr="00395591">
        <w:rPr>
          <w:rFonts w:ascii="Times New Roman Bold" w:hAnsi="Times New Roman Bold"/>
          <w:caps/>
          <w:smallCaps w:val="0"/>
        </w:rPr>
        <w:t xml:space="preserve">ot </w:t>
      </w:r>
      <w:r w:rsidR="00C34369" w:rsidRPr="00395591">
        <w:rPr>
          <w:rFonts w:ascii="Times New Roman Bold" w:hAnsi="Times New Roman Bold"/>
          <w:caps/>
          <w:smallCaps w:val="0"/>
        </w:rPr>
        <w:t>B</w:t>
      </w:r>
      <w:r w:rsidRPr="00395591">
        <w:rPr>
          <w:rFonts w:ascii="Times New Roman Bold" w:hAnsi="Times New Roman Bold"/>
          <w:caps/>
          <w:smallCaps w:val="0"/>
        </w:rPr>
        <w:t xml:space="preserve">e </w:t>
      </w:r>
      <w:r w:rsidR="00C34369" w:rsidRPr="00395591">
        <w:rPr>
          <w:rFonts w:ascii="Times New Roman Bold" w:hAnsi="Times New Roman Bold"/>
          <w:caps/>
          <w:smallCaps w:val="0"/>
        </w:rPr>
        <w:t>P</w:t>
      </w:r>
      <w:r w:rsidRPr="00395591">
        <w:rPr>
          <w:rFonts w:ascii="Times New Roman Bold" w:hAnsi="Times New Roman Bold"/>
          <w:caps/>
          <w:smallCaps w:val="0"/>
        </w:rPr>
        <w:t xml:space="preserve">ermitted </w:t>
      </w:r>
      <w:r w:rsidR="00C34369" w:rsidRPr="00395591">
        <w:rPr>
          <w:rFonts w:ascii="Times New Roman Bold" w:hAnsi="Times New Roman Bold"/>
          <w:caps/>
          <w:smallCaps w:val="0"/>
        </w:rPr>
        <w:t>to I</w:t>
      </w:r>
      <w:r w:rsidRPr="00395591">
        <w:rPr>
          <w:rFonts w:ascii="Times New Roman Bold" w:hAnsi="Times New Roman Bold"/>
          <w:caps/>
          <w:smallCaps w:val="0"/>
        </w:rPr>
        <w:t xml:space="preserve">ntervene in </w:t>
      </w:r>
      <w:r w:rsidR="00C34369" w:rsidRPr="00395591">
        <w:rPr>
          <w:rFonts w:ascii="Times New Roman Bold" w:hAnsi="Times New Roman Bold"/>
          <w:caps/>
          <w:smallCaps w:val="0"/>
        </w:rPr>
        <w:t>T</w:t>
      </w:r>
      <w:r w:rsidRPr="00395591">
        <w:rPr>
          <w:rFonts w:ascii="Times New Roman Bold" w:hAnsi="Times New Roman Bold"/>
          <w:caps/>
          <w:smallCaps w:val="0"/>
        </w:rPr>
        <w:t xml:space="preserve">hese </w:t>
      </w:r>
      <w:r w:rsidR="00C34369" w:rsidRPr="00395591">
        <w:rPr>
          <w:rFonts w:ascii="Times New Roman Bold" w:hAnsi="Times New Roman Bold"/>
          <w:caps/>
          <w:smallCaps w:val="0"/>
        </w:rPr>
        <w:t>P</w:t>
      </w:r>
      <w:r w:rsidRPr="00395591">
        <w:rPr>
          <w:rFonts w:ascii="Times New Roman Bold" w:hAnsi="Times New Roman Bold"/>
          <w:caps/>
          <w:smallCaps w:val="0"/>
        </w:rPr>
        <w:t>roceedings</w:t>
      </w:r>
      <w:bookmarkEnd w:id="6"/>
    </w:p>
    <w:p w14:paraId="29D6F06D" w14:textId="79DF6287" w:rsidR="00910D3A" w:rsidRDefault="00257013" w:rsidP="003308C5">
      <w:pPr>
        <w:pStyle w:val="ListParagraph"/>
      </w:pPr>
      <w:r w:rsidRPr="000656B7">
        <w:t xml:space="preserve">Sollania </w:t>
      </w:r>
      <w:r w:rsidR="006433FD">
        <w:t>should</w:t>
      </w:r>
      <w:r w:rsidRPr="000656B7">
        <w:t xml:space="preserve"> not be permitted</w:t>
      </w:r>
      <w:r>
        <w:t xml:space="preserve"> to</w:t>
      </w:r>
      <w:r w:rsidRPr="000656B7">
        <w:t xml:space="preserve"> intervene </w:t>
      </w:r>
      <w:r>
        <w:t>because</w:t>
      </w:r>
      <w:r w:rsidR="00B83D7C">
        <w:t xml:space="preserve"> it does not have a specific legal interest in the dispute </w:t>
      </w:r>
      <w:r w:rsidRPr="00B83D7C">
        <w:t>[</w:t>
      </w:r>
      <w:r w:rsidRPr="009E6819">
        <w:t>A</w:t>
      </w:r>
      <w:r w:rsidRPr="00B83D7C">
        <w:t>]</w:t>
      </w:r>
      <w:r w:rsidR="006433FD">
        <w:t xml:space="preserve"> and</w:t>
      </w:r>
      <w:r w:rsidRPr="00B83D7C">
        <w:t xml:space="preserve"> the object of Sollania’s intervention is improper</w:t>
      </w:r>
      <w:r w:rsidR="006433FD">
        <w:t xml:space="preserve">, since </w:t>
      </w:r>
      <w:r w:rsidRPr="00B83D7C">
        <w:t xml:space="preserve">it seeks a judicial pronouncement on </w:t>
      </w:r>
      <w:r w:rsidR="006433FD" w:rsidRPr="00B83D7C">
        <w:t xml:space="preserve">Sollania’s </w:t>
      </w:r>
      <w:r w:rsidRPr="00B83D7C">
        <w:t>own claims [</w:t>
      </w:r>
      <w:r w:rsidRPr="009E6819">
        <w:t>B</w:t>
      </w:r>
      <w:r w:rsidRPr="00B83D7C">
        <w:t xml:space="preserve">]. </w:t>
      </w:r>
    </w:p>
    <w:p w14:paraId="7756504B" w14:textId="7C9C623A" w:rsidR="0005268B" w:rsidRPr="00AC29A9" w:rsidRDefault="00B83D7C" w:rsidP="00EF7AEA">
      <w:pPr>
        <w:pStyle w:val="Heading2"/>
        <w:keepLines w:val="0"/>
        <w:spacing w:after="160" w:line="240" w:lineRule="auto"/>
      </w:pPr>
      <w:bookmarkStart w:id="7" w:name="_Toc219103218"/>
      <w:r w:rsidRPr="00AC29A9">
        <w:t xml:space="preserve">Sollania </w:t>
      </w:r>
      <w:r w:rsidR="006C4822" w:rsidRPr="00AC29A9">
        <w:t>D</w:t>
      </w:r>
      <w:r w:rsidRPr="00AC29A9">
        <w:t xml:space="preserve">oes </w:t>
      </w:r>
      <w:r w:rsidR="006C4822" w:rsidRPr="00AC29A9">
        <w:t>N</w:t>
      </w:r>
      <w:r w:rsidRPr="00AC29A9">
        <w:t xml:space="preserve">ot </w:t>
      </w:r>
      <w:r w:rsidR="006C4822" w:rsidRPr="00AC29A9">
        <w:t>H</w:t>
      </w:r>
      <w:r w:rsidRPr="00AC29A9">
        <w:t xml:space="preserve">ave a </w:t>
      </w:r>
      <w:r w:rsidR="006C4822" w:rsidRPr="00AC29A9">
        <w:t>S</w:t>
      </w:r>
      <w:r w:rsidRPr="00AC29A9">
        <w:t xml:space="preserve">pecific </w:t>
      </w:r>
      <w:r w:rsidR="006C4822" w:rsidRPr="00AC29A9">
        <w:t>L</w:t>
      </w:r>
      <w:r w:rsidRPr="00AC29A9">
        <w:t xml:space="preserve">egal </w:t>
      </w:r>
      <w:r w:rsidR="006C4822" w:rsidRPr="00AC29A9">
        <w:t>I</w:t>
      </w:r>
      <w:r w:rsidRPr="00AC29A9">
        <w:t xml:space="preserve">nterest in the </w:t>
      </w:r>
      <w:r w:rsidR="006C4822" w:rsidRPr="00AC29A9">
        <w:t>D</w:t>
      </w:r>
      <w:r w:rsidRPr="00AC29A9">
        <w:t>ispute</w:t>
      </w:r>
      <w:bookmarkEnd w:id="7"/>
      <w:r w:rsidR="00257013" w:rsidRPr="00AC29A9">
        <w:t xml:space="preserve"> </w:t>
      </w:r>
    </w:p>
    <w:p w14:paraId="426AF1F1" w14:textId="3BFA1883" w:rsidR="004C0907" w:rsidRPr="004C0907" w:rsidRDefault="00B83D7C" w:rsidP="004C0907">
      <w:pPr>
        <w:pStyle w:val="ListParagraph"/>
        <w:rPr>
          <w:rFonts w:cs="Times New Roman"/>
          <w:b/>
          <w:bCs/>
          <w:lang w:val="en-US"/>
        </w:rPr>
      </w:pPr>
      <w:r>
        <w:rPr>
          <w:rFonts w:cs="Times New Roman"/>
        </w:rPr>
        <w:t xml:space="preserve">Sollania does not have a specific legal interest </w:t>
      </w:r>
      <w:r w:rsidRPr="00B83D7C">
        <w:rPr>
          <w:rFonts w:cs="Times New Roman"/>
          <w:lang w:val="en-US"/>
        </w:rPr>
        <w:t xml:space="preserve">that could be affected by the </w:t>
      </w:r>
      <w:r>
        <w:rPr>
          <w:rFonts w:cs="Times New Roman"/>
          <w:lang w:val="en-US"/>
        </w:rPr>
        <w:t>current proceeding.</w:t>
      </w:r>
      <w:r>
        <w:rPr>
          <w:rFonts w:cs="Times New Roman"/>
          <w:b/>
          <w:bCs/>
          <w:lang w:val="en-US"/>
        </w:rPr>
        <w:t xml:space="preserve"> </w:t>
      </w:r>
      <w:r w:rsidR="00257013" w:rsidRPr="00257013">
        <w:t>Th</w:t>
      </w:r>
      <w:r>
        <w:t>e</w:t>
      </w:r>
      <w:r w:rsidR="00257013" w:rsidRPr="00257013">
        <w:t xml:space="preserve"> interest of a third State in the general rules likely to be applied by </w:t>
      </w:r>
      <w:r w:rsidR="00640062">
        <w:t>this</w:t>
      </w:r>
      <w:r w:rsidR="00257013" w:rsidRPr="00257013">
        <w:t xml:space="preserve"> Court cannot justify intervention under Article 62</w:t>
      </w:r>
      <w:r w:rsidR="00531F41">
        <w:t xml:space="preserve"> of this Court’s </w:t>
      </w:r>
      <w:r w:rsidR="00287BFB">
        <w:t>S</w:t>
      </w:r>
      <w:r w:rsidR="00531F41">
        <w:t>tatute</w:t>
      </w:r>
      <w:r w:rsidR="00257013" w:rsidRPr="00257013">
        <w:t>.</w:t>
      </w:r>
      <w:r w:rsidR="00711C31">
        <w:rPr>
          <w:rStyle w:val="FootnoteReference"/>
        </w:rPr>
        <w:footnoteReference w:id="2"/>
      </w:r>
      <w:r w:rsidR="00257013">
        <w:t xml:space="preserve"> </w:t>
      </w:r>
      <w:r w:rsidR="00F97A3A" w:rsidRPr="00F97A3A">
        <w:t xml:space="preserve">Sollania’s </w:t>
      </w:r>
      <w:r w:rsidR="00D01185">
        <w:t>assertion</w:t>
      </w:r>
      <w:r w:rsidR="00F97A3A" w:rsidRPr="00F97A3A">
        <w:t xml:space="preserve"> that this case may serve as subsidiary authority on the duty to protect Pilemon communities</w:t>
      </w:r>
      <w:r w:rsidR="00D01185">
        <w:t>,</w:t>
      </w:r>
      <w:r w:rsidR="00F97A3A">
        <w:rPr>
          <w:rStyle w:val="FootnoteReference"/>
        </w:rPr>
        <w:footnoteReference w:id="3"/>
      </w:r>
      <w:r w:rsidR="00D01185">
        <w:t xml:space="preserve"> </w:t>
      </w:r>
      <w:r w:rsidR="00F97A3A" w:rsidRPr="00F97A3A">
        <w:t>under either</w:t>
      </w:r>
      <w:r w:rsidR="00FF4B99">
        <w:t xml:space="preserve"> </w:t>
      </w:r>
      <w:r w:rsidR="00F97A3A" w:rsidRPr="00F97A3A">
        <w:t>customary international law</w:t>
      </w:r>
      <w:r w:rsidR="00FB7BA7">
        <w:t xml:space="preserve"> </w:t>
      </w:r>
      <w:r w:rsidR="00C96D51">
        <w:t xml:space="preserve">[1] </w:t>
      </w:r>
      <w:r w:rsidR="00F97A3A" w:rsidRPr="00F97A3A">
        <w:t>or the bilateral treaty between the Parties</w:t>
      </w:r>
      <w:r w:rsidR="00C96D51">
        <w:t xml:space="preserve"> [2]</w:t>
      </w:r>
      <w:r w:rsidR="00F97A3A" w:rsidRPr="00F97A3A">
        <w:t xml:space="preserve">, reflects only a general interest </w:t>
      </w:r>
      <w:r w:rsidR="004A5780">
        <w:t>that</w:t>
      </w:r>
      <w:r w:rsidR="00F97A3A" w:rsidRPr="00F97A3A">
        <w:t xml:space="preserve"> cannot </w:t>
      </w:r>
      <w:r w:rsidR="00D01185">
        <w:t>ground</w:t>
      </w:r>
      <w:r w:rsidR="00F97A3A" w:rsidRPr="00F97A3A">
        <w:t xml:space="preserve"> an intervention</w:t>
      </w:r>
      <w:r w:rsidR="0040744D">
        <w:t>.</w:t>
      </w:r>
    </w:p>
    <w:p w14:paraId="2BAE2FF8" w14:textId="1079AFA7" w:rsidR="0032476B" w:rsidRDefault="0005268B" w:rsidP="00EF7AEA">
      <w:pPr>
        <w:pStyle w:val="Heading3"/>
        <w:keepLines w:val="0"/>
        <w:spacing w:after="160" w:line="240" w:lineRule="auto"/>
        <w:ind w:left="1440" w:hanging="749"/>
      </w:pPr>
      <w:bookmarkStart w:id="8" w:name="_Toc219103219"/>
      <w:r w:rsidRPr="0005268B">
        <w:t>Sollania</w:t>
      </w:r>
      <w:r w:rsidR="00531F41">
        <w:t xml:space="preserve"> Only </w:t>
      </w:r>
      <w:r w:rsidR="004C0907">
        <w:t>H</w:t>
      </w:r>
      <w:r w:rsidR="00531F41">
        <w:t xml:space="preserve">as </w:t>
      </w:r>
      <w:r w:rsidRPr="0005268B">
        <w:t xml:space="preserve">a </w:t>
      </w:r>
      <w:r>
        <w:t>G</w:t>
      </w:r>
      <w:r w:rsidRPr="0005268B">
        <w:t xml:space="preserve">eneral </w:t>
      </w:r>
      <w:r>
        <w:t>I</w:t>
      </w:r>
      <w:r w:rsidRPr="0005268B">
        <w:t>nterest</w:t>
      </w:r>
      <w:r w:rsidR="00531F41">
        <w:t xml:space="preserve"> in the Rights of Pilemon Communities Under Customary International </w:t>
      </w:r>
      <w:r w:rsidR="00291075">
        <w:t>L</w:t>
      </w:r>
      <w:r w:rsidR="00531F41">
        <w:t>aw</w:t>
      </w:r>
      <w:bookmarkEnd w:id="8"/>
    </w:p>
    <w:p w14:paraId="2477F81D" w14:textId="42F251F1" w:rsidR="003C046F" w:rsidRPr="00D638AB" w:rsidRDefault="003C046F" w:rsidP="003308C5">
      <w:pPr>
        <w:pStyle w:val="ListParagraph"/>
      </w:pPr>
      <w:r>
        <w:t>T</w:t>
      </w:r>
      <w:r w:rsidR="00531F41">
        <w:t>h</w:t>
      </w:r>
      <w:r>
        <w:t xml:space="preserve">is Court’s </w:t>
      </w:r>
      <w:r w:rsidR="00531F41" w:rsidRPr="00E26F30">
        <w:rPr>
          <w:color w:val="000000" w:themeColor="text1"/>
        </w:rPr>
        <w:t>jurisprudence</w:t>
      </w:r>
      <w:r>
        <w:rPr>
          <w:color w:val="000000" w:themeColor="text1"/>
        </w:rPr>
        <w:t xml:space="preserve"> on Article 62</w:t>
      </w:r>
      <w:r>
        <w:rPr>
          <w:rStyle w:val="FootnoteReference"/>
          <w:color w:val="000000" w:themeColor="text1"/>
        </w:rPr>
        <w:footnoteReference w:id="4"/>
      </w:r>
      <w:r>
        <w:rPr>
          <w:color w:val="000000" w:themeColor="text1"/>
        </w:rPr>
        <w:t xml:space="preserve"> confirms that a</w:t>
      </w:r>
      <w:r w:rsidR="00146AEA" w:rsidRPr="00146AEA">
        <w:t xml:space="preserve"> </w:t>
      </w:r>
      <w:r w:rsidR="00640062">
        <w:t>S</w:t>
      </w:r>
      <w:r w:rsidR="00146AEA" w:rsidRPr="00146AEA">
        <w:t>tate may not base its intervention upon</w:t>
      </w:r>
      <w:r w:rsidR="004A5780">
        <w:t xml:space="preserve"> a general interest in the </w:t>
      </w:r>
      <w:r w:rsidR="00146AEA" w:rsidRPr="00146AEA">
        <w:t>development of customary law.</w:t>
      </w:r>
      <w:r w:rsidR="00146AEA">
        <w:rPr>
          <w:rStyle w:val="FootnoteReference"/>
        </w:rPr>
        <w:footnoteReference w:id="5"/>
      </w:r>
      <w:r w:rsidR="00146AEA" w:rsidRPr="00146AEA">
        <w:t xml:space="preserve"> </w:t>
      </w:r>
      <w:r>
        <w:rPr>
          <w:color w:val="000000"/>
        </w:rPr>
        <w:t xml:space="preserve">Both the </w:t>
      </w:r>
      <w:r>
        <w:rPr>
          <w:i/>
          <w:iCs/>
          <w:color w:val="000000"/>
        </w:rPr>
        <w:t>admissibility</w:t>
      </w:r>
      <w:r>
        <w:rPr>
          <w:color w:val="000000"/>
        </w:rPr>
        <w:t xml:space="preserve"> and the </w:t>
      </w:r>
      <w:r>
        <w:rPr>
          <w:i/>
          <w:iCs/>
          <w:color w:val="000000"/>
        </w:rPr>
        <w:t>scope</w:t>
      </w:r>
      <w:r>
        <w:rPr>
          <w:color w:val="000000"/>
        </w:rPr>
        <w:t xml:space="preserve"> of a </w:t>
      </w:r>
      <w:r w:rsidR="00AC64E9">
        <w:rPr>
          <w:color w:val="000000"/>
        </w:rPr>
        <w:t>S</w:t>
      </w:r>
      <w:r>
        <w:rPr>
          <w:color w:val="000000"/>
        </w:rPr>
        <w:t xml:space="preserve">tate’s intervention </w:t>
      </w:r>
      <w:r w:rsidR="00416B9E">
        <w:rPr>
          <w:color w:val="000000"/>
        </w:rPr>
        <w:t>depend on</w:t>
      </w:r>
      <w:r>
        <w:rPr>
          <w:color w:val="000000"/>
        </w:rPr>
        <w:t xml:space="preserve"> a particularized legal interest.</w:t>
      </w:r>
      <w:r>
        <w:rPr>
          <w:color w:val="000000"/>
          <w:vertAlign w:val="superscript"/>
        </w:rPr>
        <w:footnoteReference w:id="6"/>
      </w:r>
    </w:p>
    <w:p w14:paraId="40E19316" w14:textId="54689C3A" w:rsidR="00D638AB" w:rsidRDefault="00416B9E" w:rsidP="003308C5">
      <w:pPr>
        <w:pStyle w:val="ListParagraph"/>
      </w:pPr>
      <w:r>
        <w:t xml:space="preserve">Sollania’s interest in </w:t>
      </w:r>
      <w:r w:rsidR="00D638AB" w:rsidRPr="00D638AB">
        <w:t xml:space="preserve">any </w:t>
      </w:r>
      <w:r>
        <w:t>relevant</w:t>
      </w:r>
      <w:r w:rsidR="00D638AB" w:rsidRPr="00D638AB">
        <w:t xml:space="preserve"> customary </w:t>
      </w:r>
      <w:r w:rsidR="0007795A">
        <w:t>law on the duty towards Pilemon communities</w:t>
      </w:r>
      <w:r>
        <w:t xml:space="preserve"> is a general interest</w:t>
      </w:r>
      <w:r w:rsidR="00D638AB" w:rsidRPr="00D638AB">
        <w:t xml:space="preserve">. The application of any such </w:t>
      </w:r>
      <w:r w:rsidR="00D638AB">
        <w:t>custom</w:t>
      </w:r>
      <w:r w:rsidR="00D638AB" w:rsidRPr="00D638AB">
        <w:t xml:space="preserve"> </w:t>
      </w:r>
      <w:r>
        <w:t>would</w:t>
      </w:r>
      <w:r w:rsidR="00D638AB" w:rsidRPr="00D638AB">
        <w:t xml:space="preserve"> turn</w:t>
      </w:r>
      <w:r>
        <w:t xml:space="preserve"> </w:t>
      </w:r>
      <w:r w:rsidR="00D638AB" w:rsidRPr="00D638AB">
        <w:t>on the specific factual context in which consultation occurs. Here, the record shows that, unlike Alekostrian</w:t>
      </w:r>
      <w:r>
        <w:t xml:space="preserve"> </w:t>
      </w:r>
      <w:r w:rsidRPr="00D638AB">
        <w:t>Pilemon</w:t>
      </w:r>
      <w:r w:rsidR="00D638AB" w:rsidRPr="00D638AB">
        <w:t xml:space="preserve"> </w:t>
      </w:r>
      <w:r>
        <w:t>Elders</w:t>
      </w:r>
      <w:r w:rsidR="005F5395">
        <w:t xml:space="preserve">, </w:t>
      </w:r>
      <w:r w:rsidR="00D638AB" w:rsidRPr="00D638AB">
        <w:t xml:space="preserve">all </w:t>
      </w:r>
      <w:r w:rsidR="00D638AB" w:rsidRPr="00D638AB">
        <w:lastRenderedPageBreak/>
        <w:t xml:space="preserve">Sollanian </w:t>
      </w:r>
      <w:r w:rsidR="00B1202E">
        <w:t xml:space="preserve">Elders </w:t>
      </w:r>
      <w:r w:rsidR="00D638AB" w:rsidRPr="00D638AB">
        <w:t>categorically refused to participate</w:t>
      </w:r>
      <w:r>
        <w:t xml:space="preserve"> in consultation</w:t>
      </w:r>
      <w:r w:rsidR="00D638AB" w:rsidRPr="00D638AB">
        <w:t>.</w:t>
      </w:r>
      <w:r w:rsidR="00D638AB">
        <w:rPr>
          <w:rStyle w:val="FootnoteReference"/>
        </w:rPr>
        <w:footnoteReference w:id="7"/>
      </w:r>
      <w:r w:rsidR="00D638AB" w:rsidRPr="00D638AB">
        <w:t xml:space="preserve"> Where Indigenous communities decline to engage,</w:t>
      </w:r>
      <w:r w:rsidR="00821989">
        <w:t xml:space="preserve"> </w:t>
      </w:r>
      <w:r w:rsidR="00D638AB" w:rsidRPr="00D638AB">
        <w:t>the legal analysis differs materially</w:t>
      </w:r>
      <w:r w:rsidR="00552695">
        <w:t>,</w:t>
      </w:r>
      <w:r w:rsidR="00821989">
        <w:t xml:space="preserve"> and the State’s duty to consult </w:t>
      </w:r>
      <w:r w:rsidR="00C035D5">
        <w:t>may</w:t>
      </w:r>
      <w:r w:rsidR="00821989">
        <w:t xml:space="preserve"> be entirely discharged</w:t>
      </w:r>
      <w:r w:rsidR="00D638AB" w:rsidRPr="00D638AB">
        <w:t>.</w:t>
      </w:r>
      <w:r w:rsidR="00821989">
        <w:rPr>
          <w:rStyle w:val="FootnoteReference"/>
        </w:rPr>
        <w:footnoteReference w:id="8"/>
      </w:r>
      <w:r w:rsidR="00D638AB" w:rsidRPr="00D638AB">
        <w:t xml:space="preserve"> As a result</w:t>
      </w:r>
      <w:r w:rsidR="007153A5">
        <w:t xml:space="preserve"> </w:t>
      </w:r>
      <w:r w:rsidR="00552695">
        <w:t xml:space="preserve">of </w:t>
      </w:r>
      <w:r w:rsidR="007153A5">
        <w:t>this diff</w:t>
      </w:r>
      <w:r w:rsidR="00257F50">
        <w:t>erence</w:t>
      </w:r>
      <w:r w:rsidR="00D638AB" w:rsidRPr="00D638AB">
        <w:t xml:space="preserve">, </w:t>
      </w:r>
      <w:r w:rsidR="009F0A70">
        <w:t>this</w:t>
      </w:r>
      <w:r w:rsidR="00D638AB" w:rsidRPr="00D638AB">
        <w:t xml:space="preserve"> Court’s </w:t>
      </w:r>
      <w:r w:rsidR="007153A5">
        <w:t>treatment</w:t>
      </w:r>
      <w:r w:rsidR="00D638AB" w:rsidRPr="00D638AB">
        <w:t xml:space="preserve"> </w:t>
      </w:r>
      <w:r w:rsidR="007153A5">
        <w:t>of</w:t>
      </w:r>
      <w:r w:rsidR="00D638AB" w:rsidRPr="00D638AB">
        <w:t xml:space="preserve"> </w:t>
      </w:r>
      <w:r w:rsidR="009F0A70">
        <w:t>a</w:t>
      </w:r>
      <w:r w:rsidR="00D638AB" w:rsidRPr="00D638AB">
        <w:t xml:space="preserve"> </w:t>
      </w:r>
      <w:r w:rsidR="00893277">
        <w:t>consultation</w:t>
      </w:r>
      <w:r w:rsidR="0007795A">
        <w:t xml:space="preserve"> </w:t>
      </w:r>
      <w:r w:rsidR="00893277">
        <w:t xml:space="preserve">custom </w:t>
      </w:r>
      <w:r w:rsidR="007153A5">
        <w:t xml:space="preserve">in the dispute between </w:t>
      </w:r>
      <w:r w:rsidR="007153A5" w:rsidRPr="00D638AB">
        <w:t>Alekostr</w:t>
      </w:r>
      <w:r w:rsidR="007153A5">
        <w:t xml:space="preserve">ia and Restovia </w:t>
      </w:r>
      <w:proofErr w:type="spellStart"/>
      <w:r w:rsidR="00B73B1C">
        <w:t>can</w:t>
      </w:r>
      <w:r w:rsidR="00D638AB" w:rsidRPr="00D638AB">
        <w:t xml:space="preserve"> not</w:t>
      </w:r>
      <w:proofErr w:type="spellEnd"/>
      <w:r w:rsidR="00D638AB" w:rsidRPr="00D638AB">
        <w:t xml:space="preserve"> </w:t>
      </w:r>
      <w:r w:rsidR="007153A5">
        <w:t>be extended to apply to</w:t>
      </w:r>
      <w:r w:rsidR="00D638AB" w:rsidRPr="00D638AB">
        <w:t xml:space="preserve"> Sollania’s </w:t>
      </w:r>
      <w:r w:rsidR="007153A5">
        <w:t xml:space="preserve">circumstances, </w:t>
      </w:r>
      <w:r w:rsidR="00D638AB" w:rsidRPr="00D638AB">
        <w:t xml:space="preserve">leaving Sollania with </w:t>
      </w:r>
      <w:r w:rsidR="00506B08">
        <w:t>a mere</w:t>
      </w:r>
      <w:r w:rsidR="00D638AB" w:rsidRPr="00D638AB">
        <w:t xml:space="preserve"> generalized interest in the development of customary international law</w:t>
      </w:r>
      <w:r w:rsidR="009F0A70">
        <w:t xml:space="preserve"> within the current proceeding. </w:t>
      </w:r>
    </w:p>
    <w:p w14:paraId="108C85B6" w14:textId="6AE82E5B" w:rsidR="00E26F30" w:rsidRPr="003C046F" w:rsidRDefault="00257F50" w:rsidP="003308C5">
      <w:pPr>
        <w:pStyle w:val="ListParagraph"/>
      </w:pPr>
      <w:r>
        <w:t>P</w:t>
      </w:r>
      <w:r w:rsidR="001945BC" w:rsidRPr="001945BC">
        <w:t xml:space="preserve">ermitting intervention </w:t>
      </w:r>
      <w:r>
        <w:t>on the basis o</w:t>
      </w:r>
      <w:r w:rsidR="00306F29">
        <w:t>f</w:t>
      </w:r>
      <w:r w:rsidR="001945BC" w:rsidRPr="001945BC">
        <w:t xml:space="preserve"> mere general</w:t>
      </w:r>
      <w:r>
        <w:t xml:space="preserve"> interests </w:t>
      </w:r>
      <w:r w:rsidR="001945BC" w:rsidRPr="001945BC">
        <w:t xml:space="preserve">would </w:t>
      </w:r>
      <w:r w:rsidR="001945BC">
        <w:t>render</w:t>
      </w:r>
      <w:r w:rsidR="001945BC" w:rsidRPr="001945BC">
        <w:t xml:space="preserve"> proceedings before </w:t>
      </w:r>
      <w:r w:rsidR="001945BC">
        <w:t>this</w:t>
      </w:r>
      <w:r w:rsidR="001945BC" w:rsidRPr="001945BC">
        <w:t xml:space="preserve"> Court unduly </w:t>
      </w:r>
      <w:proofErr w:type="gramStart"/>
      <w:r w:rsidR="001945BC" w:rsidRPr="001945BC">
        <w:t>uncertain</w:t>
      </w:r>
      <w:r w:rsidR="00306F29">
        <w:t>,</w:t>
      </w:r>
      <w:r w:rsidR="001945BC">
        <w:t xml:space="preserve"> and</w:t>
      </w:r>
      <w:proofErr w:type="gramEnd"/>
      <w:r w:rsidR="001945BC">
        <w:t xml:space="preserve"> could </w:t>
      </w:r>
      <w:r w:rsidR="001945BC" w:rsidRPr="001945BC">
        <w:t>discourag</w:t>
      </w:r>
      <w:r w:rsidR="001945BC">
        <w:t xml:space="preserve">e </w:t>
      </w:r>
      <w:r w:rsidR="001945BC" w:rsidRPr="001945BC">
        <w:t>States from choosing this Court as a legitimate dispute settlement forum.</w:t>
      </w:r>
      <w:r w:rsidR="00712EB7">
        <w:rPr>
          <w:rStyle w:val="FootnoteReference"/>
          <w:color w:val="000000"/>
        </w:rPr>
        <w:footnoteReference w:id="9"/>
      </w:r>
      <w:r w:rsidR="00712EB7">
        <w:t xml:space="preserve"> </w:t>
      </w:r>
    </w:p>
    <w:p w14:paraId="4EF8024A" w14:textId="5B97FE33" w:rsidR="0005268B" w:rsidRPr="00DB21B7" w:rsidRDefault="0005268B" w:rsidP="00EF7AEA">
      <w:pPr>
        <w:pStyle w:val="Heading3"/>
        <w:keepLines w:val="0"/>
        <w:spacing w:after="160" w:line="240" w:lineRule="auto"/>
        <w:ind w:left="1440" w:hanging="749"/>
      </w:pPr>
      <w:bookmarkStart w:id="9" w:name="_Toc219103220"/>
      <w:r w:rsidRPr="00DB21B7">
        <w:t>Sollania Does Not Have a Legal Interest That Could Be Affected by the Current Proceeding Under Treaty Law</w:t>
      </w:r>
      <w:bookmarkEnd w:id="9"/>
    </w:p>
    <w:p w14:paraId="3E40ED70" w14:textId="41840623" w:rsidR="00712EB7" w:rsidRDefault="00BD37C1" w:rsidP="003308C5">
      <w:pPr>
        <w:pStyle w:val="ListParagraph"/>
      </w:pPr>
      <w:r w:rsidRPr="00712EB7">
        <w:t xml:space="preserve">Sollania does not have a sufficient legal interest </w:t>
      </w:r>
      <w:r w:rsidR="00257F50">
        <w:t xml:space="preserve">under treaty law because </w:t>
      </w:r>
      <w:r w:rsidR="00712EB7" w:rsidRPr="00712EB7">
        <w:t xml:space="preserve">intervention cannot be based on a treaty to which the </w:t>
      </w:r>
      <w:r w:rsidR="00712EB7">
        <w:t xml:space="preserve">would-be </w:t>
      </w:r>
      <w:r w:rsidR="00712EB7" w:rsidRPr="00712EB7">
        <w:t xml:space="preserve">intervener is not a party, nor a treaty </w:t>
      </w:r>
      <w:r w:rsidR="00712EB7">
        <w:t>that is outside the</w:t>
      </w:r>
      <w:r w:rsidR="00712EB7" w:rsidRPr="00712EB7">
        <w:t xml:space="preserve"> subject matter of the proceedings.</w:t>
      </w:r>
    </w:p>
    <w:p w14:paraId="781E6ACE" w14:textId="58E1955B" w:rsidR="00D77155" w:rsidRPr="0040744D" w:rsidRDefault="005E0F62" w:rsidP="003308C5">
      <w:pPr>
        <w:pStyle w:val="ListParagraph"/>
      </w:pPr>
      <w:r>
        <w:rPr>
          <w:rFonts w:cs="Times New Roman"/>
        </w:rPr>
        <w:t>A</w:t>
      </w:r>
      <w:r w:rsidRPr="00712EB7">
        <w:t xml:space="preserve"> State does not have a legal interest in bilateral treaties to which it is not a party because such bilateral treaties neither confer any rights nor impose any duties upon a third State.</w:t>
      </w:r>
      <w:r w:rsidRPr="00D77155">
        <w:rPr>
          <w:rStyle w:val="FootnoteReference"/>
          <w:color w:val="000000" w:themeColor="text1"/>
        </w:rPr>
        <w:footnoteReference w:id="10"/>
      </w:r>
      <w:r w:rsidRPr="00712EB7">
        <w:t xml:space="preserve"> </w:t>
      </w:r>
      <w:r w:rsidR="00B50E10" w:rsidRPr="00712EB7">
        <w:t>Sollania is not a party to ARPA, meaning its interpretation cannot ground Sollania’s intervention.</w:t>
      </w:r>
      <w:r w:rsidR="00D43597" w:rsidRPr="00D77155">
        <w:rPr>
          <w:rStyle w:val="FootnoteReference"/>
          <w:color w:val="000000" w:themeColor="text1"/>
        </w:rPr>
        <w:footnoteReference w:id="11"/>
      </w:r>
      <w:r w:rsidR="00D43597">
        <w:t xml:space="preserve"> </w:t>
      </w:r>
      <w:r w:rsidR="00724E0A" w:rsidRPr="0040744D">
        <w:t xml:space="preserve">The treaty to which Sollania is a party, </w:t>
      </w:r>
      <w:r w:rsidR="00A95D8A" w:rsidRPr="0040744D">
        <w:t xml:space="preserve">the </w:t>
      </w:r>
      <w:r w:rsidR="00724E0A" w:rsidRPr="0040744D">
        <w:t xml:space="preserve">SRPA, is </w:t>
      </w:r>
      <w:r w:rsidR="00D77155" w:rsidRPr="0040744D">
        <w:t>outside the subject</w:t>
      </w:r>
      <w:r w:rsidR="00C00741">
        <w:t xml:space="preserve"> </w:t>
      </w:r>
      <w:r w:rsidR="00D77155" w:rsidRPr="0040744D">
        <w:t xml:space="preserve">matter of the proceedings. </w:t>
      </w:r>
      <w:r w:rsidR="0050004A" w:rsidRPr="0040744D">
        <w:t>Sollania’s desire to forestall interpretations that might later complicate its positions under a different treaty in a different case is simply too remote.</w:t>
      </w:r>
      <w:r w:rsidR="0050004A" w:rsidRPr="00B97536">
        <w:rPr>
          <w:vertAlign w:val="superscript"/>
        </w:rPr>
        <w:footnoteReference w:id="12"/>
      </w:r>
      <w:r w:rsidR="00572C01" w:rsidRPr="0040744D">
        <w:t xml:space="preserve"> </w:t>
      </w:r>
    </w:p>
    <w:p w14:paraId="10A1C6E9" w14:textId="0F86BE5B" w:rsidR="0040744D" w:rsidRPr="001257A7" w:rsidRDefault="0040744D" w:rsidP="003308C5">
      <w:pPr>
        <w:pStyle w:val="ListParagraph"/>
      </w:pPr>
      <w:r w:rsidRPr="0040744D">
        <w:lastRenderedPageBreak/>
        <w:t xml:space="preserve">Additionally, the fact that ARPA and SRPA contain </w:t>
      </w:r>
      <w:r>
        <w:t>common articles</w:t>
      </w:r>
      <w:r w:rsidRPr="0040744D">
        <w:t xml:space="preserve"> </w:t>
      </w:r>
      <w:r w:rsidR="00AE2BE7">
        <w:t xml:space="preserve">does not </w:t>
      </w:r>
      <w:r w:rsidR="00CE48AE">
        <w:t>establish</w:t>
      </w:r>
      <w:r w:rsidRPr="0040744D">
        <w:t xml:space="preserve"> a sufficient legal interest.</w:t>
      </w:r>
      <w:r w:rsidRPr="00712EB7">
        <w:t xml:space="preserve"> </w:t>
      </w:r>
      <w:r w:rsidRPr="005E0F62">
        <w:t>Even if</w:t>
      </w:r>
      <w:r w:rsidR="0050004A" w:rsidRPr="005E0F62">
        <w:t xml:space="preserve"> </w:t>
      </w:r>
      <w:r w:rsidR="00640062" w:rsidRPr="005E0F62">
        <w:t>this</w:t>
      </w:r>
      <w:r w:rsidR="0050004A" w:rsidRPr="005E0F62">
        <w:t xml:space="preserve"> Court’s treatment of ARPA </w:t>
      </w:r>
      <w:r w:rsidR="00927E3A" w:rsidRPr="005E0F62">
        <w:t xml:space="preserve">relates to the interpretation of </w:t>
      </w:r>
      <w:r w:rsidR="00A95D8A" w:rsidRPr="005E0F62">
        <w:t>common</w:t>
      </w:r>
      <w:r w:rsidR="00927E3A" w:rsidRPr="005E0F62">
        <w:t xml:space="preserve"> </w:t>
      </w:r>
      <w:r w:rsidR="00A95D8A" w:rsidRPr="005E0F62">
        <w:t>articles</w:t>
      </w:r>
      <w:r w:rsidR="00927E3A" w:rsidRPr="005E0F62">
        <w:t xml:space="preserve"> in SRPA, </w:t>
      </w:r>
      <w:r w:rsidR="00640062" w:rsidRPr="005E0F62">
        <w:t>it</w:t>
      </w:r>
      <w:r w:rsidR="00927E3A" w:rsidRPr="005E0F62">
        <w:t xml:space="preserve"> still </w:t>
      </w:r>
      <w:r w:rsidR="00640062" w:rsidRPr="005E0F62">
        <w:t xml:space="preserve">would </w:t>
      </w:r>
      <w:r w:rsidR="00927E3A" w:rsidRPr="005E0F62">
        <w:t xml:space="preserve">not be deciding the interpretation of SRPA. </w:t>
      </w:r>
      <w:r w:rsidR="00724E0A" w:rsidRPr="005E0F62">
        <w:t xml:space="preserve">Article 59 of the Statute provides that </w:t>
      </w:r>
      <w:r w:rsidR="00291B7C">
        <w:t>“</w:t>
      </w:r>
      <w:r w:rsidR="00724E0A" w:rsidRPr="005E0F62">
        <w:t>[t]he decision of the Court has no binding force except between the parties and in respect of that particular case.</w:t>
      </w:r>
      <w:r w:rsidR="00291B7C">
        <w:t>”</w:t>
      </w:r>
      <w:r w:rsidR="00724E0A" w:rsidRPr="00B97536">
        <w:rPr>
          <w:vertAlign w:val="superscript"/>
        </w:rPr>
        <w:footnoteReference w:id="13"/>
      </w:r>
      <w:r w:rsidR="00A95D8A" w:rsidRPr="005E0F62">
        <w:t xml:space="preserve"> </w:t>
      </w:r>
      <w:r w:rsidR="00572C01" w:rsidRPr="005E0F62">
        <w:t>Under the protection of Article 59, when</w:t>
      </w:r>
      <w:r w:rsidR="00A95D8A" w:rsidRPr="005E0F62">
        <w:t xml:space="preserve"> two treaties contain </w:t>
      </w:r>
      <w:r w:rsidR="00AC6F4D">
        <w:t>common articles</w:t>
      </w:r>
      <w:r w:rsidR="00A95D8A" w:rsidRPr="005E0F62">
        <w:t>, the interpretation of one does not determine the meaning, scope, or application of the other</w:t>
      </w:r>
      <w:r w:rsidR="00572C01" w:rsidRPr="005E0F62">
        <w:t>.</w:t>
      </w:r>
      <w:r w:rsidR="001257A7">
        <w:t xml:space="preserve"> </w:t>
      </w:r>
    </w:p>
    <w:p w14:paraId="6EBC333A" w14:textId="7C3E89E8" w:rsidR="00825F4E" w:rsidRPr="00825F4E" w:rsidRDefault="00D24BA5" w:rsidP="003308C5">
      <w:pPr>
        <w:pStyle w:val="ListParagraph"/>
      </w:pPr>
      <w:r w:rsidRPr="0040744D">
        <w:t>This Court’s jurisprudence on treaty interpretation shows that this Court does not blindly adopt interpretations of similar provisions across different treaties.</w:t>
      </w:r>
      <w:r w:rsidR="0040744D">
        <w:rPr>
          <w:rStyle w:val="FootnoteReference"/>
          <w:color w:val="000000" w:themeColor="text1"/>
        </w:rPr>
        <w:footnoteReference w:id="14"/>
      </w:r>
      <w:r w:rsidRPr="0040744D">
        <w:t xml:space="preserve"> </w:t>
      </w:r>
      <w:r w:rsidR="0040744D" w:rsidRPr="0040744D">
        <w:t xml:space="preserve">This is because the principles governing treaty interpretation permit this Court to recognize that </w:t>
      </w:r>
      <w:r w:rsidR="00601B44">
        <w:t>distinct</w:t>
      </w:r>
      <w:r w:rsidR="0040744D" w:rsidRPr="0040744D">
        <w:t xml:space="preserve"> </w:t>
      </w:r>
      <w:r w:rsidR="00257F50">
        <w:t xml:space="preserve">State </w:t>
      </w:r>
      <w:r w:rsidR="005C5BF7">
        <w:t>p</w:t>
      </w:r>
      <w:r w:rsidR="00257F50">
        <w:t xml:space="preserve">arties and </w:t>
      </w:r>
      <w:r w:rsidR="0040744D" w:rsidRPr="0040744D">
        <w:t xml:space="preserve">negotiating histories may give rise to different </w:t>
      </w:r>
      <w:r w:rsidR="005F3935">
        <w:t>interpretations</w:t>
      </w:r>
      <w:r w:rsidR="0040744D" w:rsidRPr="0040744D">
        <w:t xml:space="preserve">. </w:t>
      </w:r>
      <w:r w:rsidR="00825F4E" w:rsidRPr="00825F4E">
        <w:t xml:space="preserve">This differentiation </w:t>
      </w:r>
      <w:r w:rsidR="00257F50">
        <w:t>can be seen in</w:t>
      </w:r>
      <w:r w:rsidR="00825F4E" w:rsidRPr="00825F4E">
        <w:t xml:space="preserve"> the negotiating history</w:t>
      </w:r>
      <w:r w:rsidR="00257F50">
        <w:t xml:space="preserve"> </w:t>
      </w:r>
      <w:r w:rsidR="00825F4E" w:rsidRPr="00825F4E">
        <w:t xml:space="preserve">of </w:t>
      </w:r>
      <w:r w:rsidR="00DD7347">
        <w:t>ARPA and SRPA</w:t>
      </w:r>
      <w:r w:rsidR="00825F4E" w:rsidRPr="00825F4E">
        <w:t xml:space="preserve">. During the conference, Restovia proposed an arrangement </w:t>
      </w:r>
      <w:r w:rsidR="005D6AF0">
        <w:t xml:space="preserve">to which </w:t>
      </w:r>
      <w:r w:rsidR="00825F4E" w:rsidRPr="00825F4E">
        <w:t xml:space="preserve">Alekostria was </w:t>
      </w:r>
      <w:r w:rsidR="005D6AF0">
        <w:t>fully aligned</w:t>
      </w:r>
      <w:r w:rsidR="00825F4E" w:rsidRPr="00825F4E">
        <w:t xml:space="preserve">. Sollania, by contrast, accepted this arrangement only as an interim measure, expressly indicating its </w:t>
      </w:r>
      <w:r w:rsidR="002A612C">
        <w:t>desire for</w:t>
      </w:r>
      <w:r w:rsidR="00825F4E" w:rsidRPr="00825F4E">
        <w:t xml:space="preserve"> further negotiations aimed at securing a more comprehensive </w:t>
      </w:r>
      <w:r w:rsidR="00825F4E">
        <w:t>agreement.</w:t>
      </w:r>
      <w:r w:rsidR="005D6AF0">
        <w:rPr>
          <w:rStyle w:val="FootnoteReference"/>
          <w:color w:val="000000" w:themeColor="text1"/>
        </w:rPr>
        <w:footnoteReference w:id="15"/>
      </w:r>
      <w:r w:rsidR="005D6AF0">
        <w:t xml:space="preserve"> </w:t>
      </w:r>
      <w:r w:rsidR="00825F4E" w:rsidRPr="0040744D">
        <w:t>The three States convened at a trilateral conference</w:t>
      </w:r>
      <w:r w:rsidR="00825F4E">
        <w:rPr>
          <w:rStyle w:val="FootnoteReference"/>
          <w:color w:val="000000" w:themeColor="text1"/>
        </w:rPr>
        <w:footnoteReference w:id="16"/>
      </w:r>
      <w:r w:rsidR="00825F4E" w:rsidRPr="0040744D">
        <w:t xml:space="preserve"> and could have concluded a trilateral agreement that would have consolidated their legal interests within one instrument.</w:t>
      </w:r>
      <w:r w:rsidR="00825F4E">
        <w:t xml:space="preserve"> </w:t>
      </w:r>
      <w:r w:rsidR="00825F4E" w:rsidRPr="00825F4E">
        <w:t>The decision to conclude two bilateral agreements reflects divergent negotiating objectives and a deliberate differentiation of rights and obligations, reinforcing that the interpretation of ARPA cannot determine, nor meaningfully affect, Sollania’s rights under SRPA.</w:t>
      </w:r>
    </w:p>
    <w:p w14:paraId="48E3A2D4" w14:textId="65D75473" w:rsidR="002F7317" w:rsidRDefault="002F7317" w:rsidP="003308C5">
      <w:pPr>
        <w:pStyle w:val="ListParagraph"/>
      </w:pPr>
      <w:r>
        <w:t>Furthermore, t</w:t>
      </w:r>
      <w:r w:rsidRPr="001257A7">
        <w:t xml:space="preserve">his Court can be trusted to ensure that its reasoning and </w:t>
      </w:r>
      <w:r w:rsidR="001776D2">
        <w:t xml:space="preserve">decision </w:t>
      </w:r>
      <w:r w:rsidRPr="001257A7">
        <w:t>are expressly confined so as not to adjudicate the rights of a non-party whose intervention has been denied. In </w:t>
      </w:r>
      <w:r w:rsidRPr="001257A7">
        <w:rPr>
          <w:i/>
        </w:rPr>
        <w:t>Lib</w:t>
      </w:r>
      <w:r w:rsidR="001776D2">
        <w:rPr>
          <w:i/>
        </w:rPr>
        <w:t xml:space="preserve">ya </w:t>
      </w:r>
      <w:r w:rsidR="00FB32A1">
        <w:rPr>
          <w:i/>
        </w:rPr>
        <w:t xml:space="preserve">v. </w:t>
      </w:r>
      <w:r w:rsidRPr="001257A7">
        <w:rPr>
          <w:i/>
        </w:rPr>
        <w:t>Malta</w:t>
      </w:r>
      <w:r w:rsidRPr="001257A7">
        <w:t>, when refusing Italy’s request to intervene, th</w:t>
      </w:r>
      <w:r w:rsidR="003B2388">
        <w:t>is</w:t>
      </w:r>
      <w:r w:rsidRPr="001257A7">
        <w:t xml:space="preserve"> Court emphasized that its future judgment would not </w:t>
      </w:r>
      <w:r w:rsidR="001776D2">
        <w:t>only</w:t>
      </w:r>
      <w:r w:rsidRPr="001257A7">
        <w:t xml:space="preserve"> be limited by Article </w:t>
      </w:r>
      <w:proofErr w:type="gramStart"/>
      <w:r w:rsidRPr="001257A7">
        <w:t>59, but</w:t>
      </w:r>
      <w:proofErr w:type="gramEnd"/>
      <w:r w:rsidRPr="001257A7">
        <w:t xml:space="preserve"> would </w:t>
      </w:r>
      <w:r w:rsidR="001776D2">
        <w:t xml:space="preserve">also </w:t>
      </w:r>
      <w:r w:rsidRPr="001257A7">
        <w:t>be express</w:t>
      </w:r>
      <w:r w:rsidR="001776D2">
        <w:t xml:space="preserve">ly framed </w:t>
      </w:r>
      <w:r w:rsidRPr="001257A7">
        <w:lastRenderedPageBreak/>
        <w:t>as being without prejudice to the rights of third States.</w:t>
      </w:r>
      <w:r>
        <w:rPr>
          <w:rStyle w:val="FootnoteReference"/>
          <w:color w:val="000000" w:themeColor="text1"/>
        </w:rPr>
        <w:footnoteReference w:id="17"/>
      </w:r>
      <w:r w:rsidRPr="001257A7">
        <w:t xml:space="preserve"> The same judicial discipline is available here</w:t>
      </w:r>
      <w:r>
        <w:t>.</w:t>
      </w:r>
    </w:p>
    <w:p w14:paraId="614FCE77" w14:textId="709260BC" w:rsidR="00724E0A" w:rsidRPr="00A95D8A" w:rsidRDefault="00724E0A" w:rsidP="003308C5">
      <w:pPr>
        <w:pStyle w:val="ListParagraph"/>
      </w:pPr>
      <w:r w:rsidRPr="00B97536">
        <w:t xml:space="preserve">Whatever residual interest Sollania </w:t>
      </w:r>
      <w:r w:rsidR="001776D2">
        <w:t>has</w:t>
      </w:r>
      <w:r w:rsidRPr="00B97536">
        <w:t xml:space="preserve"> in </w:t>
      </w:r>
      <w:r w:rsidR="00640062">
        <w:t>this</w:t>
      </w:r>
      <w:r w:rsidRPr="00B97536">
        <w:t xml:space="preserve"> Court’s treatment of ARPA would </w:t>
      </w:r>
      <w:r w:rsidR="005F3974">
        <w:t xml:space="preserve">be safeguarded </w:t>
      </w:r>
      <w:r w:rsidRPr="00B97536">
        <w:t xml:space="preserve">by Sollania’s ability to file an independent claim against </w:t>
      </w:r>
      <w:r w:rsidR="001776D2">
        <w:t>the</w:t>
      </w:r>
      <w:r w:rsidRPr="00B97536">
        <w:t xml:space="preserve"> Parties, a course it has already signal</w:t>
      </w:r>
      <w:r w:rsidR="008C3CA5">
        <w:t>l</w:t>
      </w:r>
      <w:r w:rsidRPr="00B97536">
        <w:t>ed it might pursue.</w:t>
      </w:r>
      <w:r w:rsidR="009E32A0" w:rsidRPr="00B97536">
        <w:rPr>
          <w:rStyle w:val="FootnoteReference"/>
          <w:color w:val="000000" w:themeColor="text1"/>
        </w:rPr>
        <w:footnoteReference w:id="18"/>
      </w:r>
      <w:r w:rsidRPr="00B97536">
        <w:t xml:space="preserve"> </w:t>
      </w:r>
    </w:p>
    <w:p w14:paraId="73272058" w14:textId="3023908E" w:rsidR="0032476B" w:rsidRPr="00AC29A9" w:rsidRDefault="00A801AF" w:rsidP="00EF7AEA">
      <w:pPr>
        <w:pStyle w:val="Heading2"/>
        <w:keepLines w:val="0"/>
        <w:spacing w:after="160" w:line="240" w:lineRule="auto"/>
      </w:pPr>
      <w:bookmarkStart w:id="10" w:name="_Toc219103221"/>
      <w:r w:rsidRPr="00AC29A9">
        <w:t>The Objects of Sollania’s Intervention Are Improper as It Seeks a Judicial Pronouncement on Its Own Claims</w:t>
      </w:r>
      <w:bookmarkEnd w:id="10"/>
    </w:p>
    <w:p w14:paraId="7B6A51F9" w14:textId="724D7AE3" w:rsidR="00EE7B5E" w:rsidRDefault="00B97536" w:rsidP="003308C5">
      <w:pPr>
        <w:pStyle w:val="ListParagraph"/>
      </w:pPr>
      <w:r w:rsidRPr="00D005A2">
        <w:t xml:space="preserve">In attempting to intervene, Sollania is asking </w:t>
      </w:r>
      <w:r w:rsidR="00640062">
        <w:t>this</w:t>
      </w:r>
      <w:r w:rsidRPr="00D005A2">
        <w:t xml:space="preserve"> </w:t>
      </w:r>
      <w:r w:rsidR="00EE7B5E" w:rsidRPr="00D005A2">
        <w:t>Court to shape its reasoning to secure Sollania’s future litigation position vis-à-vis Restovia.</w:t>
      </w:r>
      <w:r w:rsidR="00572C01">
        <w:t xml:space="preserve"> </w:t>
      </w:r>
      <w:r w:rsidR="00572C01" w:rsidRPr="00D005A2">
        <w:t xml:space="preserve">It is not a valid object of intervention </w:t>
      </w:r>
      <w:r w:rsidR="00572C01">
        <w:t xml:space="preserve">for a third </w:t>
      </w:r>
      <w:r w:rsidR="00572C01" w:rsidRPr="00D005A2">
        <w:t xml:space="preserve">State </w:t>
      </w:r>
      <w:r w:rsidR="00572C01">
        <w:t xml:space="preserve">to </w:t>
      </w:r>
      <w:r w:rsidR="00572C01" w:rsidRPr="00D005A2">
        <w:t xml:space="preserve">inject an extraneous dispute or </w:t>
      </w:r>
      <w:r w:rsidR="00572C01">
        <w:t>seek</w:t>
      </w:r>
      <w:r w:rsidR="00572C01" w:rsidRPr="00D005A2">
        <w:t xml:space="preserve"> a judicial pronouncement on its own rights.</w:t>
      </w:r>
      <w:r w:rsidR="00572C01" w:rsidRPr="00D005A2">
        <w:rPr>
          <w:vertAlign w:val="superscript"/>
        </w:rPr>
        <w:footnoteReference w:id="19"/>
      </w:r>
    </w:p>
    <w:p w14:paraId="70455946" w14:textId="1237C129" w:rsidR="00BD28A4" w:rsidRPr="00BD28A4" w:rsidRDefault="00BD28A4" w:rsidP="003308C5">
      <w:pPr>
        <w:pStyle w:val="ListParagraph"/>
      </w:pPr>
      <w:r w:rsidRPr="00D005A2">
        <w:t xml:space="preserve">If Sollania were permitted to intervene, </w:t>
      </w:r>
      <w:r>
        <w:t>this</w:t>
      </w:r>
      <w:r w:rsidRPr="00D005A2">
        <w:t xml:space="preserve"> Court would </w:t>
      </w:r>
      <w:r>
        <w:t>be called upon</w:t>
      </w:r>
      <w:r w:rsidRPr="00D005A2">
        <w:t xml:space="preserve"> to anticipate and pronounce upon the existence and scope of Sollania’s rights in the Plateau under customary international law </w:t>
      </w:r>
      <w:r w:rsidR="0000485C">
        <w:t>and</w:t>
      </w:r>
      <w:r w:rsidRPr="00D005A2">
        <w:t xml:space="preserve"> SRPA. </w:t>
      </w:r>
      <w:r>
        <w:t>S</w:t>
      </w:r>
      <w:r w:rsidRPr="00D24BA5">
        <w:t xml:space="preserve">ince intervention is an incidental procedure, it may not be used to </w:t>
      </w:r>
      <w:r w:rsidR="0000485C">
        <w:t>introduce</w:t>
      </w:r>
      <w:r w:rsidRPr="00D24BA5">
        <w:t xml:space="preserve"> a new case or have this Court recognize the </w:t>
      </w:r>
      <w:r w:rsidR="0000485C">
        <w:t>rights of the</w:t>
      </w:r>
      <w:r w:rsidRPr="00D24BA5">
        <w:t xml:space="preserve"> would-be intervener.</w:t>
      </w:r>
      <w:r>
        <w:rPr>
          <w:rStyle w:val="FootnoteReference"/>
          <w:color w:val="000000" w:themeColor="text1"/>
        </w:rPr>
        <w:footnoteReference w:id="20"/>
      </w:r>
      <w:r w:rsidRPr="00D24BA5">
        <w:t xml:space="preserve"> </w:t>
      </w:r>
    </w:p>
    <w:p w14:paraId="6B1F3FB2" w14:textId="7E1A8D71" w:rsidR="002C72B9" w:rsidRPr="00EA4E04" w:rsidRDefault="00EE7B5E" w:rsidP="003308C5">
      <w:pPr>
        <w:pStyle w:val="ListParagraph"/>
      </w:pPr>
      <w:r w:rsidRPr="00D005A2">
        <w:t>In</w:t>
      </w:r>
      <w:r w:rsidR="00FB32A1">
        <w:t xml:space="preserve"> </w:t>
      </w:r>
      <w:r w:rsidRPr="00D005A2">
        <w:rPr>
          <w:i/>
        </w:rPr>
        <w:t>Tunisia</w:t>
      </w:r>
      <w:r w:rsidR="00FB32A1">
        <w:rPr>
          <w:i/>
        </w:rPr>
        <w:t xml:space="preserve"> v. </w:t>
      </w:r>
      <w:r w:rsidRPr="00D005A2">
        <w:rPr>
          <w:i/>
        </w:rPr>
        <w:t>Libya</w:t>
      </w:r>
      <w:r w:rsidRPr="00D005A2">
        <w:t xml:space="preserve">, </w:t>
      </w:r>
      <w:r w:rsidR="00EA4E04" w:rsidRPr="00EA4E04">
        <w:t>t</w:t>
      </w:r>
      <w:r w:rsidR="003B2388">
        <w:t>his</w:t>
      </w:r>
      <w:r w:rsidR="00EA4E04" w:rsidRPr="00EA4E04">
        <w:t xml:space="preserve"> Court rejected Malta’s request to intervene because it would have required th</w:t>
      </w:r>
      <w:r w:rsidR="003B2388">
        <w:t>is</w:t>
      </w:r>
      <w:r w:rsidR="00EA4E04" w:rsidRPr="00EA4E04">
        <w:t xml:space="preserve"> Court to prejudge Malta’s claims against the Parties</w:t>
      </w:r>
      <w:r w:rsidR="002C72B9" w:rsidRPr="00EA4E04">
        <w:t>.</w:t>
      </w:r>
      <w:r w:rsidR="002C72B9" w:rsidRPr="00D005A2">
        <w:rPr>
          <w:vertAlign w:val="superscript"/>
        </w:rPr>
        <w:footnoteReference w:id="21"/>
      </w:r>
      <w:r w:rsidR="002C72B9" w:rsidRPr="00EA4E04">
        <w:t xml:space="preserve"> This Court similarly rejected Italy’s intervention in</w:t>
      </w:r>
      <w:r w:rsidRPr="00EA4E04">
        <w:t xml:space="preserve"> </w:t>
      </w:r>
      <w:r w:rsidRPr="00EA4E04">
        <w:rPr>
          <w:i/>
        </w:rPr>
        <w:t>Libya</w:t>
      </w:r>
      <w:r w:rsidR="00B47E23" w:rsidRPr="00EA4E04">
        <w:rPr>
          <w:i/>
        </w:rPr>
        <w:t xml:space="preserve"> v. </w:t>
      </w:r>
      <w:r w:rsidRPr="00EA4E04">
        <w:rPr>
          <w:i/>
        </w:rPr>
        <w:t>Malta</w:t>
      </w:r>
      <w:r w:rsidRPr="00EA4E04">
        <w:t>,</w:t>
      </w:r>
      <w:r w:rsidR="002C72B9" w:rsidRPr="00EA4E04">
        <w:t xml:space="preserve"> </w:t>
      </w:r>
      <w:r w:rsidR="00D24BA5" w:rsidRPr="00EA4E04">
        <w:t>which</w:t>
      </w:r>
      <w:r w:rsidR="00452F5B">
        <w:t>,</w:t>
      </w:r>
      <w:r w:rsidR="00D24BA5" w:rsidRPr="00EA4E04">
        <w:t xml:space="preserve"> if granted,</w:t>
      </w:r>
      <w:r w:rsidR="002C72B9" w:rsidRPr="00EA4E04">
        <w:t xml:space="preserve"> would have required th</w:t>
      </w:r>
      <w:r w:rsidR="000E1E22">
        <w:t>is</w:t>
      </w:r>
      <w:r w:rsidR="002C72B9" w:rsidRPr="00EA4E04">
        <w:t xml:space="preserve"> Court to pronounce upon </w:t>
      </w:r>
      <w:r w:rsidR="00D005A2" w:rsidRPr="00EA4E04">
        <w:t>Italy’s</w:t>
      </w:r>
      <w:r w:rsidR="002C72B9" w:rsidRPr="00EA4E04">
        <w:t xml:space="preserve"> rights.</w:t>
      </w:r>
      <w:r w:rsidR="007831D3">
        <w:rPr>
          <w:rStyle w:val="FootnoteReference"/>
          <w:color w:val="000000" w:themeColor="text1"/>
        </w:rPr>
        <w:footnoteReference w:id="22"/>
      </w:r>
      <w:r w:rsidR="00D0446D" w:rsidRPr="00EA4E04">
        <w:t xml:space="preserve"> Th</w:t>
      </w:r>
      <w:r w:rsidR="00934BA5" w:rsidRPr="00EA4E04">
        <w:t xml:space="preserve">is </w:t>
      </w:r>
      <w:r w:rsidR="00D0446D" w:rsidRPr="00EA4E04">
        <w:t>Court further clarified that where a State seeks a pronouncement on its own rights, the proper procedure is for the third State to commence its own mainline proceedings and</w:t>
      </w:r>
      <w:r w:rsidR="00C84593" w:rsidRPr="00EA4E04">
        <w:t xml:space="preserve"> </w:t>
      </w:r>
      <w:r w:rsidR="00D0446D" w:rsidRPr="00EA4E04">
        <w:t>seek joinder.</w:t>
      </w:r>
      <w:r w:rsidR="00A511F2">
        <w:rPr>
          <w:rStyle w:val="FootnoteReference"/>
          <w:color w:val="000000" w:themeColor="text1"/>
        </w:rPr>
        <w:footnoteReference w:id="23"/>
      </w:r>
      <w:r w:rsidR="00D0446D" w:rsidRPr="00EA4E04">
        <w:t> </w:t>
      </w:r>
      <w:r w:rsidR="00C84593" w:rsidRPr="00EA4E04">
        <w:t xml:space="preserve">This approach avoids collapsing the distinction between principal proceedings and intervention, promotes judicial economy by preventing serial litigation, and ensures that any resulting judgment binds all Parties. </w:t>
      </w:r>
    </w:p>
    <w:p w14:paraId="76655D3F" w14:textId="77777777" w:rsidR="00ED6511" w:rsidRPr="00EA4E04" w:rsidRDefault="00ED6511" w:rsidP="00ED6511">
      <w:pPr>
        <w:pStyle w:val="ListParagraph"/>
        <w:numPr>
          <w:ilvl w:val="0"/>
          <w:numId w:val="0"/>
        </w:numPr>
      </w:pPr>
    </w:p>
    <w:p w14:paraId="1D16902C" w14:textId="5716379B" w:rsidR="00102F20" w:rsidRPr="00395591" w:rsidRDefault="005F1DF9" w:rsidP="00EF7AEA">
      <w:pPr>
        <w:pStyle w:val="Heading1"/>
        <w:keepLines w:val="0"/>
        <w:spacing w:after="160" w:line="240" w:lineRule="auto"/>
        <w:rPr>
          <w:rFonts w:ascii="Times New Roman Bold" w:hAnsi="Times New Roman Bold"/>
          <w:caps/>
          <w:smallCaps w:val="0"/>
        </w:rPr>
      </w:pPr>
      <w:bookmarkStart w:id="11" w:name="_Toc219103222"/>
      <w:r w:rsidRPr="00395591">
        <w:rPr>
          <w:rFonts w:ascii="Times New Roman Bold" w:hAnsi="Times New Roman Bold"/>
          <w:caps/>
          <w:smallCaps w:val="0"/>
        </w:rPr>
        <w:t>Restovia Did Not Breach Any International Law Obligation Related to Consultation</w:t>
      </w:r>
      <w:r w:rsidR="00395591">
        <w:rPr>
          <w:rFonts w:ascii="Times New Roman Bold" w:hAnsi="Times New Roman Bold"/>
          <w:caps/>
          <w:smallCaps w:val="0"/>
        </w:rPr>
        <w:t xml:space="preserve"> or </w:t>
      </w:r>
      <w:r w:rsidR="0096291C">
        <w:rPr>
          <w:rFonts w:ascii="Times New Roman Bold" w:hAnsi="Times New Roman Bold"/>
          <w:caps/>
          <w:smallCaps w:val="0"/>
        </w:rPr>
        <w:t>C</w:t>
      </w:r>
      <w:r w:rsidR="00395591">
        <w:rPr>
          <w:rFonts w:ascii="Times New Roman Bold" w:hAnsi="Times New Roman Bold"/>
          <w:caps/>
          <w:smallCaps w:val="0"/>
        </w:rPr>
        <w:t>onsent</w:t>
      </w:r>
      <w:bookmarkEnd w:id="11"/>
    </w:p>
    <w:p w14:paraId="2DAFFC63" w14:textId="3E9337BA" w:rsidR="001C0D2B" w:rsidRPr="007E75B4" w:rsidRDefault="005431A4" w:rsidP="007E75B4">
      <w:pPr>
        <w:pStyle w:val="ListParagraph"/>
        <w:rPr>
          <w:color w:val="000000" w:themeColor="text1"/>
        </w:rPr>
      </w:pPr>
      <w:r w:rsidRPr="001C0D2B">
        <w:t xml:space="preserve">Restovia did not breach any treaty or customary international law obligation relating to consultation or </w:t>
      </w:r>
      <w:r w:rsidR="002F01CE">
        <w:t>FPIC</w:t>
      </w:r>
      <w:r w:rsidRPr="001C0D2B">
        <w:t xml:space="preserve"> because ARPA establishes duties of consultation rather than a </w:t>
      </w:r>
      <w:r w:rsidR="001C0D2B" w:rsidRPr="001C0D2B">
        <w:t xml:space="preserve">strict </w:t>
      </w:r>
      <w:r w:rsidRPr="001C0D2B">
        <w:t>requirement to obtain consent</w:t>
      </w:r>
      <w:r w:rsidR="00C22C02">
        <w:t xml:space="preserve"> </w:t>
      </w:r>
      <w:r w:rsidRPr="001C0D2B">
        <w:t>[</w:t>
      </w:r>
      <w:r w:rsidR="00AF35C2" w:rsidRPr="00FF4B99">
        <w:rPr>
          <w:b/>
          <w:bCs/>
        </w:rPr>
        <w:t>A</w:t>
      </w:r>
      <w:r w:rsidRPr="001C0D2B">
        <w:t>]</w:t>
      </w:r>
      <w:r w:rsidR="00516EBC">
        <w:t>,</w:t>
      </w:r>
      <w:r w:rsidR="001C0D2B">
        <w:t xml:space="preserve"> </w:t>
      </w:r>
      <w:r w:rsidRPr="001C0D2B">
        <w:t xml:space="preserve">and no customary international law </w:t>
      </w:r>
      <w:r w:rsidR="001C0D2B" w:rsidRPr="001C0D2B">
        <w:rPr>
          <w:color w:val="000000" w:themeColor="text1"/>
        </w:rPr>
        <w:t>required Restovia to obtain consent [</w:t>
      </w:r>
      <w:r w:rsidR="001C0D2B" w:rsidRPr="00FF4B99">
        <w:rPr>
          <w:b/>
          <w:bCs/>
          <w:color w:val="000000" w:themeColor="text1"/>
        </w:rPr>
        <w:t>B</w:t>
      </w:r>
      <w:r w:rsidR="001C0D2B" w:rsidRPr="001C0D2B">
        <w:rPr>
          <w:color w:val="000000" w:themeColor="text1"/>
        </w:rPr>
        <w:t>].</w:t>
      </w:r>
      <w:r w:rsidR="0038141F">
        <w:rPr>
          <w:color w:val="000000" w:themeColor="text1"/>
        </w:rPr>
        <w:t xml:space="preserve"> </w:t>
      </w:r>
      <w:r w:rsidR="0038141F" w:rsidRPr="0038141F">
        <w:rPr>
          <w:color w:val="000000" w:themeColor="text1"/>
        </w:rPr>
        <w:t>Restovia satisfied any obligation to consult</w:t>
      </w:r>
      <w:r w:rsidR="00DA6BED">
        <w:rPr>
          <w:color w:val="000000" w:themeColor="text1"/>
        </w:rPr>
        <w:t xml:space="preserve"> under treaty or custom</w:t>
      </w:r>
      <w:r w:rsidR="0038141F" w:rsidRPr="0038141F">
        <w:rPr>
          <w:color w:val="000000" w:themeColor="text1"/>
        </w:rPr>
        <w:t xml:space="preserve">, including the more exacting standard under the sliding-scale model of </w:t>
      </w:r>
      <w:r w:rsidR="0038141F">
        <w:rPr>
          <w:color w:val="000000" w:themeColor="text1"/>
        </w:rPr>
        <w:t>FPIC [</w:t>
      </w:r>
      <w:r w:rsidR="0038141F" w:rsidRPr="00FF4B99">
        <w:rPr>
          <w:b/>
          <w:bCs/>
          <w:color w:val="000000" w:themeColor="text1"/>
        </w:rPr>
        <w:t>C</w:t>
      </w:r>
      <w:r w:rsidR="0038141F">
        <w:rPr>
          <w:color w:val="000000" w:themeColor="text1"/>
        </w:rPr>
        <w:t>].</w:t>
      </w:r>
      <w:r w:rsidR="0038141F" w:rsidRPr="0038141F">
        <w:rPr>
          <w:color w:val="000000" w:themeColor="text1"/>
        </w:rPr>
        <w:t xml:space="preserve"> </w:t>
      </w:r>
      <w:r w:rsidR="007E75B4" w:rsidRPr="007E75B4">
        <w:rPr>
          <w:color w:val="000000" w:themeColor="text1"/>
        </w:rPr>
        <w:t xml:space="preserve">Even if </w:t>
      </w:r>
      <w:r w:rsidR="007E75B4">
        <w:rPr>
          <w:color w:val="000000" w:themeColor="text1"/>
        </w:rPr>
        <w:t>R</w:t>
      </w:r>
      <w:r w:rsidR="007E75B4" w:rsidRPr="007E75B4">
        <w:rPr>
          <w:color w:val="000000" w:themeColor="text1"/>
        </w:rPr>
        <w:t>estovia</w:t>
      </w:r>
      <w:r w:rsidR="00FB7BA7">
        <w:rPr>
          <w:color w:val="000000" w:themeColor="text1"/>
        </w:rPr>
        <w:t>’s</w:t>
      </w:r>
      <w:r w:rsidR="007E75B4" w:rsidRPr="007E75B4">
        <w:rPr>
          <w:color w:val="000000" w:themeColor="text1"/>
        </w:rPr>
        <w:t xml:space="preserve"> conduct limited </w:t>
      </w:r>
      <w:r w:rsidR="007E75B4">
        <w:rPr>
          <w:color w:val="000000" w:themeColor="text1"/>
        </w:rPr>
        <w:t>P</w:t>
      </w:r>
      <w:r w:rsidR="007E75B4" w:rsidRPr="007E75B4">
        <w:rPr>
          <w:color w:val="000000" w:themeColor="text1"/>
        </w:rPr>
        <w:t xml:space="preserve">ilemon </w:t>
      </w:r>
      <w:r w:rsidR="007A2AB7">
        <w:rPr>
          <w:color w:val="000000" w:themeColor="text1"/>
        </w:rPr>
        <w:t xml:space="preserve">peoples’ </w:t>
      </w:r>
      <w:r w:rsidR="007E75B4" w:rsidRPr="007E75B4">
        <w:rPr>
          <w:color w:val="000000" w:themeColor="text1"/>
        </w:rPr>
        <w:t xml:space="preserve">rights relating to </w:t>
      </w:r>
      <w:r w:rsidR="007E75B4">
        <w:rPr>
          <w:color w:val="000000" w:themeColor="text1"/>
        </w:rPr>
        <w:t xml:space="preserve">FPIC, </w:t>
      </w:r>
      <w:r w:rsidR="007E75B4" w:rsidRPr="007E75B4">
        <w:rPr>
          <w:color w:val="000000" w:themeColor="text1"/>
        </w:rPr>
        <w:t>this limitation was valid</w:t>
      </w:r>
      <w:r w:rsidR="00506B08">
        <w:rPr>
          <w:color w:val="000000" w:themeColor="text1"/>
        </w:rPr>
        <w:t xml:space="preserve"> [</w:t>
      </w:r>
      <w:r w:rsidR="00506B08" w:rsidRPr="00FF4B99">
        <w:rPr>
          <w:b/>
          <w:bCs/>
          <w:color w:val="000000" w:themeColor="text1"/>
        </w:rPr>
        <w:t>D</w:t>
      </w:r>
      <w:r w:rsidR="00506B08">
        <w:rPr>
          <w:color w:val="000000" w:themeColor="text1"/>
        </w:rPr>
        <w:t>]</w:t>
      </w:r>
      <w:r w:rsidR="007E75B4">
        <w:rPr>
          <w:color w:val="000000" w:themeColor="text1"/>
        </w:rPr>
        <w:t xml:space="preserve">. </w:t>
      </w:r>
      <w:r w:rsidR="007E75B4" w:rsidRPr="007E75B4">
        <w:rPr>
          <w:color w:val="000000" w:themeColor="text1"/>
        </w:rPr>
        <w:t xml:space="preserve"> </w:t>
      </w:r>
    </w:p>
    <w:p w14:paraId="3021205F" w14:textId="151103BE" w:rsidR="00660F63" w:rsidRPr="00AC29A9" w:rsidRDefault="00660F63" w:rsidP="00EF7AEA">
      <w:pPr>
        <w:pStyle w:val="Heading2"/>
        <w:keepLines w:val="0"/>
        <w:numPr>
          <w:ilvl w:val="0"/>
          <w:numId w:val="26"/>
        </w:numPr>
        <w:spacing w:after="160" w:line="240" w:lineRule="auto"/>
      </w:pPr>
      <w:bookmarkStart w:id="12" w:name="_Toc219103223"/>
      <w:r w:rsidRPr="00AC29A9">
        <w:t xml:space="preserve">Restovia Did </w:t>
      </w:r>
      <w:r w:rsidR="00E53D2A" w:rsidRPr="00AC29A9">
        <w:t xml:space="preserve">Not Have an Obligation to Obtain the Consent of Pilemon Communities </w:t>
      </w:r>
      <w:r w:rsidR="00FF4B99" w:rsidRPr="00AC29A9">
        <w:t>u</w:t>
      </w:r>
      <w:r w:rsidR="00E53D2A" w:rsidRPr="00AC29A9">
        <w:t>nder Treaty Law</w:t>
      </w:r>
      <w:bookmarkEnd w:id="12"/>
      <w:r w:rsidR="00E53D2A" w:rsidRPr="00AC29A9">
        <w:t xml:space="preserve"> </w:t>
      </w:r>
    </w:p>
    <w:p w14:paraId="72588BD2" w14:textId="643CAAC4" w:rsidR="001965CA" w:rsidRPr="00EC24C3" w:rsidRDefault="001965CA" w:rsidP="003308C5">
      <w:pPr>
        <w:pStyle w:val="ListParagraph"/>
      </w:pPr>
      <w:r w:rsidRPr="001633DB">
        <w:t>Restovia complied with its</w:t>
      </w:r>
      <w:r w:rsidR="00A94F97">
        <w:t xml:space="preserve"> treaty</w:t>
      </w:r>
      <w:r w:rsidRPr="001633DB">
        <w:t xml:space="preserve"> obligations under ARPA.</w:t>
      </w:r>
      <w:r w:rsidR="001633DB">
        <w:rPr>
          <w:color w:val="EE0000"/>
        </w:rPr>
        <w:t xml:space="preserve"> </w:t>
      </w:r>
      <w:r w:rsidRPr="001633DB">
        <w:t xml:space="preserve">ARPA establishes duties of consultation and cooperation, not a requirement to obtain </w:t>
      </w:r>
      <w:r w:rsidR="00A94F97">
        <w:t>FPIC</w:t>
      </w:r>
      <w:r w:rsidR="00EE79EC">
        <w:t xml:space="preserve"> [1]</w:t>
      </w:r>
      <w:r w:rsidRPr="001633DB">
        <w:t>.</w:t>
      </w:r>
      <w:r w:rsidRPr="00EC24C3">
        <w:t xml:space="preserve"> Even if Article 18 </w:t>
      </w:r>
      <w:r w:rsidR="001633DB" w:rsidRPr="00EC24C3">
        <w:t xml:space="preserve">of ARPA </w:t>
      </w:r>
      <w:r w:rsidRPr="00EC24C3">
        <w:t xml:space="preserve">is read as </w:t>
      </w:r>
      <w:r w:rsidR="00A94F97">
        <w:t>incorporating</w:t>
      </w:r>
      <w:r w:rsidRPr="00EC24C3">
        <w:t xml:space="preserve"> FPIC, this entails adopting a sliding</w:t>
      </w:r>
      <w:r w:rsidR="00A94F97">
        <w:t>-</w:t>
      </w:r>
      <w:r w:rsidRPr="00EC24C3">
        <w:t xml:space="preserve">scale model, rather than a categorical veto </w:t>
      </w:r>
      <w:r w:rsidR="00A94F97">
        <w:t>right</w:t>
      </w:r>
      <w:r w:rsidR="002F154D">
        <w:t xml:space="preserve"> [2]</w:t>
      </w:r>
      <w:r w:rsidRPr="00EC24C3">
        <w:t xml:space="preserve">. </w:t>
      </w:r>
    </w:p>
    <w:p w14:paraId="2EDBD980" w14:textId="02C11455" w:rsidR="00631676" w:rsidRPr="00E8565F" w:rsidRDefault="00631676" w:rsidP="00EF7AEA">
      <w:pPr>
        <w:pStyle w:val="Heading3"/>
        <w:keepLines w:val="0"/>
        <w:numPr>
          <w:ilvl w:val="0"/>
          <w:numId w:val="27"/>
        </w:numPr>
        <w:spacing w:after="160" w:line="240" w:lineRule="auto"/>
        <w:ind w:left="1440" w:hanging="743"/>
      </w:pPr>
      <w:bookmarkStart w:id="13" w:name="_Toc219103224"/>
      <w:r w:rsidRPr="00E8565F">
        <w:t xml:space="preserve">The Terms of </w:t>
      </w:r>
      <w:r w:rsidR="00E8565F" w:rsidRPr="00E8565F">
        <w:t>ARPA</w:t>
      </w:r>
      <w:r w:rsidRPr="00E8565F">
        <w:t xml:space="preserve"> Impose an Obligation to Consult and Cooperate, Not to Obtain Consent</w:t>
      </w:r>
      <w:bookmarkEnd w:id="13"/>
    </w:p>
    <w:p w14:paraId="2BD62BDF" w14:textId="2245B15D" w:rsidR="00AD44BC" w:rsidRDefault="00C0662D" w:rsidP="003308C5">
      <w:pPr>
        <w:pStyle w:val="ListParagraph"/>
      </w:pPr>
      <w:r w:rsidRPr="00BB4038">
        <w:t xml:space="preserve">ARPA </w:t>
      </w:r>
      <w:r w:rsidR="00F36086">
        <w:t xml:space="preserve">establishes </w:t>
      </w:r>
      <w:r w:rsidRPr="00BB4038">
        <w:t xml:space="preserve">procedural mechanisms to ensure </w:t>
      </w:r>
      <w:r w:rsidR="00355A8F" w:rsidRPr="00BB4038">
        <w:t xml:space="preserve">Pilemon </w:t>
      </w:r>
      <w:r w:rsidR="003D3251">
        <w:t xml:space="preserve">peoples’ </w:t>
      </w:r>
      <w:r w:rsidRPr="00BB4038">
        <w:t xml:space="preserve">participation, but </w:t>
      </w:r>
      <w:r w:rsidR="00355A8F">
        <w:t>it does</w:t>
      </w:r>
      <w:r w:rsidRPr="00BB4038">
        <w:t xml:space="preserve"> not require Restovia to obtain their consent. </w:t>
      </w:r>
      <w:r w:rsidR="00F36086" w:rsidRPr="00946AD3">
        <w:t>Although ARPA predates the Vienna Convention</w:t>
      </w:r>
      <w:r w:rsidR="00946AD3">
        <w:t xml:space="preserve"> </w:t>
      </w:r>
      <w:r w:rsidR="00946AD3" w:rsidRPr="00946AD3">
        <w:t>on the Law of Treaties</w:t>
      </w:r>
      <w:r w:rsidR="00946AD3">
        <w:t xml:space="preserve"> (“VCLT”)</w:t>
      </w:r>
      <w:r w:rsidR="00F36086" w:rsidRPr="00946AD3">
        <w:t>, the interpretive rules in</w:t>
      </w:r>
      <w:r w:rsidR="00A82BE7" w:rsidRPr="00946AD3">
        <w:t xml:space="preserve"> Articles 31 to 33 </w:t>
      </w:r>
      <w:r w:rsidR="00F36086" w:rsidRPr="00946AD3">
        <w:t>apply because they represent pre-existing customary law.</w:t>
      </w:r>
      <w:r w:rsidR="00F36086" w:rsidRPr="00BB4038">
        <w:rPr>
          <w:rStyle w:val="FootnoteReference"/>
          <w:color w:val="000000" w:themeColor="text1"/>
        </w:rPr>
        <w:footnoteReference w:id="24"/>
      </w:r>
      <w:r w:rsidR="00F36086" w:rsidRPr="00946AD3">
        <w:t xml:space="preserve"> </w:t>
      </w:r>
    </w:p>
    <w:p w14:paraId="70053910" w14:textId="786BBEB3" w:rsidR="00D60579" w:rsidRPr="00946AD3" w:rsidRDefault="00D60579" w:rsidP="003308C5">
      <w:pPr>
        <w:pStyle w:val="ListParagraph"/>
      </w:pPr>
      <w:r w:rsidRPr="00946AD3">
        <w:t xml:space="preserve">ARPA’s text, context, and purpose </w:t>
      </w:r>
      <w:r w:rsidR="00F36086" w:rsidRPr="00946AD3">
        <w:t>show</w:t>
      </w:r>
      <w:r w:rsidRPr="00946AD3">
        <w:t xml:space="preserve"> that </w:t>
      </w:r>
      <w:r w:rsidR="00AD44BC">
        <w:t>it</w:t>
      </w:r>
      <w:r w:rsidRPr="00946AD3">
        <w:t xml:space="preserve"> establishe</w:t>
      </w:r>
      <w:r w:rsidR="00A94F97" w:rsidRPr="00946AD3">
        <w:t>s a</w:t>
      </w:r>
      <w:r w:rsidRPr="00946AD3">
        <w:t xml:space="preserve"> dut</w:t>
      </w:r>
      <w:r w:rsidR="00A94F97" w:rsidRPr="00946AD3">
        <w:t>y</w:t>
      </w:r>
      <w:r w:rsidRPr="00946AD3">
        <w:t xml:space="preserve"> </w:t>
      </w:r>
      <w:r w:rsidR="00A94F97" w:rsidRPr="00946AD3">
        <w:t>to consult</w:t>
      </w:r>
      <w:r w:rsidRPr="00946AD3">
        <w:t>, not a requirement to obtain consent.</w:t>
      </w:r>
      <w:r w:rsidR="00584C7E" w:rsidRPr="00EF072A">
        <w:rPr>
          <w:rStyle w:val="FootnoteReference"/>
          <w:color w:val="000000" w:themeColor="text1"/>
        </w:rPr>
        <w:footnoteReference w:id="25"/>
      </w:r>
      <w:r w:rsidRPr="00946AD3">
        <w:t xml:space="preserve"> </w:t>
      </w:r>
      <w:r w:rsidR="00EF072A" w:rsidRPr="00946AD3">
        <w:t>By employing terms such as “</w:t>
      </w:r>
      <w:proofErr w:type="spellStart"/>
      <w:r w:rsidR="00EF072A" w:rsidRPr="00946AD3">
        <w:t>inclu</w:t>
      </w:r>
      <w:proofErr w:type="spellEnd"/>
      <w:r w:rsidR="00EF072A" w:rsidRPr="00946AD3">
        <w:t>[</w:t>
      </w:r>
      <w:proofErr w:type="spellStart"/>
      <w:r w:rsidR="00EF072A" w:rsidRPr="00946AD3">
        <w:t>sion</w:t>
      </w:r>
      <w:proofErr w:type="spellEnd"/>
      <w:r w:rsidR="00EF072A" w:rsidRPr="00946AD3">
        <w:t>] in decision-making”</w:t>
      </w:r>
      <w:r w:rsidR="00C23657">
        <w:t>,</w:t>
      </w:r>
      <w:r w:rsidR="00EF072A" w:rsidRPr="00EF072A">
        <w:rPr>
          <w:rStyle w:val="FootnoteReference"/>
          <w:color w:val="000000" w:themeColor="text1"/>
        </w:rPr>
        <w:footnoteReference w:id="26"/>
      </w:r>
      <w:r w:rsidR="00F36086" w:rsidRPr="00946AD3">
        <w:t xml:space="preserve"> ARPA enables participation in a process, but does not prescribe decision-making authority. </w:t>
      </w:r>
      <w:r w:rsidRPr="00946AD3">
        <w:t xml:space="preserve">If ARPA was designed to create a consent regime, it would do so with explicit terms such as “subject to approval” or “requiring agreement.” </w:t>
      </w:r>
    </w:p>
    <w:p w14:paraId="3AFA0927" w14:textId="2C5402DF" w:rsidR="00A94F97" w:rsidRPr="009D7DEB" w:rsidRDefault="003A4A05" w:rsidP="003308C5">
      <w:pPr>
        <w:pStyle w:val="ListParagraph"/>
      </w:pPr>
      <w:r w:rsidRPr="00DC66F4">
        <w:lastRenderedPageBreak/>
        <w:t>Further, the text does not include mechanisms through which consent must be expressed, recorded, or verified, nor does it define how consent is to be determined across Pilemon communities living in three different States, each of which adopts a different form of political inclusion.</w:t>
      </w:r>
      <w:r w:rsidR="00DC66F4">
        <w:rPr>
          <w:rStyle w:val="FootnoteReference"/>
          <w:color w:val="000000" w:themeColor="text1"/>
        </w:rPr>
        <w:footnoteReference w:id="27"/>
      </w:r>
      <w:r w:rsidRPr="00DC66F4">
        <w:t xml:space="preserve"> </w:t>
      </w:r>
      <w:r w:rsidR="00A94F97" w:rsidRPr="00BC76EE">
        <w:t>Where States intend to require mutual consent, they adopt joint-institutional arrangements</w:t>
      </w:r>
      <w:r w:rsidR="00A94F97">
        <w:t xml:space="preserve">. For example, </w:t>
      </w:r>
      <w:r w:rsidR="009D7DEB">
        <w:t xml:space="preserve">the State Parties to </w:t>
      </w:r>
      <w:r w:rsidR="00A94F97" w:rsidRPr="009D7DEB">
        <w:t xml:space="preserve">the </w:t>
      </w:r>
      <w:r w:rsidR="00A94F97" w:rsidRPr="009D7DEB">
        <w:rPr>
          <w:rFonts w:eastAsia="Times New Roman"/>
          <w:kern w:val="0"/>
          <w14:ligatures w14:val="none"/>
        </w:rPr>
        <w:t>Antarctic Treaty</w:t>
      </w:r>
      <w:r w:rsidR="009D7DEB">
        <w:rPr>
          <w:rFonts w:eastAsia="Times New Roman"/>
          <w:i/>
          <w:iCs/>
          <w:kern w:val="0"/>
          <w14:ligatures w14:val="none"/>
        </w:rPr>
        <w:t xml:space="preserve"> </w:t>
      </w:r>
      <w:r w:rsidR="00A94F97" w:rsidRPr="009D7DEB">
        <w:rPr>
          <w:rFonts w:eastAsia="Times New Roman"/>
          <w:kern w:val="0"/>
          <w:lang w:val="en-US"/>
          <w14:ligatures w14:val="none"/>
        </w:rPr>
        <w:t xml:space="preserve">created a joint decision-making regime by </w:t>
      </w:r>
      <w:r w:rsidR="00A94F97" w:rsidRPr="009D7DEB">
        <w:rPr>
          <w:rFonts w:eastAsia="Times New Roman"/>
          <w:kern w:val="0"/>
          <w14:ligatures w14:val="none"/>
        </w:rPr>
        <w:t>establishing</w:t>
      </w:r>
      <w:r w:rsidR="00A8257C">
        <w:rPr>
          <w:rFonts w:eastAsia="Times New Roman"/>
          <w:kern w:val="0"/>
          <w14:ligatures w14:val="none"/>
        </w:rPr>
        <w:t xml:space="preserve"> </w:t>
      </w:r>
      <w:r w:rsidR="00A94F97" w:rsidRPr="009D7DEB">
        <w:rPr>
          <w:rFonts w:eastAsia="Times New Roman"/>
          <w:kern w:val="0"/>
          <w14:ligatures w14:val="none"/>
        </w:rPr>
        <w:t>procedures for consultative meetings and consensus-based decision-making.</w:t>
      </w:r>
      <w:r w:rsidR="00A94F97">
        <w:rPr>
          <w:rStyle w:val="FootnoteReference"/>
          <w:rFonts w:eastAsia="Times New Roman"/>
          <w:kern w:val="0"/>
          <w14:ligatures w14:val="none"/>
        </w:rPr>
        <w:footnoteReference w:id="28"/>
      </w:r>
      <w:r w:rsidR="00A94F97" w:rsidRPr="009D7DEB">
        <w:rPr>
          <w:rFonts w:eastAsia="Times New Roman"/>
          <w:kern w:val="0"/>
          <w14:ligatures w14:val="none"/>
        </w:rPr>
        <w:t xml:space="preserve"> In the Svalbard Treaty, the State </w:t>
      </w:r>
      <w:r w:rsidR="00064499">
        <w:rPr>
          <w:rFonts w:eastAsia="Times New Roman"/>
          <w:kern w:val="0"/>
          <w14:ligatures w14:val="none"/>
        </w:rPr>
        <w:t>p</w:t>
      </w:r>
      <w:r w:rsidR="00A94F97" w:rsidRPr="009D7DEB">
        <w:rPr>
          <w:rFonts w:eastAsia="Times New Roman"/>
          <w:kern w:val="0"/>
          <w14:ligatures w14:val="none"/>
        </w:rPr>
        <w:t xml:space="preserve">arties set out to share control over the relevant </w:t>
      </w:r>
      <w:r w:rsidR="00A8257C">
        <w:rPr>
          <w:rFonts w:eastAsia="Times New Roman"/>
          <w:kern w:val="0"/>
          <w14:ligatures w14:val="none"/>
        </w:rPr>
        <w:t>areas</w:t>
      </w:r>
      <w:r w:rsidR="00A94F97" w:rsidRPr="009D7DEB">
        <w:rPr>
          <w:rFonts w:eastAsia="Times New Roman"/>
          <w:kern w:val="0"/>
          <w14:ligatures w14:val="none"/>
        </w:rPr>
        <w:t xml:space="preserve"> by creating a multilateral regime governing territorial rights.</w:t>
      </w:r>
      <w:r w:rsidR="00A94F97">
        <w:rPr>
          <w:rStyle w:val="FootnoteReference"/>
          <w:rFonts w:eastAsia="Times New Roman"/>
          <w:kern w:val="0"/>
          <w14:ligatures w14:val="none"/>
        </w:rPr>
        <w:footnoteReference w:id="29"/>
      </w:r>
      <w:r w:rsidR="00A94F97" w:rsidRPr="009D7DEB">
        <w:rPr>
          <w:rFonts w:eastAsia="Times New Roman"/>
          <w:kern w:val="0"/>
          <w14:ligatures w14:val="none"/>
        </w:rPr>
        <w:t xml:space="preserve"> In the Mekong Agreement, the State </w:t>
      </w:r>
      <w:r w:rsidR="0092262B">
        <w:rPr>
          <w:rFonts w:eastAsia="Times New Roman"/>
          <w:kern w:val="0"/>
          <w14:ligatures w14:val="none"/>
        </w:rPr>
        <w:t>p</w:t>
      </w:r>
      <w:r w:rsidR="00A94F97" w:rsidRPr="009D7DEB">
        <w:rPr>
          <w:rFonts w:eastAsia="Times New Roman"/>
          <w:kern w:val="0"/>
          <w14:ligatures w14:val="none"/>
        </w:rPr>
        <w:t>arties established a framework for shared control by creating a commission with joint decision-making functions.</w:t>
      </w:r>
      <w:r w:rsidR="00A94F97">
        <w:rPr>
          <w:rStyle w:val="FootnoteReference"/>
          <w:rFonts w:eastAsia="Times New Roman"/>
          <w:kern w:val="0"/>
          <w14:ligatures w14:val="none"/>
        </w:rPr>
        <w:footnoteReference w:id="30"/>
      </w:r>
      <w:r w:rsidR="00A94F97" w:rsidRPr="009D7DEB">
        <w:rPr>
          <w:rFonts w:eastAsia="Times New Roman"/>
          <w:kern w:val="0"/>
          <w14:ligatures w14:val="none"/>
        </w:rPr>
        <w:t xml:space="preserve"> ARPA does not contain such frameworks</w:t>
      </w:r>
      <w:r w:rsidR="00A64753">
        <w:rPr>
          <w:rFonts w:eastAsia="Times New Roman"/>
          <w:kern w:val="0"/>
          <w14:ligatures w14:val="none"/>
        </w:rPr>
        <w:t xml:space="preserve">, </w:t>
      </w:r>
      <w:r w:rsidR="00A94F97" w:rsidRPr="009D7DEB">
        <w:rPr>
          <w:rFonts w:eastAsia="Times New Roman"/>
          <w:kern w:val="0"/>
          <w14:ligatures w14:val="none"/>
        </w:rPr>
        <w:t xml:space="preserve">indicating that Article 18 is limited to a </w:t>
      </w:r>
      <w:r w:rsidR="00A94F97" w:rsidRPr="009D7DEB">
        <w:t>procedural consultation obligation, rather than a consent requirement</w:t>
      </w:r>
      <w:r w:rsidR="00A94F97" w:rsidRPr="009D7DEB">
        <w:rPr>
          <w:rFonts w:eastAsia="Times New Roman"/>
          <w:kern w:val="0"/>
          <w14:ligatures w14:val="none"/>
        </w:rPr>
        <w:t xml:space="preserve">. </w:t>
      </w:r>
    </w:p>
    <w:p w14:paraId="02871E24" w14:textId="0668D62B" w:rsidR="00F36086" w:rsidRPr="00D81CA2" w:rsidRDefault="00F36086" w:rsidP="001678A6">
      <w:pPr>
        <w:pStyle w:val="ListParagraph"/>
      </w:pPr>
      <w:r w:rsidRPr="00D81CA2">
        <w:t xml:space="preserve">In </w:t>
      </w:r>
      <w:r w:rsidRPr="00D81CA2">
        <w:rPr>
          <w:rStyle w:val="Strong"/>
          <w:b w:val="0"/>
          <w:bCs w:val="0"/>
          <w:i/>
          <w:iCs/>
          <w:color w:val="000000" w:themeColor="text1"/>
        </w:rPr>
        <w:t>Lake Lanoux</w:t>
      </w:r>
      <w:r w:rsidRPr="00FF4B99">
        <w:rPr>
          <w:rStyle w:val="Strong"/>
          <w:b w:val="0"/>
          <w:bCs w:val="0"/>
          <w:color w:val="000000" w:themeColor="text1"/>
        </w:rPr>
        <w:t>,</w:t>
      </w:r>
      <w:r w:rsidRPr="00FF4B99">
        <w:t xml:space="preserve"> </w:t>
      </w:r>
      <w:r w:rsidRPr="00D81CA2">
        <w:t xml:space="preserve">the tribunal held that conditioning a </w:t>
      </w:r>
      <w:r w:rsidR="002D65C4">
        <w:t>S</w:t>
      </w:r>
      <w:r w:rsidRPr="00D81CA2">
        <w:t xml:space="preserve">tate’s ability to act within its own territory on another party’s </w:t>
      </w:r>
      <w:r w:rsidR="00A94F97">
        <w:t>consent</w:t>
      </w:r>
      <w:r w:rsidRPr="00D81CA2">
        <w:t xml:space="preserve"> would, in effect, </w:t>
      </w:r>
      <w:r w:rsidR="00A70B06">
        <w:t>act as</w:t>
      </w:r>
      <w:r w:rsidRPr="00D81CA2">
        <w:t xml:space="preserve"> a veto </w:t>
      </w:r>
      <w:r w:rsidR="00700033">
        <w:t>that</w:t>
      </w:r>
      <w:r w:rsidRPr="00D81CA2">
        <w:t xml:space="preserve"> paralyze</w:t>
      </w:r>
      <w:r w:rsidR="00700033">
        <w:t>s</w:t>
      </w:r>
      <w:r w:rsidRPr="00D81CA2">
        <w:t xml:space="preserve"> the </w:t>
      </w:r>
      <w:r w:rsidR="001678A6">
        <w:t xml:space="preserve">State’s exercise of </w:t>
      </w:r>
      <w:r w:rsidRPr="00D81CA2">
        <w:t>territorial jurisdiction.</w:t>
      </w:r>
      <w:r w:rsidRPr="00D81CA2">
        <w:rPr>
          <w:rStyle w:val="FootnoteReference"/>
          <w:color w:val="000000" w:themeColor="text1"/>
        </w:rPr>
        <w:footnoteReference w:id="31"/>
      </w:r>
      <w:r w:rsidRPr="00D81CA2">
        <w:t xml:space="preserve"> </w:t>
      </w:r>
      <w:r w:rsidR="00A70B06">
        <w:t>T</w:t>
      </w:r>
      <w:r w:rsidRPr="00D81CA2">
        <w:t xml:space="preserve">he tribunal emphasized that arrangements </w:t>
      </w:r>
      <w:r w:rsidR="004D0E95">
        <w:t xml:space="preserve">providing </w:t>
      </w:r>
      <w:r w:rsidRPr="00D81CA2">
        <w:t xml:space="preserve">for such a significant restriction on </w:t>
      </w:r>
      <w:r w:rsidR="00B974D7">
        <w:t>S</w:t>
      </w:r>
      <w:r w:rsidRPr="00D81CA2">
        <w:t xml:space="preserve">tate sovereignty are exceptional and require </w:t>
      </w:r>
      <w:r w:rsidR="001678A6">
        <w:t>clear and convincing evidence</w:t>
      </w:r>
      <w:r w:rsidRPr="00D81CA2">
        <w:t>.</w:t>
      </w:r>
      <w:r w:rsidR="001678A6">
        <w:rPr>
          <w:rStyle w:val="FootnoteReference"/>
        </w:rPr>
        <w:footnoteReference w:id="32"/>
      </w:r>
      <w:r w:rsidRPr="00D81CA2">
        <w:t xml:space="preserve"> </w:t>
      </w:r>
    </w:p>
    <w:p w14:paraId="35BD7004" w14:textId="77225087" w:rsidR="00C06E9A" w:rsidRPr="00384AA7" w:rsidRDefault="00384AA7" w:rsidP="003308C5">
      <w:pPr>
        <w:pStyle w:val="ListParagraph"/>
      </w:pPr>
      <w:r w:rsidRPr="00384AA7">
        <w:t>In </w:t>
      </w:r>
      <w:r w:rsidRPr="00384AA7">
        <w:rPr>
          <w:i/>
        </w:rPr>
        <w:t>Pulp Mills</w:t>
      </w:r>
      <w:r w:rsidRPr="00384AA7">
        <w:t>, th</w:t>
      </w:r>
      <w:r w:rsidR="00D373B3">
        <w:t>is</w:t>
      </w:r>
      <w:r w:rsidRPr="00384AA7">
        <w:t xml:space="preserve"> Court held that even where a treaty expressly provides for judicial dispute settlement when consent cannot be obtained, </w:t>
      </w:r>
      <w:r w:rsidR="008006A2">
        <w:t>there is no</w:t>
      </w:r>
      <w:r w:rsidRPr="00384AA7">
        <w:t xml:space="preserve"> obligation </w:t>
      </w:r>
      <w:r w:rsidR="00734D91">
        <w:t xml:space="preserve">to obtain </w:t>
      </w:r>
      <w:r w:rsidRPr="00384AA7">
        <w:t>prior consent.</w:t>
      </w:r>
      <w:r w:rsidR="00C06E9A" w:rsidRPr="00C06E9A">
        <w:rPr>
          <w:vertAlign w:val="superscript"/>
        </w:rPr>
        <w:footnoteReference w:id="33"/>
      </w:r>
      <w:r w:rsidR="00C06E9A" w:rsidRPr="00384AA7">
        <w:t xml:space="preserve"> Once consultations conclud</w:t>
      </w:r>
      <w:r w:rsidR="001A599C">
        <w:t>e</w:t>
      </w:r>
      <w:r w:rsidR="00700033" w:rsidRPr="00384AA7">
        <w:t>,</w:t>
      </w:r>
      <w:r w:rsidR="00C06E9A" w:rsidRPr="00384AA7">
        <w:t xml:space="preserve"> the acting State remain</w:t>
      </w:r>
      <w:r w:rsidR="001A599C">
        <w:t>s</w:t>
      </w:r>
      <w:r w:rsidR="00C06E9A" w:rsidRPr="00384AA7">
        <w:t xml:space="preserve"> free to proceed without the other party’s approval.</w:t>
      </w:r>
      <w:r>
        <w:rPr>
          <w:rStyle w:val="FootnoteReference"/>
          <w:color w:val="000000" w:themeColor="text1"/>
        </w:rPr>
        <w:footnoteReference w:id="34"/>
      </w:r>
      <w:r w:rsidR="00C06E9A" w:rsidRPr="00384AA7">
        <w:t xml:space="preserve"> </w:t>
      </w:r>
    </w:p>
    <w:p w14:paraId="737C4FC5" w14:textId="3C156B17" w:rsidR="00A31BD3" w:rsidRDefault="00BC76EE" w:rsidP="003308C5">
      <w:pPr>
        <w:pStyle w:val="ListParagraph"/>
      </w:pPr>
      <w:r w:rsidRPr="00BC76EE">
        <w:lastRenderedPageBreak/>
        <w:t>The context of Articles 17 and 18 reinforce</w:t>
      </w:r>
      <w:r w:rsidR="00D149F0">
        <w:t>s</w:t>
      </w:r>
      <w:r w:rsidRPr="00BC76EE">
        <w:t xml:space="preserve"> </w:t>
      </w:r>
      <w:r w:rsidR="000964A7">
        <w:t>this interpretation</w:t>
      </w:r>
      <w:r w:rsidRPr="00BC76EE">
        <w:t>. Article 18, which obliges Restovia to include Pilemon representatives in decision-making processes, immediately follows Article 17’s guarantee of a right of access.</w:t>
      </w:r>
      <w:r w:rsidR="00A31BD3" w:rsidRPr="00A31BD3">
        <w:rPr>
          <w:vertAlign w:val="superscript"/>
        </w:rPr>
        <w:t xml:space="preserve"> </w:t>
      </w:r>
      <w:r w:rsidR="00A31BD3" w:rsidRPr="00025A79">
        <w:rPr>
          <w:vertAlign w:val="superscript"/>
        </w:rPr>
        <w:footnoteReference w:id="35"/>
      </w:r>
      <w:r w:rsidRPr="00BC76EE">
        <w:t xml:space="preserve"> </w:t>
      </w:r>
      <w:r w:rsidR="008B0CC4">
        <w:t>A consent requirement</w:t>
      </w:r>
      <w:r w:rsidRPr="00BC76EE">
        <w:t xml:space="preserve"> would transform this access-based </w:t>
      </w:r>
      <w:r w:rsidR="004F5EDD">
        <w:t>right</w:t>
      </w:r>
      <w:r w:rsidRPr="00BC76EE">
        <w:t xml:space="preserve"> into a substantive right of control over land-use decisions. </w:t>
      </w:r>
    </w:p>
    <w:p w14:paraId="66EE9125" w14:textId="62FBEA05" w:rsidR="000B2F7B" w:rsidRPr="008D29C4" w:rsidRDefault="003D1248" w:rsidP="003308C5">
      <w:pPr>
        <w:pStyle w:val="ListParagraph"/>
      </w:pPr>
      <w:r>
        <w:t xml:space="preserve">Lastly, </w:t>
      </w:r>
      <w:r w:rsidR="000B2F7B" w:rsidRPr="00467A2C">
        <w:t xml:space="preserve">ARPA’s purpose </w:t>
      </w:r>
      <w:r w:rsidR="008B0CC4">
        <w:t>is</w:t>
      </w:r>
      <w:r w:rsidR="000B2F7B" w:rsidRPr="00467A2C">
        <w:t xml:space="preserve"> to ensure access</w:t>
      </w:r>
      <w:r w:rsidR="008B0CC4">
        <w:t xml:space="preserve"> </w:t>
      </w:r>
      <w:r w:rsidR="000B2F7B" w:rsidRPr="00467A2C">
        <w:t xml:space="preserve">to the Plateau. Inclusion in decision-making serves this purpose by providing an avenue for Pilemon representatives to </w:t>
      </w:r>
      <w:r w:rsidR="008D29C4" w:rsidRPr="008D29C4">
        <w:t>address potential impacts on access</w:t>
      </w:r>
      <w:r w:rsidR="000B2F7B" w:rsidRPr="008D29C4">
        <w:t xml:space="preserve">. </w:t>
      </w:r>
      <w:r w:rsidR="0059319D" w:rsidRPr="008D29C4">
        <w:t xml:space="preserve">As such, </w:t>
      </w:r>
      <w:r w:rsidR="000C54BC" w:rsidRPr="008D29C4">
        <w:t>ARPA protects Pilemon access while leaving ultimate authority with Restovia.</w:t>
      </w:r>
    </w:p>
    <w:p w14:paraId="3F674E1D" w14:textId="2C2756BE" w:rsidR="003F33E5" w:rsidRDefault="00467A2C" w:rsidP="003308C5">
      <w:pPr>
        <w:pStyle w:val="ListParagraph"/>
      </w:pPr>
      <w:r w:rsidRPr="00467A2C">
        <w:t xml:space="preserve">The </w:t>
      </w:r>
      <w:r w:rsidR="00BA61BE">
        <w:t>ordinary meaning is clear and</w:t>
      </w:r>
      <w:r w:rsidRPr="00467A2C">
        <w:t xml:space="preserve"> unambiguous. However, even </w:t>
      </w:r>
      <w:r w:rsidR="000B2F7B" w:rsidRPr="00467A2C">
        <w:t xml:space="preserve">if this Court finds sufficient ambiguity </w:t>
      </w:r>
      <w:r w:rsidR="00E21DDE">
        <w:t xml:space="preserve">such </w:t>
      </w:r>
      <w:r w:rsidR="000B2F7B" w:rsidRPr="00467A2C">
        <w:t xml:space="preserve">that recourse to Article 32 is </w:t>
      </w:r>
      <w:r w:rsidR="009D3BEC">
        <w:t>warranted</w:t>
      </w:r>
      <w:r w:rsidR="000B2F7B" w:rsidRPr="00467A2C">
        <w:t>,</w:t>
      </w:r>
      <w:r w:rsidR="00BC76EE">
        <w:t xml:space="preserve"> </w:t>
      </w:r>
      <w:r w:rsidR="000B2F7B" w:rsidRPr="00467A2C">
        <w:t xml:space="preserve">the circumstances of </w:t>
      </w:r>
      <w:r w:rsidR="00BC76EE">
        <w:t>ARPA’s</w:t>
      </w:r>
      <w:r w:rsidR="000B2F7B" w:rsidRPr="00467A2C">
        <w:t xml:space="preserve"> conclusion provide further evidence that Article 18 </w:t>
      </w:r>
      <w:r w:rsidRPr="00467A2C">
        <w:t xml:space="preserve">does not </w:t>
      </w:r>
      <w:r w:rsidR="00BA61BE">
        <w:t xml:space="preserve">require </w:t>
      </w:r>
      <w:r w:rsidR="000B2F7B" w:rsidRPr="00467A2C">
        <w:t>consent.</w:t>
      </w:r>
      <w:r w:rsidR="00A10147">
        <w:t xml:space="preserve"> </w:t>
      </w:r>
      <w:r w:rsidR="003F33E5" w:rsidRPr="003A4A05">
        <w:t xml:space="preserve">During negotiations, Sollania proposed a trilateral fund to </w:t>
      </w:r>
      <w:r w:rsidR="00BA61BE">
        <w:t>manage</w:t>
      </w:r>
      <w:r w:rsidR="003F33E5" w:rsidRPr="003A4A05">
        <w:t xml:space="preserve"> the Plateau, and Alekostria emphasized that Elders from all three States should share responsibility for its </w:t>
      </w:r>
      <w:r w:rsidR="00BA61BE">
        <w:t>management</w:t>
      </w:r>
      <w:r w:rsidR="003F33E5" w:rsidRPr="003A4A05">
        <w:t>.</w:t>
      </w:r>
      <w:r w:rsidR="003F33E5">
        <w:rPr>
          <w:rStyle w:val="FootnoteReference"/>
          <w:color w:val="000000" w:themeColor="text1"/>
        </w:rPr>
        <w:footnoteReference w:id="36"/>
      </w:r>
      <w:r w:rsidR="003F33E5" w:rsidRPr="003A4A05">
        <w:t xml:space="preserve"> Interpreting Article 18 as requiring consent would grant Sollania and Alekostria the ability to constrain Restovia’s authority while relieving </w:t>
      </w:r>
      <w:r w:rsidR="003F33E5">
        <w:t>them</w:t>
      </w:r>
      <w:r w:rsidR="003F33E5" w:rsidRPr="003A4A05">
        <w:t xml:space="preserve"> of the corresponding financial and managerial responsibilities they themselves recognized as necessary for such a</w:t>
      </w:r>
      <w:r w:rsidR="003F33E5">
        <w:t xml:space="preserve"> shift in</w:t>
      </w:r>
      <w:r w:rsidR="003F33E5" w:rsidRPr="003A4A05">
        <w:t xml:space="preserve"> authority.</w:t>
      </w:r>
    </w:p>
    <w:p w14:paraId="69433186" w14:textId="5E648648" w:rsidR="000B2F7B" w:rsidRPr="00467A2C" w:rsidRDefault="003F33E5" w:rsidP="003308C5">
      <w:pPr>
        <w:pStyle w:val="ListParagraph"/>
      </w:pPr>
      <w:r>
        <w:t xml:space="preserve">Furthermore, </w:t>
      </w:r>
      <w:r w:rsidR="000B2F7B" w:rsidRPr="00467A2C">
        <w:t xml:space="preserve">Restovia expressly opposed any arrangement that would “cede authority” to Pilemon Elders, viewing an absolute requirement for consent as infringing its </w:t>
      </w:r>
      <w:r w:rsidR="00BA61BE">
        <w:t>territorial</w:t>
      </w:r>
      <w:r w:rsidR="000B2F7B" w:rsidRPr="00467A2C">
        <w:t xml:space="preserve"> </w:t>
      </w:r>
      <w:r w:rsidR="00BA61BE">
        <w:t>sovereignty</w:t>
      </w:r>
      <w:r w:rsidR="000B2F7B" w:rsidRPr="00467A2C">
        <w:t>.</w:t>
      </w:r>
      <w:r w:rsidR="005C42C6" w:rsidRPr="005C42C6">
        <w:rPr>
          <w:rStyle w:val="FootnoteReference"/>
          <w:color w:val="000000" w:themeColor="text1"/>
        </w:rPr>
        <w:t xml:space="preserve"> </w:t>
      </w:r>
      <w:r w:rsidR="005C42C6" w:rsidRPr="00467A2C">
        <w:rPr>
          <w:rStyle w:val="FootnoteReference"/>
          <w:color w:val="000000" w:themeColor="text1"/>
        </w:rPr>
        <w:footnoteReference w:id="37"/>
      </w:r>
      <w:r w:rsidR="000B2F7B" w:rsidRPr="00467A2C">
        <w:t xml:space="preserve"> Its counter-proposal, which ultimately became the basis for ARPA, replaced the idea of shared control with a </w:t>
      </w:r>
      <w:r w:rsidR="00BA61BE">
        <w:t>duty to consult</w:t>
      </w:r>
      <w:r w:rsidR="000B2F7B" w:rsidRPr="00467A2C">
        <w:t>.</w:t>
      </w:r>
      <w:r w:rsidR="00467A2C" w:rsidRPr="00467A2C">
        <w:rPr>
          <w:rStyle w:val="FootnoteReference"/>
          <w:color w:val="000000" w:themeColor="text1"/>
        </w:rPr>
        <w:footnoteReference w:id="38"/>
      </w:r>
      <w:r w:rsidR="000B2F7B" w:rsidRPr="00467A2C">
        <w:t xml:space="preserve"> Any interpretation of Article 18 that imposes a strict obligation </w:t>
      </w:r>
      <w:r w:rsidR="00BA61BE">
        <w:t>of FPIC</w:t>
      </w:r>
      <w:r w:rsidR="000B2F7B" w:rsidRPr="00467A2C">
        <w:t xml:space="preserve"> would run contrary to the expressed will of the contracting States.</w:t>
      </w:r>
    </w:p>
    <w:p w14:paraId="6FC4E800" w14:textId="6B18FF7A" w:rsidR="00D60579" w:rsidRPr="00467A2C" w:rsidRDefault="005828FA" w:rsidP="00EF7AEA">
      <w:pPr>
        <w:pStyle w:val="Heading3"/>
        <w:keepLines w:val="0"/>
        <w:numPr>
          <w:ilvl w:val="0"/>
          <w:numId w:val="27"/>
        </w:numPr>
        <w:spacing w:after="160" w:line="240" w:lineRule="auto"/>
        <w:ind w:left="1440" w:hanging="743"/>
      </w:pPr>
      <w:bookmarkStart w:id="14" w:name="_Toc219103225"/>
      <w:r w:rsidRPr="00467A2C">
        <w:t xml:space="preserve">Even if Article 18 </w:t>
      </w:r>
      <w:r w:rsidR="00FF4B99">
        <w:t>I</w:t>
      </w:r>
      <w:r w:rsidR="00A94F97">
        <w:t>ncorporates</w:t>
      </w:r>
      <w:r w:rsidRPr="00467A2C">
        <w:t xml:space="preserve"> FPIC, the Treaty Adopts a Sliding</w:t>
      </w:r>
      <w:r w:rsidR="00A94F97">
        <w:t>-</w:t>
      </w:r>
      <w:r w:rsidRPr="00467A2C">
        <w:t xml:space="preserve">Scale </w:t>
      </w:r>
      <w:r w:rsidR="00A94F97">
        <w:t>Model</w:t>
      </w:r>
      <w:bookmarkEnd w:id="14"/>
    </w:p>
    <w:p w14:paraId="4FD765B4" w14:textId="358183A4" w:rsidR="00BA61BE" w:rsidRDefault="008C2209" w:rsidP="003308C5">
      <w:pPr>
        <w:pStyle w:val="ListParagraph"/>
      </w:pPr>
      <w:r>
        <w:t>Even i</w:t>
      </w:r>
      <w:r w:rsidR="00CC6F7A" w:rsidRPr="00467A2C">
        <w:t xml:space="preserve">f Article 18 is interpreted as incorporating </w:t>
      </w:r>
      <w:r w:rsidR="00BA61BE">
        <w:t xml:space="preserve">FPIC, its application would </w:t>
      </w:r>
      <w:r w:rsidR="009D3BEC">
        <w:t>function</w:t>
      </w:r>
      <w:r w:rsidR="00BA61BE">
        <w:t xml:space="preserve"> </w:t>
      </w:r>
      <w:r w:rsidR="009D3BEC">
        <w:t>as a</w:t>
      </w:r>
      <w:r w:rsidR="00BA61BE">
        <w:t xml:space="preserve"> sliding-scale model </w:t>
      </w:r>
      <w:r w:rsidR="00CC6F7A" w:rsidRPr="00BA61BE">
        <w:t>rather than a uniform consent requirement.</w:t>
      </w:r>
    </w:p>
    <w:p w14:paraId="09826967" w14:textId="7AB52FD8" w:rsidR="005944BD" w:rsidRDefault="00CC6F7A" w:rsidP="003308C5">
      <w:pPr>
        <w:pStyle w:val="ListParagraph"/>
      </w:pPr>
      <w:r w:rsidRPr="00BA61BE">
        <w:t>The text of Article 18</w:t>
      </w:r>
      <w:r w:rsidR="005944BD">
        <w:t xml:space="preserve"> </w:t>
      </w:r>
      <w:r w:rsidRPr="00BA61BE">
        <w:t xml:space="preserve">requires Restovia to include Pilemon representatives in substantial decisions. A sliding-scale interpretation gives effect to this language by requiring the intensity of </w:t>
      </w:r>
      <w:r w:rsidRPr="00BA61BE">
        <w:lastRenderedPageBreak/>
        <w:t>engagement to vary with the seriousness of the potential impact on Pilemon</w:t>
      </w:r>
      <w:r w:rsidR="007469E5">
        <w:t xml:space="preserve"> peoples’</w:t>
      </w:r>
      <w:r w:rsidRPr="00BA61BE">
        <w:t xml:space="preserve"> interests. </w:t>
      </w:r>
      <w:r w:rsidR="005944BD">
        <w:t>To the extent that custom</w:t>
      </w:r>
      <w:r w:rsidR="00DD597A">
        <w:t>ary law</w:t>
      </w:r>
      <w:r w:rsidR="005944BD">
        <w:t xml:space="preserve"> </w:t>
      </w:r>
      <w:r w:rsidR="00DD597A">
        <w:t>is</w:t>
      </w:r>
      <w:r w:rsidR="005944BD">
        <w:t xml:space="preserve"> relevant to this interpretive exercise under Article </w:t>
      </w:r>
      <w:r w:rsidR="005944BD" w:rsidRPr="005944BD">
        <w:t>31(3)(c)</w:t>
      </w:r>
      <w:r w:rsidR="005944BD">
        <w:t xml:space="preserve"> of VCLT, </w:t>
      </w:r>
      <w:r w:rsidR="00DD597A">
        <w:t>it</w:t>
      </w:r>
      <w:r w:rsidR="005944BD">
        <w:t xml:space="preserve"> </w:t>
      </w:r>
      <w:r w:rsidR="009D3BEC">
        <w:t>supports</w:t>
      </w:r>
      <w:r w:rsidR="005944BD">
        <w:t xml:space="preserve"> a sliding-scale approach.</w:t>
      </w:r>
      <w:r w:rsidR="005944BD">
        <w:rPr>
          <w:rStyle w:val="FootnoteReference"/>
          <w:color w:val="000000" w:themeColor="text1"/>
        </w:rPr>
        <w:footnoteReference w:id="39"/>
      </w:r>
    </w:p>
    <w:p w14:paraId="7015BE63" w14:textId="58E9BE73" w:rsidR="00E958DB" w:rsidRPr="00C34369" w:rsidRDefault="00A967CA" w:rsidP="00EF7AEA">
      <w:pPr>
        <w:pStyle w:val="Heading2"/>
        <w:keepLines w:val="0"/>
        <w:numPr>
          <w:ilvl w:val="0"/>
          <w:numId w:val="26"/>
        </w:numPr>
        <w:spacing w:after="160" w:line="240" w:lineRule="auto"/>
      </w:pPr>
      <w:bookmarkStart w:id="15" w:name="_Toc219103226"/>
      <w:r w:rsidRPr="00AC29A9">
        <w:t xml:space="preserve">Restovia Did Not </w:t>
      </w:r>
      <w:r w:rsidR="00CF1802" w:rsidRPr="00AC29A9">
        <w:t xml:space="preserve">Have an Obligation to Obtain the Consent of Pilemon Communities Under </w:t>
      </w:r>
      <w:r w:rsidRPr="00AC29A9">
        <w:t>Customary International</w:t>
      </w:r>
      <w:r w:rsidR="00C830B7" w:rsidRPr="00AC29A9">
        <w:t xml:space="preserve"> Law</w:t>
      </w:r>
      <w:bookmarkEnd w:id="15"/>
    </w:p>
    <w:p w14:paraId="3CE0599F" w14:textId="4C095E91" w:rsidR="00A967CA" w:rsidRPr="002E3363" w:rsidRDefault="00A967CA" w:rsidP="002E3363">
      <w:pPr>
        <w:pStyle w:val="ListParagraph"/>
        <w:rPr>
          <w:color w:val="000000" w:themeColor="text1"/>
        </w:rPr>
      </w:pPr>
      <w:r w:rsidRPr="003314A2">
        <w:t xml:space="preserve">Restovia did not breach any customary international law concerning FPIC. No custom </w:t>
      </w:r>
      <w:r w:rsidR="00DD597A">
        <w:t>on</w:t>
      </w:r>
      <w:r w:rsidRPr="003314A2">
        <w:t xml:space="preserve"> </w:t>
      </w:r>
      <w:r w:rsidR="00DD597A">
        <w:t>FPIC has crystal</w:t>
      </w:r>
      <w:r w:rsidR="00FD2424">
        <w:t>l</w:t>
      </w:r>
      <w:r w:rsidR="00DD597A">
        <w:t>ized</w:t>
      </w:r>
      <w:r w:rsidR="0028362E">
        <w:t xml:space="preserve"> [1]</w:t>
      </w:r>
      <w:r w:rsidRPr="003314A2">
        <w:t xml:space="preserve">. Even if </w:t>
      </w:r>
      <w:r w:rsidR="00640062">
        <w:t>this</w:t>
      </w:r>
      <w:r w:rsidRPr="003314A2">
        <w:t xml:space="preserve"> Court recognizes </w:t>
      </w:r>
      <w:r w:rsidR="00B544FD">
        <w:t>a</w:t>
      </w:r>
      <w:r w:rsidR="0040782F">
        <w:t>n</w:t>
      </w:r>
      <w:r w:rsidRPr="003314A2">
        <w:t xml:space="preserve"> FPIC </w:t>
      </w:r>
      <w:r w:rsidR="00DD597A">
        <w:t>custom,</w:t>
      </w:r>
      <w:r w:rsidRPr="003314A2">
        <w:t xml:space="preserve"> </w:t>
      </w:r>
      <w:r w:rsidR="009D3BEC">
        <w:t>it</w:t>
      </w:r>
      <w:r w:rsidR="00B544FD">
        <w:t>s content</w:t>
      </w:r>
      <w:r w:rsidR="009D3BEC">
        <w:t xml:space="preserve"> </w:t>
      </w:r>
      <w:proofErr w:type="gramStart"/>
      <w:r w:rsidR="009D3BEC">
        <w:t>would</w:t>
      </w:r>
      <w:proofErr w:type="gramEnd"/>
      <w:r w:rsidR="0047563B">
        <w:t xml:space="preserve"> </w:t>
      </w:r>
      <w:r w:rsidR="000555E5">
        <w:t>apply on</w:t>
      </w:r>
      <w:r w:rsidR="0047563B">
        <w:t xml:space="preserve"> a</w:t>
      </w:r>
      <w:r w:rsidRPr="003314A2">
        <w:t xml:space="preserve"> sliding-scale</w:t>
      </w:r>
      <w:r w:rsidR="000555E5">
        <w:t xml:space="preserve"> </w:t>
      </w:r>
      <w:r w:rsidRPr="003314A2">
        <w:t>model</w:t>
      </w:r>
      <w:r w:rsidR="0028362E">
        <w:t xml:space="preserve"> [2]</w:t>
      </w:r>
      <w:r w:rsidRPr="003314A2">
        <w:t xml:space="preserve">. </w:t>
      </w:r>
    </w:p>
    <w:p w14:paraId="674F6775" w14:textId="4F391194" w:rsidR="00A967CA" w:rsidRPr="00415B2B" w:rsidRDefault="00415B2B" w:rsidP="00EF7AEA">
      <w:pPr>
        <w:pStyle w:val="Heading3"/>
        <w:keepLines w:val="0"/>
        <w:numPr>
          <w:ilvl w:val="0"/>
          <w:numId w:val="28"/>
        </w:numPr>
        <w:spacing w:after="160" w:line="240" w:lineRule="auto"/>
        <w:ind w:left="1440" w:hanging="743"/>
      </w:pPr>
      <w:bookmarkStart w:id="16" w:name="_Toc219103227"/>
      <w:r w:rsidRPr="00695B57">
        <w:t>There Is No Customary International Law Obligation to Obtain FPIC</w:t>
      </w:r>
      <w:bookmarkEnd w:id="16"/>
    </w:p>
    <w:p w14:paraId="37351CFD" w14:textId="3C65A5EC" w:rsidR="00094223" w:rsidRPr="00695B57" w:rsidRDefault="00094223" w:rsidP="003308C5">
      <w:pPr>
        <w:pStyle w:val="ListParagraph"/>
      </w:pPr>
      <w:r w:rsidRPr="00695B57">
        <w:t xml:space="preserve">There is no </w:t>
      </w:r>
      <w:r w:rsidR="00B544FD">
        <w:t>custom</w:t>
      </w:r>
      <w:r w:rsidR="00DD597A">
        <w:t xml:space="preserve"> </w:t>
      </w:r>
      <w:r w:rsidRPr="00695B57">
        <w:t xml:space="preserve">requiring Restovia to obtain </w:t>
      </w:r>
      <w:r w:rsidR="00DD597A">
        <w:t>FPIC</w:t>
      </w:r>
      <w:r w:rsidRPr="00695B57">
        <w:t xml:space="preserve"> of Pil</w:t>
      </w:r>
      <w:r w:rsidR="00700033">
        <w:t>emo</w:t>
      </w:r>
      <w:r w:rsidRPr="00695B57">
        <w:t>n representative</w:t>
      </w:r>
      <w:r w:rsidR="003314A2" w:rsidRPr="00695B57">
        <w:t>s</w:t>
      </w:r>
      <w:r w:rsidRPr="00695B57">
        <w:t xml:space="preserve">. </w:t>
      </w:r>
      <w:r w:rsidR="003314A2" w:rsidRPr="00695B57">
        <w:t xml:space="preserve">Neither </w:t>
      </w:r>
      <w:r w:rsidR="00B369FB">
        <w:t xml:space="preserve">sufficient </w:t>
      </w:r>
      <w:r w:rsidR="002D3D6F">
        <w:t>S</w:t>
      </w:r>
      <w:r w:rsidR="003314A2" w:rsidRPr="00695B57">
        <w:t xml:space="preserve">tate practice nor </w:t>
      </w:r>
      <w:r w:rsidR="003314A2" w:rsidRPr="00695B57">
        <w:rPr>
          <w:i/>
        </w:rPr>
        <w:t>opinio juris</w:t>
      </w:r>
      <w:r w:rsidR="003314A2" w:rsidRPr="00695B57">
        <w:t xml:space="preserve"> </w:t>
      </w:r>
      <w:r w:rsidR="00B369FB">
        <w:t>exists</w:t>
      </w:r>
      <w:r w:rsidR="003314A2" w:rsidRPr="00695B57">
        <w:t>.</w:t>
      </w:r>
      <w:r w:rsidRPr="00695B57">
        <w:rPr>
          <w:vertAlign w:val="superscript"/>
        </w:rPr>
        <w:footnoteReference w:id="40"/>
      </w:r>
      <w:r w:rsidRPr="00695B57">
        <w:t xml:space="preserve"> </w:t>
      </w:r>
    </w:p>
    <w:p w14:paraId="6EB65E2C" w14:textId="3287E292" w:rsidR="007B0773" w:rsidRPr="00CD500E" w:rsidRDefault="00094223" w:rsidP="003308C5">
      <w:pPr>
        <w:pStyle w:val="ListParagraph"/>
      </w:pPr>
      <w:r w:rsidRPr="009E5F29">
        <w:t>State practice is inconsistent, limited, and far from uniform.</w:t>
      </w:r>
      <w:r w:rsidR="00F133AD">
        <w:t xml:space="preserve"> </w:t>
      </w:r>
      <w:r w:rsidR="00F133AD" w:rsidRPr="00F133AD">
        <w:t xml:space="preserve">In </w:t>
      </w:r>
      <w:r w:rsidR="00F133AD" w:rsidRPr="00F133AD">
        <w:rPr>
          <w:i/>
        </w:rPr>
        <w:t>Haida Nation v. British Columbia</w:t>
      </w:r>
      <w:r w:rsidR="00F133AD" w:rsidRPr="00F133AD">
        <w:t xml:space="preserve">, the Supreme Court of Canada </w:t>
      </w:r>
      <w:r w:rsidR="00F133AD">
        <w:t>held</w:t>
      </w:r>
      <w:r w:rsidR="00F133AD" w:rsidRPr="00F133AD">
        <w:t xml:space="preserve"> that consultation is a process aimed at reconciliation, not a veto over </w:t>
      </w:r>
      <w:r w:rsidR="002D3D6F">
        <w:t>S</w:t>
      </w:r>
      <w:r w:rsidR="00F133AD" w:rsidRPr="00F133AD">
        <w:t>tate action.</w:t>
      </w:r>
      <w:r w:rsidR="00F133AD">
        <w:rPr>
          <w:rStyle w:val="FootnoteReference"/>
          <w:color w:val="000000" w:themeColor="text1"/>
        </w:rPr>
        <w:footnoteReference w:id="41"/>
      </w:r>
      <w:r w:rsidR="00F133AD" w:rsidRPr="00F133AD">
        <w:t xml:space="preserve"> This was reaffirmed in </w:t>
      </w:r>
      <w:r w:rsidR="00F133AD" w:rsidRPr="00F133AD">
        <w:rPr>
          <w:i/>
        </w:rPr>
        <w:t>Chippewas of the Thames First Nation v. Enbridge Pipelines Inc</w:t>
      </w:r>
      <w:r w:rsidR="00F133AD" w:rsidRPr="00F133AD">
        <w:t>.</w:t>
      </w:r>
      <w:r w:rsidR="00F133AD">
        <w:t xml:space="preserve"> </w:t>
      </w:r>
      <w:r w:rsidR="00F133AD" w:rsidRPr="00F133AD">
        <w:t>where regulatory approval of a pipeline was upheld despite Indigenous opposition.</w:t>
      </w:r>
      <w:r w:rsidR="00BD3081">
        <w:rPr>
          <w:rStyle w:val="FootnoteReference"/>
          <w:color w:val="000000" w:themeColor="text1"/>
        </w:rPr>
        <w:footnoteReference w:id="42"/>
      </w:r>
      <w:r w:rsidR="00BD3081" w:rsidRPr="00BD3081">
        <w:rPr>
          <w:rFonts w:ascii="-webkit-standard" w:hAnsi="-webkit-standard"/>
          <w:color w:val="000000"/>
          <w:sz w:val="27"/>
          <w:szCs w:val="27"/>
        </w:rPr>
        <w:t xml:space="preserve"> </w:t>
      </w:r>
      <w:r w:rsidR="00BD3081" w:rsidRPr="00BD3081">
        <w:t>Similarly,</w:t>
      </w:r>
      <w:r w:rsidR="00BD3081">
        <w:rPr>
          <w:rFonts w:ascii="-webkit-standard" w:hAnsi="-webkit-standard"/>
          <w:color w:val="000000"/>
          <w:sz w:val="27"/>
          <w:szCs w:val="27"/>
        </w:rPr>
        <w:t xml:space="preserve"> </w:t>
      </w:r>
      <w:r w:rsidR="00BD3081" w:rsidRPr="00BD3081">
        <w:t>Finland granted permits</w:t>
      </w:r>
      <w:r w:rsidR="00EB7730">
        <w:t xml:space="preserve"> authorizing</w:t>
      </w:r>
      <w:r w:rsidR="00BD3081" w:rsidRPr="00BD3081">
        <w:t xml:space="preserve"> </w:t>
      </w:r>
      <w:r w:rsidR="00EB7730" w:rsidRPr="00EB7730">
        <w:t>stone quarrying</w:t>
      </w:r>
      <w:r w:rsidR="00EB7730">
        <w:t xml:space="preserve"> in </w:t>
      </w:r>
      <w:r w:rsidR="00EB7730" w:rsidRPr="00EB7730">
        <w:t>traditional Sámi territories without the</w:t>
      </w:r>
      <w:r w:rsidR="00707719">
        <w:t>ir</w:t>
      </w:r>
      <w:r w:rsidR="00EB7730" w:rsidRPr="00EB7730">
        <w:t xml:space="preserve"> consent</w:t>
      </w:r>
      <w:r w:rsidR="00115A27">
        <w:t xml:space="preserve">; this State action was </w:t>
      </w:r>
      <w:r w:rsidR="00115A27" w:rsidRPr="00115A27">
        <w:t xml:space="preserve">upheld by the </w:t>
      </w:r>
      <w:r w:rsidR="0029760F">
        <w:t>HRC</w:t>
      </w:r>
      <w:r w:rsidR="00115A27" w:rsidRPr="00CD500E">
        <w:t>.</w:t>
      </w:r>
      <w:r w:rsidR="00CD500E" w:rsidRPr="00CD500E">
        <w:rPr>
          <w:rStyle w:val="FootnoteReference"/>
          <w:color w:val="000000" w:themeColor="text1"/>
        </w:rPr>
        <w:footnoteReference w:id="43"/>
      </w:r>
      <w:r w:rsidR="00CD500E" w:rsidRPr="00CD500E">
        <w:t xml:space="preserve"> </w:t>
      </w:r>
      <w:r w:rsidR="00B44227" w:rsidRPr="00B44227">
        <w:t>In the United States, a federal district court refused to vacate the easement for the Dakota Access Pipeline, meaning oil could continue flowing despite the Standing Rock and Cheyenne River Sioux Tribes’ opposition</w:t>
      </w:r>
      <w:r w:rsidR="00B44227">
        <w:t>.</w:t>
      </w:r>
      <w:r w:rsidR="002361EC">
        <w:rPr>
          <w:rStyle w:val="FootnoteReference"/>
          <w:color w:val="000000" w:themeColor="text1"/>
        </w:rPr>
        <w:footnoteReference w:id="44"/>
      </w:r>
      <w:r w:rsidR="00D75079">
        <w:t xml:space="preserve"> </w:t>
      </w:r>
    </w:p>
    <w:p w14:paraId="4BF05CFB" w14:textId="39DBB9F5" w:rsidR="00A543EC" w:rsidRPr="00A543EC" w:rsidRDefault="00072780" w:rsidP="003308C5">
      <w:pPr>
        <w:pStyle w:val="ListParagraph"/>
      </w:pPr>
      <w:r w:rsidRPr="009E5F29">
        <w:t xml:space="preserve">There is also no </w:t>
      </w:r>
      <w:r w:rsidRPr="009E5F29">
        <w:rPr>
          <w:i/>
        </w:rPr>
        <w:t>opini</w:t>
      </w:r>
      <w:r w:rsidR="00640062">
        <w:rPr>
          <w:i/>
        </w:rPr>
        <w:t>o</w:t>
      </w:r>
      <w:r w:rsidRPr="009E5F29">
        <w:rPr>
          <w:i/>
        </w:rPr>
        <w:t xml:space="preserve"> juris</w:t>
      </w:r>
      <w:r w:rsidRPr="009E5F29">
        <w:t xml:space="preserve"> to support a</w:t>
      </w:r>
      <w:r w:rsidR="0040782F">
        <w:t>n</w:t>
      </w:r>
      <w:r w:rsidRPr="009E5F29">
        <w:t xml:space="preserve"> FPIC</w:t>
      </w:r>
      <w:r w:rsidR="00B369FB">
        <w:t xml:space="preserve"> custom</w:t>
      </w:r>
      <w:r w:rsidRPr="009E5F29">
        <w:t xml:space="preserve">. </w:t>
      </w:r>
      <w:r w:rsidR="00094223" w:rsidRPr="009E5F29">
        <w:t>States that invoke FPIC typically do so in soft-law instruments such as</w:t>
      </w:r>
      <w:r w:rsidR="0054523A">
        <w:t xml:space="preserve"> the </w:t>
      </w:r>
      <w:r w:rsidR="0054523A" w:rsidRPr="0054523A">
        <w:t xml:space="preserve">United Nations Declaration on the Rights of Indigenous </w:t>
      </w:r>
      <w:r w:rsidR="0054523A" w:rsidRPr="0054523A">
        <w:lastRenderedPageBreak/>
        <w:t>Peoples</w:t>
      </w:r>
      <w:r w:rsidR="00094223" w:rsidRPr="009E5F29">
        <w:t xml:space="preserve"> </w:t>
      </w:r>
      <w:r w:rsidR="0054523A">
        <w:t>(“</w:t>
      </w:r>
      <w:r w:rsidR="009D3BEC">
        <w:t>UNDRIP</w:t>
      </w:r>
      <w:r w:rsidR="0054523A">
        <w:t>”)</w:t>
      </w:r>
      <w:r w:rsidRPr="009E5F29">
        <w:rPr>
          <w:rStyle w:val="FootnoteReference"/>
          <w:color w:val="000000" w:themeColor="text1"/>
        </w:rPr>
        <w:footnoteReference w:id="45"/>
      </w:r>
      <w:r w:rsidR="00094223" w:rsidRPr="009E5F29">
        <w:t xml:space="preserve"> or in the context of domestic policy frameworks, not out of a sense of binding legal obligation.</w:t>
      </w:r>
      <w:r w:rsidR="00A543EC">
        <w:t xml:space="preserve"> </w:t>
      </w:r>
      <w:r w:rsidR="00A543EC" w:rsidRPr="00A543EC">
        <w:rPr>
          <w:lang w:val="en-US"/>
        </w:rPr>
        <w:t xml:space="preserve">While General Assembly </w:t>
      </w:r>
      <w:r w:rsidR="00707719">
        <w:rPr>
          <w:lang w:val="en-US"/>
        </w:rPr>
        <w:t>resolution</w:t>
      </w:r>
      <w:r w:rsidR="009D3BEC">
        <w:rPr>
          <w:lang w:val="en-US"/>
        </w:rPr>
        <w:t>s</w:t>
      </w:r>
      <w:r w:rsidR="00707719">
        <w:rPr>
          <w:lang w:val="en-US"/>
        </w:rPr>
        <w:t xml:space="preserve"> </w:t>
      </w:r>
      <w:r w:rsidR="00A543EC" w:rsidRPr="00A543EC">
        <w:rPr>
          <w:lang w:val="en-US"/>
        </w:rPr>
        <w:t xml:space="preserve">may serve as evidence of </w:t>
      </w:r>
      <w:r w:rsidR="00A543EC" w:rsidRPr="00A543EC">
        <w:rPr>
          <w:i/>
          <w:lang w:val="en-US"/>
        </w:rPr>
        <w:t>opinio juris</w:t>
      </w:r>
      <w:r w:rsidR="00A543EC" w:rsidRPr="00A543EC">
        <w:rPr>
          <w:lang w:val="en-US"/>
        </w:rPr>
        <w:t>,</w:t>
      </w:r>
      <w:r w:rsidR="00A543EC">
        <w:rPr>
          <w:rStyle w:val="FootnoteReference"/>
          <w:color w:val="000000" w:themeColor="text1"/>
          <w:lang w:val="en-US"/>
        </w:rPr>
        <w:footnoteReference w:id="46"/>
      </w:r>
      <w:r w:rsidR="00A543EC">
        <w:rPr>
          <w:lang w:val="en-US"/>
        </w:rPr>
        <w:t xml:space="preserve"> </w:t>
      </w:r>
      <w:r w:rsidR="00A543EC" w:rsidRPr="00A543EC">
        <w:rPr>
          <w:lang w:val="en-US"/>
        </w:rPr>
        <w:t>States’ support of UNDRIP do</w:t>
      </w:r>
      <w:r w:rsidR="007509BA">
        <w:rPr>
          <w:lang w:val="en-US"/>
        </w:rPr>
        <w:t>es</w:t>
      </w:r>
      <w:r w:rsidR="00A543EC" w:rsidRPr="00A543EC">
        <w:rPr>
          <w:lang w:val="en-US"/>
        </w:rPr>
        <w:t xml:space="preserve"> not carry the same force</w:t>
      </w:r>
      <w:r w:rsidR="003A5AE6">
        <w:rPr>
          <w:lang w:val="en-US"/>
        </w:rPr>
        <w:t>,</w:t>
      </w:r>
      <w:r w:rsidR="00A543EC" w:rsidRPr="00A543EC">
        <w:rPr>
          <w:lang w:val="en-US"/>
        </w:rPr>
        <w:t xml:space="preserve"> given </w:t>
      </w:r>
      <w:r w:rsidR="003A5AE6">
        <w:rPr>
          <w:lang w:val="en-US"/>
        </w:rPr>
        <w:t xml:space="preserve">that </w:t>
      </w:r>
      <w:r w:rsidR="00A543EC" w:rsidRPr="00A543EC">
        <w:rPr>
          <w:lang w:val="en-US"/>
        </w:rPr>
        <w:t xml:space="preserve">a variety of States have expressly stated that UNDRIP is aspirational and does not create legal obligations.  For example, </w:t>
      </w:r>
      <w:r w:rsidR="00A543EC">
        <w:t>w</w:t>
      </w:r>
      <w:r w:rsidR="00A543EC" w:rsidRPr="00695B57">
        <w:t>hen Canada announced its endorsement of UNDRIP</w:t>
      </w:r>
      <w:r w:rsidR="00A543EC">
        <w:t xml:space="preserve"> after initial opposition</w:t>
      </w:r>
      <w:r w:rsidR="00A543EC" w:rsidRPr="00695B57">
        <w:t>, it clarified that the instrument was not legally binding, did not represent customary international law, and did not alter Canadian domestic law</w:t>
      </w:r>
      <w:r w:rsidR="00A543EC">
        <w:t>.</w:t>
      </w:r>
      <w:r w:rsidR="00A543EC">
        <w:rPr>
          <w:rStyle w:val="FootnoteReference"/>
        </w:rPr>
        <w:footnoteReference w:id="47"/>
      </w:r>
      <w:r w:rsidR="00A543EC">
        <w:t xml:space="preserve"> </w:t>
      </w:r>
      <w:r w:rsidR="00A543EC" w:rsidRPr="00695B57">
        <w:t xml:space="preserve">The United States, </w:t>
      </w:r>
      <w:r w:rsidR="00A543EC">
        <w:t>another State that originally opposed UNDRIP</w:t>
      </w:r>
      <w:r w:rsidR="00A543EC" w:rsidRPr="00695B57">
        <w:t>, adopted the same caveat</w:t>
      </w:r>
      <w:r w:rsidR="00A543EC">
        <w:t xml:space="preserve">, </w:t>
      </w:r>
      <w:r w:rsidR="00A543EC" w:rsidRPr="00695B57">
        <w:t xml:space="preserve">stressing that </w:t>
      </w:r>
      <w:r w:rsidR="009D3BEC">
        <w:t>it</w:t>
      </w:r>
      <w:r w:rsidR="00A543EC" w:rsidRPr="00695B57">
        <w:t xml:space="preserve"> was not legally binding nor an expression of international law</w:t>
      </w:r>
      <w:r w:rsidR="00A543EC">
        <w:t>.</w:t>
      </w:r>
      <w:r w:rsidR="00A543EC">
        <w:rPr>
          <w:rStyle w:val="FootnoteReference"/>
        </w:rPr>
        <w:footnoteReference w:id="48"/>
      </w:r>
      <w:r w:rsidR="00A543EC" w:rsidRPr="00695B57">
        <w:t xml:space="preserve"> New Zealand likewise described UNDRIP </w:t>
      </w:r>
      <w:r w:rsidR="00A543EC">
        <w:t xml:space="preserve">as </w:t>
      </w:r>
      <w:r w:rsidR="00E86AD2">
        <w:t xml:space="preserve">an </w:t>
      </w:r>
      <w:r w:rsidR="00A543EC" w:rsidRPr="00695B57">
        <w:t>aspiration</w:t>
      </w:r>
      <w:r w:rsidR="00E86AD2">
        <w:t>al document</w:t>
      </w:r>
      <w:r w:rsidR="00A543EC">
        <w:t>.</w:t>
      </w:r>
      <w:r w:rsidR="00A543EC">
        <w:rPr>
          <w:rStyle w:val="FootnoteReference"/>
        </w:rPr>
        <w:footnoteReference w:id="49"/>
      </w:r>
      <w:r w:rsidR="00DB7141">
        <w:t xml:space="preserve"> The lack of uniform </w:t>
      </w:r>
      <w:r w:rsidR="002D3D6F">
        <w:t>S</w:t>
      </w:r>
      <w:r w:rsidR="00DB7141">
        <w:t xml:space="preserve">tate practice and </w:t>
      </w:r>
      <w:r w:rsidR="00DB7141">
        <w:rPr>
          <w:i/>
          <w:iCs/>
        </w:rPr>
        <w:t xml:space="preserve">opinio juris </w:t>
      </w:r>
      <w:r w:rsidR="00DB7141">
        <w:t>demonstrates that</w:t>
      </w:r>
      <w:r w:rsidR="00D14909">
        <w:t>,</w:t>
      </w:r>
      <w:r w:rsidR="00DB7141">
        <w:t xml:space="preserve"> </w:t>
      </w:r>
      <w:r w:rsidR="00DB7141" w:rsidRPr="00DB7141">
        <w:t xml:space="preserve">at most, FPIC is still developing but </w:t>
      </w:r>
      <w:r w:rsidR="00DB7141">
        <w:t>has not yet</w:t>
      </w:r>
      <w:r w:rsidR="00DB7141" w:rsidRPr="00DB7141">
        <w:t xml:space="preserve"> crystallized </w:t>
      </w:r>
      <w:r w:rsidR="00FD04FB">
        <w:t>into</w:t>
      </w:r>
      <w:r w:rsidR="00DB7141" w:rsidRPr="00DB7141">
        <w:t xml:space="preserve"> customary law.</w:t>
      </w:r>
    </w:p>
    <w:p w14:paraId="76225EFB" w14:textId="7C8262F8" w:rsidR="00094223" w:rsidRPr="009E5F29" w:rsidRDefault="00072780" w:rsidP="003308C5">
      <w:pPr>
        <w:pStyle w:val="ListParagraph"/>
      </w:pPr>
      <w:r w:rsidRPr="009E5F29">
        <w:t xml:space="preserve">There is also no regional </w:t>
      </w:r>
      <w:r w:rsidR="00DB1262" w:rsidRPr="009E5F29">
        <w:t xml:space="preserve">FPIC </w:t>
      </w:r>
      <w:r w:rsidRPr="009E5F29">
        <w:t xml:space="preserve">custom. </w:t>
      </w:r>
      <w:r w:rsidR="00094223" w:rsidRPr="009E5F29">
        <w:t xml:space="preserve">To establish regional custom, Alekostria would need to demonstrate </w:t>
      </w:r>
      <w:r w:rsidRPr="009E5F29">
        <w:t xml:space="preserve">uniform </w:t>
      </w:r>
      <w:r w:rsidR="00094223" w:rsidRPr="009E5F29">
        <w:t xml:space="preserve">practice </w:t>
      </w:r>
      <w:r w:rsidR="002E7775" w:rsidRPr="009E5F29">
        <w:t xml:space="preserve">and </w:t>
      </w:r>
      <w:r w:rsidR="002E7775" w:rsidRPr="009E5F29">
        <w:rPr>
          <w:i/>
        </w:rPr>
        <w:t xml:space="preserve">opinio juris </w:t>
      </w:r>
      <w:r w:rsidR="00094223" w:rsidRPr="009E5F29">
        <w:t>among the States of the region</w:t>
      </w:r>
      <w:r w:rsidR="002E7775" w:rsidRPr="009E5F29">
        <w:t>.</w:t>
      </w:r>
      <w:r w:rsidR="002E7775" w:rsidRPr="009E5F29">
        <w:rPr>
          <w:rStyle w:val="FootnoteReference"/>
          <w:color w:val="000000" w:themeColor="text1"/>
        </w:rPr>
        <w:footnoteReference w:id="50"/>
      </w:r>
      <w:r w:rsidR="00094223" w:rsidRPr="009E5F29">
        <w:t xml:space="preserve"> </w:t>
      </w:r>
      <w:r w:rsidR="002E7775" w:rsidRPr="009E5F29">
        <w:t>But</w:t>
      </w:r>
      <w:r w:rsidR="00094223" w:rsidRPr="009E5F29">
        <w:t xml:space="preserve"> Alekostria’s own conduct squarely undermines the existence of any such practice. When Alekostria sought access to the rare earth deposits in 2021, its Parliament overwhelmingly adopted a resolution authorizing NEXCA to pursue a mining license.</w:t>
      </w:r>
      <w:r w:rsidR="002E7775" w:rsidRPr="009E5F29">
        <w:rPr>
          <w:rStyle w:val="FootnoteReference"/>
          <w:color w:val="000000" w:themeColor="text1"/>
        </w:rPr>
        <w:footnoteReference w:id="51"/>
      </w:r>
      <w:r w:rsidR="00094223" w:rsidRPr="009E5F29">
        <w:t xml:space="preserve"> At no point did Alekostria consult Pilemon communities within its own territory, nor did it take any steps to engage Pilemon </w:t>
      </w:r>
      <w:r w:rsidR="00094223" w:rsidRPr="009E5F29">
        <w:lastRenderedPageBreak/>
        <w:t>representatives in Restovia or Sollania</w:t>
      </w:r>
      <w:r w:rsidR="002F1ED7">
        <w:t xml:space="preserve">. </w:t>
      </w:r>
      <w:r w:rsidR="00094223" w:rsidRPr="009E5F29">
        <w:t>Alekostria cannot plausibly claim a regional custom that binds others when its own conduct shows it has never considered itself bound by such an obligation.</w:t>
      </w:r>
    </w:p>
    <w:p w14:paraId="452B19FE" w14:textId="2002398F" w:rsidR="00A967CA" w:rsidRPr="009E5F29" w:rsidRDefault="00E654C6" w:rsidP="00EF7AEA">
      <w:pPr>
        <w:pStyle w:val="Heading3"/>
        <w:keepLines w:val="0"/>
        <w:numPr>
          <w:ilvl w:val="0"/>
          <w:numId w:val="28"/>
        </w:numPr>
        <w:spacing w:after="160" w:line="240" w:lineRule="auto"/>
        <w:ind w:left="1440" w:hanging="743"/>
      </w:pPr>
      <w:bookmarkStart w:id="19" w:name="_Toc219103228"/>
      <w:r w:rsidRPr="009E5F29">
        <w:t xml:space="preserve">Even if </w:t>
      </w:r>
      <w:r w:rsidR="00640062">
        <w:t>this</w:t>
      </w:r>
      <w:r w:rsidRPr="009E5F29">
        <w:t xml:space="preserve"> Court Recognizes a Duty</w:t>
      </w:r>
      <w:r w:rsidR="00C312C1">
        <w:t xml:space="preserve"> of</w:t>
      </w:r>
      <w:r w:rsidRPr="009E5F29">
        <w:t xml:space="preserve"> </w:t>
      </w:r>
      <w:r w:rsidR="00C312C1" w:rsidRPr="009E5F29">
        <w:t xml:space="preserve">FPIC </w:t>
      </w:r>
      <w:r w:rsidR="00C312C1">
        <w:t>u</w:t>
      </w:r>
      <w:r w:rsidRPr="009E5F29">
        <w:t xml:space="preserve">nder Customary International Law, </w:t>
      </w:r>
      <w:r w:rsidR="00F43642">
        <w:t xml:space="preserve">the Custom </w:t>
      </w:r>
      <w:r w:rsidR="002F1ED7">
        <w:t>Reflects</w:t>
      </w:r>
      <w:r w:rsidRPr="009E5F29">
        <w:t xml:space="preserve"> </w:t>
      </w:r>
      <w:r w:rsidR="00F43642">
        <w:t>a</w:t>
      </w:r>
      <w:r w:rsidRPr="009E5F29">
        <w:t xml:space="preserve"> Sliding</w:t>
      </w:r>
      <w:r w:rsidR="00A94F97">
        <w:t>-</w:t>
      </w:r>
      <w:r w:rsidRPr="009E5F29">
        <w:t>Scale Model</w:t>
      </w:r>
      <w:bookmarkEnd w:id="19"/>
      <w:r w:rsidRPr="009E5F29">
        <w:t xml:space="preserve"> </w:t>
      </w:r>
    </w:p>
    <w:p w14:paraId="17DB5C8C" w14:textId="7A523355" w:rsidR="00FD04FB" w:rsidRPr="00806BDE" w:rsidRDefault="009D5667" w:rsidP="003308C5">
      <w:pPr>
        <w:pStyle w:val="ListParagraph"/>
      </w:pPr>
      <w:r w:rsidRPr="009E5F29">
        <w:t xml:space="preserve">If </w:t>
      </w:r>
      <w:r w:rsidR="00640062">
        <w:t>this</w:t>
      </w:r>
      <w:r w:rsidRPr="009E5F29">
        <w:t xml:space="preserve"> Court were to recognize a customary obligation relating to FPIC, </w:t>
      </w:r>
      <w:r w:rsidR="00043D5E">
        <w:t xml:space="preserve">the content of this custom </w:t>
      </w:r>
      <w:r w:rsidR="002F1ED7">
        <w:t>would</w:t>
      </w:r>
      <w:r w:rsidR="00043D5E">
        <w:t xml:space="preserve"> apply on a sliding-scale model</w:t>
      </w:r>
      <w:r w:rsidRPr="009E5F29">
        <w:t xml:space="preserve">. </w:t>
      </w:r>
      <w:r w:rsidRPr="00806BDE">
        <w:t>The United Nations Expert Mechanism on the Rights of Indigenous Peoples emphasizes that States’ obligation to consult require</w:t>
      </w:r>
      <w:r w:rsidR="002F1ED7">
        <w:t>s</w:t>
      </w:r>
      <w:r w:rsidRPr="00806BDE">
        <w:t xml:space="preserve"> a process of dialogue with consent as the objective.</w:t>
      </w:r>
      <w:r w:rsidRPr="009E5F29">
        <w:rPr>
          <w:vertAlign w:val="superscript"/>
        </w:rPr>
        <w:footnoteReference w:id="52"/>
      </w:r>
      <w:r w:rsidRPr="00806BDE">
        <w:t xml:space="preserve"> </w:t>
      </w:r>
      <w:r w:rsidR="00695B57" w:rsidRPr="00806BDE">
        <w:t>The</w:t>
      </w:r>
      <w:r w:rsidRPr="00806BDE">
        <w:t xml:space="preserve"> former Special Rapporteur on the Rights of Indigenous Peoples </w:t>
      </w:r>
      <w:r w:rsidR="00695B57" w:rsidRPr="00806BDE">
        <w:t xml:space="preserve">recognizes </w:t>
      </w:r>
      <w:r w:rsidRPr="00806BDE">
        <w:t xml:space="preserve">scenarios where consent must be sought as </w:t>
      </w:r>
      <w:r w:rsidR="00695B57" w:rsidRPr="00806BDE">
        <w:t>the</w:t>
      </w:r>
      <w:r w:rsidRPr="00806BDE">
        <w:t xml:space="preserve"> objective </w:t>
      </w:r>
      <w:r w:rsidR="00695B57" w:rsidRPr="00806BDE">
        <w:t xml:space="preserve">of </w:t>
      </w:r>
      <w:r w:rsidRPr="00806BDE">
        <w:t xml:space="preserve">consultation, but </w:t>
      </w:r>
      <w:r w:rsidR="00695B57" w:rsidRPr="00806BDE">
        <w:t xml:space="preserve">where </w:t>
      </w:r>
      <w:r w:rsidRPr="00806BDE">
        <w:t>obtain</w:t>
      </w:r>
      <w:r w:rsidR="00695B57" w:rsidRPr="00806BDE">
        <w:t xml:space="preserve">ing </w:t>
      </w:r>
      <w:r w:rsidRPr="00806BDE">
        <w:t>consent is not strictly required.</w:t>
      </w:r>
      <w:r w:rsidRPr="009E5F29">
        <w:rPr>
          <w:vertAlign w:val="superscript"/>
        </w:rPr>
        <w:footnoteReference w:id="53"/>
      </w:r>
      <w:r w:rsidRPr="00806BDE">
        <w:t xml:space="preserve"> </w:t>
      </w:r>
    </w:p>
    <w:p w14:paraId="5408C199" w14:textId="12732E4D" w:rsidR="009F673A" w:rsidRDefault="00815F2D" w:rsidP="003308C5">
      <w:pPr>
        <w:pStyle w:val="ListParagraph"/>
      </w:pPr>
      <w:r w:rsidRPr="00815F2D">
        <w:t>UNDRIP</w:t>
      </w:r>
      <w:r>
        <w:t xml:space="preserve"> </w:t>
      </w:r>
      <w:r w:rsidR="00806BDE">
        <w:t xml:space="preserve">itself </w:t>
      </w:r>
      <w:r w:rsidRPr="00815F2D">
        <w:t xml:space="preserve">does not establish a </w:t>
      </w:r>
      <w:r w:rsidR="00D853B2">
        <w:t xml:space="preserve">strict </w:t>
      </w:r>
      <w:r w:rsidRPr="00815F2D">
        <w:t>obligation to obtain FPIC. Instead, UNDRIP repeatedly frames FPIC as the </w:t>
      </w:r>
      <w:r w:rsidRPr="00815F2D">
        <w:rPr>
          <w:i/>
        </w:rPr>
        <w:t>objective</w:t>
      </w:r>
      <w:r w:rsidRPr="00815F2D">
        <w:t> of a consultation process, requiring States to consult with Indigenous peoples “in order to obtain” their consent.</w:t>
      </w:r>
      <w:r>
        <w:rPr>
          <w:rStyle w:val="FootnoteReference"/>
          <w:color w:val="000000" w:themeColor="text1"/>
        </w:rPr>
        <w:footnoteReference w:id="54"/>
      </w:r>
      <w:r w:rsidRPr="00815F2D">
        <w:t xml:space="preserve"> Earlier draft</w:t>
      </w:r>
      <w:r w:rsidR="0015170D">
        <w:t xml:space="preserve">s </w:t>
      </w:r>
      <w:r w:rsidRPr="00815F2D">
        <w:t xml:space="preserve">of UNDRIP adopted markedly stronger language that would have </w:t>
      </w:r>
      <w:r w:rsidR="002F1ED7">
        <w:t xml:space="preserve">firmly </w:t>
      </w:r>
      <w:r w:rsidRPr="00815F2D">
        <w:t>required FPIC; that formulation was deliberately diluted during negotiations, resulting in a procedural obligation of consultation oriented toward, but not contingent upon, consent.</w:t>
      </w:r>
      <w:r>
        <w:rPr>
          <w:rStyle w:val="FootnoteReference"/>
          <w:color w:val="000000" w:themeColor="text1"/>
        </w:rPr>
        <w:footnoteReference w:id="55"/>
      </w:r>
      <w:r w:rsidRPr="00815F2D">
        <w:t xml:space="preserve"> </w:t>
      </w:r>
    </w:p>
    <w:p w14:paraId="4714164F" w14:textId="6CEBB29D" w:rsidR="00E53EF1" w:rsidRDefault="00815F2D" w:rsidP="003308C5">
      <w:pPr>
        <w:pStyle w:val="ListParagraph"/>
      </w:pPr>
      <w:r w:rsidRPr="00815F2D">
        <w:t>The</w:t>
      </w:r>
      <w:r w:rsidR="00961CA3" w:rsidRPr="00961CA3">
        <w:t xml:space="preserve"> Committee on Economic, Social and Cultural Rights </w:t>
      </w:r>
      <w:r w:rsidRPr="00815F2D">
        <w:t xml:space="preserve">has refrained from expressly requiring States to obtain </w:t>
      </w:r>
      <w:r w:rsidR="00092F8C">
        <w:t>FPIC</w:t>
      </w:r>
      <w:r w:rsidRPr="00815F2D">
        <w:t xml:space="preserve">, instead </w:t>
      </w:r>
      <w:r w:rsidR="00573861">
        <w:t xml:space="preserve">directing </w:t>
      </w:r>
      <w:r w:rsidRPr="00815F2D">
        <w:t xml:space="preserve">States </w:t>
      </w:r>
      <w:r w:rsidR="00573861">
        <w:t>to</w:t>
      </w:r>
      <w:r w:rsidRPr="00815F2D">
        <w:t> </w:t>
      </w:r>
      <w:r w:rsidRPr="00815F2D">
        <w:rPr>
          <w:i/>
        </w:rPr>
        <w:t>consult and seek</w:t>
      </w:r>
      <w:r w:rsidRPr="00815F2D">
        <w:t> such</w:t>
      </w:r>
      <w:r w:rsidR="00573861">
        <w:t xml:space="preserve"> </w:t>
      </w:r>
      <w:r w:rsidRPr="00815F2D">
        <w:t>consent.</w:t>
      </w:r>
      <w:r w:rsidR="001D1107">
        <w:rPr>
          <w:rStyle w:val="FootnoteReference"/>
          <w:color w:val="000000" w:themeColor="text1"/>
        </w:rPr>
        <w:footnoteReference w:id="56"/>
      </w:r>
      <w:r w:rsidRPr="00815F2D">
        <w:t xml:space="preserve"> Similarly, the </w:t>
      </w:r>
      <w:r w:rsidR="003600EE">
        <w:t xml:space="preserve">UN </w:t>
      </w:r>
      <w:r w:rsidR="00451DF0">
        <w:t>Human Rights Council</w:t>
      </w:r>
      <w:r w:rsidRPr="00815F2D">
        <w:t xml:space="preserve"> has declined to </w:t>
      </w:r>
      <w:r w:rsidR="00573861">
        <w:t>recognize</w:t>
      </w:r>
      <w:r w:rsidRPr="00815F2D">
        <w:t xml:space="preserve"> a</w:t>
      </w:r>
      <w:r w:rsidR="00A1386A">
        <w:t>n</w:t>
      </w:r>
      <w:r w:rsidRPr="00815F2D">
        <w:t xml:space="preserve"> obligation to obtain consent as a condition precedent to development</w:t>
      </w:r>
      <w:r w:rsidR="00A1386A">
        <w:t xml:space="preserve">. </w:t>
      </w:r>
      <w:r w:rsidR="00573861">
        <w:t>Likewise</w:t>
      </w:r>
      <w:r w:rsidR="00A1386A">
        <w:t>, t</w:t>
      </w:r>
      <w:r w:rsidRPr="00815F2D">
        <w:t>he</w:t>
      </w:r>
      <w:r w:rsidR="00690260">
        <w:t xml:space="preserve"> Inter-American Court of Human Rights </w:t>
      </w:r>
      <w:r w:rsidR="00690260">
        <w:lastRenderedPageBreak/>
        <w:t>(“</w:t>
      </w:r>
      <w:r w:rsidRPr="00815F2D">
        <w:t>IACtHR</w:t>
      </w:r>
      <w:r w:rsidR="00690260">
        <w:t>”)</w:t>
      </w:r>
      <w:r w:rsidRPr="00815F2D">
        <w:t xml:space="preserve"> has focused its jurisprudence on defining the procedural requirements of an effective consultation process, rather than </w:t>
      </w:r>
      <w:r w:rsidR="00092F8C">
        <w:t>establishing</w:t>
      </w:r>
      <w:r w:rsidRPr="00815F2D">
        <w:t xml:space="preserve"> a </w:t>
      </w:r>
      <w:r w:rsidR="00092F8C">
        <w:t>strict</w:t>
      </w:r>
      <w:r w:rsidRPr="00815F2D">
        <w:t xml:space="preserve"> duty to secure consent.</w:t>
      </w:r>
      <w:r w:rsidR="006D5D99">
        <w:rPr>
          <w:rStyle w:val="FootnoteReference"/>
          <w:color w:val="000000" w:themeColor="text1"/>
        </w:rPr>
        <w:footnoteReference w:id="57"/>
      </w:r>
    </w:p>
    <w:p w14:paraId="3167E2C0" w14:textId="1C6141CA" w:rsidR="005F4A54" w:rsidRPr="00500A8E" w:rsidRDefault="00815F2D" w:rsidP="003308C5">
      <w:pPr>
        <w:pStyle w:val="ListParagraph"/>
      </w:pPr>
      <w:r w:rsidRPr="00815F2D">
        <w:t xml:space="preserve">Taken together, these authorities confirm that </w:t>
      </w:r>
      <w:r w:rsidR="009A140F">
        <w:t xml:space="preserve">any FPIC custom operates on a sliding scale, </w:t>
      </w:r>
      <w:r w:rsidR="009A140F" w:rsidRPr="009A140F">
        <w:t xml:space="preserve">rather than a rigid requirement of </w:t>
      </w:r>
      <w:r w:rsidR="009A140F">
        <w:t>obtaining consent</w:t>
      </w:r>
      <w:r w:rsidR="009A140F" w:rsidRPr="009A140F">
        <w:t xml:space="preserve"> in all circumstances.</w:t>
      </w:r>
      <w:r w:rsidR="00513998">
        <w:t xml:space="preserve"> </w:t>
      </w:r>
      <w:r w:rsidR="00500A8E" w:rsidRPr="00500A8E">
        <w:t xml:space="preserve">Minimal impacts may </w:t>
      </w:r>
      <w:r w:rsidR="00500A8E">
        <w:t xml:space="preserve">only </w:t>
      </w:r>
      <w:r w:rsidR="00500A8E" w:rsidRPr="00500A8E">
        <w:t xml:space="preserve">require notice, while severe and exceptional interference may require consent. In intermediate cases, the obligation is </w:t>
      </w:r>
      <w:r w:rsidR="00277076">
        <w:t xml:space="preserve">a </w:t>
      </w:r>
      <w:r w:rsidR="00500A8E" w:rsidRPr="00500A8E">
        <w:t>good-faith consultation with consent as the objective</w:t>
      </w:r>
      <w:r w:rsidR="00513998" w:rsidRPr="00500A8E">
        <w:t>.</w:t>
      </w:r>
      <w:r w:rsidR="006A620B">
        <w:rPr>
          <w:rStyle w:val="FootnoteReference"/>
          <w:color w:val="000000" w:themeColor="text1"/>
        </w:rPr>
        <w:footnoteReference w:id="58"/>
      </w:r>
    </w:p>
    <w:p w14:paraId="7D2C2C8D" w14:textId="269FD111" w:rsidR="00324AF3" w:rsidRPr="003A4A05" w:rsidRDefault="00324AF3" w:rsidP="00EF7AEA">
      <w:pPr>
        <w:pStyle w:val="Heading2"/>
        <w:keepLines w:val="0"/>
        <w:numPr>
          <w:ilvl w:val="0"/>
          <w:numId w:val="26"/>
        </w:numPr>
        <w:spacing w:after="160" w:line="240" w:lineRule="auto"/>
      </w:pPr>
      <w:bookmarkStart w:id="20" w:name="_Toc219103229"/>
      <w:r w:rsidRPr="00AC29A9">
        <w:t xml:space="preserve">Restovia Satisfied Any Obligation to Consult, Including the More Exacting Standard Under </w:t>
      </w:r>
      <w:r w:rsidR="007B38A7" w:rsidRPr="00AC29A9">
        <w:t xml:space="preserve">the </w:t>
      </w:r>
      <w:r w:rsidRPr="00AC29A9">
        <w:t>Sliding</w:t>
      </w:r>
      <w:r w:rsidR="00B15062" w:rsidRPr="00AC29A9">
        <w:t>-</w:t>
      </w:r>
      <w:r w:rsidRPr="00AC29A9">
        <w:t>Scale</w:t>
      </w:r>
      <w:r w:rsidR="00B15062" w:rsidRPr="00AC29A9">
        <w:t xml:space="preserve"> Model of</w:t>
      </w:r>
      <w:r w:rsidRPr="00AC29A9">
        <w:t xml:space="preserve"> FPIC</w:t>
      </w:r>
      <w:bookmarkEnd w:id="20"/>
      <w:r w:rsidRPr="003A4A05">
        <w:t xml:space="preserve"> </w:t>
      </w:r>
    </w:p>
    <w:p w14:paraId="22B6145C" w14:textId="5784F885" w:rsidR="00324AF3" w:rsidRPr="00A539D5" w:rsidRDefault="00324AF3" w:rsidP="003308C5">
      <w:pPr>
        <w:pStyle w:val="ListParagraph"/>
      </w:pPr>
      <w:r w:rsidRPr="003A4A05">
        <w:t xml:space="preserve">Even </w:t>
      </w:r>
      <w:r w:rsidR="00B15062">
        <w:t xml:space="preserve">if </w:t>
      </w:r>
      <w:r w:rsidR="005B2A9E">
        <w:t xml:space="preserve">a </w:t>
      </w:r>
      <w:r w:rsidR="00B15062">
        <w:t>treaty or custom</w:t>
      </w:r>
      <w:r w:rsidR="00CB52CE">
        <w:t xml:space="preserve"> bind</w:t>
      </w:r>
      <w:r w:rsidR="005B2A9E">
        <w:t>s</w:t>
      </w:r>
      <w:r w:rsidR="00B15062">
        <w:t xml:space="preserve"> Restovia </w:t>
      </w:r>
      <w:r w:rsidR="00CB52CE">
        <w:t>to the</w:t>
      </w:r>
      <w:r w:rsidR="00B15062">
        <w:t xml:space="preserve"> stricter standard of a sliding-scale model of FPIC</w:t>
      </w:r>
      <w:r w:rsidR="00CB52CE">
        <w:t xml:space="preserve">, rather than a mere obligation to consult, </w:t>
      </w:r>
      <w:r w:rsidRPr="00CB52CE">
        <w:t>Restovia fully discharged its obligations. The rare earth extraction project involves a large deposit at shallow depths in the Gordian Gorge, which comprises only a portion of the larger Plateau.</w:t>
      </w:r>
      <w:r>
        <w:rPr>
          <w:rStyle w:val="FootnoteReference"/>
          <w:color w:val="000000" w:themeColor="text1"/>
        </w:rPr>
        <w:footnoteReference w:id="59"/>
      </w:r>
      <w:r w:rsidRPr="00CB52CE">
        <w:t xml:space="preserve"> Although the extraction warranted heightened </w:t>
      </w:r>
      <w:r w:rsidR="009D3BEC">
        <w:t>consultation</w:t>
      </w:r>
      <w:r w:rsidRPr="00CB52CE">
        <w:t xml:space="preserve">, the shallow nature of the deposit and the limited area affected distinguish it from large-scale, high-impact </w:t>
      </w:r>
      <w:r w:rsidR="00A539D5">
        <w:t xml:space="preserve">projects </w:t>
      </w:r>
      <w:r w:rsidR="00A539D5" w:rsidRPr="00A539D5">
        <w:t>situated near Indigenous communities that trigger a requirement of consent</w:t>
      </w:r>
      <w:r w:rsidRPr="00A539D5">
        <w:t>.</w:t>
      </w:r>
      <w:r>
        <w:rPr>
          <w:rStyle w:val="FootnoteReference"/>
          <w:color w:val="000000" w:themeColor="text1"/>
        </w:rPr>
        <w:footnoteReference w:id="60"/>
      </w:r>
      <w:r w:rsidRPr="00A539D5">
        <w:t xml:space="preserve"> This means that Restovia was obliged to conduct a good-faith consultation process aimed at seeking FPIC.</w:t>
      </w:r>
      <w:r>
        <w:rPr>
          <w:rStyle w:val="FootnoteReference"/>
          <w:color w:val="000000" w:themeColor="text1"/>
        </w:rPr>
        <w:footnoteReference w:id="61"/>
      </w:r>
    </w:p>
    <w:p w14:paraId="3E37DFEB" w14:textId="54E6D144" w:rsidR="00324AF3" w:rsidRPr="00302038" w:rsidRDefault="00324AF3" w:rsidP="00324AF3">
      <w:pPr>
        <w:pStyle w:val="ListParagraph"/>
        <w:rPr>
          <w:color w:val="000000" w:themeColor="text1"/>
        </w:rPr>
      </w:pPr>
      <w:r w:rsidRPr="003A4A05">
        <w:t xml:space="preserve">From the outset, Restovia </w:t>
      </w:r>
      <w:r w:rsidR="007B38A7">
        <w:t>fulfilled</w:t>
      </w:r>
      <w:r w:rsidRPr="003A4A05">
        <w:t xml:space="preserve"> this obligation. The Ministry of Natural Resources’ first announcement required all bidders to explain how they would protect the integrity of, and access to, Pilemon sacred sites “as required by Restovia’s obligations under ARPA and SRPA,” and to commit to repair</w:t>
      </w:r>
      <w:r w:rsidR="0012173E">
        <w:t>ing</w:t>
      </w:r>
      <w:r w:rsidRPr="003A4A05">
        <w:t xml:space="preserve"> any environmental or cultural damage in cooperation with Pilemon Elders.</w:t>
      </w:r>
      <w:r>
        <w:rPr>
          <w:rStyle w:val="FootnoteReference"/>
          <w:color w:val="000000" w:themeColor="text1"/>
        </w:rPr>
        <w:footnoteReference w:id="62"/>
      </w:r>
      <w:r w:rsidRPr="003A4A05">
        <w:t xml:space="preserve"> A second announcement established an </w:t>
      </w:r>
      <w:r w:rsidR="00FF77A0">
        <w:t>ICM</w:t>
      </w:r>
      <w:r w:rsidRPr="003A4A05">
        <w:t xml:space="preserve"> inviting all Pilemon Elders to offer advice and </w:t>
      </w:r>
      <w:r w:rsidRPr="003A4A05">
        <w:lastRenderedPageBreak/>
        <w:t xml:space="preserve">recommendations. </w:t>
      </w:r>
      <w:r>
        <w:t xml:space="preserve">These steps </w:t>
      </w:r>
      <w:r w:rsidR="00126C11">
        <w:t>align</w:t>
      </w:r>
      <w:r>
        <w:t xml:space="preserve"> with the direction of the </w:t>
      </w:r>
      <w:r w:rsidRPr="00302038">
        <w:t>IACtHR</w:t>
      </w:r>
      <w:r>
        <w:t xml:space="preserve"> in the c</w:t>
      </w:r>
      <w:r w:rsidRPr="00302038">
        <w:t xml:space="preserve">ase of </w:t>
      </w:r>
      <w:r w:rsidRPr="00302038">
        <w:rPr>
          <w:i/>
          <w:iCs/>
        </w:rPr>
        <w:t>Saramaka People v. Suriname</w:t>
      </w:r>
      <w:r>
        <w:rPr>
          <w:i/>
          <w:iCs/>
        </w:rPr>
        <w:t xml:space="preserve">, </w:t>
      </w:r>
      <w:r>
        <w:t xml:space="preserve">where </w:t>
      </w:r>
      <w:r w:rsidR="00812144">
        <w:t>it</w:t>
      </w:r>
      <w:r>
        <w:t xml:space="preserve"> held that the State must </w:t>
      </w:r>
      <w:r w:rsidRPr="00302038">
        <w:rPr>
          <w:color w:val="000000" w:themeColor="text1"/>
        </w:rPr>
        <w:t>implement adequate safeguards</w:t>
      </w:r>
      <w:r>
        <w:rPr>
          <w:color w:val="000000" w:themeColor="text1"/>
        </w:rPr>
        <w:t xml:space="preserve"> </w:t>
      </w:r>
      <w:r w:rsidRPr="00302038">
        <w:rPr>
          <w:color w:val="000000" w:themeColor="text1"/>
        </w:rPr>
        <w:t>to avoid significantly affect</w:t>
      </w:r>
      <w:r>
        <w:rPr>
          <w:color w:val="000000" w:themeColor="text1"/>
        </w:rPr>
        <w:t>ing</w:t>
      </w:r>
      <w:r w:rsidRPr="00302038">
        <w:rPr>
          <w:color w:val="000000" w:themeColor="text1"/>
        </w:rPr>
        <w:t xml:space="preserve"> the</w:t>
      </w:r>
      <w:r>
        <w:rPr>
          <w:color w:val="000000" w:themeColor="text1"/>
        </w:rPr>
        <w:t xml:space="preserve"> </w:t>
      </w:r>
      <w:r w:rsidRPr="00302038">
        <w:rPr>
          <w:color w:val="000000" w:themeColor="text1"/>
        </w:rPr>
        <w:t>conditions of traditional lands</w:t>
      </w:r>
      <w:r>
        <w:rPr>
          <w:color w:val="000000" w:themeColor="text1"/>
        </w:rPr>
        <w:t>.</w:t>
      </w:r>
      <w:r>
        <w:rPr>
          <w:rStyle w:val="FootnoteReference"/>
          <w:color w:val="000000" w:themeColor="text1"/>
        </w:rPr>
        <w:footnoteReference w:id="63"/>
      </w:r>
    </w:p>
    <w:p w14:paraId="009613B1" w14:textId="733BEFFC" w:rsidR="00324AF3" w:rsidRPr="009D3BEC" w:rsidRDefault="00324AF3" w:rsidP="003308C5">
      <w:pPr>
        <w:pStyle w:val="ListParagraph"/>
      </w:pPr>
      <w:r>
        <w:t xml:space="preserve">Restovia </w:t>
      </w:r>
      <w:r w:rsidRPr="006779A9">
        <w:t xml:space="preserve">engaged with </w:t>
      </w:r>
      <w:r w:rsidR="00716860">
        <w:t xml:space="preserve">Pilemon peoples </w:t>
      </w:r>
      <w:r w:rsidRPr="006779A9">
        <w:t>through the</w:t>
      </w:r>
      <w:r>
        <w:t>ir E</w:t>
      </w:r>
      <w:r w:rsidRPr="006779A9">
        <w:t>lders</w:t>
      </w:r>
      <w:r>
        <w:t xml:space="preserve">. This method of engaging with Indigenous peoples through representatives determined by themselves </w:t>
      </w:r>
      <w:r w:rsidR="009D3BEC">
        <w:t xml:space="preserve">ensures broad community support and </w:t>
      </w:r>
      <w:r w:rsidR="00FF5182">
        <w:t>aligns</w:t>
      </w:r>
      <w:r w:rsidRPr="009D3BEC">
        <w:t xml:space="preserve"> with international standards.</w:t>
      </w:r>
      <w:r>
        <w:rPr>
          <w:rStyle w:val="FootnoteReference"/>
          <w:color w:val="000000" w:themeColor="text1"/>
        </w:rPr>
        <w:footnoteReference w:id="64"/>
      </w:r>
      <w:r w:rsidRPr="009D3BEC">
        <w:t xml:space="preserve"> </w:t>
      </w:r>
      <w:r w:rsidR="009D3BEC">
        <w:t>Restovia</w:t>
      </w:r>
      <w:r w:rsidRPr="009D3BEC">
        <w:t xml:space="preserve"> provided access to proposals and technical materials, allowed written comments, and invited Elders to meetings with bidders and officials. Their views were to be taken into “due consideration.” This mechanism was publicized online, transmitted to the governments of Alekostria and Sollania, and mailed directly to Elders in every Pilemon village in Restovia.</w:t>
      </w:r>
      <w:r>
        <w:rPr>
          <w:rStyle w:val="FootnoteReference"/>
          <w:color w:val="000000" w:themeColor="text1"/>
        </w:rPr>
        <w:footnoteReference w:id="65"/>
      </w:r>
      <w:r w:rsidRPr="009D3BEC">
        <w:t xml:space="preserve"> </w:t>
      </w:r>
    </w:p>
    <w:p w14:paraId="187E0E32" w14:textId="4356B0E0" w:rsidR="00324AF3" w:rsidRPr="00870E1B" w:rsidRDefault="00FF77A0" w:rsidP="003308C5">
      <w:pPr>
        <w:pStyle w:val="ListParagraph"/>
      </w:pPr>
      <w:r>
        <w:rPr>
          <w:lang w:val="en-US"/>
        </w:rPr>
        <w:t xml:space="preserve">As the project advanced, </w:t>
      </w:r>
      <w:r w:rsidR="00324AF3" w:rsidRPr="00232ACC">
        <w:rPr>
          <w:lang w:val="en-US"/>
        </w:rPr>
        <w:t xml:space="preserve">Restovia </w:t>
      </w:r>
      <w:r w:rsidR="00D65B4D">
        <w:rPr>
          <w:lang w:val="en-US"/>
        </w:rPr>
        <w:t>continued to comply</w:t>
      </w:r>
      <w:r w:rsidR="00324AF3" w:rsidRPr="00232ACC">
        <w:rPr>
          <w:lang w:val="en-US"/>
        </w:rPr>
        <w:t xml:space="preserve"> with its duty to engage in</w:t>
      </w:r>
      <w:r w:rsidR="00D65B4D">
        <w:rPr>
          <w:lang w:val="en-US"/>
        </w:rPr>
        <w:t xml:space="preserve"> </w:t>
      </w:r>
      <w:r w:rsidR="00324AF3" w:rsidRPr="00232ACC">
        <w:rPr>
          <w:lang w:val="en-US"/>
        </w:rPr>
        <w:t>consultation</w:t>
      </w:r>
      <w:r w:rsidR="00D65B4D">
        <w:rPr>
          <w:lang w:val="en-US"/>
        </w:rPr>
        <w:t xml:space="preserve"> with the aim of consent</w:t>
      </w:r>
      <w:r w:rsidR="00324AF3" w:rsidRPr="003A4A05">
        <w:t xml:space="preserve">. </w:t>
      </w:r>
      <w:r>
        <w:t>After the completion of</w:t>
      </w:r>
      <w:r w:rsidR="00324AF3" w:rsidRPr="003A4A05">
        <w:t xml:space="preserve"> environmental impact assessments by an independent </w:t>
      </w:r>
      <w:r w:rsidR="00D65B4D">
        <w:t xml:space="preserve">and internationally respected </w:t>
      </w:r>
      <w:r w:rsidR="00324AF3" w:rsidRPr="003A4A05">
        <w:t>firm, Restovia organized ten public presentations and three in-person and two online forums with Pilemon Elders from Alekostria and Restovia.</w:t>
      </w:r>
      <w:r w:rsidR="00324AF3">
        <w:rPr>
          <w:rStyle w:val="FootnoteReference"/>
          <w:color w:val="000000" w:themeColor="text1"/>
        </w:rPr>
        <w:footnoteReference w:id="66"/>
      </w:r>
      <w:r w:rsidR="00324AF3" w:rsidRPr="003A4A05">
        <w:t xml:space="preserve"> Around 60 percent of </w:t>
      </w:r>
      <w:r w:rsidR="001C1640">
        <w:t xml:space="preserve">the </w:t>
      </w:r>
      <w:r w:rsidR="00324AF3" w:rsidRPr="003A4A05">
        <w:t xml:space="preserve">Elders from </w:t>
      </w:r>
      <w:r w:rsidR="00D65B4D" w:rsidRPr="003A4A05">
        <w:t>Alekostria and Restovia</w:t>
      </w:r>
      <w:r w:rsidR="00D65B4D">
        <w:t xml:space="preserve"> </w:t>
      </w:r>
      <w:r w:rsidR="00324AF3" w:rsidRPr="003A4A05">
        <w:t>attended at least one forum.</w:t>
      </w:r>
      <w:r w:rsidR="00324AF3">
        <w:rPr>
          <w:rStyle w:val="FootnoteReference"/>
          <w:color w:val="000000" w:themeColor="text1"/>
        </w:rPr>
        <w:footnoteReference w:id="67"/>
      </w:r>
      <w:r w:rsidR="00324AF3" w:rsidRPr="003A4A05">
        <w:t xml:space="preserve"> They received </w:t>
      </w:r>
      <w:r w:rsidR="00324AF3">
        <w:t>project reports</w:t>
      </w:r>
      <w:r w:rsidR="00324AF3" w:rsidRPr="003A4A05">
        <w:t>, synopses prepared by the Ministry, and access to a toll-free hotline that was used 61 times.</w:t>
      </w:r>
      <w:r w:rsidR="00324AF3">
        <w:rPr>
          <w:rStyle w:val="FootnoteReference"/>
          <w:color w:val="000000" w:themeColor="text1"/>
        </w:rPr>
        <w:footnoteReference w:id="68"/>
      </w:r>
      <w:r w:rsidR="00324AF3">
        <w:t xml:space="preserve"> </w:t>
      </w:r>
      <w:r w:rsidR="00324AF3" w:rsidRPr="00870E1B">
        <w:t>Each forum devoted substantial time to questions and comments from Elders, and their recommendations</w:t>
      </w:r>
      <w:r>
        <w:t xml:space="preserve"> </w:t>
      </w:r>
      <w:r w:rsidR="00324AF3" w:rsidRPr="00870E1B">
        <w:t>regarding explosives and road construction were incorporated by all three finalists into revised project designs.</w:t>
      </w:r>
      <w:r w:rsidR="00324AF3">
        <w:rPr>
          <w:rStyle w:val="FootnoteReference"/>
          <w:color w:val="000000" w:themeColor="text1"/>
        </w:rPr>
        <w:footnoteReference w:id="69"/>
      </w:r>
      <w:r w:rsidR="00324AF3" w:rsidRPr="00870E1B">
        <w:t xml:space="preserve"> </w:t>
      </w:r>
      <w:r w:rsidR="00324AF3">
        <w:t xml:space="preserve">In </w:t>
      </w:r>
      <w:r w:rsidR="00324AF3" w:rsidRPr="00870E1B">
        <w:rPr>
          <w:i/>
        </w:rPr>
        <w:t>Chippewas of the Thames</w:t>
      </w:r>
      <w:r w:rsidR="00324AF3">
        <w:t>, the Supreme Court of Canada found similar conduct by the Crown to be sufficient in fulfilling its duty towards Indigenous Peoples.</w:t>
      </w:r>
      <w:r w:rsidR="00324AF3">
        <w:rPr>
          <w:rStyle w:val="FootnoteReference"/>
          <w:color w:val="000000" w:themeColor="text1"/>
        </w:rPr>
        <w:footnoteReference w:id="70"/>
      </w:r>
    </w:p>
    <w:p w14:paraId="36F3640A" w14:textId="02EA4767" w:rsidR="00324AF3" w:rsidRDefault="00324AF3" w:rsidP="003308C5">
      <w:pPr>
        <w:pStyle w:val="ListParagraph"/>
      </w:pPr>
      <w:r>
        <w:lastRenderedPageBreak/>
        <w:t>T</w:t>
      </w:r>
      <w:r w:rsidRPr="003A4A05">
        <w:t>he record demonstrates that the Elders were presented with a genuine and meaningful choice.</w:t>
      </w:r>
      <w:r>
        <w:t xml:space="preserve"> </w:t>
      </w:r>
      <w:r w:rsidRPr="003A4A05">
        <w:t>An authorized spokesperson</w:t>
      </w:r>
      <w:r>
        <w:t xml:space="preserve"> </w:t>
      </w:r>
      <w:r w:rsidRPr="003A4A05">
        <w:t xml:space="preserve">reported that 120 of the 200 Elders </w:t>
      </w:r>
      <w:r w:rsidR="00FF77A0">
        <w:t>in attendance</w:t>
      </w:r>
      <w:r w:rsidRPr="003A4A05">
        <w:t xml:space="preserve"> supported NEXCA’s bid.</w:t>
      </w:r>
      <w:r>
        <w:rPr>
          <w:rStyle w:val="FootnoteReference"/>
          <w:color w:val="000000" w:themeColor="text1"/>
        </w:rPr>
        <w:footnoteReference w:id="71"/>
      </w:r>
      <w:r w:rsidRPr="003A4A05">
        <w:t xml:space="preserve"> </w:t>
      </w:r>
      <w:r>
        <w:t>The Elders</w:t>
      </w:r>
      <w:r w:rsidRPr="003A4A05">
        <w:t xml:space="preserve"> clearly understood that expressing their opposition to the project was an option, as evidenced by the Elders who </w:t>
      </w:r>
      <w:r>
        <w:t>opposed it.</w:t>
      </w:r>
      <w:r w:rsidRPr="003A4A05">
        <w:t xml:space="preserve"> </w:t>
      </w:r>
      <w:r>
        <w:t>Y</w:t>
      </w:r>
      <w:r w:rsidRPr="003A4A05">
        <w:t>et</w:t>
      </w:r>
      <w:r>
        <w:t xml:space="preserve">, a clear majority of the Elders </w:t>
      </w:r>
      <w:r w:rsidRPr="003A4A05">
        <w:t>voted in favour of proceeding with one of the proposed mining plans.</w:t>
      </w:r>
      <w:r>
        <w:t xml:space="preserve"> </w:t>
      </w:r>
      <w:r w:rsidRPr="00105A54">
        <w:t xml:space="preserve">This accords with the </w:t>
      </w:r>
      <w:r>
        <w:t xml:space="preserve">Canadian Federal Court’s </w:t>
      </w:r>
      <w:r w:rsidRPr="00105A54">
        <w:t xml:space="preserve">reasoning in </w:t>
      </w:r>
      <w:proofErr w:type="spellStart"/>
      <w:r w:rsidRPr="00105A54">
        <w:rPr>
          <w:i/>
        </w:rPr>
        <w:t>Kebaowek</w:t>
      </w:r>
      <w:proofErr w:type="spellEnd"/>
      <w:r w:rsidRPr="00105A54">
        <w:t>, which recognizes that consultation must consider the broader rights-holding collective, not the views of any single community or faction.</w:t>
      </w:r>
      <w:r w:rsidR="00704EEF" w:rsidRPr="00704EEF">
        <w:rPr>
          <w:rStyle w:val="FootnoteReference"/>
          <w:color w:val="000000" w:themeColor="text1"/>
        </w:rPr>
        <w:t xml:space="preserve"> </w:t>
      </w:r>
      <w:r w:rsidR="00704EEF">
        <w:rPr>
          <w:rStyle w:val="FootnoteReference"/>
          <w:color w:val="000000" w:themeColor="text1"/>
        </w:rPr>
        <w:footnoteReference w:id="72"/>
      </w:r>
      <w:r w:rsidRPr="00105A54">
        <w:t xml:space="preserve"> While dissenting perspectives remain relevant, they do not negate the existence of meaningful consultation where a representative portion of the collective participates and expresses support for </w:t>
      </w:r>
      <w:r w:rsidR="00704EEF">
        <w:t>the</w:t>
      </w:r>
      <w:r w:rsidRPr="00105A54">
        <w:t xml:space="preserve"> development.</w:t>
      </w:r>
    </w:p>
    <w:p w14:paraId="6A17DC65" w14:textId="4E3577AB" w:rsidR="00704EEF" w:rsidRDefault="00704EEF" w:rsidP="003308C5">
      <w:pPr>
        <w:pStyle w:val="ListParagraph"/>
      </w:pPr>
      <w:r w:rsidRPr="006A08DE">
        <w:t>Following NEXCA’s disqualification, Restovia nonetheless upheld its duty to consult</w:t>
      </w:r>
      <w:r>
        <w:t xml:space="preserve">. </w:t>
      </w:r>
      <w:r w:rsidRPr="00704EEF">
        <w:t>From the outset, Restovia structured the tender so that all bidders</w:t>
      </w:r>
      <w:r>
        <w:t xml:space="preserve">, including </w:t>
      </w:r>
      <w:r w:rsidRPr="00704EEF">
        <w:t xml:space="preserve">the </w:t>
      </w:r>
      <w:r>
        <w:t>ultimate</w:t>
      </w:r>
      <w:r w:rsidRPr="00704EEF">
        <w:t xml:space="preserve"> </w:t>
      </w:r>
      <w:r>
        <w:t>winner</w:t>
      </w:r>
      <w:r w:rsidRPr="00704EEF">
        <w:t>, Hyperion</w:t>
      </w:r>
      <w:r>
        <w:t xml:space="preserve">, </w:t>
      </w:r>
      <w:r w:rsidRPr="00704EEF">
        <w:t>were bound by the same consultation framework.</w:t>
      </w:r>
      <w:r w:rsidRPr="00704EEF">
        <w:rPr>
          <w:rStyle w:val="FootnoteReference"/>
          <w:color w:val="000000" w:themeColor="text1"/>
          <w:lang w:val="en-US"/>
        </w:rPr>
        <w:t xml:space="preserve"> </w:t>
      </w:r>
      <w:r>
        <w:rPr>
          <w:rStyle w:val="FootnoteReference"/>
          <w:color w:val="000000" w:themeColor="text1"/>
          <w:lang w:val="en-US"/>
        </w:rPr>
        <w:footnoteReference w:id="73"/>
      </w:r>
      <w:r w:rsidRPr="00704EEF">
        <w:t xml:space="preserve"> Hyperion was therefore subject to the same environmental assessment requirements, participated in the</w:t>
      </w:r>
      <w:r>
        <w:t xml:space="preserve"> same</w:t>
      </w:r>
      <w:r w:rsidRPr="00704EEF">
        <w:t xml:space="preserve"> consultation forums, and adopted the same Elder-recommended safeguards concerning explosives and access roads.</w:t>
      </w:r>
      <w:r>
        <w:rPr>
          <w:rStyle w:val="FootnoteReference"/>
          <w:color w:val="000000" w:themeColor="text1"/>
        </w:rPr>
        <w:footnoteReference w:id="74"/>
      </w:r>
      <w:r w:rsidRPr="00704EEF">
        <w:t xml:space="preserve"> The continuity of these obligations ensured that the consultation process, including its outcomes, remained effective notwithstanding the change in contractor.</w:t>
      </w:r>
    </w:p>
    <w:p w14:paraId="020FE164" w14:textId="0678A5FC" w:rsidR="00324AF3" w:rsidRPr="006A08DE" w:rsidRDefault="00324AF3" w:rsidP="003308C5">
      <w:pPr>
        <w:pStyle w:val="ListParagraph"/>
      </w:pPr>
      <w:r w:rsidRPr="006A08DE">
        <w:t xml:space="preserve">Restovia at all times retained ultimate responsibility for the consultation process and did not abdicate its obligations to private actors. The </w:t>
      </w:r>
      <w:r w:rsidR="00FF77A0">
        <w:t>ICM</w:t>
      </w:r>
      <w:r w:rsidRPr="006A08DE">
        <w:t xml:space="preserve"> was established, designed, and administered by Restovian authorities, who determined its scope, procedures, and legal effect.</w:t>
      </w:r>
      <w:r>
        <w:rPr>
          <w:rStyle w:val="FootnoteReference"/>
          <w:color w:val="000000" w:themeColor="text1"/>
        </w:rPr>
        <w:footnoteReference w:id="75"/>
      </w:r>
      <w:r w:rsidRPr="006A08DE">
        <w:t xml:space="preserve"> Invitations were issued by the State, materials were disseminated through official channels, and all views expressed were to be taken into due consideration by government decision-makers. The final assessment of bids, incorporation of safeguards, and any ultimate decision remained exclusively with Restovian authorities.</w:t>
      </w:r>
    </w:p>
    <w:p w14:paraId="36466CCE" w14:textId="05599C34" w:rsidR="00324AF3" w:rsidRPr="003A4A05" w:rsidRDefault="00324AF3" w:rsidP="003308C5">
      <w:pPr>
        <w:pStyle w:val="ListParagraph"/>
      </w:pPr>
      <w:r w:rsidRPr="003A4A05">
        <w:lastRenderedPageBreak/>
        <w:t xml:space="preserve">The totality of the circumstances reflects a multi-year, structured process of information-sharing, dialogue, project modification, and effective participation. Accordingly, even under the more exacting </w:t>
      </w:r>
      <w:r w:rsidR="00D95CF4">
        <w:t xml:space="preserve">standard of </w:t>
      </w:r>
      <w:r w:rsidRPr="003A4A05">
        <w:t>FPIC, Restovia fully complied with its obligation to consult in good faith with the objective of obtaining consent. It follows that any looser obligation of consultation</w:t>
      </w:r>
      <w:r w:rsidR="00D95CF4">
        <w:t xml:space="preserve"> </w:t>
      </w:r>
      <w:r w:rsidRPr="003A4A05">
        <w:t xml:space="preserve">is also fully satisfied. </w:t>
      </w:r>
    </w:p>
    <w:p w14:paraId="7047DCC6" w14:textId="49195E37" w:rsidR="00602182" w:rsidRPr="00F8447A" w:rsidRDefault="00A357AD" w:rsidP="00EF7AEA">
      <w:pPr>
        <w:pStyle w:val="Heading2"/>
        <w:keepLines w:val="0"/>
        <w:numPr>
          <w:ilvl w:val="0"/>
          <w:numId w:val="26"/>
        </w:numPr>
        <w:spacing w:after="160" w:line="240" w:lineRule="auto"/>
      </w:pPr>
      <w:bookmarkStart w:id="21" w:name="_Toc219103230"/>
      <w:r w:rsidRPr="00AC29A9">
        <w:t xml:space="preserve">Even </w:t>
      </w:r>
      <w:r w:rsidR="00395591">
        <w:t>i</w:t>
      </w:r>
      <w:r w:rsidRPr="00AC29A9">
        <w:t xml:space="preserve">f </w:t>
      </w:r>
      <w:r w:rsidR="00464453" w:rsidRPr="00AC29A9">
        <w:t xml:space="preserve">Restovia’s Conduct Limited Pilemon Rights Relating to FPIC </w:t>
      </w:r>
      <w:r w:rsidR="00F244AE" w:rsidRPr="00AC29A9">
        <w:t>U</w:t>
      </w:r>
      <w:r w:rsidR="00464453" w:rsidRPr="00AC29A9">
        <w:t xml:space="preserve">nder Treaty or Customary Law, </w:t>
      </w:r>
      <w:r w:rsidR="00C312C1" w:rsidRPr="00AC29A9">
        <w:t>t</w:t>
      </w:r>
      <w:r w:rsidR="00464453" w:rsidRPr="00AC29A9">
        <w:t>his Limitation Was Valid</w:t>
      </w:r>
      <w:bookmarkEnd w:id="21"/>
      <w:r w:rsidR="00464453">
        <w:t xml:space="preserve"> </w:t>
      </w:r>
    </w:p>
    <w:p w14:paraId="0E1EE05A" w14:textId="0C2EA83B" w:rsidR="00AA28ED" w:rsidRDefault="00F8447A" w:rsidP="003308C5">
      <w:pPr>
        <w:pStyle w:val="ListParagraph"/>
      </w:pPr>
      <w:r>
        <w:t xml:space="preserve">Even if </w:t>
      </w:r>
      <w:r w:rsidR="00731BEB">
        <w:t>Pilemon communities hold a veto right, under either treaty or custom</w:t>
      </w:r>
      <w:r w:rsidR="00337077">
        <w:t>ary law</w:t>
      </w:r>
      <w:r w:rsidR="00731BEB">
        <w:t>,</w:t>
      </w:r>
      <w:r w:rsidR="00337077">
        <w:t xml:space="preserve"> Restovia’s conduct </w:t>
      </w:r>
      <w:r w:rsidR="00593D18">
        <w:t>is</w:t>
      </w:r>
      <w:r w:rsidR="00337077">
        <w:t xml:space="preserve"> a valid limitation of that right. </w:t>
      </w:r>
    </w:p>
    <w:p w14:paraId="631F2448" w14:textId="0B0D9B00" w:rsidR="00A539D5" w:rsidRDefault="005E4FC2" w:rsidP="003308C5">
      <w:pPr>
        <w:pStyle w:val="ListParagraph"/>
      </w:pPr>
      <w:r>
        <w:t>Under Article 46(2)</w:t>
      </w:r>
      <w:r w:rsidR="0054523A">
        <w:t xml:space="preserve"> of UNDRIP</w:t>
      </w:r>
      <w:r w:rsidR="008F5DD6">
        <w:t>,</w:t>
      </w:r>
      <w:r w:rsidR="00AA28ED">
        <w:rPr>
          <w:rStyle w:val="FootnoteReference"/>
          <w:color w:val="000000" w:themeColor="text1"/>
        </w:rPr>
        <w:footnoteReference w:id="76"/>
      </w:r>
      <w:r w:rsidR="008F5DD6">
        <w:t xml:space="preserve"> even where the potential impacts of </w:t>
      </w:r>
      <w:r w:rsidR="00AA28ED">
        <w:t xml:space="preserve">the </w:t>
      </w:r>
      <w:r w:rsidR="008F5DD6">
        <w:t>extractive activit</w:t>
      </w:r>
      <w:r w:rsidR="00AA28ED">
        <w:t xml:space="preserve">y </w:t>
      </w:r>
      <w:r w:rsidR="008F5DD6">
        <w:t xml:space="preserve">are high, consent may not be required </w:t>
      </w:r>
      <w:r w:rsidR="00AA28ED">
        <w:t xml:space="preserve">when the </w:t>
      </w:r>
      <w:r w:rsidR="006F3A6E">
        <w:t xml:space="preserve">State’s </w:t>
      </w:r>
      <w:r w:rsidR="00AA28ED">
        <w:t xml:space="preserve">limitation </w:t>
      </w:r>
      <w:r w:rsidR="00A539D5">
        <w:t xml:space="preserve">on the right to FPIC is </w:t>
      </w:r>
      <w:r w:rsidR="006F3A6E">
        <w:t xml:space="preserve">non-discriminatory, </w:t>
      </w:r>
      <w:r w:rsidR="006F3A6E" w:rsidRPr="006F3A6E">
        <w:t>necessary</w:t>
      </w:r>
      <w:r w:rsidR="00015556">
        <w:t>,</w:t>
      </w:r>
      <w:r w:rsidR="006F3A6E" w:rsidRPr="006F3A6E">
        <w:t xml:space="preserve"> and proportional in relation to a valid objective</w:t>
      </w:r>
      <w:r w:rsidR="006F3A6E">
        <w:t>.</w:t>
      </w:r>
      <w:r w:rsidR="00015556">
        <w:rPr>
          <w:rStyle w:val="FootnoteReference"/>
          <w:color w:val="000000" w:themeColor="text1"/>
        </w:rPr>
        <w:footnoteReference w:id="77"/>
      </w:r>
      <w:r w:rsidR="00817FFD">
        <w:t xml:space="preserve"> </w:t>
      </w:r>
    </w:p>
    <w:p w14:paraId="26AE2CAD" w14:textId="0E1F23CF" w:rsidR="004110AE" w:rsidRPr="00D7078D" w:rsidRDefault="009D2257" w:rsidP="003308C5">
      <w:pPr>
        <w:pStyle w:val="ListParagraph"/>
        <w:rPr>
          <w:lang w:bidi="fa-IR"/>
        </w:rPr>
      </w:pPr>
      <w:r>
        <w:t>T</w:t>
      </w:r>
      <w:r w:rsidR="00841325">
        <w:t xml:space="preserve">he decision to award the contract to a Restovian enterprise </w:t>
      </w:r>
      <w:r>
        <w:t>was not discriminatory</w:t>
      </w:r>
      <w:r w:rsidR="00BC43F5">
        <w:t xml:space="preserve"> </w:t>
      </w:r>
      <w:r w:rsidR="00AC1341">
        <w:t>because</w:t>
      </w:r>
      <w:r w:rsidR="00BC43F5">
        <w:t xml:space="preserve"> Hyperion was the only remaining bidder after NE</w:t>
      </w:r>
      <w:r w:rsidR="00BC43F5">
        <w:rPr>
          <w:lang w:bidi="fa-IR"/>
        </w:rPr>
        <w:t>XCA’s disqualification and REL’s withdrawal.</w:t>
      </w:r>
      <w:r w:rsidR="00B27AAB">
        <w:rPr>
          <w:rStyle w:val="FootnoteReference"/>
          <w:color w:val="000000" w:themeColor="text1"/>
          <w:lang w:bidi="fa-IR"/>
        </w:rPr>
        <w:footnoteReference w:id="78"/>
      </w:r>
      <w:r w:rsidR="00BC43F5">
        <w:rPr>
          <w:lang w:bidi="fa-IR"/>
        </w:rPr>
        <w:t xml:space="preserve"> Furthermore, the project meets the criteria of necessity and proportionality</w:t>
      </w:r>
      <w:r w:rsidR="00DC1926">
        <w:rPr>
          <w:lang w:bidi="fa-IR"/>
        </w:rPr>
        <w:t xml:space="preserve"> because</w:t>
      </w:r>
      <w:r w:rsidR="00BC43F5">
        <w:rPr>
          <w:lang w:bidi="fa-IR"/>
        </w:rPr>
        <w:t xml:space="preserve"> </w:t>
      </w:r>
      <w:r w:rsidR="00DC1926" w:rsidRPr="00DC1926">
        <w:rPr>
          <w:lang w:bidi="fa-IR"/>
        </w:rPr>
        <w:t>it advances urgent national security and economic objective</w:t>
      </w:r>
      <w:r>
        <w:rPr>
          <w:lang w:bidi="fa-IR"/>
        </w:rPr>
        <w:t>s</w:t>
      </w:r>
      <w:r w:rsidR="00DC1926" w:rsidRPr="00DC1926">
        <w:rPr>
          <w:lang w:bidi="fa-IR"/>
        </w:rPr>
        <w:t>,</w:t>
      </w:r>
      <w:r w:rsidR="00D33C5F">
        <w:rPr>
          <w:rStyle w:val="FootnoteReference"/>
          <w:color w:val="000000" w:themeColor="text1"/>
          <w:lang w:bidi="fa-IR"/>
        </w:rPr>
        <w:footnoteReference w:id="79"/>
      </w:r>
      <w:r w:rsidR="00DC1926" w:rsidRPr="00DC1926">
        <w:rPr>
          <w:lang w:bidi="fa-IR"/>
        </w:rPr>
        <w:t xml:space="preserve"> and the measures adopted were carefully tailored to limit adverse effects on Pilemon rights.</w:t>
      </w:r>
      <w:r w:rsidR="00167381">
        <w:rPr>
          <w:rStyle w:val="FootnoteReference"/>
          <w:color w:val="000000" w:themeColor="text1"/>
          <w:lang w:bidi="fa-IR"/>
        </w:rPr>
        <w:footnoteReference w:id="80"/>
      </w:r>
    </w:p>
    <w:p w14:paraId="10F1BF57" w14:textId="051EB2AE" w:rsidR="00027AF1" w:rsidRDefault="00A539D5" w:rsidP="003308C5">
      <w:r w:rsidRPr="00D7078D">
        <w:rPr>
          <w:color w:val="EE0000"/>
        </w:rPr>
        <w:t xml:space="preserve"> </w:t>
      </w:r>
      <w:r w:rsidR="002E3DE9">
        <w:br w:type="page"/>
      </w:r>
    </w:p>
    <w:p w14:paraId="5B914CB9" w14:textId="77777777" w:rsidR="00027AF1" w:rsidRPr="00395591" w:rsidRDefault="00027AF1" w:rsidP="00EF7AEA">
      <w:pPr>
        <w:pStyle w:val="Heading1"/>
        <w:keepLines w:val="0"/>
        <w:spacing w:after="160" w:line="240" w:lineRule="auto"/>
        <w:rPr>
          <w:rFonts w:ascii="Times New Roman Bold" w:hAnsi="Times New Roman Bold"/>
          <w:caps/>
          <w:smallCaps w:val="0"/>
        </w:rPr>
      </w:pPr>
      <w:bookmarkStart w:id="22" w:name="_Toc219103231"/>
      <w:bookmarkStart w:id="23" w:name="_Toc211607994"/>
      <w:r w:rsidRPr="00395591">
        <w:rPr>
          <w:rFonts w:ascii="Times New Roman Bold" w:hAnsi="Times New Roman Bold"/>
          <w:caps/>
          <w:smallCaps w:val="0"/>
        </w:rPr>
        <w:lastRenderedPageBreak/>
        <w:t>Alekostria breached the Extradition Treaty by refusing to extradite Ms. Scott</w:t>
      </w:r>
      <w:bookmarkEnd w:id="22"/>
    </w:p>
    <w:bookmarkEnd w:id="23"/>
    <w:p w14:paraId="70596D1C" w14:textId="7AF19291" w:rsidR="00027AF1" w:rsidRPr="00910D3A" w:rsidRDefault="00027AF1" w:rsidP="00680367">
      <w:pPr>
        <w:pStyle w:val="ListParagraph"/>
      </w:pPr>
      <w:r>
        <w:t xml:space="preserve">The Extradition Treaty obligates Alekostria to extradite Liz Scott to Restovia for two reasons. First, Ms. Scott is charged with an offence punishable by the laws of both Alekostria and Restovia </w:t>
      </w:r>
      <w:r w:rsidR="00BE4545">
        <w:t>[</w:t>
      </w:r>
      <w:r w:rsidR="00BE4545" w:rsidRPr="007442BD">
        <w:t>A</w:t>
      </w:r>
      <w:r w:rsidR="00BE4545">
        <w:t>]</w:t>
      </w:r>
      <w:r>
        <w:t>. Second, a prosecution of Ms. Scott in Restovia would be consistent with the general principles of law</w:t>
      </w:r>
      <w:r w:rsidR="00BE4545">
        <w:t xml:space="preserve"> [</w:t>
      </w:r>
      <w:r w:rsidR="00BE4545" w:rsidRPr="007442BD">
        <w:t>B</w:t>
      </w:r>
      <w:r w:rsidR="00BE4545">
        <w:t>]</w:t>
      </w:r>
      <w:r>
        <w:t xml:space="preserve">. </w:t>
      </w:r>
    </w:p>
    <w:p w14:paraId="31BBB892" w14:textId="50C838A0" w:rsidR="00027AF1" w:rsidRPr="00E35EAC" w:rsidRDefault="00027AF1" w:rsidP="00EF7AEA">
      <w:pPr>
        <w:pStyle w:val="Heading2"/>
        <w:keepLines w:val="0"/>
        <w:numPr>
          <w:ilvl w:val="0"/>
          <w:numId w:val="29"/>
        </w:numPr>
        <w:spacing w:after="160" w:line="240" w:lineRule="auto"/>
      </w:pPr>
      <w:bookmarkStart w:id="24" w:name="_Toc219103232"/>
      <w:r w:rsidRPr="00AC29A9">
        <w:t>Ms. Scott Is Charged with Offences Punishable under the Law</w:t>
      </w:r>
      <w:r w:rsidR="009C7A77" w:rsidRPr="00AC29A9">
        <w:t>s</w:t>
      </w:r>
      <w:r w:rsidRPr="00AC29A9">
        <w:t xml:space="preserve"> of Alekostria and Restovia</w:t>
      </w:r>
      <w:bookmarkEnd w:id="24"/>
      <w:r w:rsidRPr="00E35EAC">
        <w:t xml:space="preserve"> </w:t>
      </w:r>
    </w:p>
    <w:p w14:paraId="050348B2" w14:textId="515A43E2" w:rsidR="00027AF1" w:rsidRDefault="00027AF1" w:rsidP="00680367">
      <w:pPr>
        <w:pStyle w:val="ListParagraph"/>
      </w:pPr>
      <w:r>
        <w:t>The Extradition Treaty requires Alekostria to extradite Ms. Scott. Both States undertook to “surrender to the other…any person who is sought by the requesting State for prosecution for an offence punishable under the laws of both Parties”.</w:t>
      </w:r>
      <w:r>
        <w:rPr>
          <w:rStyle w:val="FootnoteReference"/>
        </w:rPr>
        <w:footnoteReference w:id="81"/>
      </w:r>
      <w:r>
        <w:t xml:space="preserve"> This double criminality requirement is met, as Ms. Scott’s bribery of a public official incurs criminal responsibility under the laws of both States.</w:t>
      </w:r>
      <w:r>
        <w:rPr>
          <w:rStyle w:val="FootnoteReference"/>
        </w:rPr>
        <w:footnoteReference w:id="82"/>
      </w:r>
      <w:r>
        <w:t xml:space="preserve"> The offences that Ms. Scott is charged with need </w:t>
      </w:r>
      <w:r w:rsidR="00652327">
        <w:t>not</w:t>
      </w:r>
      <w:r>
        <w:t xml:space="preserve"> be identical to meet the </w:t>
      </w:r>
      <w:r w:rsidR="003F1BC5">
        <w:t>double</w:t>
      </w:r>
      <w:r>
        <w:t xml:space="preserve"> criminality</w:t>
      </w:r>
      <w:r w:rsidR="003F1BC5">
        <w:t xml:space="preserve"> requirement</w:t>
      </w:r>
      <w:r w:rsidR="00AC7F69">
        <w:t xml:space="preserve">; they just </w:t>
      </w:r>
      <w:r w:rsidR="003F1BC5">
        <w:t>cannot be</w:t>
      </w:r>
      <w:r>
        <w:t xml:space="preserve"> “not too alien” to the requested state.</w:t>
      </w:r>
      <w:r>
        <w:rPr>
          <w:rStyle w:val="FootnoteReference"/>
        </w:rPr>
        <w:footnoteReference w:id="83"/>
      </w:r>
    </w:p>
    <w:p w14:paraId="6A089194" w14:textId="294BE3A0" w:rsidR="00027AF1" w:rsidRPr="00E35EAC" w:rsidRDefault="00027AF1" w:rsidP="00EF7AEA">
      <w:pPr>
        <w:pStyle w:val="Heading2"/>
        <w:keepLines w:val="0"/>
        <w:numPr>
          <w:ilvl w:val="0"/>
          <w:numId w:val="29"/>
        </w:numPr>
        <w:spacing w:after="160" w:line="240" w:lineRule="auto"/>
      </w:pPr>
      <w:bookmarkStart w:id="25" w:name="_Toc219103233"/>
      <w:r w:rsidRPr="007C6A81">
        <w:t>Ms. Scott’s Prosecution in Restovia is Consistent with the General Principles of Law</w:t>
      </w:r>
      <w:bookmarkEnd w:id="25"/>
      <w:r w:rsidRPr="00E35EAC">
        <w:t xml:space="preserve"> </w:t>
      </w:r>
    </w:p>
    <w:p w14:paraId="65C5CE74" w14:textId="5E1AB0E9" w:rsidR="00027AF1" w:rsidRDefault="00027AF1" w:rsidP="00027AF1">
      <w:pPr>
        <w:pStyle w:val="ListParagraph"/>
      </w:pPr>
      <w:r>
        <w:t xml:space="preserve">A prosecution of Ms. Scott in Restovia would be consistent with the general principles of law, as required to trigger Alekostria’s obligations under Article 4 of the Extradition Treaty. Particularly, </w:t>
      </w:r>
      <w:r>
        <w:rPr>
          <w:i/>
          <w:iCs/>
        </w:rPr>
        <w:t xml:space="preserve">ne bis in idem </w:t>
      </w:r>
      <w:r>
        <w:t xml:space="preserve">is not a general principle of law [1]. Even if it is, a prosecution of Ms. Scott in Restovia would not violate the principle of </w:t>
      </w:r>
      <w:r>
        <w:rPr>
          <w:i/>
          <w:iCs/>
        </w:rPr>
        <w:t xml:space="preserve">ne bis in idem </w:t>
      </w:r>
      <w:r>
        <w:t>[2].</w:t>
      </w:r>
    </w:p>
    <w:p w14:paraId="708E235C" w14:textId="697C8456" w:rsidR="00027AF1" w:rsidRPr="00535A2B" w:rsidRDefault="00027AF1" w:rsidP="00EF7AEA">
      <w:pPr>
        <w:pStyle w:val="Heading3"/>
        <w:keepLines w:val="0"/>
        <w:numPr>
          <w:ilvl w:val="0"/>
          <w:numId w:val="30"/>
        </w:numPr>
        <w:spacing w:after="160" w:line="240" w:lineRule="auto"/>
        <w:ind w:left="1440" w:hanging="743"/>
      </w:pPr>
      <w:bookmarkStart w:id="26" w:name="_Toc219103234"/>
      <w:r w:rsidRPr="006F784D">
        <w:rPr>
          <w:i/>
          <w:iCs/>
        </w:rPr>
        <w:t>Ne Bis In Idem</w:t>
      </w:r>
      <w:r w:rsidRPr="001D1A9A">
        <w:t xml:space="preserve"> </w:t>
      </w:r>
      <w:r w:rsidRPr="00535A2B">
        <w:t xml:space="preserve">Is Not </w:t>
      </w:r>
      <w:r w:rsidR="00680367" w:rsidRPr="00535A2B">
        <w:t>a</w:t>
      </w:r>
      <w:r w:rsidRPr="00535A2B">
        <w:t xml:space="preserve"> General Principle of Law</w:t>
      </w:r>
      <w:bookmarkEnd w:id="26"/>
    </w:p>
    <w:p w14:paraId="59BBF095" w14:textId="65B6EFAC" w:rsidR="00027AF1" w:rsidRPr="0032476B" w:rsidRDefault="00027AF1" w:rsidP="00D90339">
      <w:pPr>
        <w:pStyle w:val="ListParagraph"/>
      </w:pPr>
      <w:r>
        <w:t>General principles of law must be recognized by the community of nations.</w:t>
      </w:r>
      <w:r>
        <w:rPr>
          <w:rStyle w:val="FootnoteReference"/>
        </w:rPr>
        <w:footnoteReference w:id="84"/>
      </w:r>
      <w:r>
        <w:t xml:space="preserve"> A general principle is common to all legal systems [</w:t>
      </w:r>
      <w:proofErr w:type="spellStart"/>
      <w:r>
        <w:t>i</w:t>
      </w:r>
      <w:proofErr w:type="spellEnd"/>
      <w:r>
        <w:t xml:space="preserve">]. </w:t>
      </w:r>
      <w:r w:rsidRPr="00A56409">
        <w:rPr>
          <w:i/>
          <w:iCs/>
        </w:rPr>
        <w:t>Ne bis in idem</w:t>
      </w:r>
      <w:r>
        <w:t xml:space="preserve"> is not a general principle of law due to </w:t>
      </w:r>
      <w:r>
        <w:lastRenderedPageBreak/>
        <w:t>the divergence in its recognition across legal systems [ii]</w:t>
      </w:r>
      <w:r w:rsidR="00D1722D">
        <w:t>,</w:t>
      </w:r>
      <w:r>
        <w:t xml:space="preserve"> and</w:t>
      </w:r>
      <w:r w:rsidR="00390246">
        <w:t xml:space="preserve"> because</w:t>
      </w:r>
      <w:r>
        <w:t xml:space="preserve"> it is</w:t>
      </w:r>
      <w:r w:rsidR="00C159F1">
        <w:t xml:space="preserve"> also</w:t>
      </w:r>
      <w:r>
        <w:t xml:space="preserve"> not transposable to the international legal system [iii].</w:t>
      </w:r>
    </w:p>
    <w:p w14:paraId="1A095C8C" w14:textId="108019C9" w:rsidR="00027AF1" w:rsidRPr="009C5DC3" w:rsidRDefault="001D1A9A" w:rsidP="00EF7AEA">
      <w:pPr>
        <w:pStyle w:val="Heading4"/>
        <w:keepNext/>
        <w:spacing w:after="160" w:line="240" w:lineRule="auto"/>
        <w:ind w:left="1800" w:hanging="723"/>
      </w:pPr>
      <w:bookmarkStart w:id="27" w:name="_Toc211607996"/>
      <w:r>
        <w:t>G</w:t>
      </w:r>
      <w:r w:rsidR="00027AF1">
        <w:t xml:space="preserve">eneral </w:t>
      </w:r>
      <w:r>
        <w:t>P</w:t>
      </w:r>
      <w:r w:rsidR="00027AF1">
        <w:t>rinciple</w:t>
      </w:r>
      <w:r w:rsidR="00395591">
        <w:t>s</w:t>
      </w:r>
      <w:r w:rsidR="00027AF1">
        <w:t xml:space="preserve"> of </w:t>
      </w:r>
      <w:r>
        <w:t>L</w:t>
      </w:r>
      <w:r w:rsidR="00027AF1">
        <w:t xml:space="preserve">aw </w:t>
      </w:r>
      <w:r>
        <w:t>Are</w:t>
      </w:r>
      <w:r w:rsidR="00027AF1">
        <w:t xml:space="preserve"> </w:t>
      </w:r>
      <w:bookmarkEnd w:id="27"/>
      <w:r>
        <w:t>C</w:t>
      </w:r>
      <w:r w:rsidR="00027AF1">
        <w:t xml:space="preserve">ommon to </w:t>
      </w:r>
      <w:r>
        <w:t>A</w:t>
      </w:r>
      <w:r w:rsidR="00027AF1">
        <w:t xml:space="preserve">ll </w:t>
      </w:r>
      <w:r>
        <w:t>L</w:t>
      </w:r>
      <w:r w:rsidR="00027AF1">
        <w:t xml:space="preserve">egal </w:t>
      </w:r>
      <w:r>
        <w:t>S</w:t>
      </w:r>
      <w:r w:rsidR="00027AF1">
        <w:t xml:space="preserve">ystems </w:t>
      </w:r>
    </w:p>
    <w:p w14:paraId="765D90AB" w14:textId="54650502" w:rsidR="00027AF1" w:rsidRDefault="00027AF1" w:rsidP="00027AF1">
      <w:pPr>
        <w:pStyle w:val="ListParagraph"/>
      </w:pPr>
      <w:r>
        <w:t>As a source of law, general principles of law “inform and conform the norms and rules of legal systems”.</w:t>
      </w:r>
      <w:r>
        <w:rPr>
          <w:rStyle w:val="FootnoteReference"/>
        </w:rPr>
        <w:footnoteReference w:id="85"/>
      </w:r>
      <w:r>
        <w:t xml:space="preserve"> These principles are</w:t>
      </w:r>
      <w:r w:rsidR="00FD1435">
        <w:t>,</w:t>
      </w:r>
      <w:r>
        <w:t xml:space="preserve"> in essence</w:t>
      </w:r>
      <w:r w:rsidR="00FD1435">
        <w:t>,</w:t>
      </w:r>
      <w:r>
        <w:t xml:space="preserve"> the common underlying legal reasoning extracted from different domestic and international legal systems.</w:t>
      </w:r>
      <w:r>
        <w:rPr>
          <w:rStyle w:val="FootnoteReference"/>
        </w:rPr>
        <w:footnoteReference w:id="86"/>
      </w:r>
    </w:p>
    <w:p w14:paraId="5005FC52" w14:textId="6A4FF37F" w:rsidR="00027AF1" w:rsidRPr="00962525" w:rsidRDefault="00027AF1" w:rsidP="00D90339">
      <w:pPr>
        <w:pStyle w:val="ListParagraph"/>
      </w:pPr>
      <w:r>
        <w:t>General principles of law refer to principle</w:t>
      </w:r>
      <w:r w:rsidR="009C1429">
        <w:t>s</w:t>
      </w:r>
      <w:r>
        <w:t xml:space="preserve"> that </w:t>
      </w:r>
      <w:r w:rsidR="009C1429">
        <w:t>are</w:t>
      </w:r>
      <w:r>
        <w:t xml:space="preserve"> recognized in </w:t>
      </w:r>
      <w:r w:rsidRPr="00501254">
        <w:rPr>
          <w:i/>
          <w:iCs/>
        </w:rPr>
        <w:t>all</w:t>
      </w:r>
      <w:r>
        <w:t xml:space="preserve"> kinds of legal systems. In </w:t>
      </w:r>
      <w:r w:rsidRPr="00407335">
        <w:rPr>
          <w:i/>
          <w:iCs/>
        </w:rPr>
        <w:t>Tadić</w:t>
      </w:r>
      <w:r>
        <w:rPr>
          <w:i/>
          <w:iCs/>
        </w:rPr>
        <w:t xml:space="preserve">, </w:t>
      </w:r>
      <w:r>
        <w:t>the Appeals Chamber stated that “</w:t>
      </w:r>
      <w:r w:rsidRPr="00407335">
        <w:t>most, if not all, countries</w:t>
      </w:r>
      <w:r>
        <w:t>” would need to adopt the “</w:t>
      </w:r>
      <w:r w:rsidRPr="00407335">
        <w:rPr>
          <w:i/>
          <w:iCs/>
        </w:rPr>
        <w:t xml:space="preserve">same </w:t>
      </w:r>
      <w:r w:rsidRPr="00407335">
        <w:t>notion</w:t>
      </w:r>
      <w:r>
        <w:t xml:space="preserve"> for a general principle of law” to have adequate recognition.</w:t>
      </w:r>
      <w:r>
        <w:rPr>
          <w:rStyle w:val="FootnoteReference"/>
        </w:rPr>
        <w:footnoteReference w:id="87"/>
      </w:r>
      <w:r>
        <w:t xml:space="preserve"> These principles must be broad and generalizable, as they serve a gap-filling role in interpretation, where other sources of international law are inadequate.</w:t>
      </w:r>
      <w:r>
        <w:rPr>
          <w:rStyle w:val="FootnoteReference"/>
        </w:rPr>
        <w:footnoteReference w:id="88"/>
      </w:r>
      <w:r>
        <w:t xml:space="preserve"> Recognized general principles of law include </w:t>
      </w:r>
      <w:r w:rsidRPr="00962525">
        <w:rPr>
          <w:i/>
          <w:iCs/>
        </w:rPr>
        <w:t xml:space="preserve">lex </w:t>
      </w:r>
      <w:proofErr w:type="spellStart"/>
      <w:r w:rsidRPr="00962525">
        <w:rPr>
          <w:i/>
          <w:iCs/>
        </w:rPr>
        <w:t>specialis</w:t>
      </w:r>
      <w:proofErr w:type="spellEnd"/>
      <w:r w:rsidRPr="00962525">
        <w:rPr>
          <w:i/>
          <w:iCs/>
        </w:rPr>
        <w:t xml:space="preserve"> </w:t>
      </w:r>
      <w:proofErr w:type="spellStart"/>
      <w:r w:rsidRPr="00962525">
        <w:rPr>
          <w:i/>
          <w:iCs/>
        </w:rPr>
        <w:t>derogat</w:t>
      </w:r>
      <w:proofErr w:type="spellEnd"/>
      <w:r w:rsidRPr="00962525">
        <w:rPr>
          <w:i/>
          <w:iCs/>
        </w:rPr>
        <w:t xml:space="preserve"> </w:t>
      </w:r>
      <w:proofErr w:type="spellStart"/>
      <w:r w:rsidRPr="00962525">
        <w:rPr>
          <w:i/>
          <w:iCs/>
        </w:rPr>
        <w:t>legi</w:t>
      </w:r>
      <w:proofErr w:type="spellEnd"/>
      <w:r w:rsidRPr="00962525">
        <w:rPr>
          <w:i/>
          <w:iCs/>
        </w:rPr>
        <w:t xml:space="preserve"> </w:t>
      </w:r>
      <w:proofErr w:type="spellStart"/>
      <w:r w:rsidRPr="00962525">
        <w:rPr>
          <w:i/>
          <w:iCs/>
        </w:rPr>
        <w:t>generali</w:t>
      </w:r>
      <w:proofErr w:type="spellEnd"/>
      <w:r w:rsidRPr="00962525">
        <w:rPr>
          <w:i/>
          <w:iCs/>
        </w:rPr>
        <w:t>,</w:t>
      </w:r>
      <w:r>
        <w:t xml:space="preserve"> sovereign equality, the principle</w:t>
      </w:r>
      <w:r w:rsidR="00A44E84">
        <w:t xml:space="preserve"> of good faith</w:t>
      </w:r>
      <w:r>
        <w:t xml:space="preserve">, and </w:t>
      </w:r>
      <w:r>
        <w:rPr>
          <w:i/>
          <w:iCs/>
        </w:rPr>
        <w:t xml:space="preserve">pacta </w:t>
      </w:r>
      <w:proofErr w:type="spellStart"/>
      <w:r>
        <w:rPr>
          <w:i/>
          <w:iCs/>
        </w:rPr>
        <w:t>sund</w:t>
      </w:r>
      <w:proofErr w:type="spellEnd"/>
      <w:r>
        <w:rPr>
          <w:i/>
          <w:iCs/>
        </w:rPr>
        <w:t xml:space="preserve"> </w:t>
      </w:r>
      <w:proofErr w:type="spellStart"/>
      <w:r>
        <w:rPr>
          <w:i/>
          <w:iCs/>
        </w:rPr>
        <w:t>servanda</w:t>
      </w:r>
      <w:proofErr w:type="spellEnd"/>
      <w:r>
        <w:t>.</w:t>
      </w:r>
      <w:r>
        <w:rPr>
          <w:rStyle w:val="FootnoteReference"/>
        </w:rPr>
        <w:footnoteReference w:id="89"/>
      </w:r>
      <w:r w:rsidRPr="0D21CA09">
        <w:rPr>
          <w:rStyle w:val="FootnoteReference"/>
        </w:rPr>
        <w:t xml:space="preserve"> </w:t>
      </w:r>
    </w:p>
    <w:p w14:paraId="10ADBC4B" w14:textId="202FBDB3" w:rsidR="00027AF1" w:rsidRPr="00A555D4" w:rsidRDefault="00027AF1" w:rsidP="00EF7AEA">
      <w:pPr>
        <w:pStyle w:val="Heading4"/>
        <w:keepNext/>
        <w:spacing w:after="160" w:line="240" w:lineRule="auto"/>
        <w:ind w:left="1800" w:hanging="723"/>
      </w:pPr>
      <w:r w:rsidRPr="00A555D4">
        <w:t xml:space="preserve">There </w:t>
      </w:r>
      <w:r w:rsidR="001D1A9A">
        <w:t>I</w:t>
      </w:r>
      <w:r w:rsidRPr="00A555D4">
        <w:t xml:space="preserve">s </w:t>
      </w:r>
      <w:r w:rsidR="001D1A9A">
        <w:t>N</w:t>
      </w:r>
      <w:r w:rsidRPr="00A555D4">
        <w:t xml:space="preserve">o </w:t>
      </w:r>
      <w:r w:rsidR="001D1A9A">
        <w:t>P</w:t>
      </w:r>
      <w:r w:rsidRPr="00A555D4">
        <w:t xml:space="preserve">rinciple of </w:t>
      </w:r>
      <w:r w:rsidR="001D1A9A" w:rsidRPr="001D1A9A">
        <w:rPr>
          <w:i w:val="0"/>
          <w:iCs w:val="0"/>
        </w:rPr>
        <w:t>N</w:t>
      </w:r>
      <w:r w:rsidRPr="001D1A9A">
        <w:rPr>
          <w:i w:val="0"/>
          <w:iCs w:val="0"/>
        </w:rPr>
        <w:t xml:space="preserve">e </w:t>
      </w:r>
      <w:r w:rsidR="001D1A9A" w:rsidRPr="001D1A9A">
        <w:rPr>
          <w:i w:val="0"/>
          <w:iCs w:val="0"/>
        </w:rPr>
        <w:t>B</w:t>
      </w:r>
      <w:r w:rsidRPr="001D1A9A">
        <w:rPr>
          <w:i w:val="0"/>
          <w:iCs w:val="0"/>
        </w:rPr>
        <w:t xml:space="preserve">is </w:t>
      </w:r>
      <w:proofErr w:type="gramStart"/>
      <w:r w:rsidR="001D1A9A" w:rsidRPr="001D1A9A">
        <w:rPr>
          <w:i w:val="0"/>
          <w:iCs w:val="0"/>
        </w:rPr>
        <w:t>I</w:t>
      </w:r>
      <w:r w:rsidRPr="001D1A9A">
        <w:rPr>
          <w:i w:val="0"/>
          <w:iCs w:val="0"/>
        </w:rPr>
        <w:t>n</w:t>
      </w:r>
      <w:proofErr w:type="gramEnd"/>
      <w:r w:rsidRPr="001D1A9A">
        <w:rPr>
          <w:i w:val="0"/>
          <w:iCs w:val="0"/>
        </w:rPr>
        <w:t xml:space="preserve"> </w:t>
      </w:r>
      <w:r w:rsidR="001D1A9A" w:rsidRPr="001D1A9A">
        <w:rPr>
          <w:i w:val="0"/>
          <w:iCs w:val="0"/>
        </w:rPr>
        <w:t>I</w:t>
      </w:r>
      <w:r w:rsidRPr="001D1A9A">
        <w:rPr>
          <w:i w:val="0"/>
          <w:iCs w:val="0"/>
        </w:rPr>
        <w:t>dem</w:t>
      </w:r>
      <w:r w:rsidRPr="00A555D4">
        <w:t xml:space="preserve"> </w:t>
      </w:r>
      <w:r w:rsidR="001D1A9A">
        <w:t>C</w:t>
      </w:r>
      <w:r w:rsidRPr="00A555D4">
        <w:t xml:space="preserve">ommon to </w:t>
      </w:r>
      <w:r w:rsidR="001D1A9A">
        <w:t>A</w:t>
      </w:r>
      <w:r w:rsidRPr="00A555D4">
        <w:t xml:space="preserve">ll </w:t>
      </w:r>
      <w:r w:rsidR="001D1A9A">
        <w:t>L</w:t>
      </w:r>
      <w:r w:rsidRPr="00A555D4">
        <w:t xml:space="preserve">egal </w:t>
      </w:r>
      <w:r w:rsidR="001D1A9A">
        <w:t>S</w:t>
      </w:r>
      <w:r w:rsidRPr="00A555D4">
        <w:t>ystems</w:t>
      </w:r>
    </w:p>
    <w:p w14:paraId="741D4F4D" w14:textId="77777777" w:rsidR="00027AF1" w:rsidRPr="00FE3AA9" w:rsidRDefault="00027AF1" w:rsidP="00027AF1">
      <w:pPr>
        <w:pStyle w:val="ListParagraph"/>
      </w:pPr>
      <w:r w:rsidRPr="004F586A">
        <w:rPr>
          <w:i/>
        </w:rPr>
        <w:t>Ne bis in idem</w:t>
      </w:r>
      <w:r w:rsidRPr="15B285D0">
        <w:rPr>
          <w:i/>
          <w:color w:val="000000" w:themeColor="text1"/>
        </w:rPr>
        <w:t>,</w:t>
      </w:r>
      <w:r>
        <w:rPr>
          <w:i/>
          <w:color w:val="000000" w:themeColor="text1"/>
        </w:rPr>
        <w:t xml:space="preserve"> </w:t>
      </w:r>
      <w:r w:rsidRPr="004F586A">
        <w:t xml:space="preserve">“not twice </w:t>
      </w:r>
      <w:r w:rsidRPr="15B285D0">
        <w:rPr>
          <w:color w:val="000000" w:themeColor="text1"/>
        </w:rPr>
        <w:t>for</w:t>
      </w:r>
      <w:r>
        <w:rPr>
          <w:color w:val="000000" w:themeColor="text1"/>
        </w:rPr>
        <w:t xml:space="preserve"> </w:t>
      </w:r>
      <w:r w:rsidRPr="004F586A">
        <w:t>the same”</w:t>
      </w:r>
      <w:r w:rsidRPr="1DF2FB28">
        <w:rPr>
          <w:color w:val="000000" w:themeColor="text1"/>
        </w:rPr>
        <w:t>,</w:t>
      </w:r>
      <w:r>
        <w:t xml:space="preserve"> protects a person f</w:t>
      </w:r>
      <w:r w:rsidRPr="15B285D0">
        <w:rPr>
          <w:color w:val="000000" w:themeColor="text1"/>
        </w:rPr>
        <w:t>ro</w:t>
      </w:r>
      <w:r>
        <w:t>m being tried or punished twice for the same act</w:t>
      </w:r>
      <w:r w:rsidRPr="004F586A">
        <w:t>.</w:t>
      </w:r>
      <w:r>
        <w:rPr>
          <w:rStyle w:val="FootnoteReference"/>
          <w:color w:val="000000"/>
        </w:rPr>
        <w:footnoteReference w:id="90"/>
      </w:r>
      <w:r w:rsidRPr="004F586A">
        <w:t xml:space="preserve"> </w:t>
      </w:r>
    </w:p>
    <w:p w14:paraId="5C98A580" w14:textId="0040C855" w:rsidR="00027AF1" w:rsidRDefault="00027AF1" w:rsidP="007F6164">
      <w:pPr>
        <w:pStyle w:val="ListParagraph"/>
      </w:pPr>
      <w:r w:rsidRPr="004F586A">
        <w:rPr>
          <w:color w:val="000000"/>
        </w:rPr>
        <w:lastRenderedPageBreak/>
        <w:t xml:space="preserve">In some </w:t>
      </w:r>
      <w:r>
        <w:rPr>
          <w:color w:val="000000"/>
        </w:rPr>
        <w:t xml:space="preserve">legal </w:t>
      </w:r>
      <w:r w:rsidRPr="004F586A">
        <w:rPr>
          <w:color w:val="000000"/>
        </w:rPr>
        <w:t xml:space="preserve">systems, </w:t>
      </w:r>
      <w:r>
        <w:rPr>
          <w:color w:val="000000"/>
        </w:rPr>
        <w:t xml:space="preserve">this principle is referred </w:t>
      </w:r>
      <w:r w:rsidRPr="004F586A">
        <w:rPr>
          <w:color w:val="000000"/>
        </w:rPr>
        <w:t xml:space="preserve">to as </w:t>
      </w:r>
      <w:r>
        <w:rPr>
          <w:color w:val="000000"/>
        </w:rPr>
        <w:t xml:space="preserve">protection from </w:t>
      </w:r>
      <w:r w:rsidRPr="0082667A">
        <w:rPr>
          <w:i/>
          <w:iCs/>
          <w:color w:val="000000"/>
        </w:rPr>
        <w:t>double jeopardy</w:t>
      </w:r>
      <w:r w:rsidR="00AC0B62" w:rsidRPr="00AC0B62">
        <w:rPr>
          <w:color w:val="000000"/>
        </w:rPr>
        <w:t>.</w:t>
      </w:r>
      <w:r>
        <w:rPr>
          <w:color w:val="000000"/>
        </w:rPr>
        <w:t xml:space="preserve">  </w:t>
      </w:r>
      <w:r>
        <w:t>Comparative analysis of national legal systems and international legal instruments reveals that while some States recognize the principle of “</w:t>
      </w:r>
      <w:r w:rsidRPr="00D51C47">
        <w:rPr>
          <w:i/>
          <w:iCs/>
        </w:rPr>
        <w:t>ne bis in idem</w:t>
      </w:r>
      <w:r>
        <w:t xml:space="preserve">”, </w:t>
      </w:r>
      <w:r w:rsidR="002D3D6F">
        <w:t>S</w:t>
      </w:r>
      <w:r>
        <w:t>tate practice in its application differs dramatically.</w:t>
      </w:r>
      <w:r>
        <w:rPr>
          <w:rStyle w:val="FootnoteReference"/>
        </w:rPr>
        <w:footnoteReference w:id="91"/>
      </w:r>
      <w:r>
        <w:t xml:space="preserve"> </w:t>
      </w:r>
    </w:p>
    <w:p w14:paraId="36D3D913" w14:textId="63AE0719" w:rsidR="00027AF1" w:rsidRDefault="00027AF1" w:rsidP="00674D7F">
      <w:pPr>
        <w:pStyle w:val="ListParagraph"/>
      </w:pPr>
      <w:r>
        <w:t xml:space="preserve">Courts have ruled that for a legal principle to be a general principle of international </w:t>
      </w:r>
      <w:proofErr w:type="gramStart"/>
      <w:r>
        <w:t>law,</w:t>
      </w:r>
      <w:proofErr w:type="gramEnd"/>
      <w:r>
        <w:t xml:space="preserve"> there must be substantially similar practice</w:t>
      </w:r>
      <w:r w:rsidR="00FB67B0">
        <w:t xml:space="preserve"> across</w:t>
      </w:r>
      <w:r w:rsidR="00874287">
        <w:t xml:space="preserve"> </w:t>
      </w:r>
      <w:r w:rsidR="0085588D">
        <w:t>S</w:t>
      </w:r>
      <w:r w:rsidR="00874287">
        <w:t>tates.</w:t>
      </w:r>
      <w:r>
        <w:t xml:space="preserve"> In</w:t>
      </w:r>
      <w:r w:rsidRPr="005F1EEB">
        <w:t xml:space="preserve"> </w:t>
      </w:r>
      <w:proofErr w:type="spellStart"/>
      <w:r w:rsidRPr="00D51C47">
        <w:rPr>
          <w:i/>
          <w:iCs/>
        </w:rPr>
        <w:t>Šainović</w:t>
      </w:r>
      <w:proofErr w:type="spellEnd"/>
      <w:r w:rsidRPr="00D51C47">
        <w:rPr>
          <w:i/>
          <w:iCs/>
        </w:rPr>
        <w:t xml:space="preserve"> et al., </w:t>
      </w:r>
      <w:r>
        <w:t>the ICTY found that most domestic legal systems recognize the doctrine of “aiding and abetting” in some form.</w:t>
      </w:r>
      <w:r>
        <w:rPr>
          <w:rStyle w:val="FootnoteReference"/>
        </w:rPr>
        <w:footnoteReference w:id="92"/>
      </w:r>
      <w:r>
        <w:t xml:space="preserve"> However, there was no common approach that states followed in applying the doctrine</w:t>
      </w:r>
      <w:r w:rsidR="0018610F">
        <w:t>.</w:t>
      </w:r>
      <w:r>
        <w:t xml:space="preserve"> </w:t>
      </w:r>
      <w:r w:rsidR="0018610F">
        <w:t>I</w:t>
      </w:r>
      <w:r>
        <w:t>n some countries</w:t>
      </w:r>
      <w:r w:rsidR="004B1C7F">
        <w:t>,</w:t>
      </w:r>
      <w:r>
        <w:t xml:space="preserve"> the offence of aiding and abetting required the accused to have both intent and knowledge, while in others</w:t>
      </w:r>
      <w:r w:rsidR="00060794">
        <w:t>,</w:t>
      </w:r>
      <w:r>
        <w:t xml:space="preserve"> there was also the requirement of making an “essential contribution”</w:t>
      </w:r>
      <w:r w:rsidR="00EB39CF">
        <w:t>.</w:t>
      </w:r>
      <w:r>
        <w:rPr>
          <w:rStyle w:val="FootnoteReference"/>
        </w:rPr>
        <w:footnoteReference w:id="93"/>
      </w:r>
      <w:r>
        <w:t xml:space="preserve"> Accordingly, the </w:t>
      </w:r>
      <w:r w:rsidR="00BA0867">
        <w:t>ICTY</w:t>
      </w:r>
      <w:r>
        <w:t xml:space="preserve"> declined to recognize aiding and abetting as a general principle of law.</w:t>
      </w:r>
      <w:r>
        <w:rPr>
          <w:rStyle w:val="FootnoteReference"/>
        </w:rPr>
        <w:footnoteReference w:id="94"/>
      </w:r>
      <w:r>
        <w:t xml:space="preserve"> </w:t>
      </w:r>
    </w:p>
    <w:p w14:paraId="5113E8E9" w14:textId="38572E16" w:rsidR="00027AF1" w:rsidRPr="00EF1F5C" w:rsidRDefault="00027AF1" w:rsidP="00EF1F5C">
      <w:pPr>
        <w:pStyle w:val="ListParagraph"/>
        <w:rPr>
          <w:i/>
        </w:rPr>
      </w:pPr>
      <w:r>
        <w:t xml:space="preserve">Similarly, </w:t>
      </w:r>
      <w:r w:rsidRPr="00D51C47">
        <w:rPr>
          <w:i/>
          <w:iCs/>
        </w:rPr>
        <w:t>ne bis in idem</w:t>
      </w:r>
      <w:r>
        <w:rPr>
          <w:i/>
          <w:iCs/>
        </w:rPr>
        <w:t xml:space="preserve"> </w:t>
      </w:r>
      <w:r>
        <w:t xml:space="preserve">consists of different elements and applies in different circumstances across legal systems, such that no general principle of law emerges from </w:t>
      </w:r>
      <w:r w:rsidR="0085588D">
        <w:t>S</w:t>
      </w:r>
      <w:r>
        <w:t xml:space="preserve">tate practice. </w:t>
      </w:r>
      <w:r w:rsidRPr="00D51C47">
        <w:rPr>
          <w:i/>
          <w:iCs/>
        </w:rPr>
        <w:t xml:space="preserve"> </w:t>
      </w:r>
      <w:r>
        <w:t>Some States</w:t>
      </w:r>
      <w:r w:rsidR="00682823">
        <w:t>,</w:t>
      </w:r>
      <w:r>
        <w:t xml:space="preserve"> like Canada</w:t>
      </w:r>
      <w:r>
        <w:rPr>
          <w:rStyle w:val="FootnoteReference"/>
        </w:rPr>
        <w:footnoteReference w:id="95"/>
      </w:r>
      <w:r>
        <w:t>, Japan</w:t>
      </w:r>
      <w:r>
        <w:rPr>
          <w:rStyle w:val="FootnoteReference"/>
        </w:rPr>
        <w:footnoteReference w:id="96"/>
      </w:r>
      <w:r>
        <w:t xml:space="preserve">, </w:t>
      </w:r>
      <w:r w:rsidR="00682823">
        <w:t xml:space="preserve">and </w:t>
      </w:r>
      <w:r>
        <w:t>Germany</w:t>
      </w:r>
      <w:r>
        <w:rPr>
          <w:rStyle w:val="FootnoteReference"/>
        </w:rPr>
        <w:footnoteReference w:id="97"/>
      </w:r>
      <w:r>
        <w:t>, have constitutional protections for double jeopardy. However, the prosecution is permitted to appeal an acquittal on a question of law.</w:t>
      </w:r>
      <w:r>
        <w:rPr>
          <w:rStyle w:val="FootnoteReference"/>
        </w:rPr>
        <w:footnoteReference w:id="98"/>
      </w:r>
      <w:r w:rsidRPr="004B679F">
        <w:rPr>
          <w:rStyle w:val="FootnoteReference"/>
        </w:rPr>
        <w:t xml:space="preserve"> </w:t>
      </w:r>
    </w:p>
    <w:p w14:paraId="04B18BC7" w14:textId="5CF9EBE2" w:rsidR="00027AF1" w:rsidRDefault="00027AF1" w:rsidP="00EA01A9">
      <w:pPr>
        <w:pStyle w:val="ListParagraph"/>
      </w:pPr>
      <w:r>
        <w:t>In India, double jeopardy protections are narrower, as the Constitution states</w:t>
      </w:r>
      <w:r w:rsidR="00A97EFF">
        <w:t>,</w:t>
      </w:r>
      <w:r>
        <w:t xml:space="preserve"> “no person shall be prosecuted and punished for the same offence more than once.”</w:t>
      </w:r>
      <w:r>
        <w:rPr>
          <w:rStyle w:val="FootnoteReference"/>
        </w:rPr>
        <w:footnoteReference w:id="99"/>
      </w:r>
      <w:r>
        <w:t xml:space="preserve"> A person who was </w:t>
      </w:r>
      <w:r>
        <w:lastRenderedPageBreak/>
        <w:t>acquitted of an offence can be retried. Pakistan’s laws are similar.</w:t>
      </w:r>
      <w:r>
        <w:rPr>
          <w:rStyle w:val="FootnoteReference"/>
        </w:rPr>
        <w:footnoteReference w:id="100"/>
      </w:r>
      <w:r>
        <w:t xml:space="preserve"> Conversely, States like Argentina and Mexico have robust </w:t>
      </w:r>
      <w:r w:rsidRPr="00285087">
        <w:rPr>
          <w:i/>
          <w:iCs/>
        </w:rPr>
        <w:t xml:space="preserve">ne bis in idem </w:t>
      </w:r>
      <w:r>
        <w:t>protections</w:t>
      </w:r>
      <w:r w:rsidR="00D33345">
        <w:t>;</w:t>
      </w:r>
      <w:r>
        <w:t xml:space="preserve"> not-guilty verdicts can be appealed only once or not at all.</w:t>
      </w:r>
      <w:r>
        <w:rPr>
          <w:rStyle w:val="FootnoteReference"/>
        </w:rPr>
        <w:footnoteReference w:id="101"/>
      </w:r>
      <w:r>
        <w:t xml:space="preserve">  </w:t>
      </w:r>
    </w:p>
    <w:p w14:paraId="3E8B6BD4" w14:textId="0FD794C3" w:rsidR="00027AF1" w:rsidRDefault="00027AF1" w:rsidP="00EA01A9">
      <w:pPr>
        <w:pStyle w:val="ListParagraph"/>
      </w:pPr>
      <w:r>
        <w:t xml:space="preserve">Other countries have exceptions to the applicability of </w:t>
      </w:r>
      <w:r>
        <w:rPr>
          <w:i/>
          <w:iCs/>
        </w:rPr>
        <w:t xml:space="preserve">ne bis in idem </w:t>
      </w:r>
      <w:r>
        <w:t>protections. In the Netherlands</w:t>
      </w:r>
      <w:r w:rsidR="006F784D">
        <w:t>,</w:t>
      </w:r>
      <w:r>
        <w:rPr>
          <w:rStyle w:val="FootnoteReference"/>
        </w:rPr>
        <w:footnoteReference w:id="102"/>
      </w:r>
      <w:r>
        <w:t xml:space="preserve"> Australia</w:t>
      </w:r>
      <w:r w:rsidR="006F784D">
        <w:t>,</w:t>
      </w:r>
      <w:r>
        <w:rPr>
          <w:rStyle w:val="FootnoteReference"/>
        </w:rPr>
        <w:footnoteReference w:id="103"/>
      </w:r>
      <w:r>
        <w:t xml:space="preserve"> and the United Kingdom</w:t>
      </w:r>
      <w:r w:rsidR="006F784D">
        <w:t>,</w:t>
      </w:r>
      <w:r>
        <w:rPr>
          <w:rStyle w:val="FootnoteReference"/>
        </w:rPr>
        <w:footnoteReference w:id="104"/>
      </w:r>
      <w:r>
        <w:t xml:space="preserve"> new and compelling evidence against an accused allows proceedings to be restarted, even if there was a</w:t>
      </w:r>
      <w:r w:rsidR="009B35DA">
        <w:t xml:space="preserve"> previous</w:t>
      </w:r>
      <w:r>
        <w:t xml:space="preserve"> acquittal for the same crime.</w:t>
      </w:r>
      <w:r>
        <w:rPr>
          <w:rStyle w:val="FootnoteReference"/>
        </w:rPr>
        <w:footnoteReference w:id="105"/>
      </w:r>
    </w:p>
    <w:p w14:paraId="78A34859" w14:textId="1CD477A5" w:rsidR="00027AF1" w:rsidRDefault="00027AF1" w:rsidP="00680367">
      <w:pPr>
        <w:pStyle w:val="ListParagraph"/>
      </w:pPr>
      <w:r>
        <w:t xml:space="preserve">As for international courts, the ECtHR has ruled that </w:t>
      </w:r>
      <w:r w:rsidRPr="00586230">
        <w:rPr>
          <w:i/>
          <w:iCs/>
        </w:rPr>
        <w:t xml:space="preserve">ne bis in idem </w:t>
      </w:r>
      <w:r>
        <w:t>should be understood as prohibiting the prosecution of an individual for a second offence insofar as it arises from substantially the same facts as those underlying the first offence</w:t>
      </w:r>
      <w:r w:rsidR="003A40BF">
        <w:t>,</w:t>
      </w:r>
      <w:r>
        <w:t xml:space="preserve"> an interpretation that differs from many of the domestic versions of the principle.</w:t>
      </w:r>
      <w:r>
        <w:rPr>
          <w:rStyle w:val="FootnoteReference"/>
        </w:rPr>
        <w:footnoteReference w:id="106"/>
      </w:r>
    </w:p>
    <w:p w14:paraId="6099EF92" w14:textId="7DC3D5E4" w:rsidR="001F36CF" w:rsidRDefault="00C8024A" w:rsidP="003308C5">
      <w:pPr>
        <w:pStyle w:val="ListParagraph"/>
      </w:pPr>
      <w:r>
        <w:t>N</w:t>
      </w:r>
      <w:r w:rsidR="00027AF1">
        <w:t xml:space="preserve">either this Court nor any other international judicial or domestic body has recognized </w:t>
      </w:r>
      <w:r w:rsidR="00027AF1">
        <w:rPr>
          <w:i/>
          <w:iCs/>
        </w:rPr>
        <w:t xml:space="preserve">ne bis in idem </w:t>
      </w:r>
      <w:r w:rsidR="00027AF1">
        <w:t xml:space="preserve">as a general principle of law. Judicial opinions have explicitly declined </w:t>
      </w:r>
      <w:r w:rsidR="002B3CD1">
        <w:t>to</w:t>
      </w:r>
      <w:r w:rsidR="00027AF1">
        <w:t xml:space="preserve"> recogniz</w:t>
      </w:r>
      <w:r w:rsidR="002B3CD1">
        <w:t>e</w:t>
      </w:r>
      <w:r w:rsidR="00027AF1">
        <w:t xml:space="preserve"> </w:t>
      </w:r>
      <w:r w:rsidR="00027AF1">
        <w:rPr>
          <w:i/>
          <w:iCs/>
        </w:rPr>
        <w:t xml:space="preserve">ne bis in idem </w:t>
      </w:r>
      <w:r w:rsidR="00027AF1">
        <w:t>as a general principle of law.</w:t>
      </w:r>
      <w:r w:rsidR="00027AF1">
        <w:rPr>
          <w:rStyle w:val="FootnoteReference"/>
        </w:rPr>
        <w:footnoteReference w:id="107"/>
      </w:r>
      <w:r w:rsidR="00027AF1">
        <w:t xml:space="preserve">  Notably, the ICC’s Rome Statute lists </w:t>
      </w:r>
      <w:r w:rsidR="00027AF1">
        <w:rPr>
          <w:i/>
          <w:iCs/>
        </w:rPr>
        <w:t xml:space="preserve">ne bis in idem </w:t>
      </w:r>
      <w:r w:rsidR="00027AF1">
        <w:lastRenderedPageBreak/>
        <w:t>under Part 2 “jurisdiction, admissibility and applicable law”, not in Part 3</w:t>
      </w:r>
      <w:r w:rsidR="0007762D">
        <w:t>,</w:t>
      </w:r>
      <w:r w:rsidR="00027AF1">
        <w:t xml:space="preserve"> which lists “general principles of criminal law”.</w:t>
      </w:r>
      <w:r w:rsidR="00027AF1">
        <w:rPr>
          <w:rStyle w:val="FootnoteReference"/>
        </w:rPr>
        <w:footnoteReference w:id="108"/>
      </w:r>
    </w:p>
    <w:p w14:paraId="5F0E486E" w14:textId="0E568D4E" w:rsidR="00027AF1" w:rsidRDefault="00027AF1" w:rsidP="00EF7AEA">
      <w:pPr>
        <w:pStyle w:val="Heading4"/>
        <w:keepNext/>
        <w:spacing w:after="160" w:line="240" w:lineRule="auto"/>
        <w:ind w:left="1800" w:hanging="723"/>
      </w:pPr>
      <w:r w:rsidRPr="001D1A9A">
        <w:rPr>
          <w:i w:val="0"/>
          <w:iCs w:val="0"/>
        </w:rPr>
        <w:t xml:space="preserve">Ne </w:t>
      </w:r>
      <w:r w:rsidR="001D1A9A" w:rsidRPr="001D1A9A">
        <w:rPr>
          <w:i w:val="0"/>
          <w:iCs w:val="0"/>
        </w:rPr>
        <w:t>Bis In Idem</w:t>
      </w:r>
      <w:r w:rsidR="001D1A9A" w:rsidRPr="005A0495">
        <w:t xml:space="preserve"> Is Not Transposable </w:t>
      </w:r>
      <w:r w:rsidR="001D1A9A">
        <w:t>t</w:t>
      </w:r>
      <w:r w:rsidR="001D1A9A" w:rsidRPr="005A0495">
        <w:t xml:space="preserve">o </w:t>
      </w:r>
      <w:r w:rsidR="001D1A9A">
        <w:t>t</w:t>
      </w:r>
      <w:r w:rsidR="001D1A9A" w:rsidRPr="005A0495">
        <w:t xml:space="preserve">he International </w:t>
      </w:r>
      <w:r w:rsidR="001D1A9A">
        <w:t xml:space="preserve">System </w:t>
      </w:r>
    </w:p>
    <w:p w14:paraId="5D3791F2" w14:textId="484935BE" w:rsidR="001F36CF" w:rsidRDefault="00027AF1" w:rsidP="00680367">
      <w:pPr>
        <w:pStyle w:val="ListParagraph"/>
      </w:pPr>
      <w:r>
        <w:t xml:space="preserve">Even if this Court were to find that </w:t>
      </w:r>
      <w:r>
        <w:rPr>
          <w:i/>
          <w:iCs/>
        </w:rPr>
        <w:t xml:space="preserve">ne bis in idem </w:t>
      </w:r>
      <w:r>
        <w:t xml:space="preserve">exists as a common principle, it cannot be found </w:t>
      </w:r>
      <w:r w:rsidR="00744D17">
        <w:t>to be</w:t>
      </w:r>
      <w:r>
        <w:t xml:space="preserve"> a general principle of law, as </w:t>
      </w:r>
      <w:r>
        <w:rPr>
          <w:i/>
          <w:iCs/>
        </w:rPr>
        <w:t xml:space="preserve">ne bis in idem </w:t>
      </w:r>
      <w:r>
        <w:t>is not transposable to the international legal system. A rule is transposable only if there are no overriding principles of international law contradicting its application.</w:t>
      </w:r>
      <w:r w:rsidRPr="00BE5555">
        <w:rPr>
          <w:rStyle w:val="FootnoteReference"/>
        </w:rPr>
        <w:footnoteReference w:id="109"/>
      </w:r>
      <w:r>
        <w:t xml:space="preserve"> The application of </w:t>
      </w:r>
      <w:r>
        <w:rPr>
          <w:i/>
          <w:iCs/>
        </w:rPr>
        <w:t xml:space="preserve">ne bis in idem </w:t>
      </w:r>
      <w:r>
        <w:t>directly contradicts the principle of State sovereignty.</w:t>
      </w:r>
    </w:p>
    <w:p w14:paraId="313DE5C5" w14:textId="603AA3CA" w:rsidR="00027AF1" w:rsidRDefault="00027AF1" w:rsidP="00EA01A9">
      <w:pPr>
        <w:pStyle w:val="ListParagraph"/>
      </w:pPr>
      <w:r>
        <w:t xml:space="preserve">This Court has recognized that not all principles common to domestic legal systems may be applied in the international context. In </w:t>
      </w:r>
      <w:proofErr w:type="gramStart"/>
      <w:r>
        <w:rPr>
          <w:i/>
        </w:rPr>
        <w:t>South West</w:t>
      </w:r>
      <w:proofErr w:type="gramEnd"/>
      <w:r>
        <w:rPr>
          <w:i/>
        </w:rPr>
        <w:t xml:space="preserve"> Africa, </w:t>
      </w:r>
      <w:proofErr w:type="spellStart"/>
      <w:r>
        <w:rPr>
          <w:i/>
        </w:rPr>
        <w:t>actio</w:t>
      </w:r>
      <w:proofErr w:type="spellEnd"/>
      <w:r>
        <w:rPr>
          <w:i/>
        </w:rPr>
        <w:t xml:space="preserve"> </w:t>
      </w:r>
      <w:proofErr w:type="spellStart"/>
      <w:r>
        <w:rPr>
          <w:i/>
        </w:rPr>
        <w:t>popularis</w:t>
      </w:r>
      <w:proofErr w:type="spellEnd"/>
      <w:r>
        <w:rPr>
          <w:i/>
        </w:rPr>
        <w:t xml:space="preserve">, </w:t>
      </w:r>
      <w:r>
        <w:t xml:space="preserve">the right to sue any member of the public to protect a public interest, was not accepted as </w:t>
      </w:r>
      <w:r w:rsidR="009C02A6">
        <w:t xml:space="preserve">a </w:t>
      </w:r>
      <w:r>
        <w:t>general principle of law.</w:t>
      </w:r>
      <w:r w:rsidR="005671D5" w:rsidRPr="005671D5">
        <w:rPr>
          <w:rStyle w:val="FootnoteReference"/>
          <w:color w:val="000000"/>
        </w:rPr>
        <w:t xml:space="preserve"> </w:t>
      </w:r>
      <w:r w:rsidR="005671D5">
        <w:rPr>
          <w:rStyle w:val="FootnoteReference"/>
          <w:color w:val="000000"/>
        </w:rPr>
        <w:footnoteReference w:id="110"/>
      </w:r>
      <w:r>
        <w:t xml:space="preserve"> Despite many legal systems enshrining this right, the radically different nature of judicial jurisdiction in international and national procedures meant that </w:t>
      </w:r>
      <w:proofErr w:type="spellStart"/>
      <w:r>
        <w:rPr>
          <w:i/>
        </w:rPr>
        <w:t>actio</w:t>
      </w:r>
      <w:proofErr w:type="spellEnd"/>
      <w:r>
        <w:rPr>
          <w:i/>
        </w:rPr>
        <w:t xml:space="preserve"> </w:t>
      </w:r>
      <w:proofErr w:type="spellStart"/>
      <w:r>
        <w:rPr>
          <w:i/>
        </w:rPr>
        <w:t>popularis</w:t>
      </w:r>
      <w:proofErr w:type="spellEnd"/>
      <w:r>
        <w:rPr>
          <w:i/>
        </w:rPr>
        <w:t xml:space="preserve"> </w:t>
      </w:r>
      <w:r>
        <w:t>could not be transposed from domestic to international proceedings.</w:t>
      </w:r>
      <w:r w:rsidR="005671D5">
        <w:rPr>
          <w:rStyle w:val="FootnoteReference"/>
        </w:rPr>
        <w:footnoteReference w:id="111"/>
      </w:r>
    </w:p>
    <w:p w14:paraId="49E26796" w14:textId="5A8DBF15" w:rsidR="00027AF1" w:rsidRDefault="00027AF1" w:rsidP="00EF1F5C">
      <w:pPr>
        <w:pStyle w:val="ListParagraph"/>
      </w:pPr>
      <w:r>
        <w:t xml:space="preserve">A “transnational” </w:t>
      </w:r>
      <w:r>
        <w:rPr>
          <w:i/>
          <w:iCs/>
        </w:rPr>
        <w:t xml:space="preserve">ne bis in idem </w:t>
      </w:r>
      <w:r>
        <w:t>principle would unjustifiably constrain sovereign States</w:t>
      </w:r>
      <w:r w:rsidR="00573DC2">
        <w:t>’</w:t>
      </w:r>
      <w:r>
        <w:t xml:space="preserve"> criminal law powers, a key expression of State sovereignty.</w:t>
      </w:r>
      <w:r>
        <w:rPr>
          <w:rStyle w:val="FootnoteReference"/>
        </w:rPr>
        <w:footnoteReference w:id="112"/>
      </w:r>
      <w:r>
        <w:t xml:space="preserve"> For a judicial body to determine if an accused charged for two differ</w:t>
      </w:r>
      <w:r w:rsidR="00FC118B">
        <w:t>ent</w:t>
      </w:r>
      <w:r>
        <w:t xml:space="preserve"> crimes would amount to being subjected to the same </w:t>
      </w:r>
      <w:proofErr w:type="gramStart"/>
      <w:r>
        <w:t>offence,  a</w:t>
      </w:r>
      <w:proofErr w:type="gramEnd"/>
      <w:r>
        <w:t xml:space="preserve"> common understanding of how criminal acts are defined would be required across very different criminal law systems. This imposes too great a burden on sovereignty to be a workable principle. States tend to have very different substantive criminal law and procedure.</w:t>
      </w:r>
      <w:r>
        <w:rPr>
          <w:rStyle w:val="FootnoteReference"/>
        </w:rPr>
        <w:footnoteReference w:id="113"/>
      </w:r>
      <w:r>
        <w:t xml:space="preserve"> Restovia should not be required to defer to an outcome produced by Alekostria’s procedural rules, which it does not accept.</w:t>
      </w:r>
    </w:p>
    <w:p w14:paraId="379F4CC4" w14:textId="5651747E" w:rsidR="00027AF1" w:rsidRDefault="00027AF1" w:rsidP="00EA01A9">
      <w:pPr>
        <w:pStyle w:val="ListParagraph"/>
      </w:pPr>
      <w:r>
        <w:lastRenderedPageBreak/>
        <w:t>For the reasons above, the United States adopts</w:t>
      </w:r>
      <w:r w:rsidRPr="00A13895">
        <w:t xml:space="preserve"> the “dual-sovereignty” doctrine, </w:t>
      </w:r>
      <w:r w:rsidR="00391F18">
        <w:t>where</w:t>
      </w:r>
      <w:r w:rsidRPr="00A13895">
        <w:t xml:space="preserve"> federal and state-level government</w:t>
      </w:r>
      <w:r w:rsidR="00091E4E">
        <w:t>s</w:t>
      </w:r>
      <w:r w:rsidRPr="00A13895">
        <w:t xml:space="preserve"> are separate sovereigns. This means that an acquittal or conviction from one </w:t>
      </w:r>
      <w:r w:rsidR="002D3D6F">
        <w:t>S</w:t>
      </w:r>
      <w:r w:rsidRPr="00A13895">
        <w:t xml:space="preserve">tate does not bar other </w:t>
      </w:r>
      <w:r w:rsidR="002D3D6F">
        <w:t>S</w:t>
      </w:r>
      <w:r w:rsidRPr="00A13895">
        <w:t xml:space="preserve">tates or the federal government </w:t>
      </w:r>
      <w:r w:rsidR="00DE7C61">
        <w:t>from</w:t>
      </w:r>
      <w:r w:rsidRPr="00A13895">
        <w:t xml:space="preserve"> prosecut</w:t>
      </w:r>
      <w:r w:rsidR="00DE7C61">
        <w:t>ing</w:t>
      </w:r>
      <w:r w:rsidRPr="00A13895">
        <w:t xml:space="preserve"> the accused under their own laws.</w:t>
      </w:r>
      <w:r>
        <w:rPr>
          <w:rStyle w:val="FootnoteReference"/>
          <w:color w:val="000000"/>
        </w:rPr>
        <w:footnoteReference w:id="114"/>
      </w:r>
    </w:p>
    <w:p w14:paraId="391DF7C3" w14:textId="0711FC04" w:rsidR="00027AF1" w:rsidRDefault="00027AF1" w:rsidP="00EA01A9">
      <w:pPr>
        <w:pStyle w:val="ListParagraph"/>
      </w:pPr>
      <w:r>
        <w:t>A fundamental rule in international law is that States cannot exercise their jurisdiction outside of their territory unless specifically consented to “by virtue of a permissive rule derived from international custom or from a convention”.</w:t>
      </w:r>
      <w:r>
        <w:rPr>
          <w:rStyle w:val="FootnoteReference"/>
        </w:rPr>
        <w:footnoteReference w:id="115"/>
      </w:r>
      <w:r>
        <w:t xml:space="preserve"> For this reason, States are not obligated to respect the </w:t>
      </w:r>
      <w:r>
        <w:rPr>
          <w:i/>
          <w:iCs/>
        </w:rPr>
        <w:t xml:space="preserve">res judicata </w:t>
      </w:r>
      <w:r>
        <w:t>of a foreign state.</w:t>
      </w:r>
      <w:r>
        <w:rPr>
          <w:rStyle w:val="FootnoteReference"/>
        </w:rPr>
        <w:footnoteReference w:id="116"/>
      </w:r>
    </w:p>
    <w:p w14:paraId="7A5C0E1A" w14:textId="3B873D71" w:rsidR="00027AF1" w:rsidRDefault="00027AF1" w:rsidP="003308C5">
      <w:pPr>
        <w:pStyle w:val="ListParagraph"/>
      </w:pPr>
      <w:r>
        <w:t xml:space="preserve">Therefore, </w:t>
      </w:r>
      <w:r>
        <w:rPr>
          <w:i/>
          <w:iCs/>
        </w:rPr>
        <w:t xml:space="preserve">ne bis in idem </w:t>
      </w:r>
      <w:r>
        <w:t xml:space="preserve">can apply across States only when they have explicitly consented. For example, the </w:t>
      </w:r>
      <w:r>
        <w:rPr>
          <w:i/>
          <w:iCs/>
        </w:rPr>
        <w:t xml:space="preserve">Charter of Fundamental Rights of the European Union </w:t>
      </w:r>
      <w:r>
        <w:t>prevents extradition between signatory states if the individual has already faced punishment or has been acquitted of the offence.</w:t>
      </w:r>
      <w:r>
        <w:rPr>
          <w:rStyle w:val="FootnoteReference"/>
        </w:rPr>
        <w:footnoteReference w:id="117"/>
      </w:r>
      <w:r>
        <w:t xml:space="preserve"> </w:t>
      </w:r>
    </w:p>
    <w:p w14:paraId="6C3768CF" w14:textId="07ED4802" w:rsidR="00027AF1" w:rsidRDefault="00027AF1" w:rsidP="003308C5">
      <w:pPr>
        <w:pStyle w:val="ListParagraph"/>
      </w:pPr>
      <w:r>
        <w:t xml:space="preserve">Certain international and regional human rights treaties have enshrined the right of </w:t>
      </w:r>
      <w:r w:rsidRPr="00921C0B">
        <w:rPr>
          <w:i/>
          <w:iCs/>
        </w:rPr>
        <w:t xml:space="preserve">ne bis in idem, </w:t>
      </w:r>
      <w:r>
        <w:t>such as Article 14(7) of the ICCPR.</w:t>
      </w:r>
      <w:r>
        <w:rPr>
          <w:rStyle w:val="FootnoteReference"/>
        </w:rPr>
        <w:footnoteReference w:id="118"/>
      </w:r>
      <w:r>
        <w:t xml:space="preserve"> However, this only extends to prohibiting double jeopardy within a given </w:t>
      </w:r>
      <w:proofErr w:type="gramStart"/>
      <w:r>
        <w:t>state, and</w:t>
      </w:r>
      <w:proofErr w:type="gramEnd"/>
      <w:r>
        <w:t xml:space="preserve"> does not guarantee </w:t>
      </w:r>
      <w:r w:rsidRPr="3318D708">
        <w:rPr>
          <w:i/>
          <w:iCs/>
        </w:rPr>
        <w:t>ne</w:t>
      </w:r>
      <w:r w:rsidRPr="00921C0B">
        <w:rPr>
          <w:i/>
          <w:iCs/>
        </w:rPr>
        <w:t xml:space="preserve"> bis in idem </w:t>
      </w:r>
      <w:r>
        <w:t>between two or more national jurisdictions.</w:t>
      </w:r>
      <w:r>
        <w:rPr>
          <w:rStyle w:val="FootnoteReference"/>
        </w:rPr>
        <w:footnoteReference w:id="119"/>
      </w:r>
      <w:r>
        <w:t xml:space="preserve"> </w:t>
      </w:r>
    </w:p>
    <w:p w14:paraId="77EA7390" w14:textId="2816300F" w:rsidR="00027AF1" w:rsidRPr="006F784D" w:rsidRDefault="00027AF1" w:rsidP="00EF7AEA">
      <w:pPr>
        <w:pStyle w:val="Heading3"/>
        <w:keepLines w:val="0"/>
        <w:numPr>
          <w:ilvl w:val="0"/>
          <w:numId w:val="30"/>
        </w:numPr>
        <w:spacing w:after="160" w:line="240" w:lineRule="auto"/>
        <w:ind w:left="1440" w:hanging="743"/>
      </w:pPr>
      <w:bookmarkStart w:id="28" w:name="_Toc219103235"/>
      <w:r w:rsidRPr="006F784D">
        <w:t>In the Alternative, Ms. Scott’s Trial in Restovia Would Not Violate Any General Principles of Law</w:t>
      </w:r>
      <w:bookmarkEnd w:id="28"/>
      <w:r w:rsidRPr="006F784D">
        <w:t xml:space="preserve"> </w:t>
      </w:r>
    </w:p>
    <w:p w14:paraId="2480FEAB" w14:textId="65ED6ED1" w:rsidR="00027AF1" w:rsidRDefault="00027AF1" w:rsidP="00A27ACD">
      <w:pPr>
        <w:pStyle w:val="ListParagraph"/>
      </w:pPr>
      <w:r>
        <w:t>If this Court accepts t</w:t>
      </w:r>
      <w:r w:rsidR="006F784D">
        <w:t>h</w:t>
      </w:r>
      <w:r>
        <w:t xml:space="preserve">at </w:t>
      </w:r>
      <w:r>
        <w:rPr>
          <w:i/>
          <w:iCs/>
        </w:rPr>
        <w:t xml:space="preserve">ne bis in idem </w:t>
      </w:r>
      <w:r>
        <w:t xml:space="preserve">is a general principle of law, Ms. Scott must nevertheless be extradited as Restovia’s prosecution is consistent with general principles of law. First, </w:t>
      </w:r>
      <w:r>
        <w:rPr>
          <w:i/>
          <w:iCs/>
        </w:rPr>
        <w:t xml:space="preserve">ne bis in idem </w:t>
      </w:r>
      <w:r>
        <w:t>is not an absolute right [</w:t>
      </w:r>
      <w:proofErr w:type="spellStart"/>
      <w:r>
        <w:t>i</w:t>
      </w:r>
      <w:proofErr w:type="spellEnd"/>
      <w:r>
        <w:t>]. Second, Ms. Scott’s trial in Restovia is not in relation to the same criminal conduct she was prosecuted for in Alekostria [ii].</w:t>
      </w:r>
    </w:p>
    <w:p w14:paraId="135124AA" w14:textId="76E74813" w:rsidR="00027AF1" w:rsidRPr="006F784D" w:rsidRDefault="00027AF1" w:rsidP="00EF7AEA">
      <w:pPr>
        <w:pStyle w:val="Heading4"/>
        <w:keepNext/>
        <w:numPr>
          <w:ilvl w:val="0"/>
          <w:numId w:val="31"/>
        </w:numPr>
        <w:spacing w:after="160" w:line="240" w:lineRule="auto"/>
      </w:pPr>
      <w:r w:rsidRPr="0069610A">
        <w:rPr>
          <w:i w:val="0"/>
          <w:iCs w:val="0"/>
        </w:rPr>
        <w:lastRenderedPageBreak/>
        <w:t xml:space="preserve">Ne </w:t>
      </w:r>
      <w:r w:rsidR="006F784D" w:rsidRPr="0069610A">
        <w:rPr>
          <w:i w:val="0"/>
          <w:iCs w:val="0"/>
        </w:rPr>
        <w:t>Bis In Idem</w:t>
      </w:r>
      <w:r w:rsidR="006F784D" w:rsidRPr="006F784D">
        <w:t xml:space="preserve"> Is Not </w:t>
      </w:r>
      <w:r w:rsidR="006F784D">
        <w:t>a</w:t>
      </w:r>
      <w:r w:rsidR="006F784D" w:rsidRPr="006F784D">
        <w:t xml:space="preserve">n Absolute Principle </w:t>
      </w:r>
    </w:p>
    <w:p w14:paraId="3832B138" w14:textId="2B3EE55A" w:rsidR="00027AF1" w:rsidRPr="0024636D" w:rsidRDefault="00027AF1" w:rsidP="00DD30B8">
      <w:pPr>
        <w:pStyle w:val="ListParagraph"/>
      </w:pPr>
      <w:r w:rsidRPr="0024636D">
        <w:t xml:space="preserve">In </w:t>
      </w:r>
      <w:r w:rsidRPr="0024636D">
        <w:rPr>
          <w:i/>
        </w:rPr>
        <w:t xml:space="preserve">Prosecutors v IENG Sary,  </w:t>
      </w:r>
      <w:r w:rsidRPr="0024636D">
        <w:t xml:space="preserve">the Extraordinary Chambers in the Courts of Cambodia stated that the principle of </w:t>
      </w:r>
      <w:r w:rsidRPr="0024636D">
        <w:rPr>
          <w:i/>
        </w:rPr>
        <w:t xml:space="preserve">ne bis in idem </w:t>
      </w:r>
      <w:r w:rsidRPr="0024636D">
        <w:t>must balance against “the interest of the international community and victims” in ensuring that those responsible for international crimes are properly prosecuted.</w:t>
      </w:r>
      <w:r w:rsidRPr="0024636D">
        <w:rPr>
          <w:rStyle w:val="FootnoteReference"/>
        </w:rPr>
        <w:footnoteReference w:id="120"/>
      </w:r>
      <w:r w:rsidR="000F4C7C" w:rsidRPr="0024636D">
        <w:t xml:space="preserve"> </w:t>
      </w:r>
      <w:r w:rsidR="00845C3C">
        <w:rPr>
          <w:i/>
          <w:iCs/>
        </w:rPr>
        <w:t>N</w:t>
      </w:r>
      <w:r w:rsidR="000F4C7C" w:rsidRPr="0024636D">
        <w:rPr>
          <w:i/>
          <w:iCs/>
        </w:rPr>
        <w:t>e bis in idem</w:t>
      </w:r>
      <w:r w:rsidR="000F4C7C" w:rsidRPr="0024636D">
        <w:t xml:space="preserve"> is not a supranational, untouchable principle in the face of injustice; rather, it must be interpreted in light of other general principles, like good faith and the obligation to prosecute international crimes</w:t>
      </w:r>
      <w:r w:rsidR="00DD30B8">
        <w:t>.</w:t>
      </w:r>
      <w:r w:rsidRPr="0024636D">
        <w:t xml:space="preserve"> </w:t>
      </w:r>
    </w:p>
    <w:p w14:paraId="355991A9" w14:textId="23E19751" w:rsidR="00027AF1" w:rsidRPr="00DD30B8" w:rsidRDefault="00027AF1" w:rsidP="00497A2D">
      <w:pPr>
        <w:pStyle w:val="ListParagraph"/>
      </w:pPr>
      <w:r w:rsidRPr="0024636D">
        <w:t>If Ms. Scott does not face trial in Restovia for her crimes, this would amount to impunity. Considering these circumstances, Alekostria must cooperate with the extradition treaty and deliver Ms. Scott to Restovia to stand trial.</w:t>
      </w:r>
    </w:p>
    <w:p w14:paraId="4835CB3F" w14:textId="6BC359FD" w:rsidR="00027AF1" w:rsidRPr="006F784D" w:rsidRDefault="00027AF1" w:rsidP="00EF7AEA">
      <w:pPr>
        <w:pStyle w:val="Heading4"/>
        <w:keepNext/>
        <w:numPr>
          <w:ilvl w:val="0"/>
          <w:numId w:val="31"/>
        </w:numPr>
        <w:spacing w:after="160" w:line="240" w:lineRule="auto"/>
      </w:pPr>
      <w:r w:rsidRPr="006F784D">
        <w:t>Ms</w:t>
      </w:r>
      <w:r w:rsidR="006F784D" w:rsidRPr="006F784D">
        <w:t xml:space="preserve">. </w:t>
      </w:r>
      <w:r w:rsidRPr="006F784D">
        <w:t xml:space="preserve">Scott’s </w:t>
      </w:r>
      <w:r w:rsidR="006F784D" w:rsidRPr="006F784D">
        <w:t xml:space="preserve">Trial </w:t>
      </w:r>
      <w:r w:rsidR="006F784D">
        <w:t>i</w:t>
      </w:r>
      <w:r w:rsidR="006F784D" w:rsidRPr="006F784D">
        <w:t xml:space="preserve">n </w:t>
      </w:r>
      <w:r w:rsidRPr="006F784D">
        <w:t xml:space="preserve">Restovia </w:t>
      </w:r>
      <w:r w:rsidR="006F784D" w:rsidRPr="006F784D">
        <w:t xml:space="preserve">Would Not Violate </w:t>
      </w:r>
      <w:r w:rsidR="006F784D" w:rsidRPr="006F784D">
        <w:rPr>
          <w:i w:val="0"/>
          <w:iCs w:val="0"/>
        </w:rPr>
        <w:t xml:space="preserve">Ne Bis </w:t>
      </w:r>
      <w:proofErr w:type="gramStart"/>
      <w:r w:rsidR="006F784D" w:rsidRPr="006F784D">
        <w:rPr>
          <w:i w:val="0"/>
          <w:iCs w:val="0"/>
        </w:rPr>
        <w:t>In</w:t>
      </w:r>
      <w:proofErr w:type="gramEnd"/>
      <w:r w:rsidR="006F784D" w:rsidRPr="006F784D">
        <w:rPr>
          <w:i w:val="0"/>
          <w:iCs w:val="0"/>
        </w:rPr>
        <w:t xml:space="preserve"> Idem</w:t>
      </w:r>
      <w:r w:rsidR="006F784D" w:rsidRPr="006F784D">
        <w:t xml:space="preserve"> </w:t>
      </w:r>
    </w:p>
    <w:p w14:paraId="1F5699A0" w14:textId="257D1C57" w:rsidR="00EA4CDD" w:rsidRPr="00EA4CDD" w:rsidRDefault="00892C31" w:rsidP="00EA4CDD">
      <w:pPr>
        <w:pStyle w:val="ListParagraph"/>
        <w:rPr>
          <w:i/>
          <w:iCs/>
        </w:rPr>
      </w:pPr>
      <w:r>
        <w:rPr>
          <w:i/>
          <w:iCs/>
        </w:rPr>
        <w:t>N</w:t>
      </w:r>
      <w:r w:rsidR="00027AF1">
        <w:rPr>
          <w:i/>
          <w:iCs/>
        </w:rPr>
        <w:t xml:space="preserve">e bis in idem </w:t>
      </w:r>
      <w:r w:rsidR="00A20398" w:rsidRPr="00EE58A9">
        <w:t xml:space="preserve">is </w:t>
      </w:r>
      <w:r w:rsidR="00657731">
        <w:t>often</w:t>
      </w:r>
      <w:r w:rsidR="00A20398" w:rsidRPr="00EE58A9">
        <w:t xml:space="preserve"> taken to mean</w:t>
      </w:r>
      <w:r w:rsidR="00027AF1">
        <w:rPr>
          <w:i/>
          <w:iCs/>
        </w:rPr>
        <w:t xml:space="preserve"> </w:t>
      </w:r>
      <w:r>
        <w:t>bar</w:t>
      </w:r>
      <w:r w:rsidR="00A20398">
        <w:t>ring</w:t>
      </w:r>
      <w:r>
        <w:t xml:space="preserve"> the </w:t>
      </w:r>
      <w:r w:rsidR="00027AF1">
        <w:t xml:space="preserve">prosecution of an individual for the </w:t>
      </w:r>
      <w:r w:rsidR="00027AF1">
        <w:rPr>
          <w:i/>
          <w:iCs/>
        </w:rPr>
        <w:t>same offence.</w:t>
      </w:r>
      <w:r w:rsidR="00027AF1">
        <w:rPr>
          <w:rStyle w:val="FootnoteReference"/>
          <w:i/>
          <w:iCs/>
        </w:rPr>
        <w:footnoteReference w:id="121"/>
      </w:r>
      <w:r w:rsidR="00027AF1">
        <w:rPr>
          <w:i/>
          <w:iCs/>
        </w:rPr>
        <w:t xml:space="preserve"> </w:t>
      </w:r>
      <w:r w:rsidR="00EE1C9B" w:rsidRPr="00EE58A9">
        <w:t>However</w:t>
      </w:r>
      <w:r w:rsidR="00EE1C9B">
        <w:rPr>
          <w:i/>
          <w:iCs/>
        </w:rPr>
        <w:t xml:space="preserve">, </w:t>
      </w:r>
      <w:r w:rsidR="00027AF1">
        <w:t>Ms. Scott has violated two different laws</w:t>
      </w:r>
      <w:r w:rsidR="00027AF1" w:rsidRPr="007B59B8">
        <w:rPr>
          <w:i/>
          <w:iCs/>
        </w:rPr>
        <w:t xml:space="preserve">. </w:t>
      </w:r>
      <w:r w:rsidR="00027AF1">
        <w:t xml:space="preserve">Alekostria arrested and charged Ms. Scott for providing indirect or direct value to a </w:t>
      </w:r>
      <w:r w:rsidR="00027AF1" w:rsidRPr="007B59B8">
        <w:rPr>
          <w:i/>
          <w:iCs/>
        </w:rPr>
        <w:t xml:space="preserve">foreign </w:t>
      </w:r>
      <w:r w:rsidR="00027AF1">
        <w:t>public official.</w:t>
      </w:r>
      <w:r w:rsidR="00027AF1">
        <w:rPr>
          <w:rStyle w:val="FootnoteReference"/>
        </w:rPr>
        <w:footnoteReference w:id="122"/>
      </w:r>
      <w:r w:rsidR="00027AF1">
        <w:t xml:space="preserve"> The Restovian law is broader, </w:t>
      </w:r>
      <w:r w:rsidR="00525B96">
        <w:t xml:space="preserve">as it </w:t>
      </w:r>
      <w:r w:rsidR="00027AF1">
        <w:t>prohibits providing a personal benefit to any public servant.</w:t>
      </w:r>
      <w:r w:rsidR="00027AF1">
        <w:rPr>
          <w:rStyle w:val="FootnoteReference"/>
        </w:rPr>
        <w:footnoteReference w:id="123"/>
      </w:r>
      <w:r w:rsidR="00027AF1">
        <w:t xml:space="preserve"> </w:t>
      </w:r>
    </w:p>
    <w:p w14:paraId="16F15BE3" w14:textId="5FC551E2" w:rsidR="00027AF1" w:rsidRPr="001865EE" w:rsidRDefault="00027AF1" w:rsidP="00460822">
      <w:pPr>
        <w:pStyle w:val="ListParagraph"/>
        <w:rPr>
          <w:i/>
          <w:iCs/>
        </w:rPr>
      </w:pPr>
      <w:r w:rsidRPr="001865EE">
        <w:rPr>
          <w:i/>
          <w:iCs/>
        </w:rPr>
        <w:t xml:space="preserve">Ne bis in idem </w:t>
      </w:r>
      <w:r>
        <w:t>does not bar prosecuting an individual for similar but distinct offences.</w:t>
      </w:r>
      <w:r>
        <w:rPr>
          <w:vertAlign w:val="superscript"/>
        </w:rPr>
        <w:footnoteReference w:id="124"/>
      </w:r>
      <w:r>
        <w:t xml:space="preserve"> Individuals are often extradited for crimes arising from the same underl</w:t>
      </w:r>
      <w:r w:rsidR="00F26662">
        <w:t>y</w:t>
      </w:r>
      <w:r>
        <w:t xml:space="preserve">ing acts. In </w:t>
      </w:r>
      <w:proofErr w:type="spellStart"/>
      <w:r w:rsidRPr="001865EE">
        <w:rPr>
          <w:i/>
          <w:iCs/>
        </w:rPr>
        <w:t>Sindona</w:t>
      </w:r>
      <w:proofErr w:type="spellEnd"/>
      <w:r w:rsidRPr="001865EE">
        <w:rPr>
          <w:i/>
          <w:iCs/>
        </w:rPr>
        <w:t xml:space="preserve"> v Grant</w:t>
      </w:r>
      <w:r w:rsidR="006C4CB6">
        <w:rPr>
          <w:i/>
          <w:iCs/>
        </w:rPr>
        <w:t>,</w:t>
      </w:r>
      <w:r>
        <w:rPr>
          <w:i/>
          <w:iCs/>
        </w:rPr>
        <w:t xml:space="preserve"> </w:t>
      </w:r>
      <w:r>
        <w:t xml:space="preserve">an individual who had been convicted of conspiracy, mail fraud and embezzlement in the United States was extradited to Italy for similar fraudulent </w:t>
      </w:r>
      <w:r w:rsidR="00D92D01">
        <w:t>c</w:t>
      </w:r>
      <w:r>
        <w:t>rimes that originated from the same scheme.</w:t>
      </w:r>
      <w:r>
        <w:rPr>
          <w:rStyle w:val="FootnoteReference"/>
        </w:rPr>
        <w:footnoteReference w:id="125"/>
      </w:r>
      <w:r>
        <w:t xml:space="preserve"> This was due to the fact that different legal interests were protected. </w:t>
      </w:r>
    </w:p>
    <w:p w14:paraId="3761F65D" w14:textId="1E13BE59" w:rsidR="006F784D" w:rsidRDefault="00027AF1" w:rsidP="00027AF1">
      <w:pPr>
        <w:pStyle w:val="ListParagraph"/>
      </w:pPr>
      <w:r>
        <w:t xml:space="preserve">The two laws here protect different legal interests; the Alekostrian law criminalizes foreign bribery while the Restovian offence protects the domestic public service’s integrity. Judge Zhang </w:t>
      </w:r>
      <w:r>
        <w:lastRenderedPageBreak/>
        <w:t>erred in finding the extradition illegal on the basis of the same transaction forming part of the charge in Restovia.</w:t>
      </w:r>
      <w:r>
        <w:rPr>
          <w:rStyle w:val="FootnoteReference"/>
        </w:rPr>
        <w:footnoteReference w:id="126"/>
      </w:r>
    </w:p>
    <w:p w14:paraId="767A2FE0" w14:textId="77777777" w:rsidR="006F784D" w:rsidRDefault="006F784D">
      <w:pPr>
        <w:spacing w:line="278" w:lineRule="auto"/>
      </w:pPr>
      <w:r>
        <w:br w:type="page"/>
      </w:r>
    </w:p>
    <w:p w14:paraId="49E6F385" w14:textId="77777777" w:rsidR="00027AF1" w:rsidRPr="00395591" w:rsidRDefault="00027AF1" w:rsidP="00EF7AEA">
      <w:pPr>
        <w:pStyle w:val="Heading1"/>
        <w:keepLines w:val="0"/>
        <w:spacing w:after="160" w:line="240" w:lineRule="auto"/>
        <w:rPr>
          <w:rFonts w:ascii="Times New Roman Bold" w:hAnsi="Times New Roman Bold"/>
          <w:caps/>
          <w:smallCaps w:val="0"/>
        </w:rPr>
      </w:pPr>
      <w:bookmarkStart w:id="29" w:name="_Toc211607997"/>
      <w:bookmarkStart w:id="30" w:name="_Toc219103236"/>
      <w:r w:rsidRPr="00395591">
        <w:rPr>
          <w:rFonts w:ascii="Times New Roman Bold" w:hAnsi="Times New Roman Bold"/>
          <w:caps/>
          <w:smallCaps w:val="0"/>
        </w:rPr>
        <w:lastRenderedPageBreak/>
        <w:t>Restovia Lawfully Refused to Grant NEXCA State Immunity</w:t>
      </w:r>
      <w:bookmarkEnd w:id="29"/>
      <w:bookmarkEnd w:id="30"/>
    </w:p>
    <w:p w14:paraId="2ADCC6E2" w14:textId="189254BE" w:rsidR="00027AF1" w:rsidRPr="0032476B" w:rsidRDefault="000D510B" w:rsidP="00F73407">
      <w:pPr>
        <w:pStyle w:val="ListParagraph"/>
      </w:pPr>
      <w:r>
        <w:t>Restovia did not breach international law when it refused immunity to NEXCA in the proceedings commenced by Domingo Montoya</w:t>
      </w:r>
      <w:r w:rsidR="00A251DC">
        <w:t>’s estate</w:t>
      </w:r>
      <w:r>
        <w:t xml:space="preserve">. </w:t>
      </w:r>
      <w:r w:rsidR="00027AF1">
        <w:t>Jurisdictional immunity is a prerogative of the State</w:t>
      </w:r>
      <w:r w:rsidR="000F6498">
        <w:t>,</w:t>
      </w:r>
      <w:r w:rsidR="00734E08">
        <w:t xml:space="preserve"> which only </w:t>
      </w:r>
      <w:r w:rsidR="000F6498">
        <w:t>S</w:t>
      </w:r>
      <w:r w:rsidR="00734E08">
        <w:t>tate actors can claim.</w:t>
      </w:r>
      <w:r w:rsidR="00027AF1">
        <w:rPr>
          <w:rStyle w:val="FootnoteReference"/>
        </w:rPr>
        <w:footnoteReference w:id="127"/>
      </w:r>
      <w:r w:rsidR="00027AF1">
        <w:t xml:space="preserve"> </w:t>
      </w:r>
      <w:r w:rsidR="00107DEF">
        <w:t xml:space="preserve">Alekostria </w:t>
      </w:r>
      <w:r w:rsidR="0041797C">
        <w:t xml:space="preserve">is not responsible for </w:t>
      </w:r>
      <w:r w:rsidR="003A77CB">
        <w:t xml:space="preserve">NEXCA’s actions </w:t>
      </w:r>
      <w:r w:rsidR="00027AF1">
        <w:t xml:space="preserve">[A]. </w:t>
      </w:r>
      <w:r w:rsidR="003A77CB">
        <w:t>Even if it were</w:t>
      </w:r>
      <w:r w:rsidR="00027AF1">
        <w:t xml:space="preserve">, NEXCA is not entitled to </w:t>
      </w:r>
      <w:r w:rsidR="00317142">
        <w:t xml:space="preserve">State </w:t>
      </w:r>
      <w:r w:rsidR="00027AF1">
        <w:t xml:space="preserve">immunity as </w:t>
      </w:r>
      <w:r w:rsidR="007906F3">
        <w:t xml:space="preserve">it possesses a separate legal personality, </w:t>
      </w:r>
      <w:r w:rsidR="00D02D7B">
        <w:t xml:space="preserve">and so </w:t>
      </w:r>
      <w:r w:rsidR="000732A1">
        <w:t xml:space="preserve">the commercial and territorial tort exceptions </w:t>
      </w:r>
      <w:r w:rsidR="00027AF1">
        <w:t>apply [B].</w:t>
      </w:r>
    </w:p>
    <w:p w14:paraId="4C49B676" w14:textId="1A1D7534" w:rsidR="009C04CB" w:rsidRPr="009C04CB" w:rsidRDefault="00D55A46" w:rsidP="00EF7AEA">
      <w:pPr>
        <w:pStyle w:val="Heading2"/>
        <w:keepLines w:val="0"/>
        <w:numPr>
          <w:ilvl w:val="0"/>
          <w:numId w:val="32"/>
        </w:numPr>
        <w:spacing w:after="160" w:line="240" w:lineRule="auto"/>
      </w:pPr>
      <w:bookmarkStart w:id="31" w:name="_Toc219103237"/>
      <w:r w:rsidRPr="00ED6511">
        <w:t>Alekostria</w:t>
      </w:r>
      <w:r w:rsidR="00C822B0">
        <w:t xml:space="preserve"> </w:t>
      </w:r>
      <w:r w:rsidR="00395591">
        <w:t>I</w:t>
      </w:r>
      <w:r w:rsidR="00C822B0">
        <w:t xml:space="preserve">s </w:t>
      </w:r>
      <w:r w:rsidR="00395591">
        <w:t>N</w:t>
      </w:r>
      <w:r w:rsidR="00C822B0">
        <w:t xml:space="preserve">ot </w:t>
      </w:r>
      <w:r w:rsidR="00395591">
        <w:t>R</w:t>
      </w:r>
      <w:r w:rsidR="005D47A5">
        <w:t xml:space="preserve">esponsible for </w:t>
      </w:r>
      <w:r w:rsidR="00395591">
        <w:t>NEXCA</w:t>
      </w:r>
      <w:r w:rsidR="009C04CB">
        <w:t xml:space="preserve">’s </w:t>
      </w:r>
      <w:r w:rsidR="00395591">
        <w:t>A</w:t>
      </w:r>
      <w:r w:rsidR="009C04CB">
        <w:t>ctions</w:t>
      </w:r>
      <w:bookmarkEnd w:id="31"/>
    </w:p>
    <w:p w14:paraId="7D43DED1" w14:textId="77777777" w:rsidR="00585E0A" w:rsidRDefault="00C875DE" w:rsidP="00E52856">
      <w:pPr>
        <w:pStyle w:val="ListParagraph"/>
      </w:pPr>
      <w:r>
        <w:t xml:space="preserve">Alekostria </w:t>
      </w:r>
      <w:r w:rsidR="001B20DC">
        <w:t xml:space="preserve">can </w:t>
      </w:r>
      <w:r>
        <w:t>only claim immunity for acts which it is responsible for under international law</w:t>
      </w:r>
      <w:r w:rsidR="000B1AAD">
        <w:t>.</w:t>
      </w:r>
      <w:r w:rsidR="000B1AAD">
        <w:rPr>
          <w:rStyle w:val="FootnoteReference"/>
        </w:rPr>
        <w:footnoteReference w:id="128"/>
      </w:r>
      <w:r>
        <w:t xml:space="preserve"> Accordingly, an analysis of whether NEXCA’s actions can be attributed to Alekostria is warranted.</w:t>
      </w:r>
      <w:r w:rsidR="001B20DC">
        <w:t xml:space="preserve"> </w:t>
      </w:r>
    </w:p>
    <w:p w14:paraId="70C68E69" w14:textId="1EA98B5C" w:rsidR="00E52856" w:rsidRDefault="001B20DC" w:rsidP="00585E0A">
      <w:pPr>
        <w:pStyle w:val="ListParagraph"/>
      </w:pPr>
      <w:r>
        <w:t xml:space="preserve">NEXCA’s actions are not attributable to Alekostria because NEXCA is not a </w:t>
      </w:r>
      <w:r w:rsidR="002D3D6F">
        <w:t>S</w:t>
      </w:r>
      <w:r>
        <w:t>tate organ [1], NEXCA was not exercising elements of governmental authority in remitting the Gordion Gorge project [2]</w:t>
      </w:r>
      <w:r w:rsidR="00DF6B69">
        <w:t>,</w:t>
      </w:r>
      <w:r>
        <w:t xml:space="preserve"> and NEXCA did not act under the authority of Alekostria [3]. Thus, NEXCA is not entitled to immunity.</w:t>
      </w:r>
    </w:p>
    <w:p w14:paraId="64D8FBAA" w14:textId="37B98923" w:rsidR="0002477C" w:rsidRDefault="00027AF1" w:rsidP="00EF7AEA">
      <w:pPr>
        <w:pStyle w:val="Heading3"/>
        <w:keepLines w:val="0"/>
        <w:numPr>
          <w:ilvl w:val="0"/>
          <w:numId w:val="33"/>
        </w:numPr>
        <w:spacing w:after="160" w:line="240" w:lineRule="auto"/>
        <w:ind w:left="1440" w:hanging="743"/>
      </w:pPr>
      <w:bookmarkStart w:id="32" w:name="_Toc211607999"/>
      <w:bookmarkStart w:id="33" w:name="_Toc219103238"/>
      <w:r>
        <w:t>NEXCA</w:t>
      </w:r>
      <w:bookmarkEnd w:id="32"/>
      <w:r>
        <w:t xml:space="preserve"> </w:t>
      </w:r>
      <w:r w:rsidR="00D55A46">
        <w:t>I</w:t>
      </w:r>
      <w:r>
        <w:t xml:space="preserve">s </w:t>
      </w:r>
      <w:r w:rsidR="00D55A46">
        <w:t>N</w:t>
      </w:r>
      <w:r>
        <w:t xml:space="preserve">ot a </w:t>
      </w:r>
      <w:r w:rsidR="00D55A46">
        <w:t>S</w:t>
      </w:r>
      <w:r>
        <w:t xml:space="preserve">tate </w:t>
      </w:r>
      <w:r w:rsidR="00D55A46">
        <w:t>O</w:t>
      </w:r>
      <w:r>
        <w:t>rgan</w:t>
      </w:r>
      <w:bookmarkEnd w:id="33"/>
      <w:r>
        <w:t xml:space="preserve"> </w:t>
      </w:r>
    </w:p>
    <w:p w14:paraId="5F64CEDE" w14:textId="5118A5AC" w:rsidR="00027AF1" w:rsidRDefault="00027AF1" w:rsidP="00C00FB0">
      <w:pPr>
        <w:pStyle w:val="ListParagraph"/>
      </w:pPr>
      <w:r>
        <w:t>The internal laws of the State determin</w:t>
      </w:r>
      <w:r w:rsidR="0002477C">
        <w:t>e</w:t>
      </w:r>
      <w:r>
        <w:t xml:space="preserve"> whether an entity is a </w:t>
      </w:r>
      <w:r w:rsidR="002D3D6F">
        <w:t>S</w:t>
      </w:r>
      <w:r>
        <w:t>tate</w:t>
      </w:r>
      <w:r w:rsidR="00977D09">
        <w:t xml:space="preserve"> organ</w:t>
      </w:r>
      <w:r>
        <w:t>.</w:t>
      </w:r>
      <w:r>
        <w:rPr>
          <w:rStyle w:val="FootnoteReference"/>
        </w:rPr>
        <w:footnoteReference w:id="129"/>
      </w:r>
      <w:r>
        <w:t xml:space="preserve"> NEXCA is a registered corporation under Alekostrian law, not a government entity exercising legislative, judicial, executive or other governmental functions.</w:t>
      </w:r>
      <w:r>
        <w:rPr>
          <w:rStyle w:val="FootnoteReference"/>
        </w:rPr>
        <w:footnoteReference w:id="130"/>
      </w:r>
      <w:r>
        <w:rPr>
          <w:color w:val="000000"/>
        </w:rPr>
        <w:t xml:space="preserve"> </w:t>
      </w:r>
      <w:r w:rsidR="004D3B5E">
        <w:rPr>
          <w:color w:val="000000"/>
        </w:rPr>
        <w:t xml:space="preserve">Under customary international law, mere </w:t>
      </w:r>
      <w:r w:rsidR="002D3D6F">
        <w:rPr>
          <w:color w:val="000000"/>
        </w:rPr>
        <w:t>S</w:t>
      </w:r>
      <w:r w:rsidR="004D3B5E">
        <w:rPr>
          <w:color w:val="000000"/>
        </w:rPr>
        <w:t>tate ownership does not make an entity a State organ</w:t>
      </w:r>
      <w:r>
        <w:rPr>
          <w:color w:val="000000"/>
        </w:rPr>
        <w:t>.</w:t>
      </w:r>
      <w:r>
        <w:rPr>
          <w:rStyle w:val="FootnoteReference"/>
          <w:color w:val="000000"/>
        </w:rPr>
        <w:footnoteReference w:id="131"/>
      </w:r>
      <w:r>
        <w:rPr>
          <w:color w:val="000000"/>
        </w:rPr>
        <w:t xml:space="preserve"> </w:t>
      </w:r>
      <w:r>
        <w:t xml:space="preserve">NEXCA does not “make up the organization of the State”, the standard this Court adopted in </w:t>
      </w:r>
      <w:r w:rsidR="00D41D23">
        <w:rPr>
          <w:i/>
          <w:iCs/>
        </w:rPr>
        <w:t>Bosnia v. Serbia</w:t>
      </w:r>
      <w:r>
        <w:t>.</w:t>
      </w:r>
      <w:r>
        <w:rPr>
          <w:rStyle w:val="FootnoteReference"/>
        </w:rPr>
        <w:footnoteReference w:id="132"/>
      </w:r>
    </w:p>
    <w:p w14:paraId="3961020D" w14:textId="037CD6C7" w:rsidR="00027AF1" w:rsidRPr="00470BFE" w:rsidRDefault="00027AF1" w:rsidP="00EF7AEA">
      <w:pPr>
        <w:pStyle w:val="Heading3"/>
        <w:keepLines w:val="0"/>
        <w:numPr>
          <w:ilvl w:val="0"/>
          <w:numId w:val="33"/>
        </w:numPr>
        <w:spacing w:after="160" w:line="240" w:lineRule="auto"/>
        <w:ind w:left="1440" w:hanging="743"/>
      </w:pPr>
      <w:bookmarkStart w:id="34" w:name="_Toc219103239"/>
      <w:r w:rsidRPr="00470BFE">
        <w:lastRenderedPageBreak/>
        <w:t xml:space="preserve">NEXCA </w:t>
      </w:r>
      <w:r w:rsidR="00D55A46">
        <w:t xml:space="preserve">Was Not Empowered by </w:t>
      </w:r>
      <w:r>
        <w:t xml:space="preserve">Alekostria </w:t>
      </w:r>
      <w:r w:rsidR="00D55A46">
        <w:t>to Exercise</w:t>
      </w:r>
      <w:r w:rsidR="00D55A46" w:rsidRPr="00470BFE">
        <w:t xml:space="preserve"> Governmental Authority</w:t>
      </w:r>
      <w:bookmarkEnd w:id="34"/>
      <w:r w:rsidR="00D55A46" w:rsidRPr="00470BFE">
        <w:t xml:space="preserve"> </w:t>
      </w:r>
    </w:p>
    <w:p w14:paraId="4980AA3A" w14:textId="276E6704" w:rsidR="00027AF1" w:rsidRDefault="00912838" w:rsidP="00160CE7">
      <w:pPr>
        <w:pStyle w:val="ListParagraph"/>
      </w:pPr>
      <w:r>
        <w:t xml:space="preserve">Alekostria has not demonstrated that NEXCA was empowered to exercise governmental authority </w:t>
      </w:r>
      <w:r w:rsidR="00AF0CD2">
        <w:t xml:space="preserve">in the process of bidding on the </w:t>
      </w:r>
      <w:r>
        <w:t xml:space="preserve">Gordion Gorge. </w:t>
      </w:r>
      <w:r w:rsidR="006E6916" w:rsidRPr="006E6916">
        <w:t xml:space="preserve">Conduct by entities which are not </w:t>
      </w:r>
      <w:r w:rsidR="002D3D6F">
        <w:t>S</w:t>
      </w:r>
      <w:r w:rsidR="006E6916" w:rsidRPr="006E6916">
        <w:t xml:space="preserve">tate organs is only attributable if </w:t>
      </w:r>
      <w:r w:rsidR="002D3D6F">
        <w:t>S</w:t>
      </w:r>
      <w:r w:rsidR="006E6916" w:rsidRPr="006E6916">
        <w:t>tate law empowered them to exercise governmental authority over the specific act in question</w:t>
      </w:r>
      <w:r w:rsidR="00027AF1">
        <w:t>.</w:t>
      </w:r>
      <w:r w:rsidR="00027AF1">
        <w:rPr>
          <w:rStyle w:val="FootnoteReference"/>
        </w:rPr>
        <w:footnoteReference w:id="133"/>
      </w:r>
      <w:r w:rsidR="00027AF1">
        <w:t xml:space="preserve"> </w:t>
      </w:r>
      <w:r w:rsidR="00CB1645">
        <w:t>T</w:t>
      </w:r>
      <w:r w:rsidR="00027AF1">
        <w:t>he specific act in question</w:t>
      </w:r>
      <w:r w:rsidR="00FB335F">
        <w:t xml:space="preserve"> </w:t>
      </w:r>
      <w:r w:rsidR="00027AF1">
        <w:t>–</w:t>
      </w:r>
      <w:r w:rsidR="00FB335F">
        <w:t xml:space="preserve"> </w:t>
      </w:r>
      <w:r w:rsidR="00027AF1">
        <w:t>the process of bidding on the Gordian Gorge project</w:t>
      </w:r>
      <w:r w:rsidR="006816C0">
        <w:t xml:space="preserve"> </w:t>
      </w:r>
      <w:r w:rsidR="00027AF1">
        <w:t>–</w:t>
      </w:r>
      <w:r w:rsidR="006816C0">
        <w:t xml:space="preserve"> </w:t>
      </w:r>
      <w:r w:rsidR="00027AF1">
        <w:t>must be a</w:t>
      </w:r>
      <w:r w:rsidR="00606117">
        <w:t xml:space="preserve"> delegated</w:t>
      </w:r>
      <w:r w:rsidR="00027AF1">
        <w:t xml:space="preserve"> exercise of governmental authority.</w:t>
      </w:r>
      <w:r w:rsidR="00027AF1">
        <w:rPr>
          <w:rStyle w:val="FootnoteReference"/>
        </w:rPr>
        <w:footnoteReference w:id="134"/>
      </w:r>
      <w:r w:rsidR="00027AF1">
        <w:t xml:space="preserve"> It is not enough for an entity to be delegated with governmental authority</w:t>
      </w:r>
      <w:r w:rsidR="00606117">
        <w:t xml:space="preserve"> in general</w:t>
      </w:r>
      <w:r w:rsidR="00027AF1">
        <w:t>.</w:t>
      </w:r>
      <w:r w:rsidR="00027AF1">
        <w:rPr>
          <w:rStyle w:val="FootnoteReference"/>
        </w:rPr>
        <w:footnoteReference w:id="135"/>
      </w:r>
      <w:r w:rsidR="00027AF1">
        <w:t xml:space="preserve"> For example, courts have held that the specific actions of a body established to generally manage the Suez Canal were not attributable to the government</w:t>
      </w:r>
      <w:r w:rsidR="00606117">
        <w:t>, since the body acted like any other contractor during a tender process</w:t>
      </w:r>
      <w:r w:rsidR="00027AF1">
        <w:t>.</w:t>
      </w:r>
      <w:r w:rsidR="00027AF1">
        <w:rPr>
          <w:rStyle w:val="FootnoteReference"/>
        </w:rPr>
        <w:footnoteReference w:id="136"/>
      </w:r>
      <w:r w:rsidR="00A25A8F">
        <w:t xml:space="preserve"> </w:t>
      </w:r>
    </w:p>
    <w:p w14:paraId="47F0B5B9" w14:textId="1CCA5F1A" w:rsidR="0039032B" w:rsidRDefault="00027AF1" w:rsidP="00160CE7">
      <w:pPr>
        <w:pStyle w:val="ListParagraph"/>
      </w:pPr>
      <w:r>
        <w:t xml:space="preserve">The specific act by NEXCA </w:t>
      </w:r>
      <w:r w:rsidR="002D6533">
        <w:t xml:space="preserve">– </w:t>
      </w:r>
      <w:r>
        <w:t>bidding for the Gordion Gorge project</w:t>
      </w:r>
      <w:r w:rsidR="00FD1B25">
        <w:t xml:space="preserve"> – </w:t>
      </w:r>
      <w:r w:rsidR="007F3372">
        <w:t>is</w:t>
      </w:r>
      <w:r w:rsidR="00FD1B25">
        <w:t xml:space="preserve"> not attributable to Alekostria</w:t>
      </w:r>
      <w:r>
        <w:t xml:space="preserve">. </w:t>
      </w:r>
      <w:r w:rsidR="00F607B6">
        <w:t>Rather</w:t>
      </w:r>
      <w:r>
        <w:t>, NEXCA acted as any other “general contractor following an open tender in competition with other contractors.”</w:t>
      </w:r>
      <w:r>
        <w:rPr>
          <w:rStyle w:val="FootnoteReference"/>
        </w:rPr>
        <w:footnoteReference w:id="137"/>
      </w:r>
      <w:r>
        <w:t xml:space="preserve"> This is similar to </w:t>
      </w:r>
      <w:r>
        <w:rPr>
          <w:i/>
          <w:iCs/>
        </w:rPr>
        <w:t xml:space="preserve">Beijing Urban Construction Group Co Ltd v Republic of Yemen, </w:t>
      </w:r>
      <w:r w:rsidR="00BB03DE">
        <w:t>which</w:t>
      </w:r>
      <w:r>
        <w:t xml:space="preserve"> held that a </w:t>
      </w:r>
      <w:proofErr w:type="gramStart"/>
      <w:r>
        <w:t>wholly-owned</w:t>
      </w:r>
      <w:proofErr w:type="gramEnd"/>
      <w:r>
        <w:t xml:space="preserve"> </w:t>
      </w:r>
      <w:r w:rsidR="008F07FE">
        <w:t>S</w:t>
      </w:r>
      <w:r>
        <w:t>tate entity was not discharging governmental authority by entering into a contract to build an airport terminal in Yemen.</w:t>
      </w:r>
      <w:r>
        <w:rPr>
          <w:rStyle w:val="FootnoteReference"/>
        </w:rPr>
        <w:footnoteReference w:id="138"/>
      </w:r>
      <w:r>
        <w:t xml:space="preserve"> </w:t>
      </w:r>
    </w:p>
    <w:p w14:paraId="30B2798A" w14:textId="0D1B25C3" w:rsidR="00027AF1" w:rsidRDefault="00027AF1" w:rsidP="00160CE7">
      <w:pPr>
        <w:pStyle w:val="ListParagraph"/>
      </w:pPr>
      <w:r>
        <w:t xml:space="preserve">Another Tribunal held that </w:t>
      </w:r>
      <w:proofErr w:type="spellStart"/>
      <w:r>
        <w:t>Cocobod</w:t>
      </w:r>
      <w:proofErr w:type="spellEnd"/>
      <w:r>
        <w:t xml:space="preserve">, </w:t>
      </w:r>
      <w:r w:rsidRPr="00C806AF">
        <w:t xml:space="preserve">a public entity created with </w:t>
      </w:r>
      <w:r>
        <w:t>“</w:t>
      </w:r>
      <w:r w:rsidRPr="00C806AF">
        <w:t xml:space="preserve">the </w:t>
      </w:r>
      <w:proofErr w:type="gramStart"/>
      <w:r w:rsidRPr="00C806AF">
        <w:t>principle</w:t>
      </w:r>
      <w:proofErr w:type="gramEnd"/>
      <w:r w:rsidRPr="00C806AF">
        <w:t xml:space="preserve"> purpose to trade cocoa beans and generate a profit”</w:t>
      </w:r>
      <w:r>
        <w:t xml:space="preserve"> for the Ghanian government, was not exercising governmental authority when it entered specific price agreements.</w:t>
      </w:r>
      <w:r>
        <w:rPr>
          <w:rStyle w:val="FootnoteReference"/>
        </w:rPr>
        <w:footnoteReference w:id="139"/>
      </w:r>
      <w:r>
        <w:t xml:space="preserve"> </w:t>
      </w:r>
      <w:r w:rsidR="0039032B">
        <w:t>NEXCA also operates as a profit</w:t>
      </w:r>
      <w:r w:rsidR="00BD5B40">
        <w:t>-</w:t>
      </w:r>
      <w:r w:rsidR="00CB1915">
        <w:t>seeking entity</w:t>
      </w:r>
      <w:r w:rsidR="00BD543E">
        <w:t xml:space="preserve"> </w:t>
      </w:r>
      <w:r w:rsidR="00CA747A">
        <w:t xml:space="preserve">by </w:t>
      </w:r>
      <w:r w:rsidR="00BD543E">
        <w:t>entering into commercial operations.</w:t>
      </w:r>
      <w:r w:rsidR="00BD543E">
        <w:rPr>
          <w:rStyle w:val="FootnoteReference"/>
        </w:rPr>
        <w:footnoteReference w:id="140"/>
      </w:r>
    </w:p>
    <w:p w14:paraId="49ED66CB" w14:textId="4F55A738" w:rsidR="00027AF1" w:rsidRDefault="00027AF1" w:rsidP="00EF7AEA">
      <w:pPr>
        <w:pStyle w:val="Heading3"/>
        <w:keepLines w:val="0"/>
        <w:numPr>
          <w:ilvl w:val="0"/>
          <w:numId w:val="33"/>
        </w:numPr>
        <w:spacing w:after="160" w:line="240" w:lineRule="auto"/>
        <w:ind w:left="1440" w:hanging="743"/>
      </w:pPr>
      <w:bookmarkStart w:id="35" w:name="_Toc219103240"/>
      <w:r>
        <w:lastRenderedPageBreak/>
        <w:t xml:space="preserve">NEXCA </w:t>
      </w:r>
      <w:r w:rsidR="00D55A46">
        <w:t xml:space="preserve">Did Not Act under the Direction or Control of </w:t>
      </w:r>
      <w:r>
        <w:t>Alekostria</w:t>
      </w:r>
      <w:bookmarkEnd w:id="35"/>
    </w:p>
    <w:p w14:paraId="4FEC11BE" w14:textId="1357C8AC" w:rsidR="00027AF1" w:rsidRDefault="00027AF1" w:rsidP="00160CE7">
      <w:pPr>
        <w:pStyle w:val="ListParagraph"/>
      </w:pPr>
      <w:r>
        <w:t xml:space="preserve">The bar for attributing </w:t>
      </w:r>
      <w:r w:rsidR="00BD5B40">
        <w:t>S</w:t>
      </w:r>
      <w:r>
        <w:t xml:space="preserve">tate conduct through effective control is high. </w:t>
      </w:r>
      <w:r w:rsidR="006A1955">
        <w:t xml:space="preserve">Effective control </w:t>
      </w:r>
      <w:r w:rsidR="00291FFF">
        <w:t>means actual participation and direction by Alekostria</w:t>
      </w:r>
      <w:r w:rsidR="009849EE">
        <w:t>;</w:t>
      </w:r>
      <w:r w:rsidR="00291FFF">
        <w:t xml:space="preserve"> a</w:t>
      </w:r>
      <w:r>
        <w:t xml:space="preserve"> high degree of dependency is not enough.</w:t>
      </w:r>
      <w:r>
        <w:rPr>
          <w:rStyle w:val="FootnoteReference"/>
        </w:rPr>
        <w:footnoteReference w:id="141"/>
      </w:r>
      <w:r>
        <w:t xml:space="preserve"> In </w:t>
      </w:r>
      <w:r w:rsidRPr="00654C47">
        <w:rPr>
          <w:i/>
          <w:iCs/>
        </w:rPr>
        <w:t>Nicaragua v. United States of America</w:t>
      </w:r>
      <w:r w:rsidR="00A628EF">
        <w:rPr>
          <w:i/>
          <w:iCs/>
        </w:rPr>
        <w:t>,</w:t>
      </w:r>
      <w:r>
        <w:t xml:space="preserve"> th</w:t>
      </w:r>
      <w:r w:rsidR="00F52A9C">
        <w:t>is Court</w:t>
      </w:r>
      <w:r w:rsidR="006E7389">
        <w:t xml:space="preserve"> held</w:t>
      </w:r>
      <w:r w:rsidR="00306DDC">
        <w:t xml:space="preserve"> that the</w:t>
      </w:r>
      <w:r>
        <w:t xml:space="preserve"> “financing, organizing, training, supplying and equipping of the </w:t>
      </w:r>
      <w:r w:rsidR="00C63BFB">
        <w:t>C</w:t>
      </w:r>
      <w:r>
        <w:t>ontras, the selection of its military or paramilitary targets, and the planning of the whole of its operation</w:t>
      </w:r>
      <w:r w:rsidR="00BA2265">
        <w:t>”</w:t>
      </w:r>
      <w:r>
        <w:t xml:space="preserve"> was “insufficient … for the purpose of attributing to the United States the acts committed by the Contras in the course of their military or paramilitary operations in Nicaragua”.</w:t>
      </w:r>
      <w:r>
        <w:rPr>
          <w:rStyle w:val="FootnoteReference"/>
        </w:rPr>
        <w:footnoteReference w:id="142"/>
      </w:r>
    </w:p>
    <w:p w14:paraId="0E1EC3E2" w14:textId="16B8A4E6" w:rsidR="00EA4CDD" w:rsidRDefault="00027AF1" w:rsidP="00D55A46">
      <w:pPr>
        <w:pStyle w:val="ListParagraph"/>
      </w:pPr>
      <w:r>
        <w:t>The acts of NEXCA do not meet the higher bar of attribution through effective control.</w:t>
      </w:r>
      <w:r w:rsidR="00231F75">
        <w:t xml:space="preserve"> State control over the appointment of directors</w:t>
      </w:r>
      <w:r>
        <w:t xml:space="preserve"> is irrelevant </w:t>
      </w:r>
      <w:r w:rsidR="00EC180F">
        <w:t>in this determination</w:t>
      </w:r>
      <w:r>
        <w:t>.</w:t>
      </w:r>
      <w:r>
        <w:rPr>
          <w:rStyle w:val="FootnoteReference"/>
        </w:rPr>
        <w:footnoteReference w:id="143"/>
      </w:r>
      <w:r>
        <w:t xml:space="preserve"> Instead, the claimant</w:t>
      </w:r>
      <w:r w:rsidR="00EC180F">
        <w:t xml:space="preserve"> must </w:t>
      </w:r>
      <w:r>
        <w:t>show “that the State's instructions were given, in respect of each operation in which the alleged violations occurred, not generally in respect of the overall actions taken”.</w:t>
      </w:r>
      <w:r>
        <w:rPr>
          <w:rStyle w:val="FootnoteReference"/>
        </w:rPr>
        <w:footnoteReference w:id="144"/>
      </w:r>
      <w:r w:rsidRPr="005735CC">
        <w:t xml:space="preserve"> </w:t>
      </w:r>
      <w:r>
        <w:t>There is no evidence that Alekostria oversaw or provided any specific instructions. The DPR specifically provided that all “mining and business” operations would be overseen by Liz Scott. As reported by the ILSA, the operation of the SARV while it was conducting its survey took place in NEXCA’s headquarters, completely removed from the Alekostrian government.</w:t>
      </w:r>
      <w:r>
        <w:rPr>
          <w:rStyle w:val="FootnoteReference"/>
        </w:rPr>
        <w:footnoteReference w:id="145"/>
      </w:r>
      <w:r>
        <w:t xml:space="preserve"> </w:t>
      </w:r>
    </w:p>
    <w:p w14:paraId="2A002738" w14:textId="6F762FF1" w:rsidR="00027AF1" w:rsidRPr="00ED6511" w:rsidRDefault="00027AF1" w:rsidP="00EF7AEA">
      <w:pPr>
        <w:pStyle w:val="Heading2"/>
        <w:keepLines w:val="0"/>
        <w:numPr>
          <w:ilvl w:val="0"/>
          <w:numId w:val="32"/>
        </w:numPr>
        <w:spacing w:after="160" w:line="240" w:lineRule="auto"/>
      </w:pPr>
      <w:bookmarkStart w:id="36" w:name="_Toc219103241"/>
      <w:r w:rsidRPr="00ED6511">
        <w:t xml:space="preserve">In </w:t>
      </w:r>
      <w:r w:rsidR="00D55A46" w:rsidRPr="00ED6511">
        <w:t xml:space="preserve">the </w:t>
      </w:r>
      <w:r w:rsidRPr="00ED6511">
        <w:t>Alternative</w:t>
      </w:r>
      <w:r w:rsidR="00D55A46" w:rsidRPr="00ED6511">
        <w:t xml:space="preserve">, </w:t>
      </w:r>
      <w:r w:rsidRPr="00ED6511">
        <w:t xml:space="preserve">NEXCA </w:t>
      </w:r>
      <w:r w:rsidR="00D55A46" w:rsidRPr="00ED6511">
        <w:t xml:space="preserve">Is Not Entitled </w:t>
      </w:r>
      <w:r w:rsidR="004D33CE" w:rsidRPr="00ED6511">
        <w:t>t</w:t>
      </w:r>
      <w:r w:rsidR="00D55A46" w:rsidRPr="00ED6511">
        <w:t xml:space="preserve">o </w:t>
      </w:r>
      <w:r w:rsidRPr="00ED6511">
        <w:t>State Immunity</w:t>
      </w:r>
      <w:bookmarkEnd w:id="36"/>
    </w:p>
    <w:p w14:paraId="475C5398" w14:textId="5F8E25B6" w:rsidR="00027AF1" w:rsidRDefault="005E2973" w:rsidP="00C00FB0">
      <w:pPr>
        <w:pStyle w:val="ListParagraph"/>
      </w:pPr>
      <w:r>
        <w:t xml:space="preserve">Even if NEXCA is a </w:t>
      </w:r>
      <w:proofErr w:type="gramStart"/>
      <w:r w:rsidR="00381017">
        <w:t>S</w:t>
      </w:r>
      <w:r>
        <w:t>tate</w:t>
      </w:r>
      <w:proofErr w:type="gramEnd"/>
      <w:r>
        <w:t xml:space="preserve"> actor, it is still not immune for three reasons</w:t>
      </w:r>
      <w:r w:rsidR="00027AF1">
        <w:t>.</w:t>
      </w:r>
      <w:r w:rsidR="00027AF1">
        <w:rPr>
          <w:vertAlign w:val="superscript"/>
        </w:rPr>
        <w:footnoteReference w:id="146"/>
      </w:r>
      <w:r w:rsidR="00027AF1">
        <w:t xml:space="preserve"> First, as a </w:t>
      </w:r>
      <w:r w:rsidR="00381017">
        <w:t>S</w:t>
      </w:r>
      <w:r w:rsidR="00027AF1">
        <w:t>tate-owned corporation, NEXCA has a separate legal personality and is not entitled to the same immunity as Alekostria</w:t>
      </w:r>
      <w:r w:rsidR="00027AF1">
        <w:rPr>
          <w:rStyle w:val="FootnoteReference"/>
        </w:rPr>
        <w:footnoteReference w:id="147"/>
      </w:r>
      <w:r w:rsidR="00027AF1">
        <w:t xml:space="preserve"> [1]. Alekostria is also not immune for “commercial acts” [2]. Alekostria is also not immune from proceedings commenced for torts it committed in Restovia’s territory [3].</w:t>
      </w:r>
    </w:p>
    <w:p w14:paraId="3BFFC0DD" w14:textId="17704280" w:rsidR="00027AF1" w:rsidRDefault="00027AF1" w:rsidP="00EF7AEA">
      <w:pPr>
        <w:pStyle w:val="Heading3"/>
        <w:keepLines w:val="0"/>
        <w:numPr>
          <w:ilvl w:val="0"/>
          <w:numId w:val="34"/>
        </w:numPr>
        <w:spacing w:after="160" w:line="240" w:lineRule="auto"/>
        <w:ind w:left="1440" w:hanging="743"/>
      </w:pPr>
      <w:bookmarkStart w:id="37" w:name="_Toc219103242"/>
      <w:r>
        <w:lastRenderedPageBreak/>
        <w:t xml:space="preserve">NEXCA </w:t>
      </w:r>
      <w:r w:rsidR="004D33CE">
        <w:t xml:space="preserve">Possesses </w:t>
      </w:r>
      <w:r w:rsidR="000678BB">
        <w:t xml:space="preserve">a </w:t>
      </w:r>
      <w:r w:rsidR="004D33CE">
        <w:t>Separate Legal Personality</w:t>
      </w:r>
      <w:bookmarkEnd w:id="37"/>
      <w:r w:rsidR="004D33CE">
        <w:t xml:space="preserve"> </w:t>
      </w:r>
    </w:p>
    <w:p w14:paraId="3236C86E" w14:textId="3F7EA14C" w:rsidR="00027AF1" w:rsidRDefault="007C5F57" w:rsidP="00A36D66">
      <w:pPr>
        <w:pStyle w:val="ListParagraph"/>
      </w:pPr>
      <w:r>
        <w:t xml:space="preserve">Alekostria was not required to grant NEXCA </w:t>
      </w:r>
      <w:r w:rsidR="002D3D6F">
        <w:t>S</w:t>
      </w:r>
      <w:r>
        <w:t>tate immunity because it posses</w:t>
      </w:r>
      <w:r w:rsidR="005707E6">
        <w:t xml:space="preserve">ses </w:t>
      </w:r>
      <w:r w:rsidR="000678BB">
        <w:t xml:space="preserve">a </w:t>
      </w:r>
      <w:r w:rsidR="005707E6">
        <w:t>separate legal personality</w:t>
      </w:r>
      <w:r w:rsidR="0026604B">
        <w:t>.</w:t>
      </w:r>
      <w:r w:rsidR="0026604B">
        <w:rPr>
          <w:rStyle w:val="FootnoteReference"/>
        </w:rPr>
        <w:footnoteReference w:id="148"/>
      </w:r>
      <w:r w:rsidR="00D60E77">
        <w:t xml:space="preserve"> </w:t>
      </w:r>
      <w:r w:rsidR="00027AF1">
        <w:t xml:space="preserve">Sovereign states have broad freedom to exercise their jurisdiction unless </w:t>
      </w:r>
      <w:r w:rsidR="005707E6">
        <w:t>expressly prohibited by</w:t>
      </w:r>
      <w:r w:rsidR="00027AF1">
        <w:t xml:space="preserve"> international law.</w:t>
      </w:r>
      <w:r w:rsidR="00027AF1">
        <w:rPr>
          <w:rStyle w:val="FootnoteReference"/>
        </w:rPr>
        <w:footnoteReference w:id="149"/>
      </w:r>
      <w:r w:rsidR="00027AF1">
        <w:t xml:space="preserve"> Alekostria </w:t>
      </w:r>
      <w:r w:rsidR="005707E6">
        <w:t xml:space="preserve">has not shown any customary rule of immunity for </w:t>
      </w:r>
      <w:r w:rsidR="002D3D6F">
        <w:t>S</w:t>
      </w:r>
      <w:r w:rsidR="005707E6">
        <w:t xml:space="preserve">tate instrumentalities with separate legal personality. </w:t>
      </w:r>
      <w:r w:rsidR="00027AF1">
        <w:t>In the United Kingdom</w:t>
      </w:r>
      <w:r w:rsidR="00841B49">
        <w:t>,</w:t>
      </w:r>
      <w:r w:rsidR="00027AF1">
        <w:t xml:space="preserve"> for example, when a “separate juridical entity is formed by the State for … commercial or industrial purposes”</w:t>
      </w:r>
      <w:r w:rsidR="00ED739D">
        <w:t>,</w:t>
      </w:r>
      <w:r w:rsidR="00027AF1">
        <w:t xml:space="preserve"> there is a presumption against immunity.</w:t>
      </w:r>
      <w:r w:rsidR="00027AF1">
        <w:rPr>
          <w:rStyle w:val="FootnoteReference"/>
        </w:rPr>
        <w:footnoteReference w:id="150"/>
      </w:r>
      <w:r w:rsidR="00027AF1">
        <w:t xml:space="preserve"> </w:t>
      </w:r>
      <w:r w:rsidR="00AF05E4">
        <w:t xml:space="preserve">Lord Denning introduced this concept in </w:t>
      </w:r>
      <w:r w:rsidR="00AF05E4">
        <w:rPr>
          <w:i/>
          <w:iCs/>
        </w:rPr>
        <w:t>Trendtex</w:t>
      </w:r>
      <w:r w:rsidR="00027AF1">
        <w:t xml:space="preserve">, </w:t>
      </w:r>
      <w:r w:rsidR="001920FF">
        <w:t xml:space="preserve">holding </w:t>
      </w:r>
      <w:r w:rsidR="00ED739D">
        <w:t xml:space="preserve">that </w:t>
      </w:r>
      <w:r w:rsidR="00AF05E4">
        <w:t>t</w:t>
      </w:r>
      <w:r w:rsidR="00027AF1">
        <w:t xml:space="preserve">he </w:t>
      </w:r>
      <w:r w:rsidR="00AF05E4">
        <w:t xml:space="preserve">Central Bank of Nigeria had no immunity </w:t>
      </w:r>
      <w:r w:rsidR="00965E19">
        <w:t>since it was cr</w:t>
      </w:r>
      <w:r w:rsidR="00602017">
        <w:t>eated as a separate legal entity</w:t>
      </w:r>
      <w:r w:rsidR="00344A14">
        <w:t>, despite exercising some governmental functions</w:t>
      </w:r>
      <w:r w:rsidR="00027AF1">
        <w:t>.</w:t>
      </w:r>
      <w:r w:rsidR="00CF0275">
        <w:rPr>
          <w:rStyle w:val="FootnoteReference"/>
        </w:rPr>
        <w:footnoteReference w:id="151"/>
      </w:r>
      <w:r w:rsidR="00027AF1">
        <w:t xml:space="preserve"> Furthermore, </w:t>
      </w:r>
      <w:r w:rsidR="0003566C">
        <w:t>German</w:t>
      </w:r>
      <w:r w:rsidR="00891A42">
        <w:t>y,</w:t>
      </w:r>
      <w:r w:rsidR="00B5732D">
        <w:t xml:space="preserve"> France</w:t>
      </w:r>
      <w:r w:rsidR="00081FA5">
        <w:t xml:space="preserve">, </w:t>
      </w:r>
      <w:r w:rsidR="00537D05">
        <w:t xml:space="preserve">and </w:t>
      </w:r>
      <w:r w:rsidR="00081FA5">
        <w:t>Italy</w:t>
      </w:r>
      <w:r w:rsidR="00891A42">
        <w:t xml:space="preserve"> </w:t>
      </w:r>
      <w:r w:rsidR="00C644B3">
        <w:t>all deny immunity to entities with separate legal personality</w:t>
      </w:r>
      <w:r w:rsidR="00027AF1">
        <w:t>.”</w:t>
      </w:r>
      <w:r w:rsidR="00081FA5" w:rsidRPr="00081FA5">
        <w:rPr>
          <w:rStyle w:val="FootnoteReference"/>
        </w:rPr>
        <w:t xml:space="preserve"> </w:t>
      </w:r>
      <w:r w:rsidR="00081FA5">
        <w:rPr>
          <w:rStyle w:val="FootnoteReference"/>
        </w:rPr>
        <w:footnoteReference w:id="152"/>
      </w:r>
    </w:p>
    <w:p w14:paraId="3098613C" w14:textId="6D65F428" w:rsidR="00665CB4" w:rsidRPr="00FD3A26" w:rsidRDefault="00CF0275" w:rsidP="00C00FB0">
      <w:pPr>
        <w:pStyle w:val="ListParagraph"/>
      </w:pPr>
      <w:r>
        <w:t>The jurisprudence of i</w:t>
      </w:r>
      <w:r w:rsidR="00027AF1">
        <w:t>nternational tribunals confirm</w:t>
      </w:r>
      <w:r>
        <w:t>s</w:t>
      </w:r>
      <w:r w:rsidR="00027AF1">
        <w:t xml:space="preserve"> that instrumentalities like NEXCA are not entitled to immunity. In </w:t>
      </w:r>
      <w:proofErr w:type="spellStart"/>
      <w:r w:rsidR="00027AF1" w:rsidRPr="00884253">
        <w:rPr>
          <w:i/>
          <w:iCs/>
        </w:rPr>
        <w:t>Tsavliris</w:t>
      </w:r>
      <w:proofErr w:type="spellEnd"/>
      <w:r w:rsidR="00027AF1" w:rsidRPr="00884253">
        <w:rPr>
          <w:i/>
          <w:iCs/>
        </w:rPr>
        <w:t xml:space="preserve"> Salvage (International) Ltd v The Grain Board of Iraq</w:t>
      </w:r>
      <w:r w:rsidR="00027AF1">
        <w:t>, the respondent sought immunity in an arbitral award for salvage services, as it owned a cargo of wheat on board a ship involved in the case.</w:t>
      </w:r>
      <w:r w:rsidR="00027AF1">
        <w:rPr>
          <w:rStyle w:val="FootnoteReference"/>
        </w:rPr>
        <w:footnoteReference w:id="153"/>
      </w:r>
      <w:r w:rsidR="00027AF1">
        <w:t xml:space="preserve"> The Board was a wholly owned </w:t>
      </w:r>
      <w:r w:rsidR="00047F11">
        <w:t>S</w:t>
      </w:r>
      <w:r w:rsidR="00027AF1">
        <w:t>tate entity, the Board of Directors had broad regulatory powers, and the main purpose of the entity was to “purchase grains …for Iraqi citizens”. Despite these facts, the Board was deemed a separate entity and not entitled to immunity.</w:t>
      </w:r>
      <w:r w:rsidR="00027AF1">
        <w:rPr>
          <w:rStyle w:val="FootnoteReference"/>
        </w:rPr>
        <w:footnoteReference w:id="154"/>
      </w:r>
      <w:r w:rsidR="00027AF1">
        <w:t xml:space="preserve"> Similarly, NEXCA </w:t>
      </w:r>
      <w:r w:rsidR="00AE730A">
        <w:t xml:space="preserve">is a separate legal person even if it </w:t>
      </w:r>
      <w:r w:rsidR="005C5011">
        <w:t>had been</w:t>
      </w:r>
      <w:r w:rsidR="00AE730A">
        <w:t xml:space="preserve"> charged </w:t>
      </w:r>
      <w:r w:rsidR="00027AF1">
        <w:t>with some public purposes</w:t>
      </w:r>
      <w:r w:rsidR="0093460C">
        <w:t>,</w:t>
      </w:r>
      <w:r w:rsidR="00AE730A">
        <w:t xml:space="preserve"> like acquiring strategic minerals for Alekostria.</w:t>
      </w:r>
      <w:r w:rsidR="00027AF1">
        <w:rPr>
          <w:rStyle w:val="FootnoteReference"/>
        </w:rPr>
        <w:footnoteReference w:id="155"/>
      </w:r>
    </w:p>
    <w:p w14:paraId="165CB2E3" w14:textId="42691FAA" w:rsidR="00027AF1" w:rsidRDefault="00027AF1" w:rsidP="00EF7AEA">
      <w:pPr>
        <w:pStyle w:val="Heading3"/>
        <w:keepLines w:val="0"/>
        <w:numPr>
          <w:ilvl w:val="0"/>
          <w:numId w:val="34"/>
        </w:numPr>
        <w:spacing w:after="160" w:line="240" w:lineRule="auto"/>
        <w:ind w:left="1440" w:hanging="743"/>
      </w:pPr>
      <w:bookmarkStart w:id="38" w:name="_Toc219103243"/>
      <w:r w:rsidRPr="00E66DAE">
        <w:lastRenderedPageBreak/>
        <w:t xml:space="preserve">NEXCA </w:t>
      </w:r>
      <w:r w:rsidR="004D33CE" w:rsidRPr="00E66DAE">
        <w:t xml:space="preserve">Cannot Invoke Immunity </w:t>
      </w:r>
      <w:r w:rsidR="004D33CE">
        <w:t>f</w:t>
      </w:r>
      <w:r w:rsidR="004D33CE" w:rsidRPr="00E66DAE">
        <w:t>or Commercial Transactions (</w:t>
      </w:r>
      <w:r w:rsidR="004D33CE" w:rsidRPr="004D33CE">
        <w:rPr>
          <w:i/>
          <w:iCs/>
        </w:rPr>
        <w:t>Jus Gestionis</w:t>
      </w:r>
      <w:r w:rsidR="004D33CE" w:rsidRPr="00E66DAE">
        <w:t>)</w:t>
      </w:r>
      <w:bookmarkEnd w:id="38"/>
    </w:p>
    <w:p w14:paraId="36151144" w14:textId="10F46EE8" w:rsidR="00027AF1" w:rsidRDefault="00027AF1" w:rsidP="00160CE7">
      <w:pPr>
        <w:pStyle w:val="ListParagraph"/>
      </w:pPr>
      <w:r>
        <w:t>States are only immune for sovereign acts, not commercial ones.</w:t>
      </w:r>
      <w:r>
        <w:rPr>
          <w:rStyle w:val="FootnoteReference"/>
        </w:rPr>
        <w:footnoteReference w:id="156"/>
      </w:r>
      <w:r>
        <w:t xml:space="preserve"> </w:t>
      </w:r>
      <w:r w:rsidR="002E0692">
        <w:t>NEXCA is not immune because its</w:t>
      </w:r>
      <w:r>
        <w:t xml:space="preserve"> survey of the Gordion Gorge was </w:t>
      </w:r>
      <w:r w:rsidR="0072176F">
        <w:t xml:space="preserve">a </w:t>
      </w:r>
      <w:r>
        <w:t xml:space="preserve">commercial </w:t>
      </w:r>
      <w:r w:rsidR="0072176F">
        <w:t xml:space="preserve">act </w:t>
      </w:r>
      <w:r w:rsidR="008A3F5A">
        <w:t xml:space="preserve">rather </w:t>
      </w:r>
      <w:r w:rsidR="0072176F">
        <w:t>than a</w:t>
      </w:r>
      <w:r>
        <w:t xml:space="preserve"> sovereign</w:t>
      </w:r>
      <w:r w:rsidR="0072176F">
        <w:t xml:space="preserve"> act</w:t>
      </w:r>
      <w:r w:rsidR="002E0692">
        <w:t>.</w:t>
      </w:r>
    </w:p>
    <w:p w14:paraId="121C1546" w14:textId="203E470D" w:rsidR="00027AF1" w:rsidRPr="00C056C0" w:rsidRDefault="002E0692" w:rsidP="00C056C0">
      <w:pPr>
        <w:pStyle w:val="ListParagraph"/>
        <w:rPr>
          <w:i/>
        </w:rPr>
      </w:pPr>
      <w:r>
        <w:t>Entities engagin</w:t>
      </w:r>
      <w:r w:rsidR="00027AF1">
        <w:t xml:space="preserve">g </w:t>
      </w:r>
      <w:r>
        <w:t>in the commercial marketplace as private parties must follow the same marketplace rules as everyone else</w:t>
      </w:r>
      <w:r w:rsidR="00027AF1">
        <w:t>.</w:t>
      </w:r>
      <w:r w:rsidR="00027AF1">
        <w:rPr>
          <w:rStyle w:val="FootnoteReference"/>
        </w:rPr>
        <w:footnoteReference w:id="157"/>
      </w:r>
      <w:r w:rsidR="0036164C">
        <w:t xml:space="preserve"> T</w:t>
      </w:r>
      <w:r w:rsidR="00027AF1">
        <w:t xml:space="preserve">ransactions </w:t>
      </w:r>
      <w:r w:rsidR="0036164C">
        <w:t xml:space="preserve">are commercial </w:t>
      </w:r>
      <w:r w:rsidR="00F87C29">
        <w:t>if they have a “</w:t>
      </w:r>
      <w:r w:rsidR="00027AF1">
        <w:t>commercial, industrial, trading or professional nature”.</w:t>
      </w:r>
      <w:r w:rsidR="00027AF1">
        <w:rPr>
          <w:rStyle w:val="FootnoteReference"/>
        </w:rPr>
        <w:footnoteReference w:id="158"/>
      </w:r>
      <w:r w:rsidR="00027AF1">
        <w:rPr>
          <w:i/>
        </w:rPr>
        <w:t xml:space="preserve"> </w:t>
      </w:r>
      <w:r w:rsidR="00027AF1">
        <w:t>Even activities undertaken for a public purpose can be characterized as commercial in nature.</w:t>
      </w:r>
      <w:r w:rsidR="00027AF1">
        <w:rPr>
          <w:rStyle w:val="FootnoteReference"/>
        </w:rPr>
        <w:footnoteReference w:id="159"/>
      </w:r>
      <w:r w:rsidR="00027AF1">
        <w:t xml:space="preserve"> In </w:t>
      </w:r>
      <w:r w:rsidR="00027AF1" w:rsidRPr="00C056C0">
        <w:rPr>
          <w:i/>
          <w:iCs/>
        </w:rPr>
        <w:t>I Congreso</w:t>
      </w:r>
      <w:r w:rsidR="00BE130E">
        <w:rPr>
          <w:i/>
          <w:iCs/>
        </w:rPr>
        <w:t xml:space="preserve"> del Partido</w:t>
      </w:r>
      <w:r w:rsidR="00027AF1">
        <w:t xml:space="preserve">, Cuba was not granted immunity for </w:t>
      </w:r>
      <w:r w:rsidR="00AC456B">
        <w:t xml:space="preserve">foreign policy reasons because the </w:t>
      </w:r>
      <w:r w:rsidR="00322679">
        <w:t>nature</w:t>
      </w:r>
      <w:r w:rsidR="00AC456B">
        <w:t xml:space="preserve"> of the transaction – agreeing to supply sugar for profit – was commercia</w:t>
      </w:r>
      <w:r w:rsidR="00D20359">
        <w:t>l.</w:t>
      </w:r>
      <w:r w:rsidR="00D20359">
        <w:rPr>
          <w:rStyle w:val="FootnoteReference"/>
        </w:rPr>
        <w:footnoteReference w:id="160"/>
      </w:r>
      <w:r w:rsidR="00D20359">
        <w:t xml:space="preserve"> </w:t>
      </w:r>
    </w:p>
    <w:p w14:paraId="325FCF81" w14:textId="2A144ACF" w:rsidR="00665CB4" w:rsidRPr="00160CE7" w:rsidRDefault="00027AF1" w:rsidP="00D257A1">
      <w:pPr>
        <w:pStyle w:val="ListParagraph"/>
        <w:rPr>
          <w:i/>
        </w:rPr>
      </w:pPr>
      <w:r>
        <w:t>NEXCA’s conduct was of a commercial nature. NEXCA engaged in for-profit mining</w:t>
      </w:r>
      <w:r>
        <w:rPr>
          <w:vertAlign w:val="superscript"/>
        </w:rPr>
        <w:footnoteReference w:id="161"/>
      </w:r>
      <w:r>
        <w:t xml:space="preserve">, and any sovereign discretion over NEXCA was ancillary to the true commercial purpose of its transactions. </w:t>
      </w:r>
      <w:r w:rsidR="00B5468A">
        <w:t>Since it entered the commercial marketplace as a private party, it must follow the same rules as its competitors – including civil liability in Restovia</w:t>
      </w:r>
      <w:r w:rsidR="00036CD0">
        <w:t>n</w:t>
      </w:r>
      <w:r w:rsidR="00B5468A">
        <w:t xml:space="preserve"> courts for private wrongs like the Montoya estate’s wrongful death lawsuit.</w:t>
      </w:r>
      <w:r>
        <w:t xml:space="preserve"> </w:t>
      </w:r>
    </w:p>
    <w:p w14:paraId="1C0BFA21" w14:textId="7F0505FF" w:rsidR="00027AF1" w:rsidRPr="005A0CC5" w:rsidRDefault="00027AF1" w:rsidP="00EF7AEA">
      <w:pPr>
        <w:pStyle w:val="Heading3"/>
        <w:keepLines w:val="0"/>
        <w:numPr>
          <w:ilvl w:val="0"/>
          <w:numId w:val="34"/>
        </w:numPr>
        <w:spacing w:after="160" w:line="240" w:lineRule="auto"/>
        <w:ind w:left="1440" w:hanging="743"/>
      </w:pPr>
      <w:bookmarkStart w:id="39" w:name="_Toc219103244"/>
      <w:r w:rsidRPr="00FD3A26">
        <w:t xml:space="preserve">NEXCA </w:t>
      </w:r>
      <w:r w:rsidR="004D33CE" w:rsidRPr="00FD3A26">
        <w:t xml:space="preserve">Cannot Invoke Immunity </w:t>
      </w:r>
      <w:r w:rsidR="004D33CE">
        <w:t>f</w:t>
      </w:r>
      <w:r w:rsidR="004D33CE" w:rsidRPr="00FD3A26">
        <w:t>or</w:t>
      </w:r>
      <w:r w:rsidR="004D33CE">
        <w:t xml:space="preserve"> </w:t>
      </w:r>
      <w:r w:rsidR="004D33CE" w:rsidRPr="00FD3A26">
        <w:t>Territorial Torts</w:t>
      </w:r>
      <w:bookmarkEnd w:id="39"/>
    </w:p>
    <w:p w14:paraId="7700E4D4" w14:textId="3953BC9B" w:rsidR="00665CB4" w:rsidRPr="00BD3BB2" w:rsidRDefault="00E22EF8" w:rsidP="00D257A1">
      <w:pPr>
        <w:pStyle w:val="ListParagraph"/>
      </w:pPr>
      <w:r>
        <w:t xml:space="preserve">Finally, NEXCA is not immune because </w:t>
      </w:r>
      <w:r w:rsidR="0060059C">
        <w:t>it committed a t</w:t>
      </w:r>
      <w:r w:rsidR="003E497F">
        <w:t>ort in Restovia</w:t>
      </w:r>
      <w:r w:rsidR="00BD43E4">
        <w:t>.</w:t>
      </w:r>
      <w:r w:rsidR="00890FA4">
        <w:t xml:space="preserve"> First,</w:t>
      </w:r>
      <w:r w:rsidR="00BD43E4">
        <w:t xml:space="preserve"> </w:t>
      </w:r>
      <w:r w:rsidR="00890FA4">
        <w:t>i</w:t>
      </w:r>
      <w:r w:rsidR="00BD43E4">
        <w:t xml:space="preserve">nternational law permits Restovia to recognize the territorial tort exception </w:t>
      </w:r>
      <w:r w:rsidR="008F49A6">
        <w:t>[</w:t>
      </w:r>
      <w:proofErr w:type="spellStart"/>
      <w:r w:rsidR="00665CB4">
        <w:t>i</w:t>
      </w:r>
      <w:proofErr w:type="spellEnd"/>
      <w:r w:rsidR="008F49A6">
        <w:t>]</w:t>
      </w:r>
      <w:r w:rsidR="00665CB4">
        <w:t>.</w:t>
      </w:r>
      <w:r w:rsidR="008F49A6">
        <w:t xml:space="preserve"> Second, </w:t>
      </w:r>
      <w:r w:rsidR="004330A7">
        <w:t>NEXCA committed a territorial tort</w:t>
      </w:r>
      <w:r w:rsidR="006771FA">
        <w:t xml:space="preserve"> [ii].</w:t>
      </w:r>
    </w:p>
    <w:p w14:paraId="73498A08" w14:textId="67C988F2" w:rsidR="00027AF1" w:rsidRPr="004D33CE" w:rsidRDefault="00322679" w:rsidP="00EF7AEA">
      <w:pPr>
        <w:pStyle w:val="Heading4"/>
        <w:keepNext/>
        <w:numPr>
          <w:ilvl w:val="0"/>
          <w:numId w:val="35"/>
        </w:numPr>
        <w:spacing w:after="160" w:line="240" w:lineRule="auto"/>
        <w:rPr>
          <w:i w:val="0"/>
          <w:iCs w:val="0"/>
        </w:rPr>
      </w:pPr>
      <w:r>
        <w:t xml:space="preserve">Restovia is Entitled to Recognize the Territorial Tort Exception </w:t>
      </w:r>
      <w:r w:rsidR="004D33CE" w:rsidRPr="00CE2494">
        <w:t xml:space="preserve"> </w:t>
      </w:r>
    </w:p>
    <w:p w14:paraId="7FF2C060" w14:textId="3CD86879" w:rsidR="00774442" w:rsidRDefault="00027AF1" w:rsidP="00CA4891">
      <w:pPr>
        <w:pStyle w:val="ListParagraph"/>
      </w:pPr>
      <w:r>
        <w:t xml:space="preserve">Restovia is entitled to recognize an exception to State immunity for actions which amount to a tort in </w:t>
      </w:r>
      <w:r w:rsidR="00D171B4">
        <w:t>its</w:t>
      </w:r>
      <w:r>
        <w:t xml:space="preserve"> territory. Widespread </w:t>
      </w:r>
      <w:r w:rsidR="002D3D6F">
        <w:t>S</w:t>
      </w:r>
      <w:r>
        <w:t>tate practice</w:t>
      </w:r>
      <w:r>
        <w:rPr>
          <w:rStyle w:val="FootnoteReference"/>
        </w:rPr>
        <w:footnoteReference w:id="162"/>
      </w:r>
      <w:r>
        <w:t xml:space="preserve"> recognizes </w:t>
      </w:r>
      <w:r w:rsidR="000C3D38">
        <w:t>in some form t</w:t>
      </w:r>
      <w:r>
        <w:t xml:space="preserve">hat a “State cannot </w:t>
      </w:r>
      <w:r>
        <w:lastRenderedPageBreak/>
        <w:t>invoke immunity from jurisdiction before a court of another State …in a proceeding which relates to pecuniary compensation for death or injury to the person”.</w:t>
      </w:r>
      <w:r>
        <w:rPr>
          <w:rStyle w:val="FootnoteReference"/>
        </w:rPr>
        <w:footnoteReference w:id="163"/>
      </w:r>
      <w:r>
        <w:t xml:space="preserve"> The following countries have enacted </w:t>
      </w:r>
      <w:r w:rsidR="002D3D6F">
        <w:t>S</w:t>
      </w:r>
      <w:r>
        <w:t>tate immunity legislation which incorporates this exception: Canada</w:t>
      </w:r>
      <w:r>
        <w:rPr>
          <w:rStyle w:val="FootnoteReference"/>
        </w:rPr>
        <w:footnoteReference w:id="164"/>
      </w:r>
      <w:r>
        <w:t>, the United States</w:t>
      </w:r>
      <w:r>
        <w:rPr>
          <w:rStyle w:val="FootnoteReference"/>
        </w:rPr>
        <w:footnoteReference w:id="165"/>
      </w:r>
      <w:r>
        <w:t>, the United Kingdom</w:t>
      </w:r>
      <w:r>
        <w:rPr>
          <w:rStyle w:val="FootnoteReference"/>
        </w:rPr>
        <w:footnoteReference w:id="166"/>
      </w:r>
      <w:r>
        <w:t>, Australia</w:t>
      </w:r>
      <w:r>
        <w:rPr>
          <w:rStyle w:val="FootnoteReference"/>
        </w:rPr>
        <w:footnoteReference w:id="167"/>
      </w:r>
      <w:r>
        <w:t>, Singapore</w:t>
      </w:r>
      <w:r>
        <w:rPr>
          <w:rStyle w:val="FootnoteReference"/>
        </w:rPr>
        <w:footnoteReference w:id="168"/>
      </w:r>
      <w:r>
        <w:t>, Japan</w:t>
      </w:r>
      <w:r>
        <w:rPr>
          <w:rStyle w:val="FootnoteReference"/>
        </w:rPr>
        <w:footnoteReference w:id="169"/>
      </w:r>
      <w:r>
        <w:t>, Israel</w:t>
      </w:r>
      <w:r>
        <w:rPr>
          <w:rStyle w:val="FootnoteReference"/>
        </w:rPr>
        <w:footnoteReference w:id="170"/>
      </w:r>
      <w:r>
        <w:t>, China</w:t>
      </w:r>
      <w:r>
        <w:rPr>
          <w:rStyle w:val="FootnoteReference"/>
        </w:rPr>
        <w:footnoteReference w:id="171"/>
      </w:r>
      <w:r>
        <w:t>, Russia</w:t>
      </w:r>
      <w:r>
        <w:rPr>
          <w:rStyle w:val="FootnoteReference"/>
        </w:rPr>
        <w:footnoteReference w:id="172"/>
      </w:r>
      <w:r>
        <w:t>, Malaysia</w:t>
      </w:r>
      <w:r>
        <w:rPr>
          <w:rStyle w:val="FootnoteReference"/>
        </w:rPr>
        <w:footnoteReference w:id="173"/>
      </w:r>
      <w:r>
        <w:t xml:space="preserve">, </w:t>
      </w:r>
      <w:r w:rsidR="009F259E">
        <w:t xml:space="preserve">and </w:t>
      </w:r>
      <w:r>
        <w:t>South Africa</w:t>
      </w:r>
      <w:r>
        <w:rPr>
          <w:rStyle w:val="FootnoteReference"/>
        </w:rPr>
        <w:footnoteReference w:id="174"/>
      </w:r>
      <w:r>
        <w:t xml:space="preserve">. </w:t>
      </w:r>
      <w:r w:rsidR="0081403E" w:rsidRPr="0081403E">
        <w:t xml:space="preserve">States where immunity litigation takes place are </w:t>
      </w:r>
      <w:r w:rsidR="0081403E">
        <w:t xml:space="preserve">therefore </w:t>
      </w:r>
      <w:r w:rsidR="0081403E" w:rsidRPr="0081403E">
        <w:t>specially affected and particularly relevant to the formation of custom</w:t>
      </w:r>
      <w:r w:rsidR="0084107C">
        <w:t>.</w:t>
      </w:r>
      <w:r w:rsidR="0084107C">
        <w:rPr>
          <w:rStyle w:val="FootnoteReference"/>
        </w:rPr>
        <w:footnoteReference w:id="175"/>
      </w:r>
      <w:r w:rsidR="00CA4891">
        <w:t xml:space="preserve"> </w:t>
      </w:r>
      <w:r w:rsidR="000C4597">
        <w:t>T</w:t>
      </w:r>
      <w:r w:rsidR="00353139">
        <w:t xml:space="preserve">he territorial tort </w:t>
      </w:r>
      <w:r w:rsidR="00505741">
        <w:t xml:space="preserve">also </w:t>
      </w:r>
      <w:r w:rsidR="00E96A23">
        <w:t xml:space="preserve">applies </w:t>
      </w:r>
      <w:r w:rsidR="00FF2561">
        <w:t xml:space="preserve">regardless of </w:t>
      </w:r>
      <w:r w:rsidR="00D46286">
        <w:t xml:space="preserve">the party’s </w:t>
      </w:r>
      <w:r w:rsidR="00FF2561">
        <w:t>acts being sovereign or commercial in nature.</w:t>
      </w:r>
      <w:r w:rsidR="00FF2561">
        <w:rPr>
          <w:rStyle w:val="FootnoteReference"/>
        </w:rPr>
        <w:footnoteReference w:id="176"/>
      </w:r>
    </w:p>
    <w:p w14:paraId="71056624" w14:textId="629750D3" w:rsidR="00CA4891" w:rsidRDefault="00027AF1" w:rsidP="00CA4891">
      <w:pPr>
        <w:pStyle w:val="ListParagraph"/>
      </w:pPr>
      <w:r>
        <w:t>This State practice is supported by the decisions of courts and the fact that</w:t>
      </w:r>
      <w:r w:rsidR="0014473E">
        <w:t xml:space="preserve"> 25 </w:t>
      </w:r>
      <w:r>
        <w:t xml:space="preserve">States have ratified the UNCJISP, which </w:t>
      </w:r>
      <w:r w:rsidR="00876E87">
        <w:t>codifies</w:t>
      </w:r>
      <w:r>
        <w:t xml:space="preserve"> the</w:t>
      </w:r>
      <w:r w:rsidR="00876E87">
        <w:t xml:space="preserve"> customary</w:t>
      </w:r>
      <w:r>
        <w:t xml:space="preserve"> territorial tort exception to immunity in Article 12.</w:t>
      </w:r>
      <w:r>
        <w:rPr>
          <w:rStyle w:val="FootnoteReference"/>
        </w:rPr>
        <w:footnoteReference w:id="177"/>
      </w:r>
      <w:r>
        <w:t xml:space="preserve"> The </w:t>
      </w:r>
      <w:r w:rsidRPr="001F6900">
        <w:t>European Convention on State Immunity</w:t>
      </w:r>
      <w:r>
        <w:rPr>
          <w:rStyle w:val="FootnoteReference"/>
        </w:rPr>
        <w:footnoteReference w:id="178"/>
      </w:r>
      <w:r>
        <w:t xml:space="preserve"> and the Inter-American Draft Convention </w:t>
      </w:r>
      <w:r>
        <w:lastRenderedPageBreak/>
        <w:t>of Jurisdictional Immunity of States also include the territorial tort exception.</w:t>
      </w:r>
      <w:r>
        <w:rPr>
          <w:rStyle w:val="FootnoteReference"/>
        </w:rPr>
        <w:footnoteReference w:id="179"/>
      </w:r>
      <w:r>
        <w:t xml:space="preserve"> This customary rule is confirmed by the reports of</w:t>
      </w:r>
      <w:r w:rsidR="007D2589">
        <w:t xml:space="preserve"> the ILC</w:t>
      </w:r>
      <w:r>
        <w:rPr>
          <w:rStyle w:val="FootnoteReference"/>
        </w:rPr>
        <w:footnoteReference w:id="180"/>
      </w:r>
      <w:r w:rsidR="008426D4">
        <w:t xml:space="preserve"> </w:t>
      </w:r>
      <w:r>
        <w:t xml:space="preserve">and </w:t>
      </w:r>
      <w:r w:rsidR="00E36346">
        <w:t>by</w:t>
      </w:r>
      <w:r>
        <w:t xml:space="preserve"> legal scholars</w:t>
      </w:r>
      <w:r w:rsidR="00FB69F0">
        <w:t>hip</w:t>
      </w:r>
      <w:r>
        <w:t>.</w:t>
      </w:r>
      <w:r>
        <w:rPr>
          <w:rStyle w:val="FootnoteReference"/>
        </w:rPr>
        <w:footnoteReference w:id="181"/>
      </w:r>
      <w:r w:rsidR="00E44805">
        <w:t xml:space="preserve"> This Court has also </w:t>
      </w:r>
      <w:r w:rsidR="00D604AC">
        <w:t>recognized</w:t>
      </w:r>
      <w:r w:rsidR="00E44805">
        <w:t xml:space="preserve"> the </w:t>
      </w:r>
      <w:r w:rsidR="0015359A">
        <w:t xml:space="preserve">rule’s deep roots and substantial practice, supporting the </w:t>
      </w:r>
      <w:r w:rsidR="00D604AC">
        <w:t>crystallization of the custom.</w:t>
      </w:r>
      <w:r w:rsidR="00D604AC">
        <w:rPr>
          <w:rStyle w:val="FootnoteReference"/>
        </w:rPr>
        <w:footnoteReference w:id="182"/>
      </w:r>
      <w:r>
        <w:t xml:space="preserve">  </w:t>
      </w:r>
    </w:p>
    <w:p w14:paraId="03258569" w14:textId="727D753F" w:rsidR="00027AF1" w:rsidRPr="00CE2494" w:rsidRDefault="00540B9D" w:rsidP="00EF7AEA">
      <w:pPr>
        <w:pStyle w:val="Heading4"/>
        <w:keepNext/>
        <w:numPr>
          <w:ilvl w:val="0"/>
          <w:numId w:val="35"/>
        </w:numPr>
        <w:spacing w:after="160" w:line="240" w:lineRule="auto"/>
        <w:ind w:left="1771" w:hanging="691"/>
        <w:rPr>
          <w:i w:val="0"/>
          <w:iCs w:val="0"/>
        </w:rPr>
      </w:pPr>
      <w:r>
        <w:t xml:space="preserve">NEXCA Committed a </w:t>
      </w:r>
      <w:r w:rsidR="004D33CE" w:rsidRPr="00CE2494">
        <w:t xml:space="preserve">Territorial Tort </w:t>
      </w:r>
      <w:r>
        <w:t xml:space="preserve">in Restovia </w:t>
      </w:r>
    </w:p>
    <w:p w14:paraId="650A0466" w14:textId="5B923996" w:rsidR="00665CB4" w:rsidRDefault="00027AF1" w:rsidP="00570D6D">
      <w:pPr>
        <w:pStyle w:val="ListParagraph"/>
      </w:pPr>
      <w:r>
        <w:t>The territorial tort exception applies to the present dispute. NEXCA’s tortious act</w:t>
      </w:r>
      <w:r w:rsidR="001E4EC7">
        <w:t xml:space="preserve"> – the negligent operation of the SARV – occurred wholly</w:t>
      </w:r>
      <w:r w:rsidR="009854A1">
        <w:t xml:space="preserve"> i</w:t>
      </w:r>
      <w:r w:rsidR="001E4EC7">
        <w:t>n</w:t>
      </w:r>
      <w:r w:rsidR="009854A1">
        <w:t>,</w:t>
      </w:r>
      <w:r w:rsidR="001E4EC7">
        <w:t xml:space="preserve"> and caused injury within</w:t>
      </w:r>
      <w:r w:rsidR="009854A1">
        <w:t>,</w:t>
      </w:r>
      <w:r w:rsidR="001E4EC7">
        <w:t xml:space="preserve"> Restovia.</w:t>
      </w:r>
      <w:r w:rsidR="00FF2561">
        <w:t xml:space="preserve"> </w:t>
      </w:r>
      <w:r w:rsidR="001E4EC7">
        <w:t>Thus, both the place of the act and the place of the harm</w:t>
      </w:r>
      <w:r w:rsidR="000627B8">
        <w:t xml:space="preserve"> </w:t>
      </w:r>
      <w:r w:rsidR="004A5DC9">
        <w:t>are</w:t>
      </w:r>
      <w:r w:rsidR="000627B8">
        <w:t xml:space="preserve"> Restovia</w:t>
      </w:r>
      <w:r w:rsidR="001E4EC7">
        <w:t xml:space="preserve"> </w:t>
      </w:r>
      <w:r w:rsidR="004168C0">
        <w:t xml:space="preserve">– either of which is individually sufficient </w:t>
      </w:r>
      <w:r w:rsidR="000627B8">
        <w:t xml:space="preserve">to </w:t>
      </w:r>
      <w:r w:rsidR="004168C0">
        <w:t xml:space="preserve">trigger the exception. </w:t>
      </w:r>
      <w:r w:rsidR="00FF2561">
        <w:t xml:space="preserve">This exception would apply even if </w:t>
      </w:r>
      <w:r w:rsidR="00C9453D">
        <w:t>NEXCA’s acts were characterized as sovereign.</w:t>
      </w:r>
      <w:r w:rsidR="00C9453D">
        <w:rPr>
          <w:rStyle w:val="FootnoteReference"/>
        </w:rPr>
        <w:footnoteReference w:id="183"/>
      </w:r>
    </w:p>
    <w:p w14:paraId="4E5EABC4" w14:textId="6AAAE386" w:rsidR="00820132" w:rsidRPr="004D33CE" w:rsidRDefault="004168C0" w:rsidP="00395591">
      <w:pPr>
        <w:pStyle w:val="ListParagraph"/>
        <w:rPr>
          <w:rFonts w:cs="Times New Roman"/>
          <w:b/>
          <w:smallCaps/>
          <w:kern w:val="28"/>
        </w:rPr>
      </w:pPr>
      <w:r>
        <w:t xml:space="preserve">Since the act and injury occurred in Restovia, the remote support function performed in </w:t>
      </w:r>
      <w:r w:rsidR="002920AE">
        <w:t xml:space="preserve">Alekostria </w:t>
      </w:r>
      <w:r w:rsidR="009D79FC">
        <w:t>is</w:t>
      </w:r>
      <w:r w:rsidR="002920AE">
        <w:t xml:space="preserve"> irrelevant. Physical presence in the</w:t>
      </w:r>
      <w:r w:rsidR="007F0731">
        <w:t xml:space="preserve"> territory is </w:t>
      </w:r>
      <w:r w:rsidR="00E11BC6">
        <w:t>not required – a sufficient causal link between the territorial tort and the tortfeasor abroad suffices</w:t>
      </w:r>
      <w:r w:rsidR="00027AF1">
        <w:t>.</w:t>
      </w:r>
      <w:r w:rsidR="00027AF1">
        <w:rPr>
          <w:rStyle w:val="FootnoteReference"/>
        </w:rPr>
        <w:footnoteReference w:id="184"/>
      </w:r>
      <w:r w:rsidR="00027AF1">
        <w:t xml:space="preserve"> As the ILSA report indicates, the negligence which occurred within NEXCA’s headquarters directly influenced the SARV’s operation and caused the death of Mr. Montoya.</w:t>
      </w:r>
      <w:r w:rsidR="00027AF1">
        <w:rPr>
          <w:rStyle w:val="FootnoteReference"/>
        </w:rPr>
        <w:footnoteReference w:id="185"/>
      </w:r>
      <w:r w:rsidR="0016065B">
        <w:t xml:space="preserve"> Even if the presence were required, it is met because the tortfeasor – NEXCA – was </w:t>
      </w:r>
      <w:r w:rsidR="00BA2265">
        <w:t xml:space="preserve">present </w:t>
      </w:r>
      <w:r w:rsidR="0016065B">
        <w:t xml:space="preserve">by operating the SARV </w:t>
      </w:r>
      <w:r w:rsidR="00DB01AA">
        <w:t>at the Gordion Gorge</w:t>
      </w:r>
      <w:r w:rsidR="00BA2265">
        <w:t xml:space="preserve"> in Restovia</w:t>
      </w:r>
      <w:r w:rsidR="00DB01AA">
        <w:t>.</w:t>
      </w:r>
      <w:r w:rsidR="00DB01AA">
        <w:rPr>
          <w:rStyle w:val="FootnoteReference"/>
        </w:rPr>
        <w:footnoteReference w:id="186"/>
      </w:r>
      <w:r w:rsidR="00DB01AA">
        <w:t xml:space="preserve"> </w:t>
      </w:r>
      <w:r w:rsidR="00820132">
        <w:br w:type="page"/>
      </w:r>
    </w:p>
    <w:p w14:paraId="5FF60644" w14:textId="35A75E22" w:rsidR="00711C31" w:rsidRPr="00802F98" w:rsidRDefault="00945696" w:rsidP="00802F98">
      <w:pPr>
        <w:pStyle w:val="Title"/>
        <w:spacing w:after="0" w:line="480" w:lineRule="auto"/>
        <w:rPr>
          <w:rFonts w:ascii="Times New Roman Bold" w:hAnsi="Times New Roman Bold"/>
          <w:caps/>
          <w:smallCaps w:val="0"/>
        </w:rPr>
      </w:pPr>
      <w:bookmarkStart w:id="41" w:name="_Toc219103245"/>
      <w:r w:rsidRPr="00802F98">
        <w:rPr>
          <w:rFonts w:ascii="Times New Roman Bold" w:hAnsi="Times New Roman Bold"/>
          <w:caps/>
          <w:smallCaps w:val="0"/>
        </w:rPr>
        <w:lastRenderedPageBreak/>
        <w:t>PRAYER FOR RELIEF</w:t>
      </w:r>
      <w:bookmarkEnd w:id="41"/>
    </w:p>
    <w:p w14:paraId="40B4024F" w14:textId="79420C6F" w:rsidR="00711C31" w:rsidRDefault="00802F98" w:rsidP="00802F98">
      <w:pPr>
        <w:ind w:left="-11"/>
        <w:jc w:val="both"/>
      </w:pPr>
      <w:r>
        <w:tab/>
      </w:r>
      <w:r>
        <w:tab/>
      </w:r>
      <w:r w:rsidR="00711C31">
        <w:t xml:space="preserve">For the foregoing reasons, </w:t>
      </w:r>
      <w:r w:rsidR="0083402E">
        <w:t xml:space="preserve">the </w:t>
      </w:r>
      <w:r w:rsidR="0083402E">
        <w:rPr>
          <w:rFonts w:cs="Times New Roman"/>
          <w:kern w:val="0"/>
          <w:lang w:val="en-US"/>
        </w:rPr>
        <w:t xml:space="preserve">Republic of Restovia </w:t>
      </w:r>
      <w:r w:rsidR="00711C31">
        <w:t>respectfully requests this Cour</w:t>
      </w:r>
      <w:r w:rsidR="00556AF5">
        <w:t>t</w:t>
      </w:r>
      <w:r w:rsidR="00711C31">
        <w:t xml:space="preserve"> find, adjudge, and declare that:</w:t>
      </w:r>
    </w:p>
    <w:p w14:paraId="4FF1ABD2" w14:textId="055966A4" w:rsidR="00711C31" w:rsidRDefault="00711C31" w:rsidP="00802F98">
      <w:pPr>
        <w:spacing w:line="240" w:lineRule="auto"/>
        <w:ind w:left="-14"/>
        <w:jc w:val="center"/>
        <w:rPr>
          <w:b/>
          <w:bCs/>
        </w:rPr>
      </w:pPr>
      <w:r>
        <w:rPr>
          <w:b/>
          <w:bCs/>
        </w:rPr>
        <w:t>I</w:t>
      </w:r>
    </w:p>
    <w:p w14:paraId="4FB0D417" w14:textId="4726E075" w:rsidR="00711C31" w:rsidRDefault="00802F98" w:rsidP="00802F98">
      <w:pPr>
        <w:spacing w:after="0"/>
        <w:ind w:left="-14"/>
        <w:jc w:val="both"/>
        <w:rPr>
          <w:rFonts w:cs="Times New Roman"/>
          <w:kern w:val="0"/>
          <w:lang w:val="en-US"/>
        </w:rPr>
      </w:pPr>
      <w:r>
        <w:rPr>
          <w:rFonts w:cs="Times New Roman"/>
          <w:kern w:val="0"/>
          <w:lang w:val="en-US"/>
        </w:rPr>
        <w:tab/>
      </w:r>
      <w:r>
        <w:rPr>
          <w:rFonts w:cs="Times New Roman"/>
          <w:kern w:val="0"/>
          <w:lang w:val="en-US"/>
        </w:rPr>
        <w:tab/>
      </w:r>
      <w:r w:rsidR="0083402E">
        <w:rPr>
          <w:rFonts w:cs="Times New Roman"/>
          <w:kern w:val="0"/>
          <w:lang w:val="en-US"/>
        </w:rPr>
        <w:t xml:space="preserve">Sollania </w:t>
      </w:r>
      <w:r>
        <w:rPr>
          <w:rFonts w:cs="Times New Roman"/>
          <w:kern w:val="0"/>
          <w:lang w:val="en-US"/>
        </w:rPr>
        <w:t xml:space="preserve">cannot </w:t>
      </w:r>
      <w:r w:rsidR="0083402E">
        <w:rPr>
          <w:rFonts w:cs="Times New Roman"/>
          <w:kern w:val="0"/>
          <w:lang w:val="en-US"/>
        </w:rPr>
        <w:t>intervene in these proceedings as a non-party</w:t>
      </w:r>
      <w:r>
        <w:rPr>
          <w:rFonts w:cs="Times New Roman"/>
          <w:kern w:val="0"/>
          <w:lang w:val="en-US"/>
        </w:rPr>
        <w:t xml:space="preserve"> pursuant to Article 62 of this Court’s </w:t>
      </w:r>
      <w:proofErr w:type="gramStart"/>
      <w:r>
        <w:rPr>
          <w:rFonts w:cs="Times New Roman"/>
          <w:kern w:val="0"/>
          <w:lang w:val="en-US"/>
        </w:rPr>
        <w:t>Statute</w:t>
      </w:r>
      <w:r w:rsidR="0083402E">
        <w:rPr>
          <w:rFonts w:cs="Times New Roman"/>
          <w:kern w:val="0"/>
          <w:lang w:val="en-US"/>
        </w:rPr>
        <w:t>;</w:t>
      </w:r>
      <w:proofErr w:type="gramEnd"/>
    </w:p>
    <w:p w14:paraId="468E5EA5" w14:textId="77777777" w:rsidR="00802F98" w:rsidRDefault="00802F98" w:rsidP="00802F98">
      <w:pPr>
        <w:spacing w:after="0"/>
        <w:ind w:left="-14"/>
        <w:jc w:val="center"/>
      </w:pPr>
    </w:p>
    <w:p w14:paraId="363DCA1F" w14:textId="71679C8C" w:rsidR="00711C31" w:rsidRDefault="00711C31" w:rsidP="00802F98">
      <w:pPr>
        <w:spacing w:line="240" w:lineRule="auto"/>
        <w:ind w:left="-14"/>
        <w:jc w:val="center"/>
        <w:rPr>
          <w:b/>
          <w:bCs/>
        </w:rPr>
      </w:pPr>
      <w:r>
        <w:rPr>
          <w:b/>
          <w:bCs/>
        </w:rPr>
        <w:t>II</w:t>
      </w:r>
    </w:p>
    <w:p w14:paraId="6D48ECE7" w14:textId="1A8D8E02" w:rsidR="00711C31" w:rsidRDefault="00802F98" w:rsidP="00802F98">
      <w:pPr>
        <w:spacing w:after="0"/>
        <w:ind w:left="-14"/>
        <w:jc w:val="both"/>
        <w:rPr>
          <w:lang w:val="en-US"/>
        </w:rPr>
      </w:pPr>
      <w:r>
        <w:rPr>
          <w:lang w:val="en-US"/>
        </w:rPr>
        <w:tab/>
      </w:r>
      <w:r>
        <w:rPr>
          <w:lang w:val="en-US"/>
        </w:rPr>
        <w:tab/>
      </w:r>
      <w:r w:rsidR="0083402E" w:rsidRPr="0083402E">
        <w:rPr>
          <w:lang w:val="en-US"/>
        </w:rPr>
        <w:t>Restovia did not breach any treaty or customary international law obligation</w:t>
      </w:r>
      <w:r>
        <w:rPr>
          <w:lang w:val="en-US"/>
        </w:rPr>
        <w:t xml:space="preserve"> </w:t>
      </w:r>
      <w:r w:rsidR="0083402E" w:rsidRPr="0083402E">
        <w:rPr>
          <w:lang w:val="en-US"/>
        </w:rPr>
        <w:t>related to consultation or free, prior, and informed consent in conducting its proposed</w:t>
      </w:r>
      <w:r>
        <w:rPr>
          <w:lang w:val="en-US"/>
        </w:rPr>
        <w:t xml:space="preserve"> </w:t>
      </w:r>
      <w:r w:rsidR="0083402E" w:rsidRPr="0083402E">
        <w:rPr>
          <w:lang w:val="en-US"/>
        </w:rPr>
        <w:t xml:space="preserve">development of the Gordian </w:t>
      </w:r>
      <w:proofErr w:type="gramStart"/>
      <w:r w:rsidR="0083402E" w:rsidRPr="0083402E">
        <w:rPr>
          <w:lang w:val="en-US"/>
        </w:rPr>
        <w:t>Gorge</w:t>
      </w:r>
      <w:r w:rsidR="0083402E">
        <w:rPr>
          <w:lang w:val="en-US"/>
        </w:rPr>
        <w:t>;</w:t>
      </w:r>
      <w:proofErr w:type="gramEnd"/>
    </w:p>
    <w:p w14:paraId="573552EF" w14:textId="77777777" w:rsidR="00802F98" w:rsidRDefault="00802F98" w:rsidP="00802F98">
      <w:pPr>
        <w:spacing w:after="0"/>
        <w:ind w:left="-14"/>
        <w:jc w:val="center"/>
      </w:pPr>
    </w:p>
    <w:p w14:paraId="670B2392" w14:textId="02655372" w:rsidR="00711C31" w:rsidRDefault="00711C31" w:rsidP="00802F98">
      <w:pPr>
        <w:spacing w:line="240" w:lineRule="auto"/>
        <w:ind w:left="-14"/>
        <w:jc w:val="center"/>
        <w:rPr>
          <w:b/>
          <w:bCs/>
        </w:rPr>
      </w:pPr>
      <w:r>
        <w:rPr>
          <w:b/>
          <w:bCs/>
        </w:rPr>
        <w:t>III</w:t>
      </w:r>
    </w:p>
    <w:p w14:paraId="2E51E999" w14:textId="3DD9BA30" w:rsidR="0083402E" w:rsidRDefault="00802F98" w:rsidP="00802F98">
      <w:pPr>
        <w:spacing w:after="0"/>
        <w:ind w:left="-14"/>
        <w:jc w:val="both"/>
        <w:rPr>
          <w:lang w:val="en-US"/>
        </w:rPr>
      </w:pPr>
      <w:r>
        <w:rPr>
          <w:lang w:val="en-US"/>
        </w:rPr>
        <w:tab/>
      </w:r>
      <w:r>
        <w:rPr>
          <w:lang w:val="en-US"/>
        </w:rPr>
        <w:tab/>
      </w:r>
      <w:r w:rsidR="0083402E" w:rsidRPr="0083402E">
        <w:rPr>
          <w:lang w:val="en-US"/>
        </w:rPr>
        <w:t>Alekostria violated the Extradition Treaty when it refused to surrender Ms.</w:t>
      </w:r>
      <w:r>
        <w:rPr>
          <w:lang w:val="en-US"/>
        </w:rPr>
        <w:t xml:space="preserve"> </w:t>
      </w:r>
      <w:r w:rsidR="0083402E" w:rsidRPr="0083402E">
        <w:rPr>
          <w:lang w:val="en-US"/>
        </w:rPr>
        <w:t xml:space="preserve">Scott, as </w:t>
      </w:r>
      <w:r w:rsidR="0083402E" w:rsidRPr="0083402E">
        <w:rPr>
          <w:i/>
          <w:iCs/>
          <w:lang w:val="en-US"/>
        </w:rPr>
        <w:t>ne bis in idem</w:t>
      </w:r>
      <w:r w:rsidR="0083402E" w:rsidRPr="0083402E">
        <w:rPr>
          <w:lang w:val="en-US"/>
        </w:rPr>
        <w:t xml:space="preserve"> is not a general principle of law, and in any event would not be</w:t>
      </w:r>
      <w:r>
        <w:rPr>
          <w:lang w:val="en-US"/>
        </w:rPr>
        <w:t xml:space="preserve"> </w:t>
      </w:r>
      <w:r w:rsidR="0083402E" w:rsidRPr="0083402E">
        <w:rPr>
          <w:lang w:val="en-US"/>
        </w:rPr>
        <w:t>violated by her trial in Restovia;</w:t>
      </w:r>
      <w:r>
        <w:rPr>
          <w:lang w:val="en-US"/>
        </w:rPr>
        <w:t xml:space="preserve"> and</w:t>
      </w:r>
    </w:p>
    <w:p w14:paraId="3BEFD2FB" w14:textId="77777777" w:rsidR="00802F98" w:rsidRDefault="00802F98" w:rsidP="00802F98">
      <w:pPr>
        <w:spacing w:after="0"/>
        <w:ind w:left="-14"/>
        <w:jc w:val="center"/>
        <w:rPr>
          <w:lang w:val="en-US"/>
        </w:rPr>
      </w:pPr>
    </w:p>
    <w:p w14:paraId="3190E253" w14:textId="486D909E" w:rsidR="00711C31" w:rsidRDefault="00711C31" w:rsidP="00802F98">
      <w:pPr>
        <w:spacing w:line="240" w:lineRule="auto"/>
        <w:ind w:left="-14"/>
        <w:jc w:val="center"/>
        <w:rPr>
          <w:b/>
          <w:bCs/>
        </w:rPr>
      </w:pPr>
      <w:r>
        <w:rPr>
          <w:b/>
          <w:bCs/>
        </w:rPr>
        <w:t>IV</w:t>
      </w:r>
    </w:p>
    <w:p w14:paraId="17C283C9" w14:textId="33124741" w:rsidR="0083402E" w:rsidRDefault="00802F98" w:rsidP="00802F98">
      <w:pPr>
        <w:spacing w:after="0"/>
        <w:ind w:left="-14"/>
        <w:jc w:val="both"/>
      </w:pPr>
      <w:r>
        <w:tab/>
      </w:r>
      <w:r>
        <w:tab/>
      </w:r>
      <w:r w:rsidR="0083402E">
        <w:t xml:space="preserve">Restovia did not violate international law when it refused to grant </w:t>
      </w:r>
      <w:r w:rsidR="002D3D6F">
        <w:t>S</w:t>
      </w:r>
      <w:r w:rsidR="0083402E">
        <w:t>tate</w:t>
      </w:r>
      <w:r>
        <w:t xml:space="preserve"> </w:t>
      </w:r>
      <w:r w:rsidR="0083402E">
        <w:t>immunity to NEXCA in the wrongful death suit filed by the estate of Mr. Montoya.</w:t>
      </w:r>
    </w:p>
    <w:p w14:paraId="0F11DED6" w14:textId="77777777" w:rsidR="0083402E" w:rsidRDefault="0083402E" w:rsidP="0083402E">
      <w:pPr>
        <w:ind w:left="-11"/>
        <w:jc w:val="center"/>
      </w:pPr>
    </w:p>
    <w:p w14:paraId="45FA46BC" w14:textId="3754E909" w:rsidR="0083402E" w:rsidRPr="00711C31" w:rsidRDefault="0083402E" w:rsidP="0083402E">
      <w:pPr>
        <w:ind w:left="-11"/>
      </w:pPr>
    </w:p>
    <w:sectPr w:rsidR="0083402E" w:rsidRPr="00711C31" w:rsidSect="00B664AC">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5F03" w14:textId="77777777" w:rsidR="00BB683D" w:rsidRDefault="00BB683D" w:rsidP="002C35B7">
      <w:pPr>
        <w:spacing w:after="0" w:line="240" w:lineRule="auto"/>
      </w:pPr>
      <w:r>
        <w:separator/>
      </w:r>
    </w:p>
  </w:endnote>
  <w:endnote w:type="continuationSeparator" w:id="0">
    <w:p w14:paraId="1F0EA0A7" w14:textId="77777777" w:rsidR="00BB683D" w:rsidRDefault="00BB683D" w:rsidP="002C35B7">
      <w:pPr>
        <w:spacing w:after="0" w:line="240" w:lineRule="auto"/>
      </w:pPr>
      <w:r>
        <w:continuationSeparator/>
      </w:r>
    </w:p>
  </w:endnote>
  <w:endnote w:type="continuationNotice" w:id="1">
    <w:p w14:paraId="1FBF51F6" w14:textId="77777777" w:rsidR="00BB683D" w:rsidRDefault="00BB6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0"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ings Caslon Display Typo">
    <w:altName w:val="Corbel"/>
    <w:panose1 w:val="020B0604020202020204"/>
    <w:charset w:val="00"/>
    <w:family w:val="auto"/>
    <w:pitch w:val="variable"/>
    <w:sig w:usb0="00000001" w:usb1="5000205B" w:usb2="00000000" w:usb3="00000000" w:csb0="0000009B" w:csb1="00000000"/>
  </w:font>
  <w:font w:name="Calibri">
    <w:altName w:val="Calibri"/>
    <w:panose1 w:val="020F0502020204030204"/>
    <w:charset w:val="00"/>
    <w:family w:val="swiss"/>
    <w:pitch w:val="variable"/>
    <w:sig w:usb0="E4002EFF" w:usb1="C2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969877"/>
      <w:docPartObj>
        <w:docPartGallery w:val="Page Numbers (Bottom of Page)"/>
        <w:docPartUnique/>
      </w:docPartObj>
    </w:sdtPr>
    <w:sdtEndPr>
      <w:rPr>
        <w:rStyle w:val="PageNumber"/>
      </w:rPr>
    </w:sdtEndPr>
    <w:sdtContent>
      <w:p w14:paraId="6F1CA410" w14:textId="74F038ED" w:rsidR="00B664AC" w:rsidRDefault="00B664AC" w:rsidP="00620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625FA5" w14:textId="77777777" w:rsidR="00B664AC" w:rsidRDefault="00B664AC" w:rsidP="00B66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76434"/>
      <w:docPartObj>
        <w:docPartGallery w:val="Page Numbers (Bottom of Page)"/>
        <w:docPartUnique/>
      </w:docPartObj>
    </w:sdtPr>
    <w:sdtEndPr>
      <w:rPr>
        <w:rStyle w:val="PageNumber"/>
      </w:rPr>
    </w:sdtEndPr>
    <w:sdtContent>
      <w:p w14:paraId="7D1D1B00" w14:textId="13007B03" w:rsidR="00B664AC" w:rsidRDefault="00620717" w:rsidP="00620717">
        <w:pPr>
          <w:pStyle w:val="Footer"/>
          <w:framePr w:wrap="none" w:vAnchor="text" w:hAnchor="margin" w:xAlign="center" w:y="1"/>
          <w:rPr>
            <w:rStyle w:val="PageNumber"/>
          </w:rPr>
        </w:pPr>
        <w:r>
          <w:rPr>
            <w:rStyle w:val="PageNumber"/>
          </w:rPr>
          <w:t>-</w:t>
        </w:r>
        <w:r w:rsidR="00B664AC">
          <w:rPr>
            <w:rStyle w:val="PageNumber"/>
          </w:rPr>
          <w:fldChar w:fldCharType="begin"/>
        </w:r>
        <w:r w:rsidR="00B664AC">
          <w:rPr>
            <w:rStyle w:val="PageNumber"/>
          </w:rPr>
          <w:instrText xml:space="preserve"> PAGE </w:instrText>
        </w:r>
        <w:r w:rsidR="00B664AC">
          <w:rPr>
            <w:rStyle w:val="PageNumber"/>
          </w:rPr>
          <w:fldChar w:fldCharType="separate"/>
        </w:r>
        <w:r w:rsidR="00B664AC">
          <w:rPr>
            <w:rStyle w:val="PageNumber"/>
            <w:noProof/>
          </w:rPr>
          <w:t>i</w:t>
        </w:r>
        <w:r w:rsidR="00B664AC">
          <w:rPr>
            <w:rStyle w:val="PageNumber"/>
          </w:rPr>
          <w:fldChar w:fldCharType="end"/>
        </w:r>
        <w:r>
          <w:rPr>
            <w:rStyle w:val="PageNumber"/>
          </w:rPr>
          <w:t>-</w:t>
        </w:r>
      </w:p>
    </w:sdtContent>
  </w:sdt>
  <w:p w14:paraId="07487345" w14:textId="2DF130C4" w:rsidR="00B664AC" w:rsidRDefault="00B664AC" w:rsidP="00B664AC">
    <w:pPr>
      <w:pStyle w:val="Footer"/>
      <w:tabs>
        <w:tab w:val="clear" w:pos="4680"/>
        <w:tab w:val="clear" w:pos="9360"/>
        <w:tab w:val="left" w:pos="7027"/>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9163" w14:textId="77777777" w:rsidR="00BB683D" w:rsidRDefault="00BB683D" w:rsidP="002C35B7">
      <w:pPr>
        <w:spacing w:after="0" w:line="240" w:lineRule="auto"/>
      </w:pPr>
      <w:r>
        <w:separator/>
      </w:r>
    </w:p>
  </w:footnote>
  <w:footnote w:type="continuationSeparator" w:id="0">
    <w:p w14:paraId="5192395E" w14:textId="77777777" w:rsidR="00BB683D" w:rsidRDefault="00BB683D" w:rsidP="002C35B7">
      <w:pPr>
        <w:spacing w:after="0" w:line="240" w:lineRule="auto"/>
      </w:pPr>
      <w:r>
        <w:continuationSeparator/>
      </w:r>
    </w:p>
  </w:footnote>
  <w:footnote w:type="continuationNotice" w:id="1">
    <w:p w14:paraId="78B5A276" w14:textId="77777777" w:rsidR="00BB683D" w:rsidRDefault="00BB683D">
      <w:pPr>
        <w:spacing w:after="0" w:line="240" w:lineRule="auto"/>
      </w:pPr>
    </w:p>
  </w:footnote>
  <w:footnote w:id="2">
    <w:p w14:paraId="07944EC9" w14:textId="6F50AFB3" w:rsidR="00711C31" w:rsidRPr="001D1A9A" w:rsidRDefault="00711C31"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C11C1A" w:rsidRPr="00001562">
        <w:rPr>
          <w:i/>
          <w:iCs/>
          <w:szCs w:val="24"/>
        </w:rPr>
        <w:t>Statute of the ICJ</w:t>
      </w:r>
      <w:r w:rsidR="00C11C1A" w:rsidRPr="001D1A9A">
        <w:rPr>
          <w:szCs w:val="24"/>
        </w:rPr>
        <w:t>, 33 U.N.T.S. 993, art</w:t>
      </w:r>
      <w:r w:rsidR="00B036C4" w:rsidRPr="001D1A9A">
        <w:rPr>
          <w:szCs w:val="24"/>
        </w:rPr>
        <w:t xml:space="preserve"> 62.</w:t>
      </w:r>
    </w:p>
  </w:footnote>
  <w:footnote w:id="3">
    <w:p w14:paraId="54A05EF2" w14:textId="43E65413" w:rsidR="00F97A3A" w:rsidRPr="001D1A9A" w:rsidRDefault="00F97A3A"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 xml:space="preserve">55. </w:t>
      </w:r>
    </w:p>
  </w:footnote>
  <w:footnote w:id="4">
    <w:p w14:paraId="316AC963" w14:textId="13694408" w:rsidR="003C046F" w:rsidRPr="001D1A9A" w:rsidRDefault="003C046F" w:rsidP="00395591">
      <w:pPr>
        <w:pStyle w:val="FootnoteText"/>
        <w:ind w:left="360" w:hanging="360"/>
        <w:rPr>
          <w:rFonts w:cs="Times New Roman"/>
          <w:szCs w:val="24"/>
        </w:rPr>
      </w:pPr>
      <w:r w:rsidRPr="001D1A9A">
        <w:rPr>
          <w:rStyle w:val="FootnoteReference"/>
          <w:szCs w:val="24"/>
        </w:rPr>
        <w:footnoteRef/>
      </w:r>
      <w:r w:rsidRPr="001D1A9A">
        <w:rPr>
          <w:szCs w:val="24"/>
        </w:rPr>
        <w:t xml:space="preserve"> </w:t>
      </w:r>
      <w:r w:rsidRPr="001D1A9A">
        <w:rPr>
          <w:rFonts w:cs="Times New Roman"/>
          <w:i/>
          <w:iCs/>
          <w:szCs w:val="24"/>
          <w:lang w:val="en-US"/>
        </w:rPr>
        <w:t>Continental Shelf (Tunisia</w:t>
      </w:r>
      <w:r w:rsidR="00330630" w:rsidRPr="001D1A9A">
        <w:rPr>
          <w:rFonts w:cs="Times New Roman"/>
          <w:i/>
          <w:iCs/>
          <w:szCs w:val="24"/>
          <w:lang w:val="en-US"/>
        </w:rPr>
        <w:t xml:space="preserve"> v </w:t>
      </w:r>
      <w:r w:rsidRPr="001D1A9A">
        <w:rPr>
          <w:rFonts w:cs="Times New Roman"/>
          <w:i/>
          <w:iCs/>
          <w:szCs w:val="24"/>
          <w:lang w:val="en-US"/>
        </w:rPr>
        <w:t>Libyan Arab Jamahiriya)</w:t>
      </w:r>
      <w:r w:rsidRPr="001D1A9A">
        <w:rPr>
          <w:rFonts w:cs="Times New Roman"/>
          <w:szCs w:val="24"/>
          <w:lang w:val="en-US"/>
        </w:rPr>
        <w:t xml:space="preserve">, Application to Intervene, </w:t>
      </w:r>
      <w:r w:rsidR="003A3BE8" w:rsidRPr="001D1A9A">
        <w:rPr>
          <w:rFonts w:cs="Times New Roman"/>
          <w:szCs w:val="24"/>
          <w:lang w:val="en-US"/>
        </w:rPr>
        <w:t>[1981] ICJ Rep 3</w:t>
      </w:r>
      <w:r w:rsidR="0053595F" w:rsidRPr="001D1A9A">
        <w:rPr>
          <w:rFonts w:cs="Times New Roman"/>
          <w:szCs w:val="24"/>
          <w:lang w:val="en-US"/>
        </w:rPr>
        <w:t>, ¶</w:t>
      </w:r>
      <w:r w:rsidR="00330630" w:rsidRPr="001D1A9A">
        <w:rPr>
          <w:rFonts w:cs="Times New Roman"/>
          <w:szCs w:val="24"/>
          <w:lang w:val="en-US"/>
        </w:rPr>
        <w:t>30 [</w:t>
      </w:r>
      <w:r w:rsidR="00330630" w:rsidRPr="001D1A9A">
        <w:rPr>
          <w:rFonts w:cs="Times New Roman"/>
          <w:i/>
          <w:iCs/>
          <w:szCs w:val="24"/>
          <w:lang w:val="en-US"/>
        </w:rPr>
        <w:t>Tunisia v Libya</w:t>
      </w:r>
      <w:r w:rsidR="00330630" w:rsidRPr="001D1A9A">
        <w:rPr>
          <w:rFonts w:cs="Times New Roman"/>
          <w:szCs w:val="24"/>
          <w:lang w:val="en-US"/>
        </w:rPr>
        <w:t xml:space="preserve">]; </w:t>
      </w:r>
      <w:r w:rsidRPr="001D1A9A">
        <w:rPr>
          <w:rFonts w:cs="Times New Roman"/>
          <w:i/>
          <w:iCs/>
          <w:szCs w:val="24"/>
        </w:rPr>
        <w:t>Land, Island and Maritime Frontier Dispute</w:t>
      </w:r>
      <w:r w:rsidR="00330630" w:rsidRPr="001D1A9A">
        <w:rPr>
          <w:rFonts w:cs="Times New Roman"/>
          <w:i/>
          <w:iCs/>
          <w:szCs w:val="24"/>
        </w:rPr>
        <w:t xml:space="preserve"> (El Salvador v Honduras)</w:t>
      </w:r>
      <w:r w:rsidRPr="001D1A9A">
        <w:rPr>
          <w:rFonts w:cs="Times New Roman"/>
          <w:i/>
          <w:iCs/>
          <w:szCs w:val="24"/>
        </w:rPr>
        <w:t xml:space="preserve">, </w:t>
      </w:r>
      <w:r w:rsidRPr="001D1A9A">
        <w:rPr>
          <w:rFonts w:cs="Times New Roman"/>
          <w:szCs w:val="24"/>
        </w:rPr>
        <w:t>Application</w:t>
      </w:r>
      <w:r w:rsidR="00330630" w:rsidRPr="001D1A9A">
        <w:rPr>
          <w:rFonts w:cs="Times New Roman"/>
          <w:szCs w:val="24"/>
        </w:rPr>
        <w:t xml:space="preserve"> </w:t>
      </w:r>
      <w:r w:rsidRPr="001D1A9A">
        <w:rPr>
          <w:rFonts w:cs="Times New Roman"/>
          <w:szCs w:val="24"/>
        </w:rPr>
        <w:t xml:space="preserve">to Intervene, </w:t>
      </w:r>
      <w:r w:rsidR="007A4969" w:rsidRPr="001D1A9A">
        <w:rPr>
          <w:rFonts w:cs="Times New Roman"/>
          <w:szCs w:val="24"/>
        </w:rPr>
        <w:t>[1990] ICJ Rep 92</w:t>
      </w:r>
      <w:r w:rsidR="006B0CA6" w:rsidRPr="001D1A9A">
        <w:rPr>
          <w:rFonts w:cs="Times New Roman"/>
          <w:szCs w:val="24"/>
        </w:rPr>
        <w:t xml:space="preserve">, </w:t>
      </w:r>
      <w:r w:rsidR="006B0CA6" w:rsidRPr="001D1A9A">
        <w:rPr>
          <w:rFonts w:cs="Times New Roman"/>
          <w:szCs w:val="24"/>
          <w:lang w:val="en-US"/>
        </w:rPr>
        <w:t>¶</w:t>
      </w:r>
      <w:r w:rsidR="007A4969" w:rsidRPr="001D1A9A">
        <w:rPr>
          <w:rFonts w:cs="Times New Roman"/>
          <w:szCs w:val="24"/>
        </w:rPr>
        <w:t>76 [</w:t>
      </w:r>
      <w:r w:rsidR="007A4969" w:rsidRPr="001D1A9A">
        <w:rPr>
          <w:rFonts w:cs="Times New Roman"/>
          <w:i/>
          <w:iCs/>
          <w:szCs w:val="24"/>
        </w:rPr>
        <w:t>El Salvador v Honduras</w:t>
      </w:r>
      <w:r w:rsidR="007A4969" w:rsidRPr="001D1A9A">
        <w:rPr>
          <w:rFonts w:cs="Times New Roman"/>
          <w:szCs w:val="24"/>
        </w:rPr>
        <w:t>]</w:t>
      </w:r>
      <w:r w:rsidR="001341FE" w:rsidRPr="001D1A9A">
        <w:rPr>
          <w:rFonts w:cs="Times New Roman"/>
          <w:szCs w:val="24"/>
        </w:rPr>
        <w:t>.</w:t>
      </w:r>
    </w:p>
  </w:footnote>
  <w:footnote w:id="5">
    <w:p w14:paraId="478496D1" w14:textId="0825A9FE" w:rsidR="00146AEA" w:rsidRPr="001D1A9A" w:rsidRDefault="00146AEA"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864664" w:rsidRPr="001D1A9A">
        <w:rPr>
          <w:rFonts w:cs="Times New Roman"/>
          <w:szCs w:val="24"/>
        </w:rPr>
        <w:t xml:space="preserve">Beatrice I </w:t>
      </w:r>
      <w:proofErr w:type="spellStart"/>
      <w:r w:rsidR="00B42100" w:rsidRPr="001D1A9A">
        <w:rPr>
          <w:rFonts w:cs="Times New Roman"/>
          <w:szCs w:val="24"/>
          <w:lang w:val="en-US"/>
        </w:rPr>
        <w:t>Bonafé</w:t>
      </w:r>
      <w:proofErr w:type="spellEnd"/>
      <w:r w:rsidR="00B42100" w:rsidRPr="001D1A9A">
        <w:rPr>
          <w:rFonts w:cs="Times New Roman"/>
          <w:szCs w:val="24"/>
        </w:rPr>
        <w:t>,</w:t>
      </w:r>
      <w:r w:rsidR="00864664" w:rsidRPr="001D1A9A">
        <w:rPr>
          <w:rFonts w:cs="Times New Roman"/>
          <w:szCs w:val="24"/>
        </w:rPr>
        <w:t xml:space="preserve"> “Interests of a Legal Nature Justifying Intervention before the ICJ” </w:t>
      </w:r>
      <w:r w:rsidR="00B42100" w:rsidRPr="001D1A9A">
        <w:rPr>
          <w:rFonts w:cs="Times New Roman"/>
          <w:szCs w:val="24"/>
        </w:rPr>
        <w:t xml:space="preserve">(2012) </w:t>
      </w:r>
      <w:r w:rsidR="00864664" w:rsidRPr="001D1A9A">
        <w:rPr>
          <w:rFonts w:cs="Times New Roman"/>
          <w:szCs w:val="24"/>
        </w:rPr>
        <w:t>25:3</w:t>
      </w:r>
      <w:r w:rsidR="006E3B54" w:rsidRPr="001D1A9A">
        <w:rPr>
          <w:rFonts w:cs="Times New Roman"/>
          <w:szCs w:val="24"/>
        </w:rPr>
        <w:t xml:space="preserve"> Leiden J Intl L</w:t>
      </w:r>
      <w:r w:rsidR="007D4561" w:rsidRPr="001D1A9A">
        <w:rPr>
          <w:rFonts w:cs="Times New Roman"/>
          <w:szCs w:val="24"/>
        </w:rPr>
        <w:t xml:space="preserve"> 739</w:t>
      </w:r>
      <w:r w:rsidR="002E2EB6" w:rsidRPr="001D1A9A">
        <w:rPr>
          <w:rFonts w:cs="Times New Roman"/>
          <w:szCs w:val="24"/>
        </w:rPr>
        <w:t>,</w:t>
      </w:r>
      <w:r w:rsidR="007D4561" w:rsidRPr="001D1A9A">
        <w:rPr>
          <w:rFonts w:cs="Times New Roman"/>
          <w:szCs w:val="24"/>
        </w:rPr>
        <w:t xml:space="preserve"> 754. </w:t>
      </w:r>
    </w:p>
  </w:footnote>
  <w:footnote w:id="6">
    <w:p w14:paraId="355E7AAB" w14:textId="1A63304D" w:rsidR="003C046F" w:rsidRPr="001D1A9A" w:rsidRDefault="003C046F" w:rsidP="00395591">
      <w:pPr>
        <w:pBdr>
          <w:top w:val="nil"/>
          <w:left w:val="nil"/>
          <w:bottom w:val="nil"/>
          <w:right w:val="nil"/>
          <w:between w:val="nil"/>
        </w:pBdr>
        <w:spacing w:line="240" w:lineRule="auto"/>
        <w:ind w:left="360" w:hanging="360"/>
        <w:jc w:val="both"/>
        <w:rPr>
          <w:color w:val="000000"/>
        </w:rPr>
      </w:pPr>
      <w:r w:rsidRPr="001D1A9A">
        <w:rPr>
          <w:rStyle w:val="FootnoteReference"/>
        </w:rPr>
        <w:footnoteRef/>
      </w:r>
      <w:r w:rsidRPr="001D1A9A">
        <w:rPr>
          <w:color w:val="000000"/>
        </w:rPr>
        <w:t xml:space="preserve"> </w:t>
      </w:r>
      <w:r w:rsidRPr="001D1A9A">
        <w:rPr>
          <w:i/>
          <w:iCs/>
          <w:color w:val="000000"/>
        </w:rPr>
        <w:t>Jurisdictional Immunities of the State (Germany v Italy</w:t>
      </w:r>
      <w:r w:rsidRPr="001D1A9A">
        <w:rPr>
          <w:color w:val="000000"/>
        </w:rPr>
        <w:t>), Application to Intervene, Order of 4 July 2011</w:t>
      </w:r>
      <w:r w:rsidR="00787F2F" w:rsidRPr="001D1A9A">
        <w:rPr>
          <w:color w:val="000000"/>
        </w:rPr>
        <w:t xml:space="preserve"> [2011]</w:t>
      </w:r>
      <w:r w:rsidRPr="001D1A9A">
        <w:rPr>
          <w:color w:val="000000"/>
        </w:rPr>
        <w:t xml:space="preserve">, </w:t>
      </w:r>
      <w:r w:rsidR="0043504C" w:rsidRPr="001D1A9A">
        <w:rPr>
          <w:color w:val="000000"/>
        </w:rPr>
        <w:t>ICJ Rep 494</w:t>
      </w:r>
      <w:r w:rsidR="0053595F" w:rsidRPr="001D1A9A">
        <w:rPr>
          <w:color w:val="000000"/>
        </w:rPr>
        <w:t>, ¶</w:t>
      </w:r>
      <w:r w:rsidR="0043504C" w:rsidRPr="001D1A9A">
        <w:rPr>
          <w:color w:val="000000"/>
        </w:rPr>
        <w:t>32.</w:t>
      </w:r>
    </w:p>
  </w:footnote>
  <w:footnote w:id="7">
    <w:p w14:paraId="7328D575" w14:textId="4E5C25AC" w:rsidR="00D638AB" w:rsidRPr="001D1A9A" w:rsidRDefault="00D638AB"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21.</w:t>
      </w:r>
    </w:p>
  </w:footnote>
  <w:footnote w:id="8">
    <w:p w14:paraId="494A260F" w14:textId="5E855810" w:rsidR="00821989" w:rsidRPr="001D1A9A" w:rsidRDefault="00821989" w:rsidP="00395591">
      <w:pPr>
        <w:pStyle w:val="FootnoteText"/>
        <w:ind w:left="360" w:hanging="360"/>
        <w:rPr>
          <w:szCs w:val="24"/>
        </w:rPr>
      </w:pPr>
      <w:r w:rsidRPr="001D1A9A">
        <w:rPr>
          <w:rStyle w:val="FootnoteReference"/>
          <w:szCs w:val="24"/>
        </w:rPr>
        <w:footnoteRef/>
      </w:r>
      <w:r w:rsidRPr="001D1A9A">
        <w:rPr>
          <w:szCs w:val="24"/>
        </w:rPr>
        <w:t xml:space="preserve"> </w:t>
      </w:r>
      <w:r w:rsidR="00322280" w:rsidRPr="001D1A9A">
        <w:rPr>
          <w:szCs w:val="24"/>
        </w:rPr>
        <w:t>James Anaya,</w:t>
      </w:r>
      <w:r w:rsidR="00322280" w:rsidRPr="001D1A9A">
        <w:rPr>
          <w:i/>
          <w:iCs/>
          <w:szCs w:val="24"/>
        </w:rPr>
        <w:t xml:space="preserve"> </w:t>
      </w:r>
      <w:r w:rsidR="00C31957" w:rsidRPr="001D1A9A">
        <w:rPr>
          <w:i/>
          <w:iCs/>
          <w:szCs w:val="24"/>
        </w:rPr>
        <w:t>Report of the Special Rapporteur on the Rights of Indigenous Peoples</w:t>
      </w:r>
      <w:r w:rsidR="00322280" w:rsidRPr="001D1A9A">
        <w:rPr>
          <w:i/>
          <w:iCs/>
          <w:szCs w:val="24"/>
        </w:rPr>
        <w:t xml:space="preserve">: </w:t>
      </w:r>
      <w:r w:rsidR="00C31957" w:rsidRPr="001D1A9A">
        <w:rPr>
          <w:i/>
          <w:iCs/>
          <w:szCs w:val="24"/>
        </w:rPr>
        <w:t>Extractive Industries and Indigenous Peoples</w:t>
      </w:r>
      <w:r w:rsidR="00C31957" w:rsidRPr="001D1A9A">
        <w:rPr>
          <w:szCs w:val="24"/>
        </w:rPr>
        <w:t xml:space="preserve">, </w:t>
      </w:r>
      <w:r w:rsidR="00322280" w:rsidRPr="001D1A9A">
        <w:rPr>
          <w:szCs w:val="24"/>
        </w:rPr>
        <w:t>UN</w:t>
      </w:r>
      <w:r w:rsidR="00C31957" w:rsidRPr="001D1A9A">
        <w:rPr>
          <w:szCs w:val="24"/>
        </w:rPr>
        <w:t>HRC, 24th Sess, UN Doc A/HRC/24/41 (2013)</w:t>
      </w:r>
      <w:r w:rsidR="0053595F" w:rsidRPr="001D1A9A">
        <w:rPr>
          <w:szCs w:val="24"/>
        </w:rPr>
        <w:t>, ¶</w:t>
      </w:r>
      <w:r w:rsidR="001B1BE3" w:rsidRPr="001D1A9A">
        <w:rPr>
          <w:szCs w:val="24"/>
        </w:rPr>
        <w:t xml:space="preserve">25. </w:t>
      </w:r>
    </w:p>
  </w:footnote>
  <w:footnote w:id="9">
    <w:p w14:paraId="60F33358" w14:textId="042C8DE9" w:rsidR="00712EB7" w:rsidRPr="001D1A9A" w:rsidRDefault="00712EB7" w:rsidP="00395591">
      <w:pPr>
        <w:pBdr>
          <w:top w:val="nil"/>
          <w:left w:val="nil"/>
          <w:bottom w:val="nil"/>
          <w:right w:val="nil"/>
          <w:between w:val="nil"/>
        </w:pBdr>
        <w:spacing w:line="240" w:lineRule="auto"/>
        <w:ind w:left="360" w:hanging="360"/>
        <w:jc w:val="both"/>
        <w:rPr>
          <w:rFonts w:cs="Times New Roman"/>
          <w:lang w:val="en-US"/>
        </w:rPr>
      </w:pPr>
      <w:r w:rsidRPr="001D1A9A">
        <w:rPr>
          <w:rStyle w:val="FootnoteReference"/>
        </w:rPr>
        <w:footnoteRef/>
      </w:r>
      <w:r w:rsidRPr="001D1A9A">
        <w:t xml:space="preserve"> </w:t>
      </w:r>
      <w:r w:rsidR="00DE0C39" w:rsidRPr="001D1A9A">
        <w:rPr>
          <w:rFonts w:cs="Times New Roman"/>
          <w:i/>
          <w:iCs/>
        </w:rPr>
        <w:t>Sovereignty over Pulau Ligitan and Pulau Sipadan (Indonesia v Malaysia)</w:t>
      </w:r>
      <w:r w:rsidR="00DE0C39" w:rsidRPr="001D1A9A">
        <w:rPr>
          <w:rFonts w:cs="Times New Roman"/>
          <w:lang w:val="en-US"/>
        </w:rPr>
        <w:t xml:space="preserve">, </w:t>
      </w:r>
      <w:r w:rsidR="00DE0C39" w:rsidRPr="001D1A9A">
        <w:rPr>
          <w:color w:val="000000"/>
        </w:rPr>
        <w:t xml:space="preserve">Declaration of Judge </w:t>
      </w:r>
      <w:proofErr w:type="spellStart"/>
      <w:r w:rsidR="00DE0C39" w:rsidRPr="001D1A9A">
        <w:rPr>
          <w:color w:val="000000"/>
        </w:rPr>
        <w:t>Kooijmans</w:t>
      </w:r>
      <w:proofErr w:type="spellEnd"/>
      <w:r w:rsidR="00DE0C39" w:rsidRPr="001D1A9A">
        <w:rPr>
          <w:color w:val="000000"/>
        </w:rPr>
        <w:t>,</w:t>
      </w:r>
      <w:r w:rsidR="00DE0C39" w:rsidRPr="001D1A9A">
        <w:rPr>
          <w:rFonts w:cs="Times New Roman"/>
          <w:lang w:val="en-US"/>
        </w:rPr>
        <w:t xml:space="preserve"> [2001] ICJ Rep 625</w:t>
      </w:r>
      <w:r w:rsidR="0053595F" w:rsidRPr="001D1A9A">
        <w:rPr>
          <w:rFonts w:cs="Times New Roman"/>
          <w:lang w:val="en-US"/>
        </w:rPr>
        <w:t>, ¶</w:t>
      </w:r>
      <w:r w:rsidR="00DE0C39" w:rsidRPr="001D1A9A">
        <w:rPr>
          <w:rFonts w:cs="Times New Roman"/>
          <w:lang w:val="en-US"/>
        </w:rPr>
        <w:t xml:space="preserve">12. </w:t>
      </w:r>
    </w:p>
  </w:footnote>
  <w:footnote w:id="10">
    <w:p w14:paraId="2DE98250" w14:textId="6DA2F260" w:rsidR="005E0F62" w:rsidRPr="001D1A9A" w:rsidRDefault="005E0F62" w:rsidP="00395591">
      <w:pPr>
        <w:pStyle w:val="FootnoteText"/>
        <w:ind w:left="360" w:hanging="360"/>
        <w:rPr>
          <w:rFonts w:cs="Times New Roman"/>
          <w:kern w:val="0"/>
          <w:szCs w:val="24"/>
          <w:lang w:val="en-US"/>
        </w:rPr>
      </w:pPr>
      <w:r w:rsidRPr="001D1A9A">
        <w:rPr>
          <w:rStyle w:val="FootnoteReference"/>
          <w:rFonts w:cs="Times New Roman"/>
          <w:szCs w:val="24"/>
        </w:rPr>
        <w:footnoteRef/>
      </w:r>
      <w:r w:rsidRPr="001D1A9A">
        <w:rPr>
          <w:rFonts w:cs="Times New Roman"/>
          <w:szCs w:val="24"/>
        </w:rPr>
        <w:t xml:space="preserve"> </w:t>
      </w:r>
      <w:r w:rsidR="001341FE" w:rsidRPr="001D1A9A">
        <w:rPr>
          <w:rFonts w:cs="Times New Roman"/>
          <w:i/>
          <w:iCs/>
          <w:kern w:val="0"/>
          <w:szCs w:val="24"/>
          <w:lang w:val="en-US"/>
        </w:rPr>
        <w:t>Territorial and Maritime Dispute (Nicaragua v Colombia)</w:t>
      </w:r>
      <w:r w:rsidR="001341FE" w:rsidRPr="001D1A9A">
        <w:rPr>
          <w:rFonts w:cs="Times New Roman"/>
          <w:kern w:val="0"/>
          <w:szCs w:val="24"/>
          <w:lang w:val="en-US"/>
        </w:rPr>
        <w:t>, Application to Intervene, [2011] ICJ Rep 420</w:t>
      </w:r>
      <w:r w:rsidR="0053595F" w:rsidRPr="001D1A9A">
        <w:rPr>
          <w:rFonts w:cs="Times New Roman"/>
          <w:kern w:val="0"/>
          <w:szCs w:val="24"/>
          <w:lang w:val="en-US"/>
        </w:rPr>
        <w:t>, ¶</w:t>
      </w:r>
      <w:r w:rsidR="001341FE" w:rsidRPr="001D1A9A">
        <w:rPr>
          <w:rFonts w:cs="Times New Roman"/>
          <w:kern w:val="0"/>
          <w:szCs w:val="24"/>
          <w:lang w:val="en-US"/>
        </w:rPr>
        <w:t>72</w:t>
      </w:r>
      <w:r w:rsidR="00EB27F1" w:rsidRPr="001D1A9A">
        <w:rPr>
          <w:rFonts w:cs="Times New Roman"/>
          <w:kern w:val="0"/>
          <w:szCs w:val="24"/>
          <w:lang w:val="en-US"/>
        </w:rPr>
        <w:t xml:space="preserve"> [</w:t>
      </w:r>
      <w:r w:rsidR="00EB27F1" w:rsidRPr="001D1A9A">
        <w:rPr>
          <w:rFonts w:cs="Times New Roman"/>
          <w:i/>
          <w:iCs/>
          <w:kern w:val="0"/>
          <w:szCs w:val="24"/>
          <w:lang w:val="en-US"/>
        </w:rPr>
        <w:t>Nicaragua v Colombia</w:t>
      </w:r>
      <w:r w:rsidR="00EB27F1" w:rsidRPr="001D1A9A">
        <w:rPr>
          <w:rFonts w:cs="Times New Roman"/>
          <w:kern w:val="0"/>
          <w:szCs w:val="24"/>
          <w:lang w:val="en-US"/>
        </w:rPr>
        <w:t>]</w:t>
      </w:r>
      <w:r w:rsidR="001341FE" w:rsidRPr="001D1A9A">
        <w:rPr>
          <w:rFonts w:cs="Times New Roman"/>
          <w:kern w:val="0"/>
          <w:szCs w:val="24"/>
          <w:lang w:val="en-US"/>
        </w:rPr>
        <w:t>.</w:t>
      </w:r>
    </w:p>
  </w:footnote>
  <w:footnote w:id="11">
    <w:p w14:paraId="6118C8C2" w14:textId="730718C1" w:rsidR="00D43597" w:rsidRPr="001D1A9A" w:rsidRDefault="00D43597"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 xml:space="preserve">18. </w:t>
      </w:r>
    </w:p>
  </w:footnote>
  <w:footnote w:id="12">
    <w:p w14:paraId="31497870" w14:textId="244A0FC5" w:rsidR="0050004A" w:rsidRPr="001D1A9A" w:rsidRDefault="0050004A"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7F2227" w:rsidRPr="001D1A9A">
        <w:rPr>
          <w:rFonts w:cs="Times New Roman"/>
          <w:i/>
          <w:iCs/>
          <w:szCs w:val="24"/>
        </w:rPr>
        <w:t>Sovereignty over Pulau Ligitan and Pulau Sipadan (Indonesia v Malaysia)</w:t>
      </w:r>
      <w:r w:rsidR="007F2227" w:rsidRPr="001D1A9A">
        <w:rPr>
          <w:rFonts w:cs="Times New Roman"/>
          <w:szCs w:val="24"/>
        </w:rPr>
        <w:t>,</w:t>
      </w:r>
      <w:r w:rsidR="007F2227" w:rsidRPr="001D1A9A">
        <w:rPr>
          <w:rFonts w:cs="Times New Roman"/>
          <w:i/>
          <w:iCs/>
          <w:szCs w:val="24"/>
        </w:rPr>
        <w:t xml:space="preserve"> </w:t>
      </w:r>
      <w:r w:rsidR="007F2227" w:rsidRPr="001D1A9A">
        <w:rPr>
          <w:rFonts w:cs="Times New Roman"/>
          <w:szCs w:val="24"/>
          <w:lang w:val="en-US"/>
        </w:rPr>
        <w:t>Application to Intervene [2001] ICJ Rep 575</w:t>
      </w:r>
      <w:r w:rsidR="0053595F" w:rsidRPr="001D1A9A">
        <w:rPr>
          <w:rFonts w:cs="Times New Roman"/>
          <w:szCs w:val="24"/>
          <w:lang w:val="en-US"/>
        </w:rPr>
        <w:t>, ¶</w:t>
      </w:r>
      <w:r w:rsidR="007F2227" w:rsidRPr="001D1A9A">
        <w:rPr>
          <w:rFonts w:cs="Times New Roman"/>
          <w:szCs w:val="24"/>
          <w:lang w:val="en-US"/>
        </w:rPr>
        <w:t>83</w:t>
      </w:r>
      <w:r w:rsidRPr="001D1A9A">
        <w:rPr>
          <w:rFonts w:cs="Times New Roman"/>
          <w:szCs w:val="24"/>
        </w:rPr>
        <w:t>.</w:t>
      </w:r>
    </w:p>
  </w:footnote>
  <w:footnote w:id="13">
    <w:p w14:paraId="2E3482F6" w14:textId="05D2EAE7" w:rsidR="00724E0A" w:rsidRPr="001D1A9A" w:rsidRDefault="00724E0A"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923B21" w:rsidRPr="00001562">
        <w:rPr>
          <w:i/>
          <w:iCs/>
          <w:szCs w:val="24"/>
        </w:rPr>
        <w:t>Statute of the ICJ</w:t>
      </w:r>
      <w:r w:rsidR="00923B21" w:rsidRPr="001D1A9A">
        <w:rPr>
          <w:szCs w:val="24"/>
        </w:rPr>
        <w:t>, 33 U.N.T.S. 993, art 59.</w:t>
      </w:r>
    </w:p>
  </w:footnote>
  <w:footnote w:id="14">
    <w:p w14:paraId="4E78CC05" w14:textId="0D043627" w:rsidR="0040744D" w:rsidRPr="001D1A9A" w:rsidRDefault="0040744D" w:rsidP="00395591">
      <w:pPr>
        <w:pStyle w:val="FootnoteText"/>
        <w:ind w:left="360" w:hanging="360"/>
        <w:rPr>
          <w:szCs w:val="24"/>
        </w:rPr>
      </w:pPr>
      <w:r w:rsidRPr="001D1A9A">
        <w:rPr>
          <w:rStyle w:val="FootnoteReference"/>
          <w:szCs w:val="24"/>
        </w:rPr>
        <w:footnoteRef/>
      </w:r>
      <w:r w:rsidRPr="001D1A9A">
        <w:rPr>
          <w:szCs w:val="24"/>
        </w:rPr>
        <w:t xml:space="preserve"> Panos Merkouris &amp; Daniel Peat, </w:t>
      </w:r>
      <w:r w:rsidR="00137252" w:rsidRPr="001D1A9A">
        <w:rPr>
          <w:szCs w:val="24"/>
        </w:rPr>
        <w:t>“</w:t>
      </w:r>
      <w:r w:rsidRPr="001D1A9A">
        <w:rPr>
          <w:szCs w:val="24"/>
        </w:rPr>
        <w:t>The Interpretative Practice of the International Court of Justice</w:t>
      </w:r>
      <w:r w:rsidR="00137252" w:rsidRPr="001D1A9A">
        <w:rPr>
          <w:szCs w:val="24"/>
        </w:rPr>
        <w:t xml:space="preserve">” </w:t>
      </w:r>
      <w:r w:rsidR="00A93015" w:rsidRPr="001D1A9A">
        <w:rPr>
          <w:szCs w:val="24"/>
        </w:rPr>
        <w:t xml:space="preserve">(2023) 26:1 UNYB 316 at 319. </w:t>
      </w:r>
    </w:p>
  </w:footnote>
  <w:footnote w:id="15">
    <w:p w14:paraId="301B84BF" w14:textId="1AB4EC6E" w:rsidR="005D6AF0" w:rsidRPr="001D1A9A" w:rsidRDefault="005D6AF0"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17</w:t>
      </w:r>
      <w:r w:rsidR="00D027D9" w:rsidRPr="001D1A9A">
        <w:rPr>
          <w:rFonts w:cs="Times New Roman"/>
          <w:szCs w:val="24"/>
        </w:rPr>
        <w:t>.</w:t>
      </w:r>
    </w:p>
  </w:footnote>
  <w:footnote w:id="16">
    <w:p w14:paraId="3C628967" w14:textId="67D2BB2B" w:rsidR="00825F4E" w:rsidRPr="001D1A9A" w:rsidRDefault="00825F4E"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15.</w:t>
      </w:r>
    </w:p>
  </w:footnote>
  <w:footnote w:id="17">
    <w:p w14:paraId="662FD5E8" w14:textId="1AF2E496" w:rsidR="002F7317" w:rsidRPr="001D1A9A" w:rsidRDefault="002F7317" w:rsidP="00395591">
      <w:pPr>
        <w:pStyle w:val="FootnoteText"/>
        <w:ind w:left="360" w:hanging="360"/>
        <w:rPr>
          <w:szCs w:val="24"/>
        </w:rPr>
      </w:pPr>
      <w:r w:rsidRPr="001D1A9A">
        <w:rPr>
          <w:rStyle w:val="FootnoteReference"/>
          <w:szCs w:val="24"/>
        </w:rPr>
        <w:footnoteRef/>
      </w:r>
      <w:r w:rsidRPr="001D1A9A">
        <w:rPr>
          <w:szCs w:val="24"/>
        </w:rPr>
        <w:t xml:space="preserve"> </w:t>
      </w:r>
      <w:r w:rsidR="00A65177" w:rsidRPr="001D1A9A">
        <w:rPr>
          <w:i/>
          <w:iCs/>
          <w:szCs w:val="24"/>
        </w:rPr>
        <w:t>Continental She</w:t>
      </w:r>
      <w:r w:rsidR="000B25E9" w:rsidRPr="001D1A9A">
        <w:rPr>
          <w:i/>
          <w:iCs/>
          <w:szCs w:val="24"/>
        </w:rPr>
        <w:t>l</w:t>
      </w:r>
      <w:r w:rsidR="00A65177" w:rsidRPr="001D1A9A">
        <w:rPr>
          <w:i/>
          <w:iCs/>
          <w:szCs w:val="24"/>
        </w:rPr>
        <w:t xml:space="preserve">f (Libyan Arab </w:t>
      </w:r>
      <w:r w:rsidR="000B25E9" w:rsidRPr="001D1A9A">
        <w:rPr>
          <w:i/>
          <w:iCs/>
          <w:szCs w:val="24"/>
        </w:rPr>
        <w:t xml:space="preserve">Jamahiriya </w:t>
      </w:r>
      <w:r w:rsidR="00A65177" w:rsidRPr="001D1A9A">
        <w:rPr>
          <w:i/>
          <w:iCs/>
          <w:szCs w:val="24"/>
        </w:rPr>
        <w:t>v Malta)</w:t>
      </w:r>
      <w:r w:rsidR="00A65177" w:rsidRPr="001D1A9A">
        <w:rPr>
          <w:szCs w:val="24"/>
        </w:rPr>
        <w:t xml:space="preserve">, Application to Intervene, </w:t>
      </w:r>
      <w:r w:rsidR="005F7C6A" w:rsidRPr="001D1A9A">
        <w:rPr>
          <w:szCs w:val="24"/>
        </w:rPr>
        <w:t>[1984]</w:t>
      </w:r>
      <w:r w:rsidR="008A470B" w:rsidRPr="001D1A9A">
        <w:rPr>
          <w:szCs w:val="24"/>
        </w:rPr>
        <w:t xml:space="preserve"> </w:t>
      </w:r>
      <w:r w:rsidR="00A65177" w:rsidRPr="001D1A9A">
        <w:rPr>
          <w:szCs w:val="24"/>
        </w:rPr>
        <w:t>ICJ Rep 3</w:t>
      </w:r>
      <w:r w:rsidR="0053595F" w:rsidRPr="001D1A9A">
        <w:rPr>
          <w:szCs w:val="24"/>
        </w:rPr>
        <w:t>, ¶</w:t>
      </w:r>
      <w:r w:rsidR="005F7C6A" w:rsidRPr="001D1A9A">
        <w:rPr>
          <w:szCs w:val="24"/>
        </w:rPr>
        <w:t>43</w:t>
      </w:r>
      <w:r w:rsidR="00C83A31" w:rsidRPr="001D1A9A">
        <w:rPr>
          <w:szCs w:val="24"/>
        </w:rPr>
        <w:t xml:space="preserve"> [</w:t>
      </w:r>
      <w:r w:rsidR="00C83A31" w:rsidRPr="001D1A9A">
        <w:rPr>
          <w:i/>
          <w:iCs/>
          <w:szCs w:val="24"/>
        </w:rPr>
        <w:t>Libya v Malta</w:t>
      </w:r>
      <w:r w:rsidR="00C83A31" w:rsidRPr="001D1A9A">
        <w:rPr>
          <w:szCs w:val="24"/>
        </w:rPr>
        <w:t>]</w:t>
      </w:r>
      <w:r w:rsidR="005F7C6A" w:rsidRPr="001D1A9A">
        <w:rPr>
          <w:szCs w:val="24"/>
        </w:rPr>
        <w:t xml:space="preserve">. </w:t>
      </w:r>
    </w:p>
  </w:footnote>
  <w:footnote w:id="18">
    <w:p w14:paraId="45AD9E08" w14:textId="562A8313" w:rsidR="009E32A0" w:rsidRPr="001D1A9A" w:rsidRDefault="009E32A0"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 xml:space="preserve">55. </w:t>
      </w:r>
    </w:p>
  </w:footnote>
  <w:footnote w:id="19">
    <w:p w14:paraId="4F78F23B" w14:textId="4A97FA10" w:rsidR="00572C01" w:rsidRPr="001D1A9A" w:rsidRDefault="00572C01"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177C51" w:rsidRPr="001D1A9A">
        <w:rPr>
          <w:rFonts w:cs="Times New Roman"/>
          <w:i/>
          <w:iCs/>
          <w:kern w:val="0"/>
          <w:szCs w:val="24"/>
          <w:lang w:val="en-US"/>
        </w:rPr>
        <w:t>Nicaragua v Colombia</w:t>
      </w:r>
      <w:r w:rsidR="00177C51" w:rsidRPr="001D1A9A">
        <w:rPr>
          <w:rFonts w:cs="Times New Roman"/>
          <w:kern w:val="0"/>
          <w:szCs w:val="24"/>
          <w:lang w:val="en-US"/>
        </w:rPr>
        <w:t xml:space="preserve">, </w:t>
      </w:r>
      <w:r w:rsidR="0053595F" w:rsidRPr="001D1A9A">
        <w:rPr>
          <w:rFonts w:cs="Times New Roman"/>
          <w:kern w:val="0"/>
          <w:szCs w:val="24"/>
          <w:lang w:val="en-US"/>
        </w:rPr>
        <w:t>¶</w:t>
      </w:r>
      <w:r w:rsidRPr="001D1A9A">
        <w:rPr>
          <w:rFonts w:cs="Times New Roman"/>
          <w:szCs w:val="24"/>
          <w:lang w:val="en-US"/>
        </w:rPr>
        <w:t>47.</w:t>
      </w:r>
    </w:p>
  </w:footnote>
  <w:footnote w:id="20">
    <w:p w14:paraId="2F57E31E" w14:textId="49163375" w:rsidR="00BD28A4" w:rsidRPr="001D1A9A" w:rsidRDefault="00BD28A4" w:rsidP="00395591">
      <w:pPr>
        <w:pStyle w:val="FootnoteText"/>
        <w:ind w:left="360" w:hanging="360"/>
        <w:rPr>
          <w:rFonts w:cs="Times New Roman"/>
          <w:szCs w:val="24"/>
        </w:rPr>
      </w:pPr>
      <w:r w:rsidRPr="001D1A9A">
        <w:rPr>
          <w:rStyle w:val="FootnoteReference"/>
          <w:rFonts w:cs="Times New Roman"/>
          <w:szCs w:val="24"/>
        </w:rPr>
        <w:footnoteRef/>
      </w:r>
      <w:r w:rsidR="008632B9" w:rsidRPr="001D1A9A">
        <w:rPr>
          <w:rFonts w:cs="Times New Roman"/>
          <w:i/>
          <w:iCs/>
          <w:szCs w:val="24"/>
        </w:rPr>
        <w:t>El Salvador v Honduras</w:t>
      </w:r>
      <w:r w:rsidR="008632B9" w:rsidRPr="001D1A9A">
        <w:rPr>
          <w:rFonts w:cs="Times New Roman"/>
          <w:szCs w:val="24"/>
        </w:rPr>
        <w:t xml:space="preserve">, </w:t>
      </w:r>
      <w:r w:rsidR="0053595F" w:rsidRPr="001D1A9A">
        <w:rPr>
          <w:rFonts w:cs="Times New Roman"/>
          <w:szCs w:val="24"/>
        </w:rPr>
        <w:t>¶</w:t>
      </w:r>
      <w:r w:rsidRPr="001D1A9A">
        <w:rPr>
          <w:rFonts w:cs="Times New Roman"/>
          <w:szCs w:val="24"/>
          <w:lang w:val="en-US"/>
        </w:rPr>
        <w:t>s. 97</w:t>
      </w:r>
      <w:r w:rsidR="008632B9" w:rsidRPr="001D1A9A">
        <w:rPr>
          <w:rFonts w:cs="Times New Roman"/>
          <w:szCs w:val="24"/>
          <w:lang w:val="en-US"/>
        </w:rPr>
        <w:t>–</w:t>
      </w:r>
      <w:r w:rsidRPr="001D1A9A">
        <w:rPr>
          <w:rFonts w:cs="Times New Roman"/>
          <w:szCs w:val="24"/>
          <w:lang w:val="en-US"/>
        </w:rPr>
        <w:t xml:space="preserve">99. </w:t>
      </w:r>
    </w:p>
  </w:footnote>
  <w:footnote w:id="21">
    <w:p w14:paraId="6C9F0544" w14:textId="28BA4CD9" w:rsidR="008632B9" w:rsidRPr="001D1A9A" w:rsidRDefault="002C72B9"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8632B9" w:rsidRPr="001D1A9A">
        <w:rPr>
          <w:rFonts w:cs="Times New Roman"/>
          <w:i/>
          <w:iCs/>
          <w:szCs w:val="24"/>
          <w:lang w:val="en-US"/>
        </w:rPr>
        <w:t>Tunisia v Libya</w:t>
      </w:r>
      <w:r w:rsidR="008632B9" w:rsidRPr="001D1A9A">
        <w:rPr>
          <w:rFonts w:cs="Times New Roman"/>
          <w:szCs w:val="24"/>
          <w:lang w:val="en-US"/>
        </w:rPr>
        <w:t xml:space="preserve">, </w:t>
      </w:r>
      <w:r w:rsidR="0053595F" w:rsidRPr="001D1A9A">
        <w:rPr>
          <w:rFonts w:cs="Times New Roman"/>
          <w:szCs w:val="24"/>
          <w:lang w:val="en-US"/>
        </w:rPr>
        <w:t>¶</w:t>
      </w:r>
      <w:r w:rsidR="008632B9" w:rsidRPr="001D1A9A">
        <w:rPr>
          <w:rFonts w:cs="Times New Roman"/>
          <w:szCs w:val="24"/>
          <w:lang w:val="en-US"/>
        </w:rPr>
        <w:t xml:space="preserve">31. </w:t>
      </w:r>
    </w:p>
  </w:footnote>
  <w:footnote w:id="22">
    <w:p w14:paraId="2D412D33" w14:textId="0E22DD01" w:rsidR="007831D3" w:rsidRPr="001D1A9A" w:rsidRDefault="007831D3" w:rsidP="00395591">
      <w:pPr>
        <w:pStyle w:val="FootnoteText"/>
        <w:ind w:left="360" w:hanging="360"/>
        <w:rPr>
          <w:szCs w:val="24"/>
        </w:rPr>
      </w:pPr>
      <w:r w:rsidRPr="001D1A9A">
        <w:rPr>
          <w:rStyle w:val="FootnoteReference"/>
          <w:szCs w:val="24"/>
        </w:rPr>
        <w:footnoteRef/>
      </w:r>
      <w:r w:rsidRPr="001D1A9A">
        <w:rPr>
          <w:szCs w:val="24"/>
        </w:rPr>
        <w:t xml:space="preserve"> </w:t>
      </w:r>
      <w:r w:rsidR="00934C8F" w:rsidRPr="001D1A9A">
        <w:rPr>
          <w:i/>
          <w:iCs/>
          <w:szCs w:val="24"/>
        </w:rPr>
        <w:t>Libya v Malta</w:t>
      </w:r>
      <w:r w:rsidR="00934C8F" w:rsidRPr="001D1A9A">
        <w:rPr>
          <w:szCs w:val="24"/>
        </w:rPr>
        <w:t xml:space="preserve">, </w:t>
      </w:r>
      <w:r w:rsidR="0053595F" w:rsidRPr="001D1A9A">
        <w:rPr>
          <w:szCs w:val="24"/>
        </w:rPr>
        <w:t>¶</w:t>
      </w:r>
      <w:r w:rsidR="00934C8F" w:rsidRPr="001D1A9A">
        <w:rPr>
          <w:szCs w:val="24"/>
        </w:rPr>
        <w:t xml:space="preserve">34–37. </w:t>
      </w:r>
    </w:p>
  </w:footnote>
  <w:footnote w:id="23">
    <w:p w14:paraId="39EB1BDE" w14:textId="644ED81F" w:rsidR="00A511F2" w:rsidRPr="001D1A9A" w:rsidRDefault="00A511F2" w:rsidP="00395591">
      <w:pPr>
        <w:pStyle w:val="FootnoteText"/>
        <w:ind w:left="360" w:hanging="360"/>
        <w:rPr>
          <w:szCs w:val="24"/>
        </w:rPr>
      </w:pPr>
      <w:r w:rsidRPr="001D1A9A">
        <w:rPr>
          <w:rStyle w:val="FootnoteReference"/>
          <w:szCs w:val="24"/>
        </w:rPr>
        <w:footnoteRef/>
      </w:r>
      <w:r w:rsidRPr="001D1A9A">
        <w:rPr>
          <w:szCs w:val="24"/>
        </w:rPr>
        <w:t xml:space="preserve"> </w:t>
      </w:r>
      <w:r w:rsidR="00ED396F" w:rsidRPr="001D1A9A">
        <w:rPr>
          <w:i/>
          <w:iCs/>
          <w:szCs w:val="24"/>
        </w:rPr>
        <w:t>Ibid</w:t>
      </w:r>
      <w:r w:rsidR="0053595F" w:rsidRPr="001D1A9A">
        <w:rPr>
          <w:i/>
          <w:iCs/>
          <w:szCs w:val="24"/>
        </w:rPr>
        <w:t>, ¶</w:t>
      </w:r>
      <w:r w:rsidR="00680E67" w:rsidRPr="001D1A9A">
        <w:rPr>
          <w:szCs w:val="24"/>
        </w:rPr>
        <w:t xml:space="preserve">37. </w:t>
      </w:r>
    </w:p>
  </w:footnote>
  <w:footnote w:id="24">
    <w:p w14:paraId="245EBF34" w14:textId="2951EA5C" w:rsidR="00F36086" w:rsidRPr="001D1A9A" w:rsidRDefault="00F36086"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Pr="001D1A9A">
        <w:rPr>
          <w:rFonts w:cs="Times New Roman"/>
          <w:i/>
          <w:iCs/>
          <w:szCs w:val="24"/>
        </w:rPr>
        <w:t xml:space="preserve">Question of the Delimitation of the Continental Shelf between Nicaragua and Colombia beyond 200 Nautical Miles from the Nicaraguan Coast (Nicaragua v Colombia), </w:t>
      </w:r>
      <w:r w:rsidR="0009738E" w:rsidRPr="001D1A9A">
        <w:rPr>
          <w:rFonts w:cs="Times New Roman"/>
          <w:szCs w:val="24"/>
        </w:rPr>
        <w:t xml:space="preserve">[2016] </w:t>
      </w:r>
      <w:r w:rsidRPr="001D1A9A">
        <w:rPr>
          <w:rFonts w:cs="Times New Roman"/>
          <w:szCs w:val="24"/>
        </w:rPr>
        <w:t>ICJ</w:t>
      </w:r>
      <w:r w:rsidRPr="001D1A9A">
        <w:rPr>
          <w:rFonts w:cs="Times New Roman"/>
          <w:i/>
          <w:iCs/>
          <w:szCs w:val="24"/>
        </w:rPr>
        <w:t xml:space="preserve"> </w:t>
      </w:r>
      <w:r w:rsidRPr="001D1A9A">
        <w:rPr>
          <w:rFonts w:cs="Times New Roman"/>
          <w:szCs w:val="24"/>
        </w:rPr>
        <w:t>Rep</w:t>
      </w:r>
      <w:r w:rsidR="0009738E" w:rsidRPr="001D1A9A">
        <w:rPr>
          <w:rFonts w:cs="Times New Roman"/>
          <w:szCs w:val="24"/>
        </w:rPr>
        <w:t xml:space="preserve"> </w:t>
      </w:r>
      <w:r w:rsidRPr="001D1A9A">
        <w:rPr>
          <w:rFonts w:cs="Times New Roman"/>
          <w:szCs w:val="24"/>
        </w:rPr>
        <w:t>100</w:t>
      </w:r>
      <w:r w:rsidR="0053595F" w:rsidRPr="001D1A9A">
        <w:rPr>
          <w:rFonts w:cs="Times New Roman"/>
          <w:szCs w:val="24"/>
        </w:rPr>
        <w:t>, ¶</w:t>
      </w:r>
      <w:r w:rsidRPr="001D1A9A">
        <w:rPr>
          <w:rFonts w:cs="Times New Roman"/>
          <w:szCs w:val="24"/>
        </w:rPr>
        <w:t xml:space="preserve">33. </w:t>
      </w:r>
    </w:p>
  </w:footnote>
  <w:footnote w:id="25">
    <w:p w14:paraId="7A8ADF27" w14:textId="4E959D3C" w:rsidR="00584C7E" w:rsidRPr="001D1A9A" w:rsidRDefault="00584C7E" w:rsidP="00395591">
      <w:pPr>
        <w:pStyle w:val="FootnoteText"/>
        <w:ind w:left="360" w:hanging="360"/>
        <w:rPr>
          <w:rFonts w:ascii="Times" w:hAnsi="Times" w:cs="Helvetica Neue"/>
          <w:szCs w:val="24"/>
          <w:lang w:val="en-US"/>
        </w:rPr>
      </w:pPr>
      <w:r w:rsidRPr="001D1A9A">
        <w:rPr>
          <w:rStyle w:val="FootnoteReference"/>
          <w:rFonts w:cs="Times New Roman"/>
          <w:szCs w:val="24"/>
        </w:rPr>
        <w:footnoteRef/>
      </w:r>
      <w:r w:rsidRPr="001D1A9A">
        <w:rPr>
          <w:rFonts w:cs="Times New Roman"/>
          <w:szCs w:val="24"/>
        </w:rPr>
        <w:t xml:space="preserve"> </w:t>
      </w:r>
      <w:r w:rsidR="00220465" w:rsidRPr="00861E4C">
        <w:rPr>
          <w:rFonts w:ascii="Times" w:hAnsi="Times" w:cs="Helvetica Neue"/>
          <w:i/>
          <w:iCs/>
          <w:szCs w:val="24"/>
          <w:lang w:val="en-US"/>
        </w:rPr>
        <w:t>Vienna Convention on Law of Treaties,</w:t>
      </w:r>
      <w:r w:rsidR="00220465" w:rsidRPr="001D1A9A">
        <w:rPr>
          <w:rFonts w:ascii="Times" w:hAnsi="Times" w:cs="Helvetica Neue"/>
          <w:szCs w:val="24"/>
          <w:lang w:val="en-US"/>
        </w:rPr>
        <w:t xml:space="preserve"> </w:t>
      </w:r>
      <w:r w:rsidRPr="001D1A9A">
        <w:rPr>
          <w:rFonts w:cs="Times New Roman"/>
          <w:szCs w:val="24"/>
        </w:rPr>
        <w:t>1155 U.N.T.S. 331</w:t>
      </w:r>
      <w:r w:rsidR="008B596E" w:rsidRPr="001D1A9A">
        <w:rPr>
          <w:rFonts w:cs="Times New Roman"/>
          <w:szCs w:val="24"/>
        </w:rPr>
        <w:t xml:space="preserve">, arts 31–33. </w:t>
      </w:r>
      <w:r w:rsidRPr="001D1A9A">
        <w:rPr>
          <w:rFonts w:cs="Times New Roman"/>
          <w:szCs w:val="24"/>
        </w:rPr>
        <w:t xml:space="preserve"> </w:t>
      </w:r>
    </w:p>
  </w:footnote>
  <w:footnote w:id="26">
    <w:p w14:paraId="704747B0" w14:textId="66682B46" w:rsidR="00EF072A" w:rsidRPr="001D1A9A" w:rsidRDefault="00EF072A"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18.</w:t>
      </w:r>
    </w:p>
  </w:footnote>
  <w:footnote w:id="27">
    <w:p w14:paraId="09EC38E2" w14:textId="4EBC7E76" w:rsidR="00DC66F4" w:rsidRPr="001D1A9A" w:rsidRDefault="00DC66F4" w:rsidP="00395591">
      <w:pPr>
        <w:pStyle w:val="FootnoteText"/>
        <w:ind w:left="360" w:hanging="360"/>
        <w:rPr>
          <w:szCs w:val="24"/>
        </w:rPr>
      </w:pPr>
      <w:r w:rsidRPr="001D1A9A">
        <w:rPr>
          <w:rStyle w:val="FootnoteReference"/>
          <w:szCs w:val="24"/>
        </w:rPr>
        <w:footnoteRef/>
      </w:r>
      <w:r w:rsidRPr="001D1A9A">
        <w:rPr>
          <w:szCs w:val="24"/>
        </w:rPr>
        <w:t xml:space="preserve"> </w:t>
      </w:r>
      <w:r w:rsidR="00506877" w:rsidRPr="001D1A9A">
        <w:rPr>
          <w:rFonts w:cs="Times New Roman"/>
          <w:szCs w:val="24"/>
        </w:rPr>
        <w:t>Compromis</w:t>
      </w:r>
      <w:r w:rsidR="0053595F" w:rsidRPr="001D1A9A">
        <w:rPr>
          <w:rFonts w:cs="Times New Roman"/>
          <w:szCs w:val="24"/>
        </w:rPr>
        <w:t>, ¶</w:t>
      </w:r>
      <w:r w:rsidR="00506877" w:rsidRPr="001D1A9A">
        <w:rPr>
          <w:rFonts w:cs="Times New Roman"/>
          <w:szCs w:val="24"/>
        </w:rPr>
        <w:t xml:space="preserve">12. </w:t>
      </w:r>
    </w:p>
  </w:footnote>
  <w:footnote w:id="28">
    <w:p w14:paraId="6AD3C507" w14:textId="0F69F8EE" w:rsidR="00A94F97" w:rsidRPr="001D1A9A" w:rsidRDefault="00A94F97" w:rsidP="00395591">
      <w:pPr>
        <w:pStyle w:val="FootnoteText"/>
        <w:ind w:left="360" w:hanging="360"/>
        <w:rPr>
          <w:rFonts w:eastAsia="Times New Roman"/>
          <w:kern w:val="0"/>
          <w:szCs w:val="24"/>
          <w14:ligatures w14:val="none"/>
        </w:rPr>
      </w:pPr>
      <w:r w:rsidRPr="001D1A9A">
        <w:rPr>
          <w:rStyle w:val="FootnoteReference"/>
          <w:szCs w:val="24"/>
        </w:rPr>
        <w:footnoteRef/>
      </w:r>
      <w:r w:rsidRPr="001D1A9A">
        <w:rPr>
          <w:szCs w:val="24"/>
        </w:rPr>
        <w:t xml:space="preserve"> </w:t>
      </w:r>
      <w:r w:rsidR="001326DF" w:rsidRPr="001D1A9A">
        <w:rPr>
          <w:i/>
          <w:iCs/>
          <w:szCs w:val="24"/>
        </w:rPr>
        <w:t>The</w:t>
      </w:r>
      <w:r w:rsidR="001326DF" w:rsidRPr="001D1A9A">
        <w:rPr>
          <w:szCs w:val="24"/>
        </w:rPr>
        <w:t xml:space="preserve"> </w:t>
      </w:r>
      <w:r w:rsidRPr="001D1A9A">
        <w:rPr>
          <w:rFonts w:eastAsia="Times New Roman"/>
          <w:i/>
          <w:iCs/>
          <w:kern w:val="0"/>
          <w:szCs w:val="24"/>
          <w14:ligatures w14:val="none"/>
        </w:rPr>
        <w:t>Antarctic Treaty</w:t>
      </w:r>
      <w:r w:rsidRPr="001D1A9A">
        <w:rPr>
          <w:rFonts w:eastAsia="Times New Roman"/>
          <w:kern w:val="0"/>
          <w:szCs w:val="24"/>
          <w14:ligatures w14:val="none"/>
        </w:rPr>
        <w:t xml:space="preserve">, </w:t>
      </w:r>
      <w:r w:rsidR="001326DF" w:rsidRPr="001D1A9A">
        <w:rPr>
          <w:rFonts w:eastAsia="Times New Roman"/>
          <w:kern w:val="0"/>
          <w:szCs w:val="24"/>
          <w14:ligatures w14:val="none"/>
        </w:rPr>
        <w:t xml:space="preserve">1 December 1959, </w:t>
      </w:r>
      <w:r w:rsidR="0040113B" w:rsidRPr="001D1A9A">
        <w:rPr>
          <w:rFonts w:eastAsia="Times New Roman"/>
          <w:kern w:val="0"/>
          <w:szCs w:val="24"/>
          <w14:ligatures w14:val="none"/>
        </w:rPr>
        <w:t xml:space="preserve">402 U.N.T.S. 71, </w:t>
      </w:r>
      <w:r w:rsidRPr="001D1A9A">
        <w:rPr>
          <w:rFonts w:eastAsia="Times New Roman"/>
          <w:kern w:val="0"/>
          <w:szCs w:val="24"/>
          <w14:ligatures w14:val="none"/>
        </w:rPr>
        <w:t>art IX</w:t>
      </w:r>
      <w:r w:rsidR="00FB7EC1" w:rsidRPr="001D1A9A">
        <w:rPr>
          <w:rFonts w:eastAsia="Times New Roman"/>
          <w:kern w:val="0"/>
          <w:szCs w:val="24"/>
          <w14:ligatures w14:val="none"/>
        </w:rPr>
        <w:t>.</w:t>
      </w:r>
    </w:p>
  </w:footnote>
  <w:footnote w:id="29">
    <w:p w14:paraId="593A846B" w14:textId="77817446" w:rsidR="00A94F97" w:rsidRPr="001D1A9A" w:rsidRDefault="00A94F97" w:rsidP="00395591">
      <w:pPr>
        <w:pStyle w:val="FootnoteText"/>
        <w:ind w:left="360" w:hanging="360"/>
        <w:rPr>
          <w:rFonts w:eastAsia="Times New Roman"/>
          <w:kern w:val="0"/>
          <w:szCs w:val="24"/>
          <w14:ligatures w14:val="none"/>
        </w:rPr>
      </w:pPr>
      <w:r w:rsidRPr="001D1A9A">
        <w:rPr>
          <w:rStyle w:val="FootnoteReference"/>
          <w:szCs w:val="24"/>
        </w:rPr>
        <w:footnoteRef/>
      </w:r>
      <w:r w:rsidRPr="001D1A9A">
        <w:rPr>
          <w:szCs w:val="24"/>
        </w:rPr>
        <w:t xml:space="preserve"> </w:t>
      </w:r>
      <w:r w:rsidRPr="001D1A9A">
        <w:rPr>
          <w:rFonts w:eastAsia="Times New Roman"/>
          <w:i/>
          <w:iCs/>
          <w:kern w:val="0"/>
          <w:szCs w:val="24"/>
          <w14:ligatures w14:val="none"/>
        </w:rPr>
        <w:t>Treaty concerning the Archipelago of Spitsbergen</w:t>
      </w:r>
      <w:r w:rsidR="00445B4E" w:rsidRPr="001D1A9A">
        <w:rPr>
          <w:rFonts w:eastAsia="Times New Roman"/>
          <w:kern w:val="0"/>
          <w:szCs w:val="24"/>
          <w14:ligatures w14:val="none"/>
        </w:rPr>
        <w:t xml:space="preserve">, 9 February 1920, </w:t>
      </w:r>
      <w:r w:rsidR="00E81223" w:rsidRPr="001D1A9A">
        <w:rPr>
          <w:rFonts w:eastAsia="Times New Roman"/>
          <w:kern w:val="0"/>
          <w:szCs w:val="24"/>
          <w14:ligatures w14:val="none"/>
        </w:rPr>
        <w:t xml:space="preserve">2 L.N.T.S. 7, </w:t>
      </w:r>
      <w:r w:rsidRPr="001D1A9A">
        <w:rPr>
          <w:rFonts w:eastAsia="Times New Roman"/>
          <w:kern w:val="0"/>
          <w:szCs w:val="24"/>
          <w14:ligatures w14:val="none"/>
        </w:rPr>
        <w:t>arts</w:t>
      </w:r>
      <w:r w:rsidR="001B74A5" w:rsidRPr="001D1A9A">
        <w:rPr>
          <w:rFonts w:eastAsia="Times New Roman"/>
          <w:kern w:val="0"/>
          <w:szCs w:val="24"/>
          <w14:ligatures w14:val="none"/>
        </w:rPr>
        <w:t xml:space="preserve"> </w:t>
      </w:r>
      <w:r w:rsidRPr="001D1A9A">
        <w:rPr>
          <w:rFonts w:eastAsia="Times New Roman"/>
          <w:kern w:val="0"/>
          <w:szCs w:val="24"/>
          <w14:ligatures w14:val="none"/>
        </w:rPr>
        <w:t>1</w:t>
      </w:r>
      <w:r w:rsidR="001B74A5" w:rsidRPr="001D1A9A">
        <w:rPr>
          <w:rFonts w:eastAsia="Times New Roman"/>
          <w:kern w:val="0"/>
          <w:szCs w:val="24"/>
          <w14:ligatures w14:val="none"/>
        </w:rPr>
        <w:t>–</w:t>
      </w:r>
      <w:r w:rsidRPr="001D1A9A">
        <w:rPr>
          <w:rFonts w:eastAsia="Times New Roman"/>
          <w:kern w:val="0"/>
          <w:szCs w:val="24"/>
          <w14:ligatures w14:val="none"/>
        </w:rPr>
        <w:t>3</w:t>
      </w:r>
      <w:r w:rsidR="001B74A5" w:rsidRPr="001D1A9A">
        <w:rPr>
          <w:rFonts w:eastAsia="Times New Roman"/>
          <w:kern w:val="0"/>
          <w:szCs w:val="24"/>
          <w14:ligatures w14:val="none"/>
        </w:rPr>
        <w:t>.</w:t>
      </w:r>
    </w:p>
  </w:footnote>
  <w:footnote w:id="30">
    <w:p w14:paraId="34F6E5D9" w14:textId="3BF119FA" w:rsidR="00A94F97" w:rsidRPr="001D1A9A" w:rsidRDefault="00A94F97" w:rsidP="00395591">
      <w:pPr>
        <w:pStyle w:val="FootnoteText"/>
        <w:ind w:left="360" w:hanging="360"/>
        <w:rPr>
          <w:rFonts w:eastAsia="Times New Roman"/>
          <w:kern w:val="0"/>
          <w:szCs w:val="24"/>
          <w14:ligatures w14:val="none"/>
        </w:rPr>
      </w:pPr>
      <w:r w:rsidRPr="001D1A9A">
        <w:rPr>
          <w:rStyle w:val="FootnoteReference"/>
          <w:szCs w:val="24"/>
        </w:rPr>
        <w:footnoteRef/>
      </w:r>
      <w:r w:rsidRPr="001D1A9A">
        <w:rPr>
          <w:szCs w:val="24"/>
        </w:rPr>
        <w:t xml:space="preserve"> </w:t>
      </w:r>
      <w:r w:rsidRPr="001D1A9A">
        <w:rPr>
          <w:rFonts w:eastAsia="Times New Roman"/>
          <w:i/>
          <w:iCs/>
          <w:kern w:val="0"/>
          <w:szCs w:val="24"/>
          <w14:ligatures w14:val="none"/>
        </w:rPr>
        <w:t>Agreement on the Cooperation for the Sustainable Development of the Mekong River Basin</w:t>
      </w:r>
      <w:r w:rsidR="00AE12DA" w:rsidRPr="001D1A9A">
        <w:rPr>
          <w:rFonts w:eastAsia="Times New Roman"/>
          <w:kern w:val="0"/>
          <w:szCs w:val="24"/>
          <w14:ligatures w14:val="none"/>
        </w:rPr>
        <w:t xml:space="preserve">, </w:t>
      </w:r>
      <w:r w:rsidR="00F35EC0" w:rsidRPr="001D1A9A">
        <w:rPr>
          <w:rFonts w:eastAsia="Times New Roman"/>
          <w:kern w:val="0"/>
          <w:szCs w:val="24"/>
          <w14:ligatures w14:val="none"/>
        </w:rPr>
        <w:t>5 April 1995</w:t>
      </w:r>
      <w:r w:rsidR="00533587" w:rsidRPr="001D1A9A">
        <w:rPr>
          <w:rFonts w:eastAsia="Times New Roman"/>
          <w:kern w:val="0"/>
          <w:szCs w:val="24"/>
          <w14:ligatures w14:val="none"/>
        </w:rPr>
        <w:t xml:space="preserve">, </w:t>
      </w:r>
      <w:proofErr w:type="gramStart"/>
      <w:r w:rsidR="007A3FB1" w:rsidRPr="001D1A9A">
        <w:rPr>
          <w:rFonts w:eastAsia="Times New Roman"/>
          <w:kern w:val="0"/>
          <w:szCs w:val="24"/>
          <w14:ligatures w14:val="none"/>
        </w:rPr>
        <w:t>2069</w:t>
      </w:r>
      <w:proofErr w:type="gramEnd"/>
      <w:r w:rsidR="007A3FB1" w:rsidRPr="001D1A9A">
        <w:rPr>
          <w:rFonts w:eastAsia="Times New Roman"/>
          <w:kern w:val="0"/>
          <w:szCs w:val="24"/>
          <w14:ligatures w14:val="none"/>
        </w:rPr>
        <w:t xml:space="preserve"> U.N.T.S. 3, </w:t>
      </w:r>
      <w:r w:rsidRPr="001D1A9A">
        <w:rPr>
          <w:rFonts w:eastAsia="Times New Roman"/>
          <w:kern w:val="0"/>
          <w:szCs w:val="24"/>
          <w14:ligatures w14:val="none"/>
        </w:rPr>
        <w:t>arts</w:t>
      </w:r>
      <w:r w:rsidR="007A3FB1" w:rsidRPr="001D1A9A">
        <w:rPr>
          <w:rFonts w:eastAsia="Times New Roman"/>
          <w:kern w:val="0"/>
          <w:szCs w:val="24"/>
          <w14:ligatures w14:val="none"/>
        </w:rPr>
        <w:t xml:space="preserve"> </w:t>
      </w:r>
      <w:r w:rsidRPr="001D1A9A">
        <w:rPr>
          <w:rFonts w:eastAsia="Times New Roman"/>
          <w:kern w:val="0"/>
          <w:szCs w:val="24"/>
          <w14:ligatures w14:val="none"/>
        </w:rPr>
        <w:t>24</w:t>
      </w:r>
      <w:r w:rsidR="001B74A5" w:rsidRPr="001D1A9A">
        <w:rPr>
          <w:rFonts w:eastAsia="Times New Roman"/>
          <w:kern w:val="0"/>
          <w:szCs w:val="24"/>
          <w14:ligatures w14:val="none"/>
        </w:rPr>
        <w:t>.</w:t>
      </w:r>
    </w:p>
  </w:footnote>
  <w:footnote w:id="31">
    <w:p w14:paraId="149C07FF" w14:textId="7B1AFFEC" w:rsidR="00F36086" w:rsidRPr="001D1A9A" w:rsidRDefault="00F36086" w:rsidP="00395591">
      <w:pPr>
        <w:pStyle w:val="FootnoteText"/>
        <w:ind w:left="360" w:hanging="360"/>
        <w:rPr>
          <w:rFonts w:cs="Times New Roman"/>
          <w:szCs w:val="24"/>
        </w:rPr>
      </w:pPr>
      <w:r w:rsidRPr="001D1A9A">
        <w:rPr>
          <w:rStyle w:val="FootnoteReference"/>
          <w:szCs w:val="24"/>
        </w:rPr>
        <w:footnoteRef/>
      </w:r>
      <w:r w:rsidRPr="001D1A9A">
        <w:rPr>
          <w:szCs w:val="24"/>
        </w:rPr>
        <w:t xml:space="preserve"> </w:t>
      </w:r>
      <w:r w:rsidRPr="001D1A9A">
        <w:rPr>
          <w:rStyle w:val="Emphasis"/>
          <w:rFonts w:cs="Times New Roman"/>
          <w:szCs w:val="24"/>
        </w:rPr>
        <w:t>Lake Lanoux Arbitration</w:t>
      </w:r>
      <w:r w:rsidRPr="001D1A9A">
        <w:rPr>
          <w:rFonts w:cs="Times New Roman"/>
          <w:i/>
          <w:iCs/>
          <w:szCs w:val="24"/>
        </w:rPr>
        <w:t xml:space="preserve"> (France v Spain)</w:t>
      </w:r>
      <w:r w:rsidR="00E70119" w:rsidRPr="001D1A9A">
        <w:rPr>
          <w:rFonts w:cs="Times New Roman"/>
          <w:szCs w:val="24"/>
        </w:rPr>
        <w:t xml:space="preserve"> (1957), 12 RIAA 281</w:t>
      </w:r>
      <w:r w:rsidR="0053595F" w:rsidRPr="001D1A9A">
        <w:rPr>
          <w:rFonts w:cs="Times New Roman"/>
          <w:szCs w:val="24"/>
        </w:rPr>
        <w:t>, ¶</w:t>
      </w:r>
      <w:r w:rsidR="003A312E" w:rsidRPr="001D1A9A">
        <w:rPr>
          <w:rFonts w:cs="Times New Roman"/>
          <w:szCs w:val="24"/>
        </w:rPr>
        <w:t>11</w:t>
      </w:r>
      <w:r w:rsidRPr="001D1A9A">
        <w:rPr>
          <w:rFonts w:cs="Times New Roman"/>
          <w:szCs w:val="24"/>
        </w:rPr>
        <w:t>.</w:t>
      </w:r>
    </w:p>
  </w:footnote>
  <w:footnote w:id="32">
    <w:p w14:paraId="553C1849" w14:textId="50A94403" w:rsidR="001678A6" w:rsidRPr="001D1A9A" w:rsidRDefault="001678A6"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Ibid</w:t>
      </w:r>
      <w:r w:rsidRPr="001D1A9A">
        <w:rPr>
          <w:szCs w:val="24"/>
        </w:rPr>
        <w:t>.</w:t>
      </w:r>
    </w:p>
  </w:footnote>
  <w:footnote w:id="33">
    <w:p w14:paraId="0DBDEC2C" w14:textId="5B8AED7B" w:rsidR="00C206CE" w:rsidRPr="001D1A9A" w:rsidRDefault="00C06E9A"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Pr="001D1A9A">
        <w:rPr>
          <w:rFonts w:cs="Times New Roman"/>
          <w:i/>
          <w:iCs/>
          <w:szCs w:val="24"/>
        </w:rPr>
        <w:t>Pulp Mills on the River Uruguay (Argentina v</w:t>
      </w:r>
      <w:r w:rsidR="0052749B" w:rsidRPr="001D1A9A">
        <w:rPr>
          <w:rFonts w:cs="Times New Roman"/>
          <w:i/>
          <w:iCs/>
          <w:szCs w:val="24"/>
        </w:rPr>
        <w:t xml:space="preserve"> </w:t>
      </w:r>
      <w:r w:rsidRPr="001D1A9A">
        <w:rPr>
          <w:rFonts w:cs="Times New Roman"/>
          <w:i/>
          <w:iCs/>
          <w:szCs w:val="24"/>
        </w:rPr>
        <w:t xml:space="preserve">Uruguay), </w:t>
      </w:r>
      <w:r w:rsidR="00C206CE" w:rsidRPr="001D1A9A">
        <w:rPr>
          <w:rFonts w:cs="Times New Roman"/>
          <w:szCs w:val="24"/>
        </w:rPr>
        <w:t>[2010] ICJ Rep 14</w:t>
      </w:r>
      <w:r w:rsidR="0053595F" w:rsidRPr="001D1A9A">
        <w:rPr>
          <w:rFonts w:cs="Times New Roman"/>
          <w:szCs w:val="24"/>
        </w:rPr>
        <w:t>, ¶</w:t>
      </w:r>
      <w:r w:rsidR="00C206CE" w:rsidRPr="001D1A9A">
        <w:rPr>
          <w:rFonts w:cs="Times New Roman"/>
          <w:szCs w:val="24"/>
        </w:rPr>
        <w:t xml:space="preserve"> 154–157.</w:t>
      </w:r>
    </w:p>
  </w:footnote>
  <w:footnote w:id="34">
    <w:p w14:paraId="49EE76EB" w14:textId="7FA158F8" w:rsidR="00384AA7" w:rsidRPr="001D1A9A" w:rsidRDefault="00384AA7"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Ibid</w:t>
      </w:r>
      <w:r w:rsidR="0053595F" w:rsidRPr="001D1A9A">
        <w:rPr>
          <w:i/>
          <w:iCs/>
          <w:szCs w:val="24"/>
        </w:rPr>
        <w:t>, ¶</w:t>
      </w:r>
      <w:r w:rsidR="00C206CE" w:rsidRPr="001D1A9A">
        <w:rPr>
          <w:szCs w:val="24"/>
        </w:rPr>
        <w:t>154</w:t>
      </w:r>
      <w:r w:rsidRPr="001D1A9A">
        <w:rPr>
          <w:szCs w:val="24"/>
        </w:rPr>
        <w:t>.</w:t>
      </w:r>
    </w:p>
  </w:footnote>
  <w:footnote w:id="35">
    <w:p w14:paraId="180255ED" w14:textId="67455108" w:rsidR="00A31BD3" w:rsidRPr="001D1A9A" w:rsidRDefault="00A31BD3" w:rsidP="00395591">
      <w:pPr>
        <w:pStyle w:val="FootnoteText"/>
        <w:ind w:left="360" w:hanging="360"/>
        <w:rPr>
          <w:rFonts w:eastAsia="Aptos" w:cs="Times New Roman"/>
          <w:b/>
          <w:bCs/>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 xml:space="preserve">15. </w:t>
      </w:r>
    </w:p>
  </w:footnote>
  <w:footnote w:id="36">
    <w:p w14:paraId="3937020D" w14:textId="3C2D6209" w:rsidR="003F33E5" w:rsidRPr="001D1A9A" w:rsidRDefault="003F33E5"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 xml:space="preserve">16. </w:t>
      </w:r>
    </w:p>
  </w:footnote>
  <w:footnote w:id="37">
    <w:p w14:paraId="69EC84D1" w14:textId="66D09EFC" w:rsidR="005C42C6" w:rsidRPr="001D1A9A" w:rsidRDefault="005C42C6"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15.</w:t>
      </w:r>
    </w:p>
  </w:footnote>
  <w:footnote w:id="38">
    <w:p w14:paraId="747BF7FB" w14:textId="223E679E" w:rsidR="00467A2C" w:rsidRPr="001D1A9A" w:rsidRDefault="00467A2C"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Compromis</w:t>
      </w:r>
      <w:r w:rsidR="0053595F" w:rsidRPr="001D1A9A">
        <w:rPr>
          <w:rFonts w:cs="Times New Roman"/>
          <w:szCs w:val="24"/>
        </w:rPr>
        <w:t>, ¶</w:t>
      </w:r>
      <w:r w:rsidRPr="001D1A9A">
        <w:rPr>
          <w:rFonts w:cs="Times New Roman"/>
          <w:szCs w:val="24"/>
        </w:rPr>
        <w:t>17.</w:t>
      </w:r>
    </w:p>
  </w:footnote>
  <w:footnote w:id="39">
    <w:p w14:paraId="5F0F5DA8" w14:textId="30AB68A1" w:rsidR="005944BD" w:rsidRPr="001D1A9A" w:rsidRDefault="005944BD" w:rsidP="00395591">
      <w:pPr>
        <w:pStyle w:val="FootnoteText"/>
        <w:ind w:left="360" w:hanging="360"/>
        <w:rPr>
          <w:szCs w:val="24"/>
        </w:rPr>
      </w:pPr>
      <w:r w:rsidRPr="001D1A9A">
        <w:rPr>
          <w:rStyle w:val="FootnoteReference"/>
          <w:szCs w:val="24"/>
        </w:rPr>
        <w:footnoteRef/>
      </w:r>
      <w:r w:rsidRPr="001D1A9A">
        <w:rPr>
          <w:szCs w:val="24"/>
        </w:rPr>
        <w:t xml:space="preserve"> </w:t>
      </w:r>
      <w:r w:rsidR="00E76D1A" w:rsidRPr="001D1A9A">
        <w:rPr>
          <w:szCs w:val="24"/>
        </w:rPr>
        <w:t xml:space="preserve">Expert Mechanism on the Rights of Indigenous Peoples, </w:t>
      </w:r>
      <w:r w:rsidR="00E76D1A" w:rsidRPr="001D1A9A">
        <w:rPr>
          <w:i/>
          <w:iCs/>
          <w:szCs w:val="24"/>
        </w:rPr>
        <w:t>Free, Prior and Informed Consent: A Human Rights-Based Approach</w:t>
      </w:r>
      <w:r w:rsidR="00E76D1A" w:rsidRPr="001D1A9A">
        <w:rPr>
          <w:szCs w:val="24"/>
        </w:rPr>
        <w:t>, HRC, 39th Sess, UN Doc A/HRC/39/62 (2018)</w:t>
      </w:r>
      <w:r w:rsidR="0053595F" w:rsidRPr="001D1A9A">
        <w:rPr>
          <w:szCs w:val="24"/>
        </w:rPr>
        <w:t>, ¶</w:t>
      </w:r>
      <w:r w:rsidR="00E76D1A" w:rsidRPr="001D1A9A">
        <w:rPr>
          <w:szCs w:val="24"/>
        </w:rPr>
        <w:t>35.</w:t>
      </w:r>
    </w:p>
  </w:footnote>
  <w:footnote w:id="40">
    <w:p w14:paraId="42931A43" w14:textId="626D130A" w:rsidR="00094223" w:rsidRPr="001D1A9A" w:rsidRDefault="00094223"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Pr="001D1A9A">
        <w:rPr>
          <w:rFonts w:cs="Times New Roman"/>
          <w:i/>
          <w:iCs/>
          <w:szCs w:val="24"/>
        </w:rPr>
        <w:t>North Sea Continental Shelf</w:t>
      </w:r>
      <w:r w:rsidRPr="001D1A9A">
        <w:rPr>
          <w:rFonts w:cs="Times New Roman"/>
          <w:szCs w:val="24"/>
        </w:rPr>
        <w:t xml:space="preserve">, </w:t>
      </w:r>
      <w:r w:rsidR="00922D42" w:rsidRPr="001D1A9A">
        <w:rPr>
          <w:rFonts w:cs="Times New Roman"/>
          <w:szCs w:val="24"/>
        </w:rPr>
        <w:t>[1969]</w:t>
      </w:r>
      <w:r w:rsidR="007B5114" w:rsidRPr="001D1A9A">
        <w:rPr>
          <w:rFonts w:cs="Times New Roman"/>
          <w:szCs w:val="24"/>
        </w:rPr>
        <w:t xml:space="preserve"> </w:t>
      </w:r>
      <w:r w:rsidRPr="001D1A9A">
        <w:rPr>
          <w:rFonts w:cs="Times New Roman"/>
          <w:szCs w:val="24"/>
        </w:rPr>
        <w:t>ICJ Rep</w:t>
      </w:r>
      <w:r w:rsidR="007B5114" w:rsidRPr="001D1A9A">
        <w:rPr>
          <w:rFonts w:cs="Times New Roman"/>
          <w:szCs w:val="24"/>
        </w:rPr>
        <w:t xml:space="preserve"> 3</w:t>
      </w:r>
      <w:r w:rsidR="0053595F" w:rsidRPr="001D1A9A">
        <w:rPr>
          <w:rFonts w:cs="Times New Roman"/>
          <w:szCs w:val="24"/>
        </w:rPr>
        <w:t>, ¶</w:t>
      </w:r>
      <w:r w:rsidRPr="001D1A9A">
        <w:rPr>
          <w:rFonts w:cs="Times New Roman"/>
          <w:szCs w:val="24"/>
        </w:rPr>
        <w:t>74</w:t>
      </w:r>
      <w:r w:rsidR="00BC2CC6">
        <w:rPr>
          <w:rFonts w:cs="Times New Roman"/>
          <w:szCs w:val="24"/>
        </w:rPr>
        <w:t xml:space="preserve"> [</w:t>
      </w:r>
      <w:r w:rsidR="00BC2CC6" w:rsidRPr="00BC2CC6">
        <w:rPr>
          <w:rFonts w:cs="Times New Roman"/>
          <w:i/>
          <w:iCs/>
          <w:szCs w:val="24"/>
        </w:rPr>
        <w:t>North Sea</w:t>
      </w:r>
      <w:r w:rsidR="00BC2CC6">
        <w:rPr>
          <w:rFonts w:cs="Times New Roman"/>
          <w:szCs w:val="24"/>
        </w:rPr>
        <w:t>]</w:t>
      </w:r>
      <w:r w:rsidRPr="001D1A9A">
        <w:rPr>
          <w:rFonts w:cs="Times New Roman"/>
          <w:szCs w:val="24"/>
        </w:rPr>
        <w:t>.</w:t>
      </w:r>
    </w:p>
  </w:footnote>
  <w:footnote w:id="41">
    <w:p w14:paraId="52322710" w14:textId="0D923DD8" w:rsidR="00F133AD" w:rsidRPr="001D1A9A" w:rsidRDefault="00F133AD"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color w:val="000000"/>
          <w:szCs w:val="24"/>
        </w:rPr>
        <w:t>Haida Nation</w:t>
      </w:r>
      <w:r w:rsidRPr="001D1A9A">
        <w:rPr>
          <w:rStyle w:val="apple-converted-space"/>
          <w:i/>
          <w:iCs/>
          <w:color w:val="000000"/>
          <w:szCs w:val="24"/>
        </w:rPr>
        <w:t> </w:t>
      </w:r>
      <w:r w:rsidRPr="001D1A9A">
        <w:rPr>
          <w:i/>
          <w:iCs/>
          <w:color w:val="000000"/>
          <w:szCs w:val="24"/>
        </w:rPr>
        <w:t>v. British Columbia</w:t>
      </w:r>
      <w:r w:rsidRPr="001D1A9A">
        <w:rPr>
          <w:color w:val="000000"/>
          <w:szCs w:val="24"/>
        </w:rPr>
        <w:t xml:space="preserve"> (Minister of Forests),</w:t>
      </w:r>
      <w:r w:rsidRPr="001D1A9A">
        <w:rPr>
          <w:rStyle w:val="apple-converted-space"/>
          <w:color w:val="000000"/>
          <w:szCs w:val="24"/>
        </w:rPr>
        <w:t> </w:t>
      </w:r>
      <w:r w:rsidRPr="001D1A9A">
        <w:rPr>
          <w:color w:val="000000"/>
          <w:szCs w:val="24"/>
          <w:lang w:val="en-GB"/>
        </w:rPr>
        <w:t>2004 SCC 73</w:t>
      </w:r>
      <w:r w:rsidR="0053595F" w:rsidRPr="001D1A9A">
        <w:rPr>
          <w:color w:val="000000"/>
          <w:szCs w:val="24"/>
          <w:lang w:val="en-GB"/>
        </w:rPr>
        <w:t>, ¶</w:t>
      </w:r>
      <w:r w:rsidRPr="001D1A9A">
        <w:rPr>
          <w:color w:val="000000"/>
          <w:szCs w:val="24"/>
          <w:lang w:val="en-GB"/>
        </w:rPr>
        <w:t>48.</w:t>
      </w:r>
    </w:p>
  </w:footnote>
  <w:footnote w:id="42">
    <w:p w14:paraId="7977F245" w14:textId="4C27FF01" w:rsidR="00BD3081" w:rsidRPr="001D1A9A" w:rsidRDefault="00BD308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 xml:space="preserve">Chippewas of the Thames First Nation </w:t>
      </w:r>
      <w:r w:rsidR="008A5BDA" w:rsidRPr="001D1A9A">
        <w:rPr>
          <w:i/>
          <w:iCs/>
          <w:szCs w:val="24"/>
        </w:rPr>
        <w:t>v</w:t>
      </w:r>
      <w:r w:rsidRPr="001D1A9A">
        <w:rPr>
          <w:i/>
          <w:iCs/>
          <w:szCs w:val="24"/>
        </w:rPr>
        <w:t xml:space="preserve"> Enbridge Pipelines Inc.</w:t>
      </w:r>
      <w:r w:rsidRPr="001D1A9A">
        <w:rPr>
          <w:szCs w:val="24"/>
        </w:rPr>
        <w:t>, 2017 SCC 41</w:t>
      </w:r>
      <w:r w:rsidR="0053595F" w:rsidRPr="001D1A9A">
        <w:rPr>
          <w:szCs w:val="24"/>
        </w:rPr>
        <w:t>, ¶</w:t>
      </w:r>
      <w:r w:rsidRPr="001D1A9A">
        <w:rPr>
          <w:szCs w:val="24"/>
        </w:rPr>
        <w:t>59</w:t>
      </w:r>
      <w:r w:rsidR="00286701" w:rsidRPr="001D1A9A">
        <w:rPr>
          <w:szCs w:val="24"/>
        </w:rPr>
        <w:t xml:space="preserve"> [</w:t>
      </w:r>
      <w:r w:rsidR="00286701" w:rsidRPr="001D1A9A">
        <w:rPr>
          <w:i/>
          <w:iCs/>
          <w:szCs w:val="24"/>
        </w:rPr>
        <w:t>Chippewas</w:t>
      </w:r>
      <w:r w:rsidR="007E05D8" w:rsidRPr="001D1A9A">
        <w:rPr>
          <w:i/>
          <w:iCs/>
          <w:szCs w:val="24"/>
        </w:rPr>
        <w:t xml:space="preserve"> of the Thames</w:t>
      </w:r>
      <w:r w:rsidR="00286701" w:rsidRPr="001D1A9A">
        <w:rPr>
          <w:szCs w:val="24"/>
        </w:rPr>
        <w:t>]</w:t>
      </w:r>
      <w:r w:rsidRPr="001D1A9A">
        <w:rPr>
          <w:szCs w:val="24"/>
        </w:rPr>
        <w:t>.</w:t>
      </w:r>
    </w:p>
  </w:footnote>
  <w:footnote w:id="43">
    <w:p w14:paraId="547FA01E" w14:textId="7063FFFD" w:rsidR="00CD500E" w:rsidRPr="001D1A9A" w:rsidRDefault="00CD500E" w:rsidP="00395591">
      <w:pPr>
        <w:pStyle w:val="FootnoteText"/>
        <w:ind w:left="360" w:hanging="360"/>
        <w:rPr>
          <w:color w:val="000000"/>
          <w:szCs w:val="24"/>
        </w:rPr>
      </w:pPr>
      <w:r w:rsidRPr="001D1A9A">
        <w:rPr>
          <w:rStyle w:val="FootnoteReference"/>
          <w:szCs w:val="24"/>
        </w:rPr>
        <w:footnoteRef/>
      </w:r>
      <w:r w:rsidRPr="001D1A9A">
        <w:rPr>
          <w:szCs w:val="24"/>
        </w:rPr>
        <w:t xml:space="preserve"> </w:t>
      </w:r>
      <w:proofErr w:type="spellStart"/>
      <w:r w:rsidRPr="001D1A9A">
        <w:rPr>
          <w:i/>
          <w:iCs/>
          <w:color w:val="000000"/>
          <w:szCs w:val="24"/>
        </w:rPr>
        <w:t>Länsman</w:t>
      </w:r>
      <w:proofErr w:type="spellEnd"/>
      <w:r w:rsidRPr="001D1A9A">
        <w:rPr>
          <w:i/>
          <w:iCs/>
          <w:color w:val="000000"/>
          <w:szCs w:val="24"/>
        </w:rPr>
        <w:t xml:space="preserve"> et al. v Finland</w:t>
      </w:r>
      <w:r w:rsidR="0029760F" w:rsidRPr="001D1A9A">
        <w:rPr>
          <w:color w:val="000000"/>
          <w:szCs w:val="24"/>
        </w:rPr>
        <w:t>, HRC, 1994, UN Doc CCPR/C/52/D/511/1992 HRC Dec</w:t>
      </w:r>
      <w:r w:rsidR="00402D05" w:rsidRPr="001D1A9A">
        <w:rPr>
          <w:color w:val="000000"/>
          <w:szCs w:val="24"/>
        </w:rPr>
        <w:t>.</w:t>
      </w:r>
    </w:p>
  </w:footnote>
  <w:footnote w:id="44">
    <w:p w14:paraId="3964AC2A" w14:textId="1C7AB490" w:rsidR="002361EC" w:rsidRPr="001D1A9A" w:rsidRDefault="002361EC"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Standing Rock Sioux Tribe v U.S. Army Corps of Engineers</w:t>
      </w:r>
      <w:r w:rsidR="00BC21B4" w:rsidRPr="001D1A9A">
        <w:rPr>
          <w:i/>
          <w:iCs/>
          <w:szCs w:val="24"/>
        </w:rPr>
        <w:t xml:space="preserve">, United States District Court, District of Columbia, </w:t>
      </w:r>
      <w:r w:rsidR="00BC21B4" w:rsidRPr="001D1A9A">
        <w:rPr>
          <w:szCs w:val="24"/>
        </w:rPr>
        <w:t xml:space="preserve">2018 WL 1385660. </w:t>
      </w:r>
    </w:p>
  </w:footnote>
  <w:footnote w:id="45">
    <w:p w14:paraId="638D8E3D" w14:textId="7704ACBD" w:rsidR="00072780" w:rsidRPr="001D1A9A" w:rsidRDefault="00072780"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United Nations Declaration on the Rights of Indigenous Peoples</w:t>
      </w:r>
      <w:r w:rsidRPr="001D1A9A">
        <w:rPr>
          <w:szCs w:val="24"/>
        </w:rPr>
        <w:t>,</w:t>
      </w:r>
      <w:r w:rsidR="002C6DD8" w:rsidRPr="001D1A9A">
        <w:rPr>
          <w:szCs w:val="24"/>
        </w:rPr>
        <w:t xml:space="preserve"> UNGA, 61st Sess, </w:t>
      </w:r>
      <w:r w:rsidRPr="001D1A9A">
        <w:rPr>
          <w:szCs w:val="24"/>
        </w:rPr>
        <w:t>UN Doc A/RES/61/295 (2007)</w:t>
      </w:r>
      <w:r w:rsidR="00037B7B" w:rsidRPr="001D1A9A">
        <w:rPr>
          <w:szCs w:val="24"/>
        </w:rPr>
        <w:t xml:space="preserve"> [</w:t>
      </w:r>
      <w:r w:rsidR="00037B7B" w:rsidRPr="001D1A9A">
        <w:rPr>
          <w:i/>
          <w:iCs/>
          <w:szCs w:val="24"/>
        </w:rPr>
        <w:t>UNDRIP</w:t>
      </w:r>
      <w:r w:rsidR="00037B7B" w:rsidRPr="001D1A9A">
        <w:rPr>
          <w:szCs w:val="24"/>
        </w:rPr>
        <w:t>]</w:t>
      </w:r>
      <w:r w:rsidRPr="001D1A9A">
        <w:rPr>
          <w:szCs w:val="24"/>
        </w:rPr>
        <w:t>.</w:t>
      </w:r>
      <w:r w:rsidR="002E7775" w:rsidRPr="001D1A9A">
        <w:rPr>
          <w:szCs w:val="24"/>
        </w:rPr>
        <w:t xml:space="preserve"> </w:t>
      </w:r>
    </w:p>
  </w:footnote>
  <w:footnote w:id="46">
    <w:p w14:paraId="32F796EE" w14:textId="73D90CA2" w:rsidR="00A543EC" w:rsidRPr="001D1A9A" w:rsidRDefault="00A543EC"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Legality of the Threat or Use of Nuclear Weapons</w:t>
      </w:r>
      <w:r w:rsidR="00D116A6" w:rsidRPr="001D1A9A">
        <w:rPr>
          <w:i/>
          <w:iCs/>
          <w:szCs w:val="24"/>
        </w:rPr>
        <w:t xml:space="preserve"> Case</w:t>
      </w:r>
      <w:r w:rsidRPr="001D1A9A">
        <w:rPr>
          <w:i/>
          <w:iCs/>
          <w:szCs w:val="24"/>
        </w:rPr>
        <w:t>, Advisory opinion</w:t>
      </w:r>
      <w:r w:rsidRPr="001D1A9A">
        <w:rPr>
          <w:szCs w:val="24"/>
        </w:rPr>
        <w:t>, [1996] ICJ Rep 226</w:t>
      </w:r>
      <w:r w:rsidR="0053595F" w:rsidRPr="001D1A9A">
        <w:rPr>
          <w:szCs w:val="24"/>
        </w:rPr>
        <w:t>, ¶</w:t>
      </w:r>
      <w:r w:rsidRPr="001D1A9A">
        <w:rPr>
          <w:szCs w:val="24"/>
        </w:rPr>
        <w:t>70.</w:t>
      </w:r>
    </w:p>
  </w:footnote>
  <w:footnote w:id="47">
    <w:p w14:paraId="1726B9C1" w14:textId="3EB0B912" w:rsidR="00A543EC" w:rsidRPr="001D1A9A" w:rsidRDefault="00A543EC" w:rsidP="00395591">
      <w:pPr>
        <w:pStyle w:val="FootnoteText"/>
        <w:ind w:left="360" w:hanging="360"/>
        <w:jc w:val="mediumKashida"/>
        <w:rPr>
          <w:szCs w:val="24"/>
        </w:rPr>
      </w:pPr>
      <w:r w:rsidRPr="001D1A9A">
        <w:rPr>
          <w:rStyle w:val="FootnoteReference"/>
          <w:szCs w:val="24"/>
        </w:rPr>
        <w:footnoteRef/>
      </w:r>
      <w:r w:rsidRPr="001D1A9A">
        <w:rPr>
          <w:szCs w:val="24"/>
        </w:rPr>
        <w:t xml:space="preserve"> </w:t>
      </w:r>
      <w:r w:rsidR="005F127F" w:rsidRPr="001D1A9A">
        <w:rPr>
          <w:szCs w:val="24"/>
        </w:rPr>
        <w:t xml:space="preserve">Canada, </w:t>
      </w:r>
      <w:r w:rsidRPr="001D1A9A">
        <w:rPr>
          <w:szCs w:val="24"/>
        </w:rPr>
        <w:t xml:space="preserve">Indian and Northern Affairs Canada, </w:t>
      </w:r>
      <w:r w:rsidRPr="001D1A9A">
        <w:rPr>
          <w:i/>
          <w:iCs/>
          <w:szCs w:val="24"/>
        </w:rPr>
        <w:t>Canada’s Statement of Support on the</w:t>
      </w:r>
      <w:r w:rsidR="00D116A6" w:rsidRPr="001D1A9A">
        <w:rPr>
          <w:i/>
          <w:iCs/>
          <w:szCs w:val="24"/>
        </w:rPr>
        <w:t xml:space="preserve"> </w:t>
      </w:r>
      <w:r w:rsidRPr="001D1A9A">
        <w:rPr>
          <w:i/>
          <w:iCs/>
          <w:szCs w:val="24"/>
        </w:rPr>
        <w:t>United Nations Declaration on the Rights of Indigenous Peoples</w:t>
      </w:r>
      <w:r w:rsidR="005F127F" w:rsidRPr="001D1A9A">
        <w:rPr>
          <w:i/>
          <w:iCs/>
          <w:szCs w:val="24"/>
        </w:rPr>
        <w:t xml:space="preserve"> </w:t>
      </w:r>
      <w:r w:rsidR="005F127F" w:rsidRPr="001D1A9A">
        <w:rPr>
          <w:szCs w:val="24"/>
        </w:rPr>
        <w:t xml:space="preserve">(12 November 2010) online: https://caid.ca/CanSupUNDec2010.pdf. </w:t>
      </w:r>
    </w:p>
  </w:footnote>
  <w:footnote w:id="48">
    <w:p w14:paraId="7E1887AF" w14:textId="284D7A31" w:rsidR="00A543EC" w:rsidRPr="001D1A9A" w:rsidRDefault="00A543EC" w:rsidP="00395591">
      <w:pPr>
        <w:pStyle w:val="FootnoteText"/>
        <w:ind w:left="360" w:hanging="360"/>
        <w:jc w:val="mediumKashida"/>
        <w:rPr>
          <w:szCs w:val="24"/>
        </w:rPr>
      </w:pPr>
      <w:r w:rsidRPr="001D1A9A">
        <w:rPr>
          <w:rStyle w:val="FootnoteReference"/>
          <w:szCs w:val="24"/>
        </w:rPr>
        <w:footnoteRef/>
      </w:r>
      <w:r w:rsidR="005F127F" w:rsidRPr="001D1A9A">
        <w:rPr>
          <w:szCs w:val="24"/>
        </w:rPr>
        <w:t xml:space="preserve"> United States, U.S. </w:t>
      </w:r>
      <w:r w:rsidRPr="001D1A9A">
        <w:rPr>
          <w:szCs w:val="24"/>
        </w:rPr>
        <w:t xml:space="preserve">Department of State, </w:t>
      </w:r>
      <w:r w:rsidRPr="001D1A9A">
        <w:rPr>
          <w:i/>
          <w:iCs/>
          <w:szCs w:val="24"/>
        </w:rPr>
        <w:t>Announcement of U.S. Support for the United Nations Declaration on the Rights of Indigenous Peoples</w:t>
      </w:r>
      <w:r w:rsidR="005F127F" w:rsidRPr="001D1A9A">
        <w:rPr>
          <w:szCs w:val="24"/>
        </w:rPr>
        <w:t xml:space="preserve"> </w:t>
      </w:r>
      <w:r w:rsidRPr="001D1A9A">
        <w:rPr>
          <w:szCs w:val="24"/>
        </w:rPr>
        <w:t xml:space="preserve">(16 Dec 2010) online: </w:t>
      </w:r>
      <w:r w:rsidR="005F127F" w:rsidRPr="001D1A9A">
        <w:rPr>
          <w:szCs w:val="24"/>
        </w:rPr>
        <w:t>https://2009-2017.state.gov/documents/organization/15</w:t>
      </w:r>
      <w:bookmarkStart w:id="17" w:name="_Hlt218960609"/>
      <w:bookmarkStart w:id="18" w:name="_Hlt218960610"/>
      <w:r w:rsidR="005F127F" w:rsidRPr="001D1A9A">
        <w:rPr>
          <w:szCs w:val="24"/>
        </w:rPr>
        <w:t>4</w:t>
      </w:r>
      <w:bookmarkEnd w:id="17"/>
      <w:bookmarkEnd w:id="18"/>
      <w:r w:rsidR="005F127F" w:rsidRPr="001D1A9A">
        <w:rPr>
          <w:szCs w:val="24"/>
        </w:rPr>
        <w:t xml:space="preserve">782.pdf. </w:t>
      </w:r>
    </w:p>
  </w:footnote>
  <w:footnote w:id="49">
    <w:p w14:paraId="7BC29CD5" w14:textId="29ADAE85" w:rsidR="00A543EC" w:rsidRPr="001D1A9A" w:rsidRDefault="00A543EC" w:rsidP="00395591">
      <w:pPr>
        <w:pStyle w:val="FootnoteText"/>
        <w:ind w:left="360" w:hanging="360"/>
        <w:jc w:val="mediumKashida"/>
        <w:rPr>
          <w:szCs w:val="24"/>
        </w:rPr>
      </w:pPr>
      <w:r w:rsidRPr="001D1A9A">
        <w:rPr>
          <w:rStyle w:val="FootnoteReference"/>
          <w:szCs w:val="24"/>
        </w:rPr>
        <w:footnoteRef/>
      </w:r>
      <w:r w:rsidRPr="001D1A9A">
        <w:rPr>
          <w:szCs w:val="24"/>
        </w:rPr>
        <w:t xml:space="preserve"> </w:t>
      </w:r>
      <w:r w:rsidR="00B10122" w:rsidRPr="001D1A9A">
        <w:rPr>
          <w:szCs w:val="24"/>
        </w:rPr>
        <w:t xml:space="preserve">Minister of Māori Affairs of New Zealand, </w:t>
      </w:r>
      <w:r w:rsidR="00B10122" w:rsidRPr="001D1A9A">
        <w:rPr>
          <w:i/>
          <w:iCs/>
          <w:szCs w:val="24"/>
        </w:rPr>
        <w:t>Press Conference on Ninth Session of UN Permanent Forum on Indigenous Issues</w:t>
      </w:r>
      <w:r w:rsidRPr="001D1A9A">
        <w:rPr>
          <w:szCs w:val="24"/>
        </w:rPr>
        <w:t xml:space="preserve"> (19 Apr 2010)</w:t>
      </w:r>
      <w:r w:rsidR="00D116A6" w:rsidRPr="001D1A9A">
        <w:rPr>
          <w:szCs w:val="24"/>
        </w:rPr>
        <w:t xml:space="preserve"> </w:t>
      </w:r>
      <w:r w:rsidRPr="001D1A9A">
        <w:rPr>
          <w:szCs w:val="24"/>
        </w:rPr>
        <w:t xml:space="preserve">online: </w:t>
      </w:r>
      <w:r w:rsidR="00B10122" w:rsidRPr="001D1A9A">
        <w:rPr>
          <w:szCs w:val="24"/>
        </w:rPr>
        <w:t>https://media.un.org/avlibrary/en/asset/d140/d1403893</w:t>
      </w:r>
    </w:p>
  </w:footnote>
  <w:footnote w:id="50">
    <w:p w14:paraId="144A384C" w14:textId="62E42A75" w:rsidR="002E7775" w:rsidRPr="001D1A9A" w:rsidRDefault="002E7775"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 xml:space="preserve">Colombian-Peruvian </w:t>
      </w:r>
      <w:r w:rsidR="001A62A8" w:rsidRPr="001D1A9A">
        <w:rPr>
          <w:i/>
          <w:iCs/>
          <w:szCs w:val="24"/>
        </w:rPr>
        <w:t>A</w:t>
      </w:r>
      <w:r w:rsidRPr="001D1A9A">
        <w:rPr>
          <w:i/>
          <w:iCs/>
          <w:szCs w:val="24"/>
        </w:rPr>
        <w:t xml:space="preserve">sylum </w:t>
      </w:r>
      <w:r w:rsidR="001A62A8" w:rsidRPr="001D1A9A">
        <w:rPr>
          <w:i/>
          <w:iCs/>
          <w:szCs w:val="24"/>
        </w:rPr>
        <w:t>C</w:t>
      </w:r>
      <w:r w:rsidRPr="001D1A9A">
        <w:rPr>
          <w:i/>
          <w:iCs/>
          <w:szCs w:val="24"/>
        </w:rPr>
        <w:t>ase</w:t>
      </w:r>
      <w:r w:rsidRPr="001D1A9A">
        <w:rPr>
          <w:szCs w:val="24"/>
        </w:rPr>
        <w:t xml:space="preserve">, </w:t>
      </w:r>
      <w:r w:rsidR="001A62A8" w:rsidRPr="001D1A9A">
        <w:rPr>
          <w:szCs w:val="24"/>
        </w:rPr>
        <w:t>[</w:t>
      </w:r>
      <w:r w:rsidRPr="001D1A9A">
        <w:rPr>
          <w:szCs w:val="24"/>
        </w:rPr>
        <w:t>1950</w:t>
      </w:r>
      <w:r w:rsidR="001A62A8" w:rsidRPr="001D1A9A">
        <w:rPr>
          <w:szCs w:val="24"/>
        </w:rPr>
        <w:t>]</w:t>
      </w:r>
      <w:r w:rsidRPr="001D1A9A">
        <w:rPr>
          <w:szCs w:val="24"/>
        </w:rPr>
        <w:t xml:space="preserve"> ICJ Rep 2</w:t>
      </w:r>
      <w:r w:rsidR="001A62A8" w:rsidRPr="001D1A9A">
        <w:rPr>
          <w:szCs w:val="24"/>
        </w:rPr>
        <w:t>6</w:t>
      </w:r>
      <w:r w:rsidRPr="001D1A9A">
        <w:rPr>
          <w:szCs w:val="24"/>
        </w:rPr>
        <w:t>6</w:t>
      </w:r>
      <w:r w:rsidR="00DB675A" w:rsidRPr="001D1A9A">
        <w:rPr>
          <w:color w:val="000000"/>
          <w:szCs w:val="24"/>
        </w:rPr>
        <w:t>,</w:t>
      </w:r>
      <w:r w:rsidR="001A62A8" w:rsidRPr="001D1A9A">
        <w:rPr>
          <w:color w:val="000000"/>
          <w:szCs w:val="24"/>
        </w:rPr>
        <w:t xml:space="preserve"> </w:t>
      </w:r>
      <w:r w:rsidR="006A7958" w:rsidRPr="001D1A9A">
        <w:rPr>
          <w:rFonts w:cs="Times New Roman"/>
          <w:szCs w:val="24"/>
        </w:rPr>
        <w:t>¶</w:t>
      </w:r>
      <w:r w:rsidR="001A62A8" w:rsidRPr="001D1A9A">
        <w:rPr>
          <w:color w:val="000000"/>
          <w:szCs w:val="24"/>
        </w:rPr>
        <w:t>276.</w:t>
      </w:r>
    </w:p>
  </w:footnote>
  <w:footnote w:id="51">
    <w:p w14:paraId="0794EDF3" w14:textId="50A33219" w:rsidR="002E7775" w:rsidRPr="001D1A9A" w:rsidRDefault="002E7775"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26.</w:t>
      </w:r>
    </w:p>
  </w:footnote>
  <w:footnote w:id="52">
    <w:p w14:paraId="11E0E021" w14:textId="2F964A23" w:rsidR="00AA4687" w:rsidRPr="001D1A9A" w:rsidRDefault="009D5667"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014FC0" w:rsidRPr="001D1A9A">
        <w:rPr>
          <w:rFonts w:cs="Times New Roman"/>
          <w:szCs w:val="24"/>
        </w:rPr>
        <w:t>Expert Mechanism on the Rights of Indigenous Peoples</w:t>
      </w:r>
      <w:r w:rsidR="00037B7B" w:rsidRPr="001D1A9A">
        <w:rPr>
          <w:rFonts w:cs="Times New Roman"/>
          <w:szCs w:val="24"/>
        </w:rPr>
        <w:t xml:space="preserve">, </w:t>
      </w:r>
      <w:r w:rsidR="0053595F" w:rsidRPr="001D1A9A">
        <w:rPr>
          <w:rFonts w:cs="Times New Roman"/>
          <w:szCs w:val="24"/>
        </w:rPr>
        <w:t>¶</w:t>
      </w:r>
      <w:r w:rsidR="00037B7B" w:rsidRPr="001D1A9A">
        <w:rPr>
          <w:rFonts w:cs="Times New Roman"/>
          <w:szCs w:val="24"/>
        </w:rPr>
        <w:t xml:space="preserve">15. </w:t>
      </w:r>
    </w:p>
  </w:footnote>
  <w:footnote w:id="53">
    <w:p w14:paraId="47AE527E" w14:textId="06D203AE" w:rsidR="009D5667" w:rsidRPr="001D1A9A" w:rsidRDefault="009D5667" w:rsidP="00395591">
      <w:pPr>
        <w:pStyle w:val="FootnoteText"/>
        <w:ind w:left="360" w:hanging="360"/>
        <w:rPr>
          <w:rFonts w:cs="Times New Roman"/>
          <w:szCs w:val="24"/>
        </w:rPr>
      </w:pPr>
      <w:r w:rsidRPr="001D1A9A">
        <w:rPr>
          <w:rStyle w:val="FootnoteReference"/>
          <w:rFonts w:cs="Times New Roman"/>
          <w:szCs w:val="24"/>
        </w:rPr>
        <w:footnoteRef/>
      </w:r>
      <w:r w:rsidRPr="001D1A9A">
        <w:rPr>
          <w:rFonts w:cs="Times New Roman"/>
          <w:szCs w:val="24"/>
        </w:rPr>
        <w:t xml:space="preserve"> </w:t>
      </w:r>
      <w:r w:rsidR="00037B7B" w:rsidRPr="001D1A9A">
        <w:rPr>
          <w:szCs w:val="24"/>
        </w:rPr>
        <w:t xml:space="preserve">Anaya, </w:t>
      </w:r>
      <w:r w:rsidR="0053595F" w:rsidRPr="001D1A9A">
        <w:rPr>
          <w:szCs w:val="24"/>
        </w:rPr>
        <w:t>¶</w:t>
      </w:r>
      <w:r w:rsidR="00037B7B" w:rsidRPr="001D1A9A">
        <w:rPr>
          <w:szCs w:val="24"/>
        </w:rPr>
        <w:t>27</w:t>
      </w:r>
      <w:r w:rsidR="005845C1" w:rsidRPr="001D1A9A">
        <w:rPr>
          <w:szCs w:val="24"/>
        </w:rPr>
        <w:t>, 31</w:t>
      </w:r>
      <w:r w:rsidR="00037B7B" w:rsidRPr="001D1A9A">
        <w:rPr>
          <w:szCs w:val="24"/>
        </w:rPr>
        <w:t xml:space="preserve">. </w:t>
      </w:r>
    </w:p>
  </w:footnote>
  <w:footnote w:id="54">
    <w:p w14:paraId="2108835E" w14:textId="41E3CC14" w:rsidR="00815F2D" w:rsidRPr="001D1A9A" w:rsidRDefault="00815F2D"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UNDRIP</w:t>
      </w:r>
      <w:r w:rsidR="007D2CC5" w:rsidRPr="001D1A9A">
        <w:rPr>
          <w:i/>
          <w:iCs/>
          <w:szCs w:val="24"/>
        </w:rPr>
        <w:t xml:space="preserve">, </w:t>
      </w:r>
      <w:r w:rsidR="007D2CC5" w:rsidRPr="001D1A9A">
        <w:rPr>
          <w:szCs w:val="24"/>
        </w:rPr>
        <w:t>arts 19, 32.2</w:t>
      </w:r>
      <w:r w:rsidR="00617AEC" w:rsidRPr="001D1A9A">
        <w:rPr>
          <w:szCs w:val="24"/>
        </w:rPr>
        <w:t>.</w:t>
      </w:r>
    </w:p>
  </w:footnote>
  <w:footnote w:id="55">
    <w:p w14:paraId="3F2D029C" w14:textId="3EE4AE6E" w:rsidR="00815F2D" w:rsidRPr="001D1A9A" w:rsidRDefault="00815F2D" w:rsidP="00395591">
      <w:pPr>
        <w:pStyle w:val="FootnoteText"/>
        <w:ind w:left="360" w:hanging="360"/>
        <w:rPr>
          <w:szCs w:val="24"/>
        </w:rPr>
      </w:pPr>
      <w:r w:rsidRPr="001D1A9A">
        <w:rPr>
          <w:rStyle w:val="FootnoteReference"/>
          <w:szCs w:val="24"/>
        </w:rPr>
        <w:footnoteRef/>
      </w:r>
      <w:r w:rsidRPr="001D1A9A">
        <w:rPr>
          <w:szCs w:val="24"/>
        </w:rPr>
        <w:t xml:space="preserve"> </w:t>
      </w:r>
      <w:r w:rsidR="00576858" w:rsidRPr="001D1A9A">
        <w:rPr>
          <w:szCs w:val="24"/>
        </w:rPr>
        <w:t>Mauro Barelli, “</w:t>
      </w:r>
      <w:r w:rsidRPr="001D1A9A">
        <w:rPr>
          <w:szCs w:val="24"/>
        </w:rPr>
        <w:t>Free, Prior and Informed Consent in the Aftermath of the UN Declaration on the Rights of Indigenous Peoples: Developments and Challenges Ahead</w:t>
      </w:r>
      <w:r w:rsidR="00576858" w:rsidRPr="001D1A9A">
        <w:rPr>
          <w:szCs w:val="24"/>
        </w:rPr>
        <w:t>” (2012) 16:1 Intl JHR</w:t>
      </w:r>
      <w:r w:rsidR="003B2C24" w:rsidRPr="001D1A9A">
        <w:rPr>
          <w:szCs w:val="24"/>
        </w:rPr>
        <w:t xml:space="preserve"> 1</w:t>
      </w:r>
      <w:r w:rsidR="00DB675A" w:rsidRPr="001D1A9A">
        <w:rPr>
          <w:szCs w:val="24"/>
        </w:rPr>
        <w:t>,</w:t>
      </w:r>
      <w:r w:rsidR="003B2C24" w:rsidRPr="001D1A9A">
        <w:rPr>
          <w:szCs w:val="24"/>
        </w:rPr>
        <w:t xml:space="preserve"> 19–20. </w:t>
      </w:r>
    </w:p>
  </w:footnote>
  <w:footnote w:id="56">
    <w:p w14:paraId="4FD24BF1" w14:textId="174CBBFB" w:rsidR="001D1107" w:rsidRPr="001D1A9A" w:rsidRDefault="001D1107"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Ibid</w:t>
      </w:r>
      <w:r w:rsidR="00DB675A" w:rsidRPr="001D1A9A">
        <w:rPr>
          <w:i/>
          <w:iCs/>
          <w:szCs w:val="24"/>
        </w:rPr>
        <w:t>,</w:t>
      </w:r>
      <w:r w:rsidRPr="001D1A9A">
        <w:rPr>
          <w:i/>
          <w:szCs w:val="24"/>
        </w:rPr>
        <w:t xml:space="preserve"> </w:t>
      </w:r>
      <w:r w:rsidRPr="001D1A9A">
        <w:rPr>
          <w:szCs w:val="24"/>
        </w:rPr>
        <w:t xml:space="preserve">13. </w:t>
      </w:r>
    </w:p>
  </w:footnote>
  <w:footnote w:id="57">
    <w:p w14:paraId="16B18BCB" w14:textId="3EAE59F8" w:rsidR="006D5D99" w:rsidRPr="001D1A9A" w:rsidRDefault="006D5D99" w:rsidP="00395591">
      <w:pPr>
        <w:pStyle w:val="FootnoteText"/>
        <w:ind w:left="360" w:hanging="360"/>
        <w:rPr>
          <w:szCs w:val="24"/>
        </w:rPr>
      </w:pPr>
      <w:r w:rsidRPr="001D1A9A">
        <w:rPr>
          <w:rStyle w:val="FootnoteReference"/>
          <w:szCs w:val="24"/>
        </w:rPr>
        <w:footnoteRef/>
      </w:r>
      <w:r w:rsidRPr="001D1A9A">
        <w:rPr>
          <w:szCs w:val="24"/>
        </w:rPr>
        <w:t xml:space="preserve"> </w:t>
      </w:r>
      <w:r w:rsidR="002A3BF6" w:rsidRPr="001D1A9A">
        <w:rPr>
          <w:szCs w:val="24"/>
        </w:rPr>
        <w:t xml:space="preserve">Salvador </w:t>
      </w:r>
      <w:proofErr w:type="spellStart"/>
      <w:r w:rsidR="002A3BF6" w:rsidRPr="001D1A9A">
        <w:rPr>
          <w:szCs w:val="24"/>
        </w:rPr>
        <w:t>Henrencia</w:t>
      </w:r>
      <w:proofErr w:type="spellEnd"/>
      <w:r w:rsidR="002A3BF6" w:rsidRPr="001D1A9A">
        <w:rPr>
          <w:szCs w:val="24"/>
        </w:rPr>
        <w:t>-Carrasco &amp; Jordi Feo Valero, “Challenges to the Protection of Consultation in Latin America: The Role of the Inter-American Court of Human Rights”</w:t>
      </w:r>
      <w:r w:rsidR="00EF2A6F" w:rsidRPr="001D1A9A">
        <w:rPr>
          <w:szCs w:val="24"/>
        </w:rPr>
        <w:t xml:space="preserve"> </w:t>
      </w:r>
      <w:r w:rsidR="002A3BF6" w:rsidRPr="001D1A9A">
        <w:rPr>
          <w:szCs w:val="24"/>
        </w:rPr>
        <w:t xml:space="preserve">in Paul Haslam et al., eds, </w:t>
      </w:r>
      <w:r w:rsidR="002A3BF6" w:rsidRPr="001D1A9A">
        <w:rPr>
          <w:i/>
          <w:iCs/>
          <w:szCs w:val="24"/>
        </w:rPr>
        <w:t>Contested Consultations in the Extractive Industries: Rights, Processes, and Tensions</w:t>
      </w:r>
      <w:r w:rsidR="002A3BF6" w:rsidRPr="001D1A9A">
        <w:rPr>
          <w:szCs w:val="24"/>
        </w:rPr>
        <w:t xml:space="preserve"> (Routledge</w:t>
      </w:r>
      <w:r w:rsidR="00EF2A6F" w:rsidRPr="001D1A9A">
        <w:rPr>
          <w:szCs w:val="24"/>
        </w:rPr>
        <w:t>, 2026</w:t>
      </w:r>
      <w:r w:rsidR="002A3BF6" w:rsidRPr="001D1A9A">
        <w:rPr>
          <w:szCs w:val="24"/>
        </w:rPr>
        <w:t>)</w:t>
      </w:r>
      <w:r w:rsidR="00EF2A6F" w:rsidRPr="001D1A9A">
        <w:rPr>
          <w:szCs w:val="24"/>
        </w:rPr>
        <w:t>,</w:t>
      </w:r>
      <w:r w:rsidR="002A3BF6" w:rsidRPr="001D1A9A">
        <w:rPr>
          <w:szCs w:val="24"/>
        </w:rPr>
        <w:t xml:space="preserve"> 229</w:t>
      </w:r>
      <w:r w:rsidR="00DB675A" w:rsidRPr="001D1A9A">
        <w:rPr>
          <w:szCs w:val="24"/>
        </w:rPr>
        <w:t>,</w:t>
      </w:r>
      <w:r w:rsidR="00EF2A6F" w:rsidRPr="001D1A9A">
        <w:rPr>
          <w:szCs w:val="24"/>
        </w:rPr>
        <w:t xml:space="preserve"> 232.</w:t>
      </w:r>
    </w:p>
  </w:footnote>
  <w:footnote w:id="58">
    <w:p w14:paraId="39D66BC8" w14:textId="49E29369" w:rsidR="006A620B" w:rsidRPr="001D1A9A" w:rsidRDefault="006A620B"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 xml:space="preserve">Expert Mechanism on the Rights of Indigenous Peoples, </w:t>
      </w:r>
      <w:r w:rsidR="0053595F" w:rsidRPr="001D1A9A">
        <w:rPr>
          <w:rFonts w:cs="Times New Roman"/>
          <w:szCs w:val="24"/>
        </w:rPr>
        <w:t>¶</w:t>
      </w:r>
      <w:r w:rsidRPr="001D1A9A">
        <w:rPr>
          <w:rFonts w:cs="Times New Roman"/>
          <w:szCs w:val="24"/>
        </w:rPr>
        <w:t>33–25.</w:t>
      </w:r>
    </w:p>
  </w:footnote>
  <w:footnote w:id="59">
    <w:p w14:paraId="54CB014F" w14:textId="2102A05F"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 xml:space="preserve">19. </w:t>
      </w:r>
    </w:p>
  </w:footnote>
  <w:footnote w:id="60">
    <w:p w14:paraId="0AFE25F8" w14:textId="5E10E87A"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00EF2A6F" w:rsidRPr="001D1A9A">
        <w:rPr>
          <w:i/>
          <w:iCs/>
          <w:szCs w:val="24"/>
        </w:rPr>
        <w:t>Case of the Saramaka People (</w:t>
      </w:r>
      <w:r w:rsidRPr="001D1A9A">
        <w:rPr>
          <w:i/>
          <w:iCs/>
          <w:szCs w:val="24"/>
        </w:rPr>
        <w:t>Suriname</w:t>
      </w:r>
      <w:r w:rsidR="00EF2A6F" w:rsidRPr="001D1A9A">
        <w:rPr>
          <w:i/>
          <w:iCs/>
          <w:szCs w:val="24"/>
        </w:rPr>
        <w:t>)</w:t>
      </w:r>
      <w:r w:rsidR="00D94382" w:rsidRPr="001D1A9A">
        <w:rPr>
          <w:i/>
          <w:iCs/>
          <w:szCs w:val="24"/>
        </w:rPr>
        <w:t xml:space="preserve"> </w:t>
      </w:r>
      <w:r w:rsidR="00D94382" w:rsidRPr="001D1A9A">
        <w:rPr>
          <w:szCs w:val="24"/>
        </w:rPr>
        <w:t>(200</w:t>
      </w:r>
      <w:r w:rsidR="004C687C" w:rsidRPr="001D1A9A">
        <w:rPr>
          <w:szCs w:val="24"/>
        </w:rPr>
        <w:t>8</w:t>
      </w:r>
      <w:r w:rsidR="00D94382" w:rsidRPr="001D1A9A">
        <w:rPr>
          <w:szCs w:val="24"/>
        </w:rPr>
        <w:t>) Interpretation of Judgment</w:t>
      </w:r>
      <w:r w:rsidR="004C687C" w:rsidRPr="001D1A9A">
        <w:rPr>
          <w:szCs w:val="24"/>
        </w:rPr>
        <w:t>, IACtHR (Ser C</w:t>
      </w:r>
      <w:r w:rsidR="00DD4D9B" w:rsidRPr="001D1A9A">
        <w:rPr>
          <w:szCs w:val="24"/>
        </w:rPr>
        <w:t>) No 1</w:t>
      </w:r>
      <w:r w:rsidR="005A376F" w:rsidRPr="001D1A9A">
        <w:rPr>
          <w:szCs w:val="24"/>
        </w:rPr>
        <w:t>85</w:t>
      </w:r>
      <w:r w:rsidR="0053595F" w:rsidRPr="001D1A9A">
        <w:rPr>
          <w:szCs w:val="24"/>
        </w:rPr>
        <w:t>, ¶</w:t>
      </w:r>
      <w:r w:rsidR="00860C6F" w:rsidRPr="001D1A9A">
        <w:rPr>
          <w:szCs w:val="24"/>
        </w:rPr>
        <w:t>17</w:t>
      </w:r>
      <w:r w:rsidR="00A539D5" w:rsidRPr="001D1A9A">
        <w:rPr>
          <w:szCs w:val="24"/>
        </w:rPr>
        <w:t xml:space="preserve">; </w:t>
      </w:r>
      <w:r w:rsidR="007C72F2" w:rsidRPr="001D1A9A">
        <w:rPr>
          <w:szCs w:val="24"/>
        </w:rPr>
        <w:t xml:space="preserve">Anaya, </w:t>
      </w:r>
      <w:r w:rsidR="0053595F" w:rsidRPr="001D1A9A">
        <w:rPr>
          <w:szCs w:val="24"/>
        </w:rPr>
        <w:t>¶</w:t>
      </w:r>
      <w:r w:rsidR="007C72F2" w:rsidRPr="001D1A9A">
        <w:rPr>
          <w:szCs w:val="24"/>
        </w:rPr>
        <w:t xml:space="preserve">31. </w:t>
      </w:r>
    </w:p>
  </w:footnote>
  <w:footnote w:id="61">
    <w:p w14:paraId="53034EA5" w14:textId="61223B4A"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009E4936" w:rsidRPr="001D1A9A">
        <w:rPr>
          <w:szCs w:val="24"/>
        </w:rPr>
        <w:t xml:space="preserve">Anaya, </w:t>
      </w:r>
      <w:r w:rsidR="0053595F" w:rsidRPr="001D1A9A">
        <w:rPr>
          <w:szCs w:val="24"/>
        </w:rPr>
        <w:t>¶</w:t>
      </w:r>
      <w:r w:rsidRPr="001D1A9A">
        <w:rPr>
          <w:szCs w:val="24"/>
        </w:rPr>
        <w:t>37.</w:t>
      </w:r>
    </w:p>
  </w:footnote>
  <w:footnote w:id="62">
    <w:p w14:paraId="40ECE895" w14:textId="2036AAEC"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20.</w:t>
      </w:r>
    </w:p>
  </w:footnote>
  <w:footnote w:id="63">
    <w:p w14:paraId="5BA37165" w14:textId="1DAC0BB1"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005A376F" w:rsidRPr="001D1A9A">
        <w:rPr>
          <w:i/>
          <w:iCs/>
          <w:szCs w:val="24"/>
        </w:rPr>
        <w:t xml:space="preserve">Case of the Saramaka People (Suriname) </w:t>
      </w:r>
      <w:r w:rsidR="005A376F" w:rsidRPr="001D1A9A">
        <w:rPr>
          <w:szCs w:val="24"/>
        </w:rPr>
        <w:t xml:space="preserve">(2007) </w:t>
      </w:r>
      <w:r w:rsidRPr="001D1A9A">
        <w:rPr>
          <w:szCs w:val="24"/>
        </w:rPr>
        <w:t>IACtHR (Ser C) No 172</w:t>
      </w:r>
      <w:r w:rsidR="0053595F" w:rsidRPr="001D1A9A">
        <w:rPr>
          <w:szCs w:val="24"/>
        </w:rPr>
        <w:t>, ¶</w:t>
      </w:r>
      <w:r w:rsidR="00F752D4" w:rsidRPr="001D1A9A">
        <w:rPr>
          <w:szCs w:val="24"/>
        </w:rPr>
        <w:t xml:space="preserve">158. </w:t>
      </w:r>
    </w:p>
  </w:footnote>
  <w:footnote w:id="64">
    <w:p w14:paraId="284224A8" w14:textId="60C7863F"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00B51084" w:rsidRPr="001D1A9A">
        <w:rPr>
          <w:szCs w:val="24"/>
        </w:rPr>
        <w:t xml:space="preserve">Anaya, </w:t>
      </w:r>
      <w:r w:rsidR="0053595F" w:rsidRPr="001D1A9A">
        <w:rPr>
          <w:szCs w:val="24"/>
        </w:rPr>
        <w:t>¶</w:t>
      </w:r>
      <w:r w:rsidR="00B51084" w:rsidRPr="001D1A9A">
        <w:rPr>
          <w:szCs w:val="24"/>
        </w:rPr>
        <w:t xml:space="preserve">70–71. </w:t>
      </w:r>
    </w:p>
  </w:footnote>
  <w:footnote w:id="65">
    <w:p w14:paraId="0C850944" w14:textId="537814E8"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 xml:space="preserve">21. </w:t>
      </w:r>
    </w:p>
  </w:footnote>
  <w:footnote w:id="66">
    <w:p w14:paraId="66C12D13" w14:textId="2C026CB9"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29.</w:t>
      </w:r>
    </w:p>
  </w:footnote>
  <w:footnote w:id="67">
    <w:p w14:paraId="1BEB14A9" w14:textId="69BC96FA"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30.</w:t>
      </w:r>
    </w:p>
  </w:footnote>
  <w:footnote w:id="68">
    <w:p w14:paraId="24845A4F" w14:textId="23753D82"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29.</w:t>
      </w:r>
    </w:p>
  </w:footnote>
  <w:footnote w:id="69">
    <w:p w14:paraId="0489440C" w14:textId="29AD846C"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31.</w:t>
      </w:r>
    </w:p>
  </w:footnote>
  <w:footnote w:id="70">
    <w:p w14:paraId="21042E71" w14:textId="3F8879F8"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00477A84" w:rsidRPr="001D1A9A">
        <w:rPr>
          <w:i/>
          <w:iCs/>
          <w:szCs w:val="24"/>
        </w:rPr>
        <w:t>Chippewas of the Thames</w:t>
      </w:r>
      <w:r w:rsidR="00E677D3" w:rsidRPr="001D1A9A">
        <w:rPr>
          <w:szCs w:val="24"/>
        </w:rPr>
        <w:t>,</w:t>
      </w:r>
      <w:r w:rsidR="00827DF4" w:rsidRPr="001D1A9A">
        <w:rPr>
          <w:szCs w:val="24"/>
        </w:rPr>
        <w:t xml:space="preserve"> </w:t>
      </w:r>
      <w:r w:rsidR="0053595F" w:rsidRPr="001D1A9A">
        <w:rPr>
          <w:szCs w:val="24"/>
        </w:rPr>
        <w:t>¶</w:t>
      </w:r>
      <w:r w:rsidR="00827DF4" w:rsidRPr="001D1A9A">
        <w:rPr>
          <w:szCs w:val="24"/>
        </w:rPr>
        <w:t xml:space="preserve">51. </w:t>
      </w:r>
    </w:p>
  </w:footnote>
  <w:footnote w:id="71">
    <w:p w14:paraId="387673BA" w14:textId="49A72173"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 xml:space="preserve">32. </w:t>
      </w:r>
    </w:p>
  </w:footnote>
  <w:footnote w:id="72">
    <w:p w14:paraId="5C540339" w14:textId="087C162F" w:rsidR="00704EEF" w:rsidRPr="001D1A9A" w:rsidRDefault="00704EEF" w:rsidP="00395591">
      <w:pPr>
        <w:pStyle w:val="FootnoteText"/>
        <w:ind w:left="360" w:hanging="360"/>
        <w:rPr>
          <w:szCs w:val="24"/>
        </w:rPr>
      </w:pPr>
      <w:r w:rsidRPr="001D1A9A">
        <w:rPr>
          <w:rStyle w:val="FootnoteReference"/>
          <w:szCs w:val="24"/>
        </w:rPr>
        <w:footnoteRef/>
      </w:r>
      <w:r w:rsidRPr="001D1A9A">
        <w:rPr>
          <w:szCs w:val="24"/>
        </w:rPr>
        <w:t xml:space="preserve"> </w:t>
      </w:r>
      <w:proofErr w:type="spellStart"/>
      <w:r w:rsidRPr="001D1A9A">
        <w:rPr>
          <w:i/>
          <w:iCs/>
          <w:szCs w:val="24"/>
        </w:rPr>
        <w:t>Kebaowek</w:t>
      </w:r>
      <w:proofErr w:type="spellEnd"/>
      <w:r w:rsidRPr="001D1A9A">
        <w:rPr>
          <w:i/>
          <w:iCs/>
          <w:szCs w:val="24"/>
        </w:rPr>
        <w:t xml:space="preserve"> First Nation v. Canadian Nuclear Laboratories</w:t>
      </w:r>
      <w:r w:rsidRPr="001D1A9A">
        <w:rPr>
          <w:szCs w:val="24"/>
        </w:rPr>
        <w:t>, 2025 FC 319</w:t>
      </w:r>
      <w:r w:rsidR="0053595F" w:rsidRPr="001D1A9A">
        <w:rPr>
          <w:szCs w:val="24"/>
        </w:rPr>
        <w:t>, ¶</w:t>
      </w:r>
      <w:r w:rsidRPr="001D1A9A">
        <w:rPr>
          <w:szCs w:val="24"/>
        </w:rPr>
        <w:t>15</w:t>
      </w:r>
      <w:r w:rsidR="00FF75CC" w:rsidRPr="001D1A9A">
        <w:rPr>
          <w:szCs w:val="24"/>
        </w:rPr>
        <w:t>5</w:t>
      </w:r>
      <w:r w:rsidRPr="001D1A9A">
        <w:rPr>
          <w:szCs w:val="24"/>
        </w:rPr>
        <w:t>-157.</w:t>
      </w:r>
    </w:p>
  </w:footnote>
  <w:footnote w:id="73">
    <w:p w14:paraId="2868BD30" w14:textId="107D8FC4" w:rsidR="00704EEF" w:rsidRPr="001D1A9A" w:rsidRDefault="00704EEF"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20</w:t>
      </w:r>
      <w:r w:rsidR="00A73A89" w:rsidRPr="001D1A9A">
        <w:rPr>
          <w:rFonts w:cs="Times New Roman"/>
          <w:szCs w:val="24"/>
        </w:rPr>
        <w:t>–</w:t>
      </w:r>
      <w:r w:rsidRPr="001D1A9A">
        <w:rPr>
          <w:rFonts w:cs="Times New Roman"/>
          <w:szCs w:val="24"/>
        </w:rPr>
        <w:t>21.</w:t>
      </w:r>
    </w:p>
  </w:footnote>
  <w:footnote w:id="74">
    <w:p w14:paraId="0C37C4ED" w14:textId="10DA5DA5" w:rsidR="00704EEF" w:rsidRPr="001D1A9A" w:rsidRDefault="00704EEF"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29</w:t>
      </w:r>
      <w:r w:rsidR="00A73A89" w:rsidRPr="001D1A9A">
        <w:rPr>
          <w:rFonts w:cs="Times New Roman"/>
          <w:szCs w:val="24"/>
        </w:rPr>
        <w:t>–</w:t>
      </w:r>
      <w:r w:rsidRPr="001D1A9A">
        <w:rPr>
          <w:rFonts w:cs="Times New Roman"/>
          <w:szCs w:val="24"/>
        </w:rPr>
        <w:t>31.</w:t>
      </w:r>
    </w:p>
  </w:footnote>
  <w:footnote w:id="75">
    <w:p w14:paraId="390248DC" w14:textId="5CF0C22B" w:rsidR="00324AF3" w:rsidRPr="001D1A9A" w:rsidRDefault="00324AF3"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20</w:t>
      </w:r>
      <w:r w:rsidR="00A73A89" w:rsidRPr="001D1A9A">
        <w:rPr>
          <w:rFonts w:cs="Times New Roman"/>
          <w:szCs w:val="24"/>
        </w:rPr>
        <w:t>–</w:t>
      </w:r>
      <w:r w:rsidRPr="001D1A9A">
        <w:rPr>
          <w:rFonts w:cs="Times New Roman"/>
          <w:szCs w:val="24"/>
        </w:rPr>
        <w:t>21.</w:t>
      </w:r>
    </w:p>
  </w:footnote>
  <w:footnote w:id="76">
    <w:p w14:paraId="5A967FA9" w14:textId="476BAC2F" w:rsidR="00AA28ED" w:rsidRPr="001D1A9A" w:rsidRDefault="00AA28ED" w:rsidP="00395591">
      <w:pPr>
        <w:pStyle w:val="FootnoteText"/>
        <w:ind w:left="360" w:hanging="360"/>
        <w:rPr>
          <w:szCs w:val="24"/>
        </w:rPr>
      </w:pPr>
      <w:r w:rsidRPr="001D1A9A">
        <w:rPr>
          <w:rStyle w:val="FootnoteReference"/>
          <w:szCs w:val="24"/>
        </w:rPr>
        <w:footnoteRef/>
      </w:r>
      <w:r w:rsidRPr="001D1A9A">
        <w:rPr>
          <w:szCs w:val="24"/>
        </w:rPr>
        <w:t xml:space="preserve"> </w:t>
      </w:r>
      <w:r w:rsidR="00826709" w:rsidRPr="001D1A9A">
        <w:rPr>
          <w:i/>
          <w:iCs/>
          <w:szCs w:val="24"/>
        </w:rPr>
        <w:t>UNDRIP</w:t>
      </w:r>
      <w:r w:rsidR="00826709" w:rsidRPr="001D1A9A">
        <w:rPr>
          <w:szCs w:val="24"/>
        </w:rPr>
        <w:t>, art</w:t>
      </w:r>
      <w:r w:rsidR="00C05DB2" w:rsidRPr="001D1A9A">
        <w:rPr>
          <w:szCs w:val="24"/>
        </w:rPr>
        <w:t xml:space="preserve"> 46(2). </w:t>
      </w:r>
    </w:p>
  </w:footnote>
  <w:footnote w:id="77">
    <w:p w14:paraId="2907883A" w14:textId="455B6466" w:rsidR="00015556" w:rsidRPr="001D1A9A" w:rsidRDefault="00015556" w:rsidP="00395591">
      <w:pPr>
        <w:pStyle w:val="FootnoteText"/>
        <w:ind w:left="360" w:hanging="360"/>
        <w:rPr>
          <w:szCs w:val="24"/>
        </w:rPr>
      </w:pPr>
      <w:r w:rsidRPr="001D1A9A">
        <w:rPr>
          <w:rStyle w:val="FootnoteReference"/>
          <w:szCs w:val="24"/>
        </w:rPr>
        <w:footnoteRef/>
      </w:r>
      <w:r w:rsidRPr="001D1A9A">
        <w:rPr>
          <w:szCs w:val="24"/>
        </w:rPr>
        <w:t xml:space="preserve"> </w:t>
      </w:r>
      <w:r w:rsidR="008857BC" w:rsidRPr="001D1A9A">
        <w:rPr>
          <w:szCs w:val="24"/>
        </w:rPr>
        <w:t xml:space="preserve">Anaya, </w:t>
      </w:r>
      <w:r w:rsidR="0053595F" w:rsidRPr="001D1A9A">
        <w:rPr>
          <w:szCs w:val="24"/>
        </w:rPr>
        <w:t>¶</w:t>
      </w:r>
      <w:r w:rsidR="008857BC" w:rsidRPr="001D1A9A">
        <w:rPr>
          <w:szCs w:val="24"/>
        </w:rPr>
        <w:t xml:space="preserve">32–34; </w:t>
      </w:r>
      <w:r w:rsidR="00B912A5" w:rsidRPr="001D1A9A">
        <w:rPr>
          <w:rFonts w:cs="Times New Roman"/>
          <w:szCs w:val="24"/>
        </w:rPr>
        <w:t xml:space="preserve">Expert Mechanism on the Rights of Indigenous Peoples, </w:t>
      </w:r>
      <w:r w:rsidR="0053595F" w:rsidRPr="001D1A9A">
        <w:rPr>
          <w:rFonts w:cs="Times New Roman"/>
          <w:szCs w:val="24"/>
        </w:rPr>
        <w:t>¶</w:t>
      </w:r>
      <w:r w:rsidR="00FE391C" w:rsidRPr="001D1A9A">
        <w:rPr>
          <w:rFonts w:cs="Times New Roman"/>
          <w:szCs w:val="24"/>
        </w:rPr>
        <w:t xml:space="preserve">38. </w:t>
      </w:r>
    </w:p>
  </w:footnote>
  <w:footnote w:id="78">
    <w:p w14:paraId="3B64EE61" w14:textId="7A8B6EC4" w:rsidR="00B27AAB" w:rsidRPr="001D1A9A" w:rsidRDefault="00B27AAB" w:rsidP="00395591">
      <w:pPr>
        <w:pStyle w:val="FootnoteText"/>
        <w:ind w:left="360" w:hanging="360"/>
        <w:rPr>
          <w:szCs w:val="24"/>
        </w:rPr>
      </w:pPr>
      <w:r w:rsidRPr="001D1A9A">
        <w:rPr>
          <w:rStyle w:val="FootnoteReference"/>
          <w:szCs w:val="24"/>
        </w:rPr>
        <w:footnoteRef/>
      </w:r>
      <w:r w:rsidRPr="001D1A9A">
        <w:rPr>
          <w:szCs w:val="24"/>
        </w:rPr>
        <w:t xml:space="preserve"> </w:t>
      </w:r>
      <w:r w:rsidR="00BA33F5" w:rsidRPr="001D1A9A">
        <w:rPr>
          <w:rFonts w:cs="Times New Roman"/>
          <w:szCs w:val="24"/>
        </w:rPr>
        <w:t>Compromis</w:t>
      </w:r>
      <w:r w:rsidR="0053595F" w:rsidRPr="001D1A9A">
        <w:rPr>
          <w:rFonts w:cs="Times New Roman"/>
          <w:szCs w:val="24"/>
        </w:rPr>
        <w:t>, ¶</w:t>
      </w:r>
      <w:r w:rsidR="003567FF" w:rsidRPr="001D1A9A">
        <w:rPr>
          <w:rFonts w:cs="Times New Roman"/>
          <w:szCs w:val="24"/>
        </w:rPr>
        <w:t>48.</w:t>
      </w:r>
    </w:p>
  </w:footnote>
  <w:footnote w:id="79">
    <w:p w14:paraId="7B212FFB" w14:textId="7C98108B" w:rsidR="00D33C5F" w:rsidRPr="001D1A9A" w:rsidRDefault="00D33C5F" w:rsidP="00395591">
      <w:pPr>
        <w:pStyle w:val="FootnoteText"/>
        <w:ind w:left="360" w:hanging="360"/>
        <w:rPr>
          <w:szCs w:val="24"/>
        </w:rPr>
      </w:pPr>
      <w:r w:rsidRPr="001D1A9A">
        <w:rPr>
          <w:rStyle w:val="FootnoteReference"/>
          <w:szCs w:val="24"/>
        </w:rPr>
        <w:footnoteRef/>
      </w:r>
      <w:r w:rsidRPr="001D1A9A">
        <w:rPr>
          <w:szCs w:val="24"/>
        </w:rPr>
        <w:t xml:space="preserve"> </w:t>
      </w:r>
      <w:r w:rsidR="003567FF" w:rsidRPr="001D1A9A">
        <w:rPr>
          <w:rFonts w:cs="Times New Roman"/>
          <w:szCs w:val="24"/>
        </w:rPr>
        <w:t>Compromis</w:t>
      </w:r>
      <w:r w:rsidR="0053595F" w:rsidRPr="001D1A9A">
        <w:rPr>
          <w:rFonts w:cs="Times New Roman"/>
          <w:szCs w:val="24"/>
        </w:rPr>
        <w:t>, ¶</w:t>
      </w:r>
      <w:r w:rsidR="00167381" w:rsidRPr="001D1A9A">
        <w:rPr>
          <w:rFonts w:cs="Times New Roman"/>
          <w:szCs w:val="24"/>
        </w:rPr>
        <w:t>20.</w:t>
      </w:r>
    </w:p>
  </w:footnote>
  <w:footnote w:id="80">
    <w:p w14:paraId="4823362E" w14:textId="541520E0" w:rsidR="00167381" w:rsidRPr="001D1A9A" w:rsidRDefault="0016738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szCs w:val="24"/>
        </w:rPr>
        <w:t>Compromis</w:t>
      </w:r>
      <w:r w:rsidR="0053595F" w:rsidRPr="001D1A9A">
        <w:rPr>
          <w:rFonts w:cs="Times New Roman"/>
          <w:szCs w:val="24"/>
        </w:rPr>
        <w:t>, ¶</w:t>
      </w:r>
      <w:r w:rsidRPr="001D1A9A">
        <w:rPr>
          <w:rFonts w:cs="Times New Roman"/>
          <w:szCs w:val="24"/>
        </w:rPr>
        <w:t xml:space="preserve">20, 31. </w:t>
      </w:r>
    </w:p>
  </w:footnote>
  <w:footnote w:id="81">
    <w:p w14:paraId="7BC74A4D" w14:textId="53B9467B"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Compromis</w:t>
      </w:r>
      <w:r w:rsidR="0021793C" w:rsidRPr="001D1A9A">
        <w:rPr>
          <w:szCs w:val="24"/>
        </w:rPr>
        <w:t>,</w:t>
      </w:r>
      <w:r w:rsidRPr="001D1A9A">
        <w:rPr>
          <w:szCs w:val="24"/>
        </w:rPr>
        <w:t xml:space="preserve"> </w:t>
      </w:r>
      <w:r w:rsidRPr="001D1A9A">
        <w:rPr>
          <w:szCs w:val="24"/>
          <w:lang w:val="en-GB"/>
        </w:rPr>
        <w:t>¶</w:t>
      </w:r>
      <w:r w:rsidRPr="001D1A9A">
        <w:rPr>
          <w:szCs w:val="24"/>
        </w:rPr>
        <w:t xml:space="preserve">14. </w:t>
      </w:r>
    </w:p>
  </w:footnote>
  <w:footnote w:id="82">
    <w:p w14:paraId="277A6A61"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Robert Currie, </w:t>
      </w:r>
      <w:r w:rsidRPr="001D1A9A">
        <w:rPr>
          <w:i/>
          <w:szCs w:val="24"/>
        </w:rPr>
        <w:t>International and Transnational Criminal Law</w:t>
      </w:r>
      <w:r w:rsidRPr="001D1A9A">
        <w:rPr>
          <w:szCs w:val="24"/>
        </w:rPr>
        <w:t xml:space="preserve"> (Toronto: Irwin Law, 2010)</w:t>
      </w:r>
      <w:r w:rsidRPr="001D1A9A">
        <w:rPr>
          <w:i/>
          <w:iCs/>
          <w:szCs w:val="24"/>
        </w:rPr>
        <w:t>,</w:t>
      </w:r>
      <w:r w:rsidRPr="001D1A9A">
        <w:rPr>
          <w:i/>
          <w:szCs w:val="24"/>
        </w:rPr>
        <w:t xml:space="preserve"> </w:t>
      </w:r>
      <w:r w:rsidRPr="001D1A9A">
        <w:rPr>
          <w:szCs w:val="24"/>
        </w:rPr>
        <w:t xml:space="preserve">481; Harmen van der Wilt, </w:t>
      </w:r>
      <w:r w:rsidRPr="001D1A9A">
        <w:rPr>
          <w:i/>
          <w:iCs/>
          <w:szCs w:val="24"/>
        </w:rPr>
        <w:t xml:space="preserve">The Law and Practice of Extradition, </w:t>
      </w:r>
      <w:r w:rsidRPr="001D1A9A">
        <w:rPr>
          <w:szCs w:val="24"/>
        </w:rPr>
        <w:t xml:space="preserve">(New York: Routledge, 2022), 22; Compromis, </w:t>
      </w:r>
      <w:r w:rsidRPr="001D1A9A">
        <w:rPr>
          <w:szCs w:val="24"/>
          <w:lang w:val="en-GB"/>
        </w:rPr>
        <w:t>¶</w:t>
      </w:r>
      <w:r w:rsidRPr="001D1A9A">
        <w:rPr>
          <w:szCs w:val="24"/>
        </w:rPr>
        <w:t>41, 44 [</w:t>
      </w:r>
      <w:r w:rsidRPr="001D1A9A">
        <w:rPr>
          <w:i/>
          <w:iCs/>
          <w:szCs w:val="24"/>
        </w:rPr>
        <w:t>Van der Wilt</w:t>
      </w:r>
      <w:r w:rsidRPr="001D1A9A">
        <w:rPr>
          <w:szCs w:val="24"/>
        </w:rPr>
        <w:t>].</w:t>
      </w:r>
    </w:p>
  </w:footnote>
  <w:footnote w:id="83">
    <w:p w14:paraId="1E4FCF33"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Neil Boister, “A History of Double Criminality in Extradition”, (2003) 25:2 J. Hist. Int. Law 218 at 219; Cherif Bassiouni, “Human Rights in the Context of Criminal Justice: Identifying International Protections and Equivalent Protections in National Constitutions”, (1993) 3 Duke </w:t>
      </w:r>
      <w:proofErr w:type="spellStart"/>
      <w:r w:rsidRPr="001D1A9A">
        <w:rPr>
          <w:szCs w:val="24"/>
        </w:rPr>
        <w:t>J.Comp</w:t>
      </w:r>
      <w:proofErr w:type="spellEnd"/>
      <w:r w:rsidRPr="001D1A9A">
        <w:rPr>
          <w:szCs w:val="24"/>
        </w:rPr>
        <w:t xml:space="preserve">.&amp; Int'l L. 235, 247. </w:t>
      </w:r>
    </w:p>
  </w:footnote>
  <w:footnote w:id="84">
    <w:p w14:paraId="76CCA7B3"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ILC General Principles of Law, Texts and titles of the draft conclusions adopted by the Drafting Committee (20 May 2025), A/CN.4/L.1018, Draft Conclusion 2. </w:t>
      </w:r>
    </w:p>
  </w:footnote>
  <w:footnote w:id="85">
    <w:p w14:paraId="244A6581" w14:textId="77777777" w:rsidR="00027AF1" w:rsidRPr="001D1A9A" w:rsidRDefault="00027AF1" w:rsidP="00395591">
      <w:pPr>
        <w:shd w:val="clear" w:color="auto" w:fill="FFFFFF"/>
        <w:spacing w:line="240" w:lineRule="auto"/>
        <w:ind w:left="360" w:hanging="360"/>
      </w:pPr>
      <w:r w:rsidRPr="001D1A9A">
        <w:rPr>
          <w:rStyle w:val="FootnoteReference"/>
        </w:rPr>
        <w:footnoteRef/>
      </w:r>
      <w:r w:rsidRPr="001D1A9A">
        <w:t xml:space="preserve"> </w:t>
      </w:r>
      <w:r w:rsidRPr="001D1A9A">
        <w:rPr>
          <w:i/>
          <w:iCs/>
        </w:rPr>
        <w:t>Construction of a Road in Costa Rica along the San Juan River (Nicaragua v. Costa Rica),</w:t>
      </w:r>
      <w:r w:rsidRPr="001D1A9A">
        <w:t xml:space="preserve"> Joinder of Proceedings, [2013] ICJ Rep 184, Separate Opinion of Judge Cançado Trindade, </w:t>
      </w:r>
      <w:r w:rsidRPr="001D1A9A">
        <w:rPr>
          <w:lang w:val="en-GB"/>
        </w:rPr>
        <w:t>¶</w:t>
      </w:r>
      <w:r w:rsidRPr="001D1A9A">
        <w:t xml:space="preserve">27. </w:t>
      </w:r>
    </w:p>
  </w:footnote>
  <w:footnote w:id="86">
    <w:p w14:paraId="5524D9DB" w14:textId="022423F4"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See for example, </w:t>
      </w:r>
      <w:r w:rsidRPr="001D1A9A">
        <w:rPr>
          <w:i/>
          <w:iCs/>
          <w:szCs w:val="24"/>
        </w:rPr>
        <w:t>Prosecutor v. Miroslav Deronjić</w:t>
      </w:r>
      <w:r w:rsidRPr="001D1A9A">
        <w:rPr>
          <w:szCs w:val="24"/>
        </w:rPr>
        <w:t>, Case No. IT-02-61-A, Judgment on Sentencing Appeal, 20 July 2005, Appeals Chamber</w:t>
      </w:r>
      <w:r w:rsidR="0053595F" w:rsidRPr="001D1A9A">
        <w:rPr>
          <w:szCs w:val="24"/>
        </w:rPr>
        <w:t>, ¶</w:t>
      </w:r>
      <w:r w:rsidRPr="001D1A9A">
        <w:rPr>
          <w:szCs w:val="24"/>
        </w:rPr>
        <w:t xml:space="preserve">124 (ICTY); </w:t>
      </w:r>
      <w:r w:rsidRPr="001D1A9A">
        <w:rPr>
          <w:i/>
          <w:iCs/>
          <w:szCs w:val="24"/>
        </w:rPr>
        <w:t xml:space="preserve">Prosecutor v. Sefer Halilovic, </w:t>
      </w:r>
      <w:r w:rsidRPr="001D1A9A">
        <w:rPr>
          <w:szCs w:val="24"/>
        </w:rPr>
        <w:t xml:space="preserve">ICTY Case No. IT-01-48-AR73.2, Decision on Interlocutory Appeal Concerning Admission of Record of Interview of the Accused from the Bar Table, 19 August 2005, Appeals Chamber, </w:t>
      </w:r>
      <w:r w:rsidRPr="001D1A9A">
        <w:rPr>
          <w:szCs w:val="24"/>
          <w:lang w:val="en-GB"/>
        </w:rPr>
        <w:t>¶</w:t>
      </w:r>
      <w:r w:rsidRPr="001D1A9A">
        <w:rPr>
          <w:szCs w:val="24"/>
        </w:rPr>
        <w:t xml:space="preserve">46. </w:t>
      </w:r>
    </w:p>
  </w:footnote>
  <w:footnote w:id="87">
    <w:p w14:paraId="01C69827"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Prosecutor v. Duško Tadić</w:t>
      </w:r>
      <w:r w:rsidRPr="001D1A9A">
        <w:rPr>
          <w:szCs w:val="24"/>
        </w:rPr>
        <w:t xml:space="preserve">, Case No. IT-94-1-A, Judgement, 15 July 1999, Appeals Chamber, </w:t>
      </w:r>
      <w:r w:rsidRPr="001D1A9A">
        <w:rPr>
          <w:szCs w:val="24"/>
          <w:lang w:val="en-GB"/>
        </w:rPr>
        <w:t>¶</w:t>
      </w:r>
      <w:r w:rsidRPr="001D1A9A">
        <w:rPr>
          <w:szCs w:val="24"/>
        </w:rPr>
        <w:t>225 (ICTY).</w:t>
      </w:r>
    </w:p>
  </w:footnote>
  <w:footnote w:id="88">
    <w:p w14:paraId="3AC7D1BB" w14:textId="4733E954"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Prosecutor v. Zoran Kupreškić et al.,</w:t>
      </w:r>
      <w:r w:rsidRPr="001D1A9A">
        <w:rPr>
          <w:szCs w:val="24"/>
        </w:rPr>
        <w:t xml:space="preserve"> Case No. IT-95-16, Judgement, 14 January 2000</w:t>
      </w:r>
      <w:r w:rsidR="0053595F" w:rsidRPr="001D1A9A">
        <w:rPr>
          <w:szCs w:val="24"/>
        </w:rPr>
        <w:t>, ¶</w:t>
      </w:r>
      <w:r w:rsidRPr="001D1A9A">
        <w:rPr>
          <w:szCs w:val="24"/>
        </w:rPr>
        <w:t xml:space="preserve">677 (ICTY); Marcelo Vázquez-Bermúdez, “First Report on General Principles of Law,” (2019) International Law Commission, A/CN.4/732, </w:t>
      </w:r>
      <w:r w:rsidRPr="001D1A9A">
        <w:rPr>
          <w:szCs w:val="24"/>
          <w:lang w:val="en-GB"/>
        </w:rPr>
        <w:t>¶</w:t>
      </w:r>
      <w:r w:rsidRPr="001D1A9A">
        <w:rPr>
          <w:szCs w:val="24"/>
        </w:rPr>
        <w:t xml:space="preserve">24-28. </w:t>
      </w:r>
    </w:p>
  </w:footnote>
  <w:footnote w:id="89">
    <w:p w14:paraId="1EC5CA4E" w14:textId="7D00FCEF"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Bin Cheng, </w:t>
      </w:r>
      <w:r w:rsidRPr="001D1A9A">
        <w:rPr>
          <w:i/>
          <w:iCs/>
          <w:szCs w:val="24"/>
        </w:rPr>
        <w:t>General Principles of Law</w:t>
      </w:r>
      <w:r w:rsidRPr="001D1A9A">
        <w:rPr>
          <w:i/>
          <w:szCs w:val="24"/>
        </w:rPr>
        <w:t xml:space="preserve"> </w:t>
      </w:r>
      <w:r w:rsidRPr="001D1A9A">
        <w:rPr>
          <w:i/>
          <w:iCs/>
          <w:szCs w:val="24"/>
        </w:rPr>
        <w:t xml:space="preserve">as Applied by International Courts and Tribunals, </w:t>
      </w:r>
      <w:r w:rsidRPr="001D1A9A">
        <w:rPr>
          <w:iCs/>
          <w:szCs w:val="24"/>
        </w:rPr>
        <w:t>(Cambridge: Cambridge University Press, 1953)</w:t>
      </w:r>
      <w:r w:rsidRPr="001D1A9A">
        <w:rPr>
          <w:szCs w:val="24"/>
        </w:rPr>
        <w:t xml:space="preserve">, </w:t>
      </w:r>
      <w:r w:rsidR="002E484B" w:rsidRPr="001D1A9A">
        <w:rPr>
          <w:szCs w:val="24"/>
        </w:rPr>
        <w:t>25-26</w:t>
      </w:r>
      <w:r w:rsidR="00971B04" w:rsidRPr="001D1A9A">
        <w:rPr>
          <w:szCs w:val="24"/>
        </w:rPr>
        <w:t xml:space="preserve">, </w:t>
      </w:r>
      <w:r w:rsidR="00536DC6" w:rsidRPr="001D1A9A">
        <w:rPr>
          <w:szCs w:val="24"/>
        </w:rPr>
        <w:t xml:space="preserve">31 and </w:t>
      </w:r>
      <w:r w:rsidR="00971B04" w:rsidRPr="001D1A9A">
        <w:rPr>
          <w:szCs w:val="24"/>
        </w:rPr>
        <w:t>112</w:t>
      </w:r>
      <w:r w:rsidRPr="001D1A9A">
        <w:rPr>
          <w:szCs w:val="24"/>
        </w:rPr>
        <w:t>.</w:t>
      </w:r>
    </w:p>
  </w:footnote>
  <w:footnote w:id="90">
    <w:p w14:paraId="7969543D" w14:textId="6722F89B" w:rsidR="00027AF1" w:rsidRPr="001D1A9A" w:rsidRDefault="00027AF1" w:rsidP="00395591">
      <w:pPr>
        <w:pStyle w:val="FootnoteText"/>
        <w:ind w:left="360" w:hanging="360"/>
        <w:rPr>
          <w:i/>
          <w:iCs/>
          <w:szCs w:val="24"/>
        </w:rPr>
      </w:pPr>
      <w:r w:rsidRPr="001D1A9A">
        <w:rPr>
          <w:rStyle w:val="FootnoteReference"/>
          <w:szCs w:val="24"/>
        </w:rPr>
        <w:footnoteRef/>
      </w:r>
      <w:r w:rsidRPr="001D1A9A">
        <w:rPr>
          <w:szCs w:val="24"/>
        </w:rPr>
        <w:t xml:space="preserve"> </w:t>
      </w:r>
      <w:r w:rsidRPr="001D1A9A">
        <w:rPr>
          <w:i/>
          <w:iCs/>
          <w:szCs w:val="24"/>
        </w:rPr>
        <w:t xml:space="preserve">Prosecutor v. </w:t>
      </w:r>
      <w:r w:rsidR="004743A0" w:rsidRPr="001D1A9A">
        <w:rPr>
          <w:i/>
          <w:iCs/>
          <w:szCs w:val="24"/>
        </w:rPr>
        <w:t>Tadić</w:t>
      </w:r>
      <w:r w:rsidR="004743A0" w:rsidRPr="001D1A9A">
        <w:rPr>
          <w:szCs w:val="24"/>
        </w:rPr>
        <w:t>, Trial Chamber Decision on the Defence Motion on the Principle Non-Bis-in-Idem, IT-94-1-T (15 November 1995)</w:t>
      </w:r>
      <w:r w:rsidR="004743A0" w:rsidRPr="001D1A9A" w:rsidDel="004743A0">
        <w:rPr>
          <w:i/>
          <w:iCs/>
          <w:szCs w:val="24"/>
        </w:rPr>
        <w:t xml:space="preserve"> </w:t>
      </w:r>
      <w:r w:rsidRPr="001D1A9A">
        <w:rPr>
          <w:szCs w:val="24"/>
          <w:lang w:val="en-GB"/>
        </w:rPr>
        <w:t>¶</w:t>
      </w:r>
      <w:r w:rsidRPr="001D1A9A">
        <w:rPr>
          <w:szCs w:val="24"/>
        </w:rPr>
        <w:t>9 (ICTY).</w:t>
      </w:r>
    </w:p>
  </w:footnote>
  <w:footnote w:id="91">
    <w:p w14:paraId="58D19135"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proofErr w:type="spellStart"/>
      <w:r w:rsidRPr="001D1A9A">
        <w:rPr>
          <w:szCs w:val="24"/>
        </w:rPr>
        <w:t>Bassiouni</w:t>
      </w:r>
      <w:proofErr w:type="spellEnd"/>
      <w:r w:rsidRPr="001D1A9A">
        <w:rPr>
          <w:szCs w:val="24"/>
        </w:rPr>
        <w:t>, 288-289.</w:t>
      </w:r>
    </w:p>
  </w:footnote>
  <w:footnote w:id="92">
    <w:p w14:paraId="7ABC916A"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 xml:space="preserve">Prosecutor v. Nikola </w:t>
      </w:r>
      <w:proofErr w:type="spellStart"/>
      <w:r w:rsidRPr="001D1A9A">
        <w:rPr>
          <w:i/>
          <w:iCs/>
          <w:szCs w:val="24"/>
        </w:rPr>
        <w:t>Šainović</w:t>
      </w:r>
      <w:proofErr w:type="spellEnd"/>
      <w:r w:rsidRPr="001D1A9A">
        <w:rPr>
          <w:i/>
          <w:iCs/>
          <w:szCs w:val="24"/>
        </w:rPr>
        <w:t xml:space="preserve"> et al</w:t>
      </w:r>
      <w:r w:rsidRPr="001D1A9A">
        <w:rPr>
          <w:szCs w:val="24"/>
        </w:rPr>
        <w:t xml:space="preserve">., Case No. IT-05-87-A, Judgment, 23 January 2014, Appeals Chamber, </w:t>
      </w:r>
      <w:r w:rsidRPr="001D1A9A">
        <w:rPr>
          <w:szCs w:val="24"/>
          <w:lang w:val="en-GB"/>
        </w:rPr>
        <w:t>¶</w:t>
      </w:r>
      <w:r w:rsidRPr="001D1A9A">
        <w:rPr>
          <w:szCs w:val="24"/>
        </w:rPr>
        <w:t>1644 (ICTY).</w:t>
      </w:r>
    </w:p>
  </w:footnote>
  <w:footnote w:id="93">
    <w:p w14:paraId="2F2396AE"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 xml:space="preserve">Ibid, </w:t>
      </w:r>
      <w:r w:rsidRPr="001D1A9A">
        <w:rPr>
          <w:i/>
          <w:iCs/>
          <w:szCs w:val="24"/>
          <w:lang w:val="en-GB"/>
        </w:rPr>
        <w:t>¶</w:t>
      </w:r>
      <w:r w:rsidRPr="001D1A9A">
        <w:rPr>
          <w:szCs w:val="24"/>
        </w:rPr>
        <w:t>1645.</w:t>
      </w:r>
    </w:p>
  </w:footnote>
  <w:footnote w:id="94">
    <w:p w14:paraId="03585EC4"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 xml:space="preserve">Ibid, </w:t>
      </w:r>
      <w:r w:rsidRPr="001D1A9A">
        <w:rPr>
          <w:i/>
          <w:iCs/>
          <w:szCs w:val="24"/>
          <w:lang w:val="en-GB"/>
        </w:rPr>
        <w:t>¶</w:t>
      </w:r>
      <w:r w:rsidRPr="001D1A9A">
        <w:rPr>
          <w:szCs w:val="24"/>
        </w:rPr>
        <w:t>1646.</w:t>
      </w:r>
    </w:p>
  </w:footnote>
  <w:footnote w:id="95">
    <w:p w14:paraId="7038389A"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6F7FC4">
        <w:rPr>
          <w:i/>
          <w:szCs w:val="24"/>
        </w:rPr>
        <w:t>Canadian Charter of Rights and Freedoms</w:t>
      </w:r>
      <w:r w:rsidRPr="001D1A9A">
        <w:rPr>
          <w:szCs w:val="24"/>
        </w:rPr>
        <w:t xml:space="preserve">, Part 1 of the Constitution Act, 1982, c 11, 11(h) (Canada). </w:t>
      </w:r>
    </w:p>
  </w:footnote>
  <w:footnote w:id="96">
    <w:p w14:paraId="37E05D03"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Constitution of Japan [</w:t>
      </w:r>
      <w:proofErr w:type="spellStart"/>
      <w:r w:rsidRPr="001D1A9A">
        <w:rPr>
          <w:szCs w:val="24"/>
        </w:rPr>
        <w:t>Nihonkoku</w:t>
      </w:r>
      <w:proofErr w:type="spellEnd"/>
      <w:r w:rsidRPr="001D1A9A">
        <w:rPr>
          <w:szCs w:val="24"/>
        </w:rPr>
        <w:t xml:space="preserve"> </w:t>
      </w:r>
      <w:proofErr w:type="spellStart"/>
      <w:r w:rsidRPr="001D1A9A">
        <w:rPr>
          <w:szCs w:val="24"/>
        </w:rPr>
        <w:t>Kenpō</w:t>
      </w:r>
      <w:proofErr w:type="spellEnd"/>
      <w:r w:rsidRPr="001D1A9A">
        <w:rPr>
          <w:szCs w:val="24"/>
        </w:rPr>
        <w:t xml:space="preserve">], 1947, art 3 (Japan). </w:t>
      </w:r>
    </w:p>
  </w:footnote>
  <w:footnote w:id="97">
    <w:p w14:paraId="355D19AD"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Basic Law of the Federal Republic of Germany [</w:t>
      </w:r>
      <w:proofErr w:type="spellStart"/>
      <w:r w:rsidRPr="001D1A9A">
        <w:rPr>
          <w:szCs w:val="24"/>
        </w:rPr>
        <w:t>Grundgesetz</w:t>
      </w:r>
      <w:proofErr w:type="spellEnd"/>
      <w:r w:rsidRPr="001D1A9A">
        <w:rPr>
          <w:szCs w:val="24"/>
        </w:rPr>
        <w:t xml:space="preserve"> für die </w:t>
      </w:r>
      <w:proofErr w:type="spellStart"/>
      <w:r w:rsidRPr="001D1A9A">
        <w:rPr>
          <w:szCs w:val="24"/>
        </w:rPr>
        <w:t>Bundesrepublik</w:t>
      </w:r>
      <w:proofErr w:type="spellEnd"/>
      <w:r w:rsidRPr="001D1A9A">
        <w:rPr>
          <w:szCs w:val="24"/>
        </w:rPr>
        <w:t xml:space="preserve"> Deutschland], 23 May 1949, </w:t>
      </w:r>
      <w:proofErr w:type="spellStart"/>
      <w:r w:rsidRPr="001D1A9A">
        <w:rPr>
          <w:szCs w:val="24"/>
        </w:rPr>
        <w:t>BGBl</w:t>
      </w:r>
      <w:proofErr w:type="spellEnd"/>
      <w:r w:rsidRPr="001D1A9A">
        <w:rPr>
          <w:szCs w:val="24"/>
        </w:rPr>
        <w:t xml:space="preserve"> I, art 103(2) (Germany). </w:t>
      </w:r>
    </w:p>
  </w:footnote>
  <w:footnote w:id="98">
    <w:p w14:paraId="4FAED6AA"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Toshihiro Kawaide, “Japan, concurrent national and international criminal jurisdiction and the principle </w:t>
      </w:r>
      <w:r w:rsidRPr="001D1A9A">
        <w:rPr>
          <w:i/>
          <w:iCs/>
          <w:szCs w:val="24"/>
        </w:rPr>
        <w:t>‘ne bis in dem’</w:t>
      </w:r>
      <w:r w:rsidRPr="001D1A9A">
        <w:rPr>
          <w:szCs w:val="24"/>
        </w:rPr>
        <w:t xml:space="preserve">,” (2002) 73:3 Rev int dr </w:t>
      </w:r>
      <w:proofErr w:type="spellStart"/>
      <w:r w:rsidRPr="001D1A9A">
        <w:rPr>
          <w:szCs w:val="24"/>
        </w:rPr>
        <w:t>pén</w:t>
      </w:r>
      <w:proofErr w:type="spellEnd"/>
      <w:r w:rsidRPr="001D1A9A">
        <w:rPr>
          <w:szCs w:val="24"/>
        </w:rPr>
        <w:t xml:space="preserve"> 1031, 1032.</w:t>
      </w:r>
    </w:p>
  </w:footnote>
  <w:footnote w:id="99">
    <w:p w14:paraId="016E2947"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Constitution of India, 1950, art 20 (India).  </w:t>
      </w:r>
    </w:p>
  </w:footnote>
  <w:footnote w:id="100">
    <w:p w14:paraId="7A324362"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Constitution of the Islamic Republic of Pakistan</w:t>
      </w:r>
      <w:r w:rsidRPr="001D1A9A">
        <w:rPr>
          <w:i/>
          <w:szCs w:val="24"/>
        </w:rPr>
        <w:t xml:space="preserve">, </w:t>
      </w:r>
      <w:r w:rsidRPr="001D1A9A">
        <w:rPr>
          <w:iCs/>
          <w:szCs w:val="24"/>
        </w:rPr>
        <w:t>1973, art 13 (Pakistan).</w:t>
      </w:r>
    </w:p>
  </w:footnote>
  <w:footnote w:id="101">
    <w:p w14:paraId="75500873"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 xml:space="preserve">Pitman, Lucas Leonel s/ </w:t>
      </w:r>
      <w:proofErr w:type="spellStart"/>
      <w:r w:rsidRPr="001D1A9A">
        <w:rPr>
          <w:i/>
          <w:szCs w:val="24"/>
        </w:rPr>
        <w:t>queja</w:t>
      </w:r>
      <w:proofErr w:type="spellEnd"/>
      <w:r w:rsidRPr="001D1A9A">
        <w:rPr>
          <w:i/>
          <w:szCs w:val="24"/>
        </w:rPr>
        <w:t xml:space="preserve"> </w:t>
      </w:r>
      <w:proofErr w:type="spellStart"/>
      <w:r w:rsidRPr="001D1A9A">
        <w:rPr>
          <w:i/>
          <w:szCs w:val="24"/>
        </w:rPr>
        <w:t>en</w:t>
      </w:r>
      <w:proofErr w:type="spellEnd"/>
      <w:r w:rsidRPr="001D1A9A">
        <w:rPr>
          <w:i/>
          <w:szCs w:val="24"/>
        </w:rPr>
        <w:t xml:space="preserve"> causa n° 113.577</w:t>
      </w:r>
      <w:r w:rsidRPr="001D1A9A">
        <w:rPr>
          <w:szCs w:val="24"/>
        </w:rPr>
        <w:t xml:space="preserve">, Tribunal de </w:t>
      </w:r>
      <w:proofErr w:type="spellStart"/>
      <w:r w:rsidRPr="001D1A9A">
        <w:rPr>
          <w:szCs w:val="24"/>
        </w:rPr>
        <w:t>Casación</w:t>
      </w:r>
      <w:proofErr w:type="spellEnd"/>
      <w:r w:rsidRPr="001D1A9A">
        <w:rPr>
          <w:szCs w:val="24"/>
        </w:rPr>
        <w:t xml:space="preserve"> Penal (Buenos Aires), Sala III, 18 March 2024 (Argentina); Constitution of the Republic of South Africa, 1996, s 35(3)(m) (South Africa); Political Constitution of the United Mexican States [Constitución Política de </w:t>
      </w:r>
      <w:proofErr w:type="spellStart"/>
      <w:r w:rsidRPr="001D1A9A">
        <w:rPr>
          <w:szCs w:val="24"/>
        </w:rPr>
        <w:t>los</w:t>
      </w:r>
      <w:proofErr w:type="spellEnd"/>
      <w:r w:rsidRPr="001D1A9A">
        <w:rPr>
          <w:szCs w:val="24"/>
        </w:rPr>
        <w:t xml:space="preserve"> </w:t>
      </w:r>
      <w:proofErr w:type="spellStart"/>
      <w:r w:rsidRPr="001D1A9A">
        <w:rPr>
          <w:szCs w:val="24"/>
        </w:rPr>
        <w:t>Estados</w:t>
      </w:r>
      <w:proofErr w:type="spellEnd"/>
      <w:r w:rsidRPr="001D1A9A">
        <w:rPr>
          <w:szCs w:val="24"/>
        </w:rPr>
        <w:t xml:space="preserve"> Unidos Mexicanos], 1917, art 23 (Mexico).</w:t>
      </w:r>
    </w:p>
  </w:footnote>
  <w:footnote w:id="102">
    <w:p w14:paraId="1A612721"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Criminal Code [</w:t>
      </w:r>
      <w:proofErr w:type="spellStart"/>
      <w:r w:rsidRPr="001D1A9A">
        <w:rPr>
          <w:szCs w:val="24"/>
        </w:rPr>
        <w:t>Wetboek</w:t>
      </w:r>
      <w:proofErr w:type="spellEnd"/>
      <w:r w:rsidRPr="001D1A9A">
        <w:rPr>
          <w:szCs w:val="24"/>
        </w:rPr>
        <w:t xml:space="preserve"> van </w:t>
      </w:r>
      <w:proofErr w:type="spellStart"/>
      <w:r w:rsidRPr="001D1A9A">
        <w:rPr>
          <w:szCs w:val="24"/>
        </w:rPr>
        <w:t>Strafrecht</w:t>
      </w:r>
      <w:proofErr w:type="spellEnd"/>
      <w:r w:rsidRPr="001D1A9A">
        <w:rPr>
          <w:szCs w:val="24"/>
        </w:rPr>
        <w:t xml:space="preserve">], 1881, art 68(1) (Netherlands). </w:t>
      </w:r>
    </w:p>
  </w:footnote>
  <w:footnote w:id="103">
    <w:p w14:paraId="1C26E080"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Crimes (Appeal and Review) Act 2001 No 120, ss 100-101 (Australia).</w:t>
      </w:r>
    </w:p>
  </w:footnote>
  <w:footnote w:id="104">
    <w:p w14:paraId="1A7F5B3B"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Criminal Justice Act, 2003, c 44, s 75 (United Kingdom).</w:t>
      </w:r>
    </w:p>
  </w:footnote>
  <w:footnote w:id="105">
    <w:p w14:paraId="22DB99E9"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Majed Mandi Alsolami, </w:t>
      </w:r>
      <w:r w:rsidRPr="001D1A9A">
        <w:rPr>
          <w:i/>
          <w:iCs/>
          <w:szCs w:val="24"/>
        </w:rPr>
        <w:t xml:space="preserve">The Rome Statute and Islamic Law: A Comparative Analysis </w:t>
      </w:r>
      <w:r w:rsidRPr="001D1A9A">
        <w:rPr>
          <w:szCs w:val="24"/>
        </w:rPr>
        <w:t>(Boston: Brill, 2024), 119.</w:t>
      </w:r>
    </w:p>
  </w:footnote>
  <w:footnote w:id="106">
    <w:p w14:paraId="5BC04526" w14:textId="195D52F3"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color w:val="000000"/>
          <w:szCs w:val="24"/>
        </w:rPr>
        <w:t xml:space="preserve">Sergey Zolotukhin v Russia, </w:t>
      </w:r>
      <w:r w:rsidRPr="001D1A9A">
        <w:rPr>
          <w:color w:val="000000"/>
          <w:szCs w:val="24"/>
        </w:rPr>
        <w:t>App no 14939/03, Judgement, 10 February 2009,</w:t>
      </w:r>
      <w:r w:rsidRPr="001D1A9A">
        <w:rPr>
          <w:i/>
          <w:color w:val="000000"/>
          <w:szCs w:val="24"/>
        </w:rPr>
        <w:t xml:space="preserve"> </w:t>
      </w:r>
      <w:r w:rsidRPr="001D1A9A">
        <w:rPr>
          <w:color w:val="000000"/>
          <w:szCs w:val="24"/>
          <w:lang w:val="en-GB"/>
        </w:rPr>
        <w:t>¶</w:t>
      </w:r>
      <w:r w:rsidRPr="001D1A9A">
        <w:rPr>
          <w:color w:val="000000"/>
          <w:szCs w:val="24"/>
        </w:rPr>
        <w:t>34 – 36 (ECtHR)</w:t>
      </w:r>
      <w:r w:rsidR="009443CF">
        <w:rPr>
          <w:color w:val="000000"/>
          <w:szCs w:val="24"/>
        </w:rPr>
        <w:t>;</w:t>
      </w:r>
      <w:r w:rsidRPr="001D1A9A">
        <w:rPr>
          <w:color w:val="000000"/>
          <w:szCs w:val="24"/>
        </w:rPr>
        <w:t xml:space="preserve"> </w:t>
      </w:r>
      <w:r w:rsidR="005B4DF0">
        <w:rPr>
          <w:color w:val="000000"/>
          <w:szCs w:val="24"/>
        </w:rPr>
        <w:t xml:space="preserve">See </w:t>
      </w:r>
      <w:r w:rsidR="005B4DF0" w:rsidRPr="001D1A9A">
        <w:rPr>
          <w:i/>
          <w:iCs/>
          <w:szCs w:val="24"/>
        </w:rPr>
        <w:t>Mohamed v Argentina,</w:t>
      </w:r>
      <w:r w:rsidR="005B4DF0" w:rsidRPr="001D1A9A">
        <w:rPr>
          <w:szCs w:val="24"/>
        </w:rPr>
        <w:t xml:space="preserve"> Judgment, 23 November 2012, </w:t>
      </w:r>
      <w:r w:rsidR="005B4DF0" w:rsidRPr="001D1A9A">
        <w:rPr>
          <w:szCs w:val="24"/>
          <w:lang w:val="en-GB"/>
        </w:rPr>
        <w:t>¶</w:t>
      </w:r>
      <w:r w:rsidR="005B4DF0" w:rsidRPr="001D1A9A">
        <w:rPr>
          <w:szCs w:val="24"/>
        </w:rPr>
        <w:t>122 (IACtHR)</w:t>
      </w:r>
      <w:r w:rsidR="009443CF">
        <w:rPr>
          <w:szCs w:val="24"/>
        </w:rPr>
        <w:t xml:space="preserve"> for the </w:t>
      </w:r>
      <w:proofErr w:type="spellStart"/>
      <w:r w:rsidR="009443CF">
        <w:rPr>
          <w:szCs w:val="24"/>
        </w:rPr>
        <w:t>IACtHR’s</w:t>
      </w:r>
      <w:proofErr w:type="spellEnd"/>
      <w:r w:rsidR="009443CF">
        <w:rPr>
          <w:szCs w:val="24"/>
        </w:rPr>
        <w:t xml:space="preserve"> interpretation of </w:t>
      </w:r>
      <w:r w:rsidR="009443CF">
        <w:rPr>
          <w:i/>
          <w:iCs/>
          <w:szCs w:val="24"/>
        </w:rPr>
        <w:t>ne bis in idem</w:t>
      </w:r>
      <w:r w:rsidR="005B4DF0" w:rsidRPr="001D1A9A">
        <w:rPr>
          <w:szCs w:val="24"/>
        </w:rPr>
        <w:t>.</w:t>
      </w:r>
    </w:p>
  </w:footnote>
  <w:footnote w:id="107">
    <w:p w14:paraId="2D0E8DB7"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The Prosecutor v Francis Kirimi Muthaufui and Uhuru Muigai Kenyatta</w:t>
      </w:r>
      <w:r w:rsidRPr="001D1A9A">
        <w:rPr>
          <w:szCs w:val="24"/>
        </w:rPr>
        <w:t xml:space="preserve">, No. ICC-01/09-02/11, Decision on the withdrawal of charges against </w:t>
      </w:r>
      <w:proofErr w:type="spellStart"/>
      <w:r w:rsidRPr="001D1A9A">
        <w:rPr>
          <w:szCs w:val="24"/>
        </w:rPr>
        <w:t>Mr</w:t>
      </w:r>
      <w:proofErr w:type="spellEnd"/>
      <w:r w:rsidRPr="001D1A9A">
        <w:rPr>
          <w:szCs w:val="24"/>
        </w:rPr>
        <w:t xml:space="preserve"> Muthaura, Partial Dissenting Opinion of Judge Ozaki, 19 March 2013, </w:t>
      </w:r>
      <w:r w:rsidRPr="001D1A9A">
        <w:rPr>
          <w:szCs w:val="24"/>
          <w:lang w:val="en-GB"/>
        </w:rPr>
        <w:t>¶</w:t>
      </w:r>
      <w:r w:rsidRPr="001D1A9A">
        <w:rPr>
          <w:szCs w:val="24"/>
        </w:rPr>
        <w:t>4.</w:t>
      </w:r>
    </w:p>
  </w:footnote>
  <w:footnote w:id="108">
    <w:p w14:paraId="225F6000"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Gerard Conway, “Ne Bis </w:t>
      </w:r>
      <w:proofErr w:type="gramStart"/>
      <w:r w:rsidRPr="001D1A9A">
        <w:rPr>
          <w:szCs w:val="24"/>
        </w:rPr>
        <w:t>In</w:t>
      </w:r>
      <w:proofErr w:type="gramEnd"/>
      <w:r w:rsidRPr="001D1A9A">
        <w:rPr>
          <w:szCs w:val="24"/>
        </w:rPr>
        <w:t xml:space="preserve"> Idem and the International Criminal Tribunals” (2003) 14:4 Crim. L. Forum 351, 354. </w:t>
      </w:r>
    </w:p>
  </w:footnote>
  <w:footnote w:id="109">
    <w:p w14:paraId="3FF2B485" w14:textId="5F1CE7ED"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8B07E5" w:rsidRPr="00A14347">
        <w:rPr>
          <w:rFonts w:eastAsia="Aptos" w:cs="Arial"/>
          <w:i/>
          <w:iCs/>
        </w:rPr>
        <w:t>Report of the International Law Commission</w:t>
      </w:r>
      <w:r w:rsidR="008B07E5" w:rsidRPr="00551AB2">
        <w:rPr>
          <w:rFonts w:eastAsia="Aptos" w:cs="Arial"/>
        </w:rPr>
        <w:t>, 74</w:t>
      </w:r>
      <w:r w:rsidR="008B07E5" w:rsidRPr="00551AB2">
        <w:rPr>
          <w:rFonts w:eastAsia="Aptos" w:cs="Arial"/>
          <w:vertAlign w:val="superscript"/>
        </w:rPr>
        <w:t>th</w:t>
      </w:r>
      <w:r w:rsidR="008B07E5" w:rsidRPr="00551AB2">
        <w:rPr>
          <w:rFonts w:eastAsia="Aptos" w:cs="Arial"/>
        </w:rPr>
        <w:t xml:space="preserve"> </w:t>
      </w:r>
      <w:r w:rsidR="008B07E5">
        <w:rPr>
          <w:rFonts w:eastAsia="Aptos" w:cs="Arial"/>
        </w:rPr>
        <w:t>Sess</w:t>
      </w:r>
      <w:r w:rsidR="008B07E5" w:rsidRPr="00551AB2">
        <w:rPr>
          <w:rFonts w:eastAsia="Aptos" w:cs="Arial"/>
        </w:rPr>
        <w:t xml:space="preserve">, </w:t>
      </w:r>
      <w:r w:rsidR="008B07E5">
        <w:rPr>
          <w:rFonts w:eastAsia="Aptos" w:cs="Arial"/>
        </w:rPr>
        <w:t xml:space="preserve">UNGA, UN Doc </w:t>
      </w:r>
      <w:r w:rsidR="008B07E5" w:rsidRPr="00551AB2">
        <w:rPr>
          <w:rFonts w:eastAsia="Aptos" w:cs="Arial"/>
        </w:rPr>
        <w:t>A/78/10</w:t>
      </w:r>
      <w:r w:rsidR="008B07E5">
        <w:rPr>
          <w:rFonts w:eastAsia="Aptos" w:cs="Arial"/>
        </w:rPr>
        <w:t xml:space="preserve"> (2023)</w:t>
      </w:r>
      <w:r w:rsidRPr="001D1A9A">
        <w:rPr>
          <w:szCs w:val="24"/>
        </w:rPr>
        <w:t xml:space="preserve">, </w:t>
      </w:r>
      <w:r w:rsidRPr="001D1A9A">
        <w:rPr>
          <w:szCs w:val="24"/>
          <w:lang w:val="en-GB"/>
        </w:rPr>
        <w:t>¶</w:t>
      </w:r>
      <w:r w:rsidRPr="001D1A9A">
        <w:rPr>
          <w:szCs w:val="24"/>
        </w:rPr>
        <w:t xml:space="preserve">41. </w:t>
      </w:r>
    </w:p>
  </w:footnote>
  <w:footnote w:id="110">
    <w:p w14:paraId="5E43FBE4" w14:textId="77777777" w:rsidR="005671D5" w:rsidRPr="001D1A9A" w:rsidRDefault="005671D5" w:rsidP="00395591">
      <w:pPr>
        <w:pStyle w:val="FootnoteText"/>
        <w:ind w:left="360" w:hanging="360"/>
        <w:rPr>
          <w:szCs w:val="24"/>
        </w:rPr>
      </w:pPr>
      <w:r w:rsidRPr="001D1A9A">
        <w:rPr>
          <w:rStyle w:val="FootnoteReference"/>
          <w:szCs w:val="24"/>
        </w:rPr>
        <w:footnoteRef/>
      </w:r>
      <w:r w:rsidRPr="001D1A9A">
        <w:rPr>
          <w:szCs w:val="24"/>
        </w:rPr>
        <w:t xml:space="preserve"> </w:t>
      </w:r>
      <w:proofErr w:type="gramStart"/>
      <w:r w:rsidRPr="001D1A9A">
        <w:rPr>
          <w:i/>
          <w:szCs w:val="24"/>
        </w:rPr>
        <w:t>South West</w:t>
      </w:r>
      <w:proofErr w:type="gramEnd"/>
      <w:r w:rsidRPr="001D1A9A">
        <w:rPr>
          <w:i/>
          <w:szCs w:val="24"/>
        </w:rPr>
        <w:t xml:space="preserve"> Africa (Ethiopia v South Africa; Liberia v South Africa)</w:t>
      </w:r>
      <w:r w:rsidRPr="001D1A9A">
        <w:rPr>
          <w:szCs w:val="24"/>
        </w:rPr>
        <w:t xml:space="preserve"> [1962] ICJ Rep 6, </w:t>
      </w:r>
      <w:r w:rsidRPr="001D1A9A">
        <w:rPr>
          <w:color w:val="000000"/>
          <w:szCs w:val="24"/>
        </w:rPr>
        <w:t>46.</w:t>
      </w:r>
      <w:r w:rsidRPr="001D1A9A">
        <w:rPr>
          <w:i/>
          <w:iCs/>
          <w:color w:val="000000"/>
          <w:szCs w:val="24"/>
        </w:rPr>
        <w:t xml:space="preserve"> </w:t>
      </w:r>
    </w:p>
  </w:footnote>
  <w:footnote w:id="111">
    <w:p w14:paraId="483F58F1" w14:textId="25B9D207" w:rsidR="005671D5" w:rsidRPr="001D1A9A" w:rsidRDefault="005671D5" w:rsidP="00395591">
      <w:pPr>
        <w:pStyle w:val="FootnoteText"/>
        <w:ind w:left="360" w:hanging="360"/>
        <w:rPr>
          <w:szCs w:val="24"/>
        </w:rPr>
      </w:pPr>
      <w:r w:rsidRPr="001D1A9A">
        <w:rPr>
          <w:rStyle w:val="FootnoteReference"/>
          <w:szCs w:val="24"/>
        </w:rPr>
        <w:footnoteRef/>
      </w:r>
      <w:r w:rsidRPr="001D1A9A">
        <w:rPr>
          <w:szCs w:val="24"/>
        </w:rPr>
        <w:t xml:space="preserve"> </w:t>
      </w:r>
      <w:r w:rsidR="00F14561" w:rsidRPr="001D1A9A">
        <w:rPr>
          <w:szCs w:val="24"/>
        </w:rPr>
        <w:t xml:space="preserve">Giorgio Gaja, </w:t>
      </w:r>
      <w:r w:rsidR="00D65550" w:rsidRPr="001D1A9A">
        <w:rPr>
          <w:szCs w:val="24"/>
        </w:rPr>
        <w:t>“General Principles of Law</w:t>
      </w:r>
      <w:r w:rsidR="008D3677" w:rsidRPr="001D1A9A">
        <w:rPr>
          <w:szCs w:val="24"/>
        </w:rPr>
        <w:t>,</w:t>
      </w:r>
      <w:r w:rsidR="00D65550" w:rsidRPr="001D1A9A">
        <w:rPr>
          <w:szCs w:val="24"/>
        </w:rPr>
        <w:t>”</w:t>
      </w:r>
      <w:r w:rsidR="005C5B62" w:rsidRPr="001D1A9A">
        <w:rPr>
          <w:szCs w:val="24"/>
        </w:rPr>
        <w:t xml:space="preserve"> </w:t>
      </w:r>
      <w:r w:rsidR="005C5B62" w:rsidRPr="001D1A9A">
        <w:rPr>
          <w:i/>
          <w:iCs/>
          <w:szCs w:val="24"/>
        </w:rPr>
        <w:t>Max Planck</w:t>
      </w:r>
      <w:r w:rsidR="00F4690E" w:rsidRPr="001D1A9A">
        <w:rPr>
          <w:i/>
          <w:iCs/>
          <w:szCs w:val="24"/>
        </w:rPr>
        <w:t xml:space="preserve"> </w:t>
      </w:r>
      <w:r w:rsidR="008D3677" w:rsidRPr="001D1A9A">
        <w:rPr>
          <w:i/>
          <w:iCs/>
          <w:szCs w:val="24"/>
        </w:rPr>
        <w:t>Encyclopedias of International Law</w:t>
      </w:r>
      <w:r w:rsidR="00122235" w:rsidRPr="001D1A9A">
        <w:rPr>
          <w:szCs w:val="24"/>
        </w:rPr>
        <w:t xml:space="preserve">, April 2020. </w:t>
      </w:r>
    </w:p>
  </w:footnote>
  <w:footnote w:id="112">
    <w:p w14:paraId="7607CD06" w14:textId="6F17E93F"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Kai Ambos, </w:t>
      </w:r>
      <w:r w:rsidRPr="001D1A9A">
        <w:rPr>
          <w:rStyle w:val="Emphasis"/>
          <w:rFonts w:cs="Times New Roman"/>
          <w:color w:val="2A2A2A"/>
          <w:szCs w:val="24"/>
          <w:bdr w:val="none" w:sz="0" w:space="0" w:color="auto" w:frame="1"/>
          <w:shd w:val="clear" w:color="auto" w:fill="FFFFFF"/>
        </w:rPr>
        <w:t>Rome Statute of the International Criminal Court, Article-by-Article Commentar</w:t>
      </w:r>
      <w:r w:rsidRPr="001D1A9A">
        <w:rPr>
          <w:rFonts w:cs="Times New Roman"/>
          <w:szCs w:val="24"/>
        </w:rPr>
        <w:t>y,</w:t>
      </w:r>
      <w:r w:rsidRPr="001D1A9A">
        <w:rPr>
          <w:szCs w:val="24"/>
        </w:rPr>
        <w:t xml:space="preserve"> (Munich: CH Beck, 2021), </w:t>
      </w:r>
      <w:r w:rsidR="00E17B19" w:rsidRPr="001D1A9A">
        <w:rPr>
          <w:szCs w:val="24"/>
        </w:rPr>
        <w:t>1</w:t>
      </w:r>
      <w:r w:rsidRPr="001D1A9A">
        <w:rPr>
          <w:szCs w:val="24"/>
        </w:rPr>
        <w:t>098.</w:t>
      </w:r>
    </w:p>
  </w:footnote>
  <w:footnote w:id="113">
    <w:p w14:paraId="245156B1"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Conway, 377.</w:t>
      </w:r>
    </w:p>
  </w:footnote>
  <w:footnote w:id="114">
    <w:p w14:paraId="5F779359"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color w:val="000000"/>
          <w:szCs w:val="24"/>
        </w:rPr>
        <w:t>Gamble v. United States</w:t>
      </w:r>
      <w:r w:rsidRPr="001D1A9A">
        <w:rPr>
          <w:color w:val="000000"/>
          <w:szCs w:val="24"/>
        </w:rPr>
        <w:t xml:space="preserve">, 587 U.S. 678, 1 (United States). </w:t>
      </w:r>
    </w:p>
  </w:footnote>
  <w:footnote w:id="115">
    <w:p w14:paraId="095CAF60" w14:textId="7F6CB316"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S.S. “Lotus” (France v Turkey)</w:t>
      </w:r>
      <w:r w:rsidRPr="001D1A9A">
        <w:rPr>
          <w:szCs w:val="24"/>
        </w:rPr>
        <w:t>, PCIJ Series A No 10 (1927), 19</w:t>
      </w:r>
      <w:r w:rsidR="006A4FA1" w:rsidRPr="001D1A9A">
        <w:rPr>
          <w:szCs w:val="24"/>
        </w:rPr>
        <w:t xml:space="preserve"> [</w:t>
      </w:r>
      <w:r w:rsidR="006A4FA1" w:rsidRPr="001D1A9A">
        <w:rPr>
          <w:i/>
          <w:iCs/>
          <w:szCs w:val="24"/>
        </w:rPr>
        <w:t>SS Lotus</w:t>
      </w:r>
      <w:r w:rsidR="006A4FA1" w:rsidRPr="001D1A9A">
        <w:rPr>
          <w:szCs w:val="24"/>
        </w:rPr>
        <w:t>]</w:t>
      </w:r>
      <w:r w:rsidRPr="001D1A9A">
        <w:rPr>
          <w:szCs w:val="24"/>
        </w:rPr>
        <w:t xml:space="preserve">. </w:t>
      </w:r>
    </w:p>
  </w:footnote>
  <w:footnote w:id="116">
    <w:p w14:paraId="43C0BAE2"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Van</w:t>
      </w:r>
      <w:r w:rsidRPr="001D1A9A">
        <w:rPr>
          <w:i/>
          <w:szCs w:val="24"/>
        </w:rPr>
        <w:t xml:space="preserve"> der Wilt</w:t>
      </w:r>
      <w:r w:rsidRPr="001D1A9A">
        <w:rPr>
          <w:szCs w:val="24"/>
        </w:rPr>
        <w:t>, 164.</w:t>
      </w:r>
    </w:p>
  </w:footnote>
  <w:footnote w:id="117">
    <w:p w14:paraId="53CE551B" w14:textId="749C43B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DB22C3" w:rsidRPr="001B45BC">
        <w:rPr>
          <w:szCs w:val="24"/>
        </w:rPr>
        <w:t>Charter of Fundamental Rights of the European Union</w:t>
      </w:r>
      <w:r w:rsidR="00DB22C3" w:rsidRPr="001D1A9A">
        <w:rPr>
          <w:szCs w:val="24"/>
        </w:rPr>
        <w:t xml:space="preserve"> art. 50, 2012 O.J. C 326/391 (Dec. 12, 2007)</w:t>
      </w:r>
      <w:r w:rsidR="00AF2F42" w:rsidRPr="001D1A9A">
        <w:rPr>
          <w:szCs w:val="24"/>
        </w:rPr>
        <w:t>.</w:t>
      </w:r>
      <w:r w:rsidRPr="001D1A9A">
        <w:rPr>
          <w:szCs w:val="24"/>
        </w:rPr>
        <w:t xml:space="preserve"> </w:t>
      </w:r>
    </w:p>
  </w:footnote>
  <w:footnote w:id="118">
    <w:p w14:paraId="2DA3C0F4" w14:textId="149A23B3"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990DDB" w:rsidRPr="00FD7617">
        <w:rPr>
          <w:i/>
          <w:iCs/>
          <w:szCs w:val="24"/>
        </w:rPr>
        <w:t>International Covenant on Civil and Political Rights</w:t>
      </w:r>
      <w:r w:rsidR="00990DDB" w:rsidRPr="001D1A9A">
        <w:rPr>
          <w:szCs w:val="24"/>
        </w:rPr>
        <w:t> art. 14(7), G.A. Res. 2200A (XXI), 999 U.N.T.S. 171 (1966).</w:t>
      </w:r>
      <w:r w:rsidR="00990DDB" w:rsidRPr="001D1A9A" w:rsidDel="00990DDB">
        <w:rPr>
          <w:i/>
          <w:iCs/>
          <w:szCs w:val="24"/>
        </w:rPr>
        <w:t xml:space="preserve"> </w:t>
      </w:r>
    </w:p>
  </w:footnote>
  <w:footnote w:id="119">
    <w:p w14:paraId="7E2E29CD" w14:textId="42FADAE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iCs/>
          <w:szCs w:val="24"/>
        </w:rPr>
        <w:t>A.P. v. Italy</w:t>
      </w:r>
      <w:r w:rsidRPr="001D1A9A">
        <w:rPr>
          <w:szCs w:val="24"/>
        </w:rPr>
        <w:t>, Human Rights Committee Decision CCPR/C/31/D/204/1986</w:t>
      </w:r>
      <w:r w:rsidR="00F668AE" w:rsidRPr="001D1A9A">
        <w:rPr>
          <w:szCs w:val="24"/>
        </w:rPr>
        <w:t>.</w:t>
      </w:r>
      <w:r w:rsidRPr="001D1A9A">
        <w:rPr>
          <w:szCs w:val="24"/>
        </w:rPr>
        <w:t xml:space="preserve"> </w:t>
      </w:r>
      <w:r w:rsidRPr="001D1A9A">
        <w:rPr>
          <w:szCs w:val="24"/>
          <w:lang w:val="en-GB"/>
        </w:rPr>
        <w:t>¶</w:t>
      </w:r>
      <w:r w:rsidRPr="001D1A9A">
        <w:rPr>
          <w:szCs w:val="24"/>
        </w:rPr>
        <w:t>7.3.</w:t>
      </w:r>
    </w:p>
  </w:footnote>
  <w:footnote w:id="120">
    <w:p w14:paraId="4C06A385" w14:textId="2E59AB84" w:rsidR="00027AF1" w:rsidRPr="001D1A9A" w:rsidRDefault="00027AF1" w:rsidP="00395591">
      <w:pPr>
        <w:pStyle w:val="FootnoteText"/>
        <w:ind w:left="360" w:hanging="360"/>
        <w:rPr>
          <w:szCs w:val="24"/>
        </w:rPr>
      </w:pPr>
      <w:r w:rsidRPr="001D1A9A">
        <w:rPr>
          <w:rStyle w:val="FootnoteReference"/>
          <w:szCs w:val="24"/>
        </w:rPr>
        <w:footnoteRef/>
      </w:r>
      <w:r w:rsidRPr="001D1A9A">
        <w:rPr>
          <w:i/>
          <w:iCs/>
          <w:szCs w:val="24"/>
        </w:rPr>
        <w:t xml:space="preserve"> </w:t>
      </w:r>
      <w:r w:rsidR="00AA475F" w:rsidRPr="001D1A9A">
        <w:rPr>
          <w:i/>
          <w:iCs/>
          <w:szCs w:val="24"/>
        </w:rPr>
        <w:t xml:space="preserve">Co-Prosecutors v. Ieng Sary, </w:t>
      </w:r>
      <w:r w:rsidR="00AA475F" w:rsidRPr="001D1A9A">
        <w:rPr>
          <w:szCs w:val="24"/>
        </w:rPr>
        <w:t>Case File No. 002/19-09-2007-ECCC/TC</w:t>
      </w:r>
      <w:r w:rsidR="00F668AE" w:rsidRPr="001D1A9A">
        <w:rPr>
          <w:i/>
          <w:iCs/>
          <w:szCs w:val="24"/>
        </w:rPr>
        <w:t>.</w:t>
      </w:r>
      <w:r w:rsidR="0053595F" w:rsidRPr="001D1A9A">
        <w:rPr>
          <w:i/>
          <w:iCs/>
          <w:szCs w:val="24"/>
        </w:rPr>
        <w:t xml:space="preserve"> ¶</w:t>
      </w:r>
      <w:r w:rsidRPr="001D1A9A">
        <w:rPr>
          <w:szCs w:val="24"/>
        </w:rPr>
        <w:t>33</w:t>
      </w:r>
      <w:r w:rsidR="003F2704" w:rsidRPr="001D1A9A">
        <w:rPr>
          <w:szCs w:val="24"/>
        </w:rPr>
        <w:t>.</w:t>
      </w:r>
    </w:p>
  </w:footnote>
  <w:footnote w:id="121">
    <w:p w14:paraId="279992EC" w14:textId="6B9C5BB2"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C72FD3" w:rsidRPr="001D1A9A">
        <w:rPr>
          <w:i/>
          <w:iCs/>
          <w:szCs w:val="24"/>
        </w:rPr>
        <w:t>R. v. Wigglesworth</w:t>
      </w:r>
      <w:r w:rsidR="00C72FD3" w:rsidRPr="001D1A9A">
        <w:rPr>
          <w:szCs w:val="24"/>
        </w:rPr>
        <w:t>, [1987] 2 S.C.R. 541,</w:t>
      </w:r>
      <w:r w:rsidRPr="001D1A9A">
        <w:rPr>
          <w:szCs w:val="24"/>
        </w:rPr>
        <w:t xml:space="preserve"> Canada</w:t>
      </w:r>
      <w:r w:rsidR="009177C6" w:rsidRPr="001D1A9A">
        <w:rPr>
          <w:szCs w:val="24"/>
        </w:rPr>
        <w:t>;</w:t>
      </w:r>
      <w:r w:rsidR="0060372B" w:rsidRPr="001D1A9A">
        <w:rPr>
          <w:szCs w:val="24"/>
        </w:rPr>
        <w:t xml:space="preserve"> </w:t>
      </w:r>
      <w:r w:rsidR="00EE606D" w:rsidRPr="001D1A9A">
        <w:rPr>
          <w:szCs w:val="24"/>
        </w:rPr>
        <w:t>Section 337(1) of the Bharatiya Nagarik Suraksha Sanhita (BNSS), 2023, India.</w:t>
      </w:r>
    </w:p>
  </w:footnote>
  <w:footnote w:id="122">
    <w:p w14:paraId="49A6343C" w14:textId="4F4F3842"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642297" w:rsidRPr="001D1A9A">
        <w:rPr>
          <w:szCs w:val="24"/>
        </w:rPr>
        <w:t>Compromis, ¶</w:t>
      </w:r>
      <w:r w:rsidRPr="001D1A9A">
        <w:rPr>
          <w:szCs w:val="24"/>
        </w:rPr>
        <w:t>42</w:t>
      </w:r>
      <w:r w:rsidR="00642297" w:rsidRPr="001D1A9A">
        <w:rPr>
          <w:szCs w:val="24"/>
        </w:rPr>
        <w:t>.</w:t>
      </w:r>
    </w:p>
  </w:footnote>
  <w:footnote w:id="123">
    <w:p w14:paraId="082ECD19" w14:textId="7CF89D0A"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642297" w:rsidRPr="001D1A9A">
        <w:rPr>
          <w:szCs w:val="24"/>
        </w:rPr>
        <w:t xml:space="preserve">Compromis, </w:t>
      </w:r>
      <w:r w:rsidR="00642297" w:rsidRPr="001D1A9A">
        <w:rPr>
          <w:rFonts w:cs="Times New Roman"/>
          <w:szCs w:val="24"/>
        </w:rPr>
        <w:t>¶</w:t>
      </w:r>
      <w:r w:rsidRPr="001D1A9A">
        <w:rPr>
          <w:szCs w:val="24"/>
        </w:rPr>
        <w:t>44.</w:t>
      </w:r>
    </w:p>
  </w:footnote>
  <w:footnote w:id="124">
    <w:p w14:paraId="067EEFC2" w14:textId="26641833" w:rsidR="00027AF1" w:rsidRPr="001D1A9A" w:rsidRDefault="00027AF1" w:rsidP="00395591">
      <w:pPr>
        <w:pBdr>
          <w:top w:val="nil"/>
          <w:left w:val="nil"/>
          <w:bottom w:val="nil"/>
          <w:right w:val="nil"/>
          <w:between w:val="nil"/>
        </w:pBdr>
        <w:spacing w:line="240" w:lineRule="auto"/>
        <w:ind w:left="360" w:hanging="360"/>
        <w:rPr>
          <w:color w:val="000000"/>
        </w:rPr>
      </w:pPr>
      <w:r w:rsidRPr="001D1A9A">
        <w:rPr>
          <w:rStyle w:val="FootnoteReference"/>
        </w:rPr>
        <w:footnoteRef/>
      </w:r>
      <w:r w:rsidRPr="001D1A9A">
        <w:rPr>
          <w:color w:val="000000"/>
        </w:rPr>
        <w:t xml:space="preserve"> </w:t>
      </w:r>
      <w:r w:rsidR="006B02EA" w:rsidRPr="001D1A9A">
        <w:rPr>
          <w:i/>
          <w:iCs/>
        </w:rPr>
        <w:t>Prosecutor v. Tadić</w:t>
      </w:r>
      <w:r w:rsidR="006B02EA" w:rsidRPr="001D1A9A">
        <w:rPr>
          <w:i/>
          <w:color w:val="000000"/>
        </w:rPr>
        <w:t>,</w:t>
      </w:r>
      <w:r w:rsidR="008C1665" w:rsidRPr="001D1A9A">
        <w:rPr>
          <w:i/>
          <w:iCs/>
          <w:color w:val="000000"/>
        </w:rPr>
        <w:t xml:space="preserve"> </w:t>
      </w:r>
      <w:r w:rsidR="008C1665" w:rsidRPr="001D1A9A">
        <w:t>¶</w:t>
      </w:r>
      <w:r w:rsidR="001B6652" w:rsidRPr="001D1A9A">
        <w:t xml:space="preserve"> </w:t>
      </w:r>
      <w:r w:rsidR="00712CE5" w:rsidRPr="001D1A9A">
        <w:t>9.</w:t>
      </w:r>
    </w:p>
  </w:footnote>
  <w:footnote w:id="125">
    <w:p w14:paraId="4EC09761" w14:textId="6A75978F"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proofErr w:type="spellStart"/>
      <w:r w:rsidRPr="001D1A9A">
        <w:rPr>
          <w:i/>
          <w:iCs/>
          <w:szCs w:val="24"/>
        </w:rPr>
        <w:t>Sindona</w:t>
      </w:r>
      <w:proofErr w:type="spellEnd"/>
      <w:r w:rsidRPr="001D1A9A">
        <w:rPr>
          <w:i/>
          <w:iCs/>
          <w:szCs w:val="24"/>
        </w:rPr>
        <w:t xml:space="preserve"> v</w:t>
      </w:r>
      <w:r w:rsidR="00A56746" w:rsidRPr="001D1A9A">
        <w:rPr>
          <w:i/>
          <w:iCs/>
          <w:szCs w:val="24"/>
        </w:rPr>
        <w:t>.</w:t>
      </w:r>
      <w:r w:rsidRPr="001D1A9A">
        <w:rPr>
          <w:i/>
          <w:iCs/>
          <w:szCs w:val="24"/>
        </w:rPr>
        <w:t xml:space="preserve"> Grant,</w:t>
      </w:r>
      <w:r w:rsidR="00A56746" w:rsidRPr="001D1A9A">
        <w:rPr>
          <w:i/>
          <w:iCs/>
          <w:szCs w:val="24"/>
        </w:rPr>
        <w:t xml:space="preserve"> </w:t>
      </w:r>
      <w:r w:rsidR="00A56746" w:rsidRPr="001D1A9A">
        <w:rPr>
          <w:szCs w:val="24"/>
        </w:rPr>
        <w:t>461 F. Supp. 199</w:t>
      </w:r>
      <w:r w:rsidR="00E6534F" w:rsidRPr="001D1A9A">
        <w:rPr>
          <w:szCs w:val="24"/>
        </w:rPr>
        <w:t xml:space="preserve"> (1978) (United States). </w:t>
      </w:r>
    </w:p>
  </w:footnote>
  <w:footnote w:id="126">
    <w:p w14:paraId="4D7C3D07" w14:textId="286E4880"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4E2DC2" w:rsidRPr="001D1A9A">
        <w:rPr>
          <w:szCs w:val="24"/>
        </w:rPr>
        <w:t>Compromis</w:t>
      </w:r>
      <w:r w:rsidR="0053595F" w:rsidRPr="001D1A9A">
        <w:rPr>
          <w:szCs w:val="24"/>
        </w:rPr>
        <w:t>, ¶</w:t>
      </w:r>
      <w:r w:rsidRPr="001D1A9A">
        <w:rPr>
          <w:szCs w:val="24"/>
        </w:rPr>
        <w:t>46.</w:t>
      </w:r>
    </w:p>
  </w:footnote>
  <w:footnote w:id="127">
    <w:p w14:paraId="323E18C0" w14:textId="6204414B"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Xiaodong Yang, </w:t>
      </w:r>
      <w:r w:rsidRPr="001D1A9A">
        <w:rPr>
          <w:i/>
          <w:szCs w:val="24"/>
        </w:rPr>
        <w:t>State Immunity in International Law</w:t>
      </w:r>
      <w:r w:rsidRPr="001D1A9A">
        <w:rPr>
          <w:szCs w:val="24"/>
        </w:rPr>
        <w:t xml:space="preserve"> </w:t>
      </w:r>
      <w:r w:rsidR="00F5441D" w:rsidRPr="001D1A9A">
        <w:rPr>
          <w:szCs w:val="24"/>
        </w:rPr>
        <w:t>(</w:t>
      </w:r>
      <w:r w:rsidR="002507D6" w:rsidRPr="001D1A9A">
        <w:rPr>
          <w:szCs w:val="24"/>
        </w:rPr>
        <w:t xml:space="preserve">Cambridge: Cambridge University Press, 1963), </w:t>
      </w:r>
      <w:r w:rsidRPr="001D1A9A">
        <w:rPr>
          <w:szCs w:val="24"/>
        </w:rPr>
        <w:t>230</w:t>
      </w:r>
      <w:r w:rsidR="002507D6" w:rsidRPr="001D1A9A">
        <w:rPr>
          <w:szCs w:val="24"/>
        </w:rPr>
        <w:t>.</w:t>
      </w:r>
      <w:r w:rsidRPr="001D1A9A">
        <w:rPr>
          <w:szCs w:val="24"/>
        </w:rPr>
        <w:t xml:space="preserve"> </w:t>
      </w:r>
    </w:p>
  </w:footnote>
  <w:footnote w:id="128">
    <w:p w14:paraId="24A49EB5" w14:textId="6D6C2065" w:rsidR="000B1AAD" w:rsidRDefault="000B1AAD" w:rsidP="00395591">
      <w:pPr>
        <w:pStyle w:val="FootnoteText"/>
        <w:ind w:left="360" w:hanging="360"/>
      </w:pPr>
      <w:r>
        <w:rPr>
          <w:rStyle w:val="FootnoteReference"/>
        </w:rPr>
        <w:footnoteRef/>
      </w:r>
      <w:r>
        <w:t xml:space="preserve"> </w:t>
      </w:r>
      <w:r w:rsidR="00CA325D" w:rsidRPr="00CA325D">
        <w:t xml:space="preserve">See, e.g., </w:t>
      </w:r>
      <w:r w:rsidR="00CA325D" w:rsidRPr="00CA325D">
        <w:rPr>
          <w:i/>
          <w:iCs/>
        </w:rPr>
        <w:t>Jones v. Ministry of Interior of the Kingdom of Saudi Arabia</w:t>
      </w:r>
      <w:r w:rsidR="00CA325D" w:rsidRPr="00CA325D">
        <w:t xml:space="preserve"> [2006] UKHL 26, [2007] 1 AC  270, ¶¶12, 74–79 (H.L. Jun. 14, 2006) (appeal taken from Eng.); </w:t>
      </w:r>
      <w:r w:rsidR="00715822" w:rsidRPr="00A14347">
        <w:rPr>
          <w:rFonts w:eastAsia="Aptos" w:cs="Arial"/>
          <w:i/>
          <w:iCs/>
        </w:rPr>
        <w:t>Report of the International Law Commission</w:t>
      </w:r>
      <w:r w:rsidR="00715822" w:rsidRPr="00CA325D">
        <w:t xml:space="preserve">, </w:t>
      </w:r>
      <w:r w:rsidR="00715822">
        <w:t>73</w:t>
      </w:r>
      <w:r w:rsidR="00715822" w:rsidRPr="00715822">
        <w:rPr>
          <w:vertAlign w:val="superscript"/>
        </w:rPr>
        <w:t>rd</w:t>
      </w:r>
      <w:r w:rsidR="00715822">
        <w:t xml:space="preserve"> Sess, UNGA</w:t>
      </w:r>
      <w:r w:rsidR="00715822" w:rsidRPr="00CA325D">
        <w:t xml:space="preserve">, </w:t>
      </w:r>
      <w:r w:rsidR="00715822">
        <w:t>UN</w:t>
      </w:r>
      <w:r w:rsidR="00715822" w:rsidRPr="00CA325D">
        <w:t xml:space="preserve"> Doc. A/77/10, (2022)</w:t>
      </w:r>
      <w:r w:rsidR="00CA325D" w:rsidRPr="00CA325D">
        <w:t>, 209</w:t>
      </w:r>
      <w:r w:rsidR="00E33191">
        <w:t xml:space="preserve"> </w:t>
      </w:r>
      <w:r w:rsidR="00CA325D" w:rsidRPr="00CA325D">
        <w:t>211</w:t>
      </w:r>
      <w:r w:rsidR="00715822">
        <w:t xml:space="preserve">. </w:t>
      </w:r>
    </w:p>
  </w:footnote>
  <w:footnote w:id="129">
    <w:p w14:paraId="2F7141DD" w14:textId="31C8030D"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EA4CDD" w:rsidRPr="001D1A9A">
        <w:rPr>
          <w:szCs w:val="24"/>
        </w:rPr>
        <w:t>(</w:t>
      </w:r>
      <w:r w:rsidR="005E16F1" w:rsidRPr="001D1A9A">
        <w:rPr>
          <w:i/>
          <w:iCs/>
          <w:szCs w:val="24"/>
        </w:rPr>
        <w:t>D</w:t>
      </w:r>
      <w:r w:rsidR="00EA4CDD" w:rsidRPr="001D1A9A">
        <w:rPr>
          <w:i/>
          <w:iCs/>
          <w:szCs w:val="24"/>
        </w:rPr>
        <w:t>)</w:t>
      </w:r>
      <w:r w:rsidR="005E16F1" w:rsidRPr="001D1A9A">
        <w:rPr>
          <w:i/>
          <w:iCs/>
          <w:szCs w:val="24"/>
        </w:rPr>
        <w:t>ARSIW</w:t>
      </w:r>
      <w:r w:rsidR="00EA4CDD" w:rsidRPr="001D1A9A">
        <w:rPr>
          <w:i/>
          <w:iCs/>
          <w:szCs w:val="24"/>
        </w:rPr>
        <w:t>A</w:t>
      </w:r>
      <w:r w:rsidR="005E16F1" w:rsidRPr="001D1A9A">
        <w:rPr>
          <w:szCs w:val="24"/>
        </w:rPr>
        <w:t>, art</w:t>
      </w:r>
      <w:r w:rsidRPr="001D1A9A">
        <w:rPr>
          <w:szCs w:val="24"/>
        </w:rPr>
        <w:t xml:space="preserve"> 4 </w:t>
      </w:r>
      <w:r w:rsidR="005E16F1" w:rsidRPr="001D1A9A">
        <w:rPr>
          <w:szCs w:val="24"/>
        </w:rPr>
        <w:t>is</w:t>
      </w:r>
      <w:r w:rsidRPr="001D1A9A">
        <w:rPr>
          <w:szCs w:val="24"/>
        </w:rPr>
        <w:t xml:space="preserve"> customary international law </w:t>
      </w:r>
      <w:r w:rsidR="005E16F1" w:rsidRPr="001D1A9A">
        <w:rPr>
          <w:szCs w:val="24"/>
        </w:rPr>
        <w:t>per</w:t>
      </w:r>
      <w:r w:rsidRPr="001D1A9A">
        <w:rPr>
          <w:szCs w:val="24"/>
        </w:rPr>
        <w:t xml:space="preserve"> </w:t>
      </w:r>
      <w:r w:rsidRPr="001D1A9A">
        <w:rPr>
          <w:i/>
          <w:szCs w:val="24"/>
        </w:rPr>
        <w:t>Application of the Convention on the Prevention and Punishment of the Crime of Genocide (Bosnia and Herzegovina v. Serbia and Montenegro)</w:t>
      </w:r>
      <w:r w:rsidRPr="001D1A9A">
        <w:rPr>
          <w:szCs w:val="24"/>
        </w:rPr>
        <w:t xml:space="preserve">, </w:t>
      </w:r>
      <w:r w:rsidR="00D41D23" w:rsidRPr="001D1A9A">
        <w:rPr>
          <w:szCs w:val="24"/>
        </w:rPr>
        <w:t>[1996] ICJ Rep 595</w:t>
      </w:r>
      <w:r w:rsidR="00510765" w:rsidRPr="001D1A9A">
        <w:rPr>
          <w:szCs w:val="24"/>
        </w:rPr>
        <w:t xml:space="preserve"> ¶385</w:t>
      </w:r>
      <w:r w:rsidR="00D41D23" w:rsidRPr="001D1A9A">
        <w:rPr>
          <w:szCs w:val="24"/>
        </w:rPr>
        <w:t xml:space="preserve"> [</w:t>
      </w:r>
      <w:r w:rsidR="00D41D23" w:rsidRPr="001D1A9A">
        <w:rPr>
          <w:i/>
          <w:iCs/>
          <w:szCs w:val="24"/>
        </w:rPr>
        <w:t>Bosnia v. Serbia</w:t>
      </w:r>
      <w:r w:rsidR="00D41D23" w:rsidRPr="001D1A9A">
        <w:rPr>
          <w:szCs w:val="24"/>
        </w:rPr>
        <w:t>].</w:t>
      </w:r>
      <w:r w:rsidR="00510765" w:rsidRPr="001D1A9A">
        <w:rPr>
          <w:szCs w:val="24"/>
        </w:rPr>
        <w:t xml:space="preserve"> </w:t>
      </w:r>
    </w:p>
  </w:footnote>
  <w:footnote w:id="130">
    <w:p w14:paraId="26F874D5" w14:textId="003752E3"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Compromis </w:t>
      </w:r>
      <w:r w:rsidR="0050108A" w:rsidRPr="001D1A9A">
        <w:rPr>
          <w:szCs w:val="24"/>
        </w:rPr>
        <w:t>¶</w:t>
      </w:r>
      <w:r w:rsidRPr="001D1A9A">
        <w:rPr>
          <w:szCs w:val="24"/>
        </w:rPr>
        <w:t>24.</w:t>
      </w:r>
    </w:p>
  </w:footnote>
  <w:footnote w:id="131">
    <w:p w14:paraId="24A6D60A" w14:textId="5B93D1D0"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5A3B6D">
        <w:rPr>
          <w:i/>
          <w:color w:val="000000" w:themeColor="text1"/>
          <w:szCs w:val="24"/>
        </w:rPr>
        <w:t xml:space="preserve">EDF (Services) Limited v Romania, ICSID </w:t>
      </w:r>
      <w:r w:rsidRPr="005A3B6D">
        <w:rPr>
          <w:color w:val="000000" w:themeColor="text1"/>
          <w:szCs w:val="24"/>
        </w:rPr>
        <w:t>Case No. ARB/05/13, 8 October 2009</w:t>
      </w:r>
      <w:r w:rsidR="000175FA" w:rsidRPr="000175FA">
        <w:rPr>
          <w:color w:val="000000" w:themeColor="text1"/>
          <w:szCs w:val="24"/>
        </w:rPr>
        <w:t>,</w:t>
      </w:r>
      <w:r w:rsidRPr="000175FA">
        <w:rPr>
          <w:color w:val="000000" w:themeColor="text1"/>
          <w:szCs w:val="24"/>
        </w:rPr>
        <w:t xml:space="preserve"> </w:t>
      </w:r>
      <w:r w:rsidRPr="001D1A9A">
        <w:rPr>
          <w:color w:val="000000"/>
          <w:szCs w:val="24"/>
        </w:rPr>
        <w:t>para 191</w:t>
      </w:r>
    </w:p>
  </w:footnote>
  <w:footnote w:id="132">
    <w:p w14:paraId="2F6DFC20" w14:textId="4AFB523A"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D41D23" w:rsidRPr="001D1A9A">
        <w:rPr>
          <w:i/>
          <w:iCs/>
          <w:szCs w:val="24"/>
        </w:rPr>
        <w:t>Bosnia v. Serbia</w:t>
      </w:r>
      <w:r w:rsidR="00D41D23" w:rsidRPr="001D1A9A">
        <w:rPr>
          <w:szCs w:val="24"/>
        </w:rPr>
        <w:t xml:space="preserve"> ¶</w:t>
      </w:r>
      <w:r w:rsidRPr="001D1A9A">
        <w:rPr>
          <w:szCs w:val="24"/>
        </w:rPr>
        <w:t xml:space="preserve">388. </w:t>
      </w:r>
    </w:p>
  </w:footnote>
  <w:footnote w:id="133">
    <w:p w14:paraId="296E1DD6" w14:textId="7F78663E"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0F1057" w:rsidRPr="00065B41">
        <w:rPr>
          <w:rFonts w:cs="Times New Roman"/>
          <w:szCs w:val="24"/>
        </w:rPr>
        <w:t xml:space="preserve">ILC, </w:t>
      </w:r>
      <w:r w:rsidR="000F1057" w:rsidRPr="00065B41">
        <w:rPr>
          <w:rFonts w:cs="Times New Roman"/>
          <w:i/>
          <w:iCs/>
          <w:szCs w:val="24"/>
        </w:rPr>
        <w:t>Draft Articles on Responsibility of States for Internationally Wrongful Acts</w:t>
      </w:r>
      <w:r w:rsidR="000F1057" w:rsidRPr="00065B41">
        <w:rPr>
          <w:rFonts w:cs="Times New Roman"/>
          <w:szCs w:val="24"/>
        </w:rPr>
        <w:t>, with commentaries (2001), ILC Yearbook, Vol.</w:t>
      </w:r>
      <w:r w:rsidR="000F1057">
        <w:rPr>
          <w:rFonts w:cs="Times New Roman"/>
          <w:szCs w:val="24"/>
        </w:rPr>
        <w:t xml:space="preserve"> </w:t>
      </w:r>
      <w:proofErr w:type="gramStart"/>
      <w:r w:rsidR="000F1057" w:rsidRPr="00065B41">
        <w:rPr>
          <w:rFonts w:cs="Times New Roman"/>
          <w:szCs w:val="24"/>
        </w:rPr>
        <w:t>II(</w:t>
      </w:r>
      <w:proofErr w:type="gramEnd"/>
      <w:r w:rsidR="000F1057" w:rsidRPr="00065B41">
        <w:rPr>
          <w:rFonts w:cs="Times New Roman"/>
          <w:szCs w:val="24"/>
        </w:rPr>
        <w:t xml:space="preserve">2), </w:t>
      </w:r>
      <w:r w:rsidR="005A681F">
        <w:rPr>
          <w:rFonts w:cs="Times New Roman"/>
          <w:szCs w:val="24"/>
        </w:rPr>
        <w:t xml:space="preserve">42 </w:t>
      </w:r>
      <w:r w:rsidR="000F1057">
        <w:rPr>
          <w:rFonts w:cs="Times New Roman"/>
          <w:szCs w:val="24"/>
        </w:rPr>
        <w:t>[</w:t>
      </w:r>
      <w:r w:rsidR="00BA72A3" w:rsidRPr="001D1A9A">
        <w:rPr>
          <w:szCs w:val="24"/>
        </w:rPr>
        <w:t>(</w:t>
      </w:r>
      <w:r w:rsidRPr="001D1A9A">
        <w:rPr>
          <w:i/>
          <w:szCs w:val="24"/>
        </w:rPr>
        <w:t>D</w:t>
      </w:r>
      <w:r w:rsidR="00BA72A3" w:rsidRPr="001D1A9A">
        <w:rPr>
          <w:i/>
          <w:szCs w:val="24"/>
        </w:rPr>
        <w:t>)</w:t>
      </w:r>
      <w:r w:rsidRPr="001D1A9A">
        <w:rPr>
          <w:i/>
          <w:szCs w:val="24"/>
        </w:rPr>
        <w:t>ARSIWA</w:t>
      </w:r>
      <w:r w:rsidR="000F1057">
        <w:rPr>
          <w:iCs/>
          <w:szCs w:val="24"/>
        </w:rPr>
        <w:t xml:space="preserve"> Commentaries]</w:t>
      </w:r>
      <w:r w:rsidR="00BB32C5" w:rsidRPr="001D1A9A">
        <w:rPr>
          <w:i/>
          <w:szCs w:val="24"/>
        </w:rPr>
        <w:t xml:space="preserve"> </w:t>
      </w:r>
    </w:p>
  </w:footnote>
  <w:footnote w:id="134">
    <w:p w14:paraId="007B55CA" w14:textId="16D4FF7E"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0D09BC" w:rsidRPr="001D1A9A">
        <w:rPr>
          <w:szCs w:val="24"/>
        </w:rPr>
        <w:t>(</w:t>
      </w:r>
      <w:r w:rsidR="00836D6A" w:rsidRPr="001D1A9A">
        <w:rPr>
          <w:i/>
          <w:iCs/>
          <w:szCs w:val="24"/>
        </w:rPr>
        <w:t>D</w:t>
      </w:r>
      <w:r w:rsidR="000D09BC" w:rsidRPr="001D1A9A">
        <w:rPr>
          <w:i/>
          <w:iCs/>
          <w:szCs w:val="24"/>
        </w:rPr>
        <w:t>)</w:t>
      </w:r>
      <w:r w:rsidR="00836D6A" w:rsidRPr="001D1A9A">
        <w:rPr>
          <w:i/>
          <w:iCs/>
          <w:szCs w:val="24"/>
        </w:rPr>
        <w:t>ARSIWA</w:t>
      </w:r>
      <w:r w:rsidR="000D09BC" w:rsidRPr="001D1A9A">
        <w:rPr>
          <w:i/>
          <w:iCs/>
          <w:szCs w:val="24"/>
        </w:rPr>
        <w:t xml:space="preserve"> </w:t>
      </w:r>
      <w:r w:rsidR="000F1057">
        <w:rPr>
          <w:szCs w:val="24"/>
        </w:rPr>
        <w:t>C</w:t>
      </w:r>
      <w:r w:rsidR="000D09BC" w:rsidRPr="001D1A9A">
        <w:rPr>
          <w:szCs w:val="24"/>
        </w:rPr>
        <w:t>ommentaries,</w:t>
      </w:r>
      <w:r w:rsidR="00077F79" w:rsidRPr="001D1A9A">
        <w:rPr>
          <w:szCs w:val="24"/>
        </w:rPr>
        <w:t xml:space="preserve"> 43</w:t>
      </w:r>
      <w:r w:rsidR="00077F79" w:rsidRPr="001D1A9A">
        <w:rPr>
          <w:i/>
          <w:iCs/>
          <w:szCs w:val="24"/>
        </w:rPr>
        <w:t xml:space="preserve"> </w:t>
      </w:r>
      <w:r w:rsidR="00077F79" w:rsidRPr="001D1A9A">
        <w:rPr>
          <w:szCs w:val="24"/>
        </w:rPr>
        <w:t xml:space="preserve">¶ </w:t>
      </w:r>
      <w:r w:rsidR="007D6161" w:rsidRPr="001D1A9A">
        <w:rPr>
          <w:szCs w:val="24"/>
        </w:rPr>
        <w:t>5-7.</w:t>
      </w:r>
    </w:p>
  </w:footnote>
  <w:footnote w:id="135">
    <w:p w14:paraId="1696DEF5" w14:textId="508ABF4F"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 xml:space="preserve">Jan de </w:t>
      </w:r>
      <w:proofErr w:type="spellStart"/>
      <w:r w:rsidRPr="001D1A9A">
        <w:rPr>
          <w:i/>
          <w:szCs w:val="24"/>
        </w:rPr>
        <w:t>Nul</w:t>
      </w:r>
      <w:proofErr w:type="spellEnd"/>
      <w:r w:rsidRPr="001D1A9A">
        <w:rPr>
          <w:i/>
          <w:szCs w:val="24"/>
        </w:rPr>
        <w:t xml:space="preserve"> N.V. &amp; Dredging International N.V. v Egypt</w:t>
      </w:r>
      <w:r w:rsidR="0053595F" w:rsidRPr="001D1A9A">
        <w:rPr>
          <w:szCs w:val="24"/>
        </w:rPr>
        <w:t xml:space="preserve">, </w:t>
      </w:r>
      <w:r w:rsidR="009E7E53" w:rsidRPr="001D1A9A">
        <w:rPr>
          <w:szCs w:val="24"/>
        </w:rPr>
        <w:t>ICSID Case No. ARB/04/13</w:t>
      </w:r>
      <w:r w:rsidR="00882602" w:rsidRPr="001D1A9A">
        <w:rPr>
          <w:szCs w:val="24"/>
        </w:rPr>
        <w:t xml:space="preserve">, Award, </w:t>
      </w:r>
      <w:r w:rsidR="001C124A" w:rsidRPr="001D1A9A">
        <w:rPr>
          <w:szCs w:val="24"/>
        </w:rPr>
        <w:t>6 November 2008,</w:t>
      </w:r>
      <w:r w:rsidR="0053595F" w:rsidRPr="001D1A9A">
        <w:rPr>
          <w:szCs w:val="24"/>
        </w:rPr>
        <w:t xml:space="preserve"> </w:t>
      </w:r>
      <w:r w:rsidR="0053595F" w:rsidRPr="001D1A9A">
        <w:rPr>
          <w:i/>
          <w:szCs w:val="24"/>
        </w:rPr>
        <w:t>¶</w:t>
      </w:r>
      <w:r w:rsidRPr="001D1A9A">
        <w:rPr>
          <w:szCs w:val="24"/>
        </w:rPr>
        <w:t>161</w:t>
      </w:r>
      <w:r w:rsidR="00E42C9F" w:rsidRPr="001D1A9A">
        <w:rPr>
          <w:szCs w:val="24"/>
        </w:rPr>
        <w:t>,</w:t>
      </w:r>
      <w:r w:rsidRPr="001D1A9A">
        <w:rPr>
          <w:szCs w:val="24"/>
        </w:rPr>
        <w:t xml:space="preserve"> 171.</w:t>
      </w:r>
      <w:r w:rsidR="001C124A" w:rsidRPr="001D1A9A">
        <w:rPr>
          <w:szCs w:val="24"/>
        </w:rPr>
        <w:t xml:space="preserve"> </w:t>
      </w:r>
    </w:p>
  </w:footnote>
  <w:footnote w:id="136">
    <w:p w14:paraId="34F415CD" w14:textId="30C9650A"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Ibid</w:t>
      </w:r>
      <w:r w:rsidR="00606117">
        <w:rPr>
          <w:i/>
          <w:szCs w:val="24"/>
        </w:rPr>
        <w:t xml:space="preserve"> </w:t>
      </w:r>
      <w:r w:rsidR="00606117">
        <w:t>¶169</w:t>
      </w:r>
      <w:r w:rsidRPr="001D1A9A">
        <w:rPr>
          <w:szCs w:val="24"/>
        </w:rPr>
        <w:t xml:space="preserve">. </w:t>
      </w:r>
    </w:p>
  </w:footnote>
  <w:footnote w:id="137">
    <w:p w14:paraId="12F532AE" w14:textId="5A0AB0EA"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Beijing Urban Construction Group Co. Ltd. v. Republic of Yemen</w:t>
      </w:r>
      <w:r w:rsidRPr="001D1A9A">
        <w:rPr>
          <w:szCs w:val="24"/>
        </w:rPr>
        <w:t>, ICSID Case No. ARB/14/30</w:t>
      </w:r>
      <w:r w:rsidR="0053595F" w:rsidRPr="001D1A9A">
        <w:rPr>
          <w:szCs w:val="24"/>
        </w:rPr>
        <w:t>, ¶</w:t>
      </w:r>
      <w:r w:rsidRPr="001D1A9A">
        <w:rPr>
          <w:szCs w:val="24"/>
        </w:rPr>
        <w:t>40</w:t>
      </w:r>
      <w:r w:rsidR="002C643C">
        <w:rPr>
          <w:szCs w:val="24"/>
        </w:rPr>
        <w:t>; Compromis ¶</w:t>
      </w:r>
      <w:r w:rsidR="00BE20CD">
        <w:rPr>
          <w:szCs w:val="24"/>
        </w:rPr>
        <w:t>29.</w:t>
      </w:r>
    </w:p>
  </w:footnote>
  <w:footnote w:id="138">
    <w:p w14:paraId="63A5E6D5" w14:textId="5185E776"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Ibid</w:t>
      </w:r>
      <w:r w:rsidR="0053595F" w:rsidRPr="001D1A9A">
        <w:rPr>
          <w:i/>
          <w:szCs w:val="24"/>
        </w:rPr>
        <w:t>, ¶</w:t>
      </w:r>
      <w:r w:rsidR="00E717E5" w:rsidRPr="001D1A9A">
        <w:rPr>
          <w:szCs w:val="24"/>
        </w:rPr>
        <w:t>32.</w:t>
      </w:r>
    </w:p>
  </w:footnote>
  <w:footnote w:id="139">
    <w:p w14:paraId="6E95629D" w14:textId="3571A552"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 xml:space="preserve">Gustav F W Hamester GmbH &amp; Co KG v </w:t>
      </w:r>
      <w:r w:rsidR="00F67BDE" w:rsidRPr="001D1A9A">
        <w:rPr>
          <w:i/>
          <w:szCs w:val="24"/>
        </w:rPr>
        <w:t xml:space="preserve">Republic of </w:t>
      </w:r>
      <w:r w:rsidRPr="001D1A9A">
        <w:rPr>
          <w:i/>
          <w:szCs w:val="24"/>
        </w:rPr>
        <w:t>Ghana</w:t>
      </w:r>
      <w:r w:rsidR="0053595F" w:rsidRPr="001D1A9A">
        <w:rPr>
          <w:szCs w:val="24"/>
        </w:rPr>
        <w:t xml:space="preserve">, </w:t>
      </w:r>
      <w:r w:rsidR="00E9375D" w:rsidRPr="001D1A9A">
        <w:rPr>
          <w:szCs w:val="24"/>
        </w:rPr>
        <w:t xml:space="preserve">ICSID Case No. ARB/07/24, </w:t>
      </w:r>
      <w:r w:rsidR="0053595F" w:rsidRPr="001D1A9A">
        <w:rPr>
          <w:szCs w:val="24"/>
        </w:rPr>
        <w:t>¶</w:t>
      </w:r>
      <w:r w:rsidRPr="001D1A9A">
        <w:rPr>
          <w:szCs w:val="24"/>
        </w:rPr>
        <w:t>184 -185.</w:t>
      </w:r>
    </w:p>
  </w:footnote>
  <w:footnote w:id="140">
    <w:p w14:paraId="1F2EE2B3" w14:textId="08F9D29A" w:rsidR="00BD543E" w:rsidRDefault="00BD543E" w:rsidP="00395591">
      <w:pPr>
        <w:pStyle w:val="FootnoteText"/>
        <w:ind w:left="360" w:hanging="360"/>
      </w:pPr>
      <w:r>
        <w:rPr>
          <w:rStyle w:val="FootnoteReference"/>
        </w:rPr>
        <w:footnoteRef/>
      </w:r>
      <w:r>
        <w:t xml:space="preserve"> </w:t>
      </w:r>
      <w:r w:rsidR="00CA747A">
        <w:t>Compromis ¶</w:t>
      </w:r>
      <w:r w:rsidR="00DD74F1">
        <w:t>24</w:t>
      </w:r>
      <w:r w:rsidR="002752FF">
        <w:t xml:space="preserve">; </w:t>
      </w:r>
      <w:r w:rsidR="002752FF" w:rsidRPr="002752FF">
        <w:rPr>
          <w:i/>
          <w:iCs/>
        </w:rPr>
        <w:t>(</w:t>
      </w:r>
      <w:r w:rsidR="002752FF" w:rsidRPr="001D1A9A">
        <w:rPr>
          <w:i/>
          <w:iCs/>
          <w:szCs w:val="24"/>
        </w:rPr>
        <w:t xml:space="preserve">D)ARSIWA </w:t>
      </w:r>
      <w:r w:rsidR="004E1F61">
        <w:rPr>
          <w:szCs w:val="24"/>
        </w:rPr>
        <w:t>C</w:t>
      </w:r>
      <w:r w:rsidR="002752FF" w:rsidRPr="001D1A9A">
        <w:rPr>
          <w:szCs w:val="24"/>
        </w:rPr>
        <w:t>ommentaries</w:t>
      </w:r>
      <w:r w:rsidR="000D510B">
        <w:rPr>
          <w:szCs w:val="24"/>
        </w:rPr>
        <w:t>, 47-48.</w:t>
      </w:r>
      <w:r w:rsidR="002752FF">
        <w:rPr>
          <w:szCs w:val="24"/>
        </w:rPr>
        <w:t xml:space="preserve"> </w:t>
      </w:r>
    </w:p>
  </w:footnote>
  <w:footnote w:id="141">
    <w:p w14:paraId="73F51279" w14:textId="54436C24"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D41D23" w:rsidRPr="001D1A9A">
        <w:rPr>
          <w:i/>
          <w:iCs/>
          <w:szCs w:val="24"/>
        </w:rPr>
        <w:t>Bosnia v. Serbia</w:t>
      </w:r>
      <w:r w:rsidR="00D41D23" w:rsidRPr="001D1A9A">
        <w:rPr>
          <w:szCs w:val="24"/>
        </w:rPr>
        <w:t xml:space="preserve"> ¶</w:t>
      </w:r>
      <w:r w:rsidR="007B3EC2" w:rsidRPr="001D1A9A">
        <w:rPr>
          <w:szCs w:val="24"/>
        </w:rPr>
        <w:t xml:space="preserve">400. </w:t>
      </w:r>
    </w:p>
  </w:footnote>
  <w:footnote w:id="142">
    <w:p w14:paraId="7999E9AB" w14:textId="0C96685F" w:rsidR="00027AF1" w:rsidRPr="001D1A9A" w:rsidRDefault="00027AF1" w:rsidP="00395591">
      <w:pPr>
        <w:pStyle w:val="FootnoteText"/>
        <w:ind w:left="360" w:hanging="360"/>
        <w:rPr>
          <w:szCs w:val="24"/>
        </w:rPr>
      </w:pPr>
      <w:r w:rsidRPr="001D1A9A">
        <w:rPr>
          <w:rStyle w:val="FootnoteReference"/>
          <w:szCs w:val="24"/>
        </w:rPr>
        <w:footnoteRef/>
      </w:r>
      <w:r w:rsidR="008B1B58" w:rsidRPr="001D1A9A">
        <w:rPr>
          <w:szCs w:val="24"/>
        </w:rPr>
        <w:t xml:space="preserve"> </w:t>
      </w:r>
      <w:r w:rsidR="008B1B58" w:rsidRPr="001D1A9A">
        <w:rPr>
          <w:i/>
          <w:szCs w:val="24"/>
        </w:rPr>
        <w:t>Case Concerning Military and Paramilitary Activities in and Against Nicaragua (Nicaragua v. United States of America)</w:t>
      </w:r>
      <w:r w:rsidR="008B1B58" w:rsidRPr="001D1A9A">
        <w:rPr>
          <w:szCs w:val="24"/>
        </w:rPr>
        <w:t xml:space="preserve">, [1986] ICJ Rep 14, </w:t>
      </w:r>
      <w:r w:rsidR="009450A9" w:rsidRPr="001D1A9A">
        <w:rPr>
          <w:i/>
          <w:szCs w:val="24"/>
        </w:rPr>
        <w:t>¶</w:t>
      </w:r>
      <w:r w:rsidR="00092E54" w:rsidRPr="001D1A9A">
        <w:rPr>
          <w:szCs w:val="24"/>
        </w:rPr>
        <w:t>216.</w:t>
      </w:r>
      <w:r w:rsidR="00164C38" w:rsidRPr="001D1A9A">
        <w:rPr>
          <w:szCs w:val="24"/>
        </w:rPr>
        <w:t xml:space="preserve"> </w:t>
      </w:r>
    </w:p>
  </w:footnote>
  <w:footnote w:id="143">
    <w:p w14:paraId="7C293261" w14:textId="1A588E83" w:rsidR="00027AF1" w:rsidRPr="001D1A9A" w:rsidRDefault="00027AF1" w:rsidP="00395591">
      <w:pPr>
        <w:pStyle w:val="FootnoteText"/>
        <w:ind w:left="360" w:hanging="360"/>
        <w:rPr>
          <w:i/>
          <w:szCs w:val="24"/>
        </w:rPr>
      </w:pPr>
      <w:r w:rsidRPr="001D1A9A">
        <w:rPr>
          <w:rStyle w:val="FootnoteReference"/>
          <w:szCs w:val="24"/>
        </w:rPr>
        <w:footnoteRef/>
      </w:r>
      <w:r w:rsidRPr="001D1A9A">
        <w:rPr>
          <w:szCs w:val="24"/>
        </w:rPr>
        <w:t xml:space="preserve"> </w:t>
      </w:r>
      <w:r w:rsidRPr="001D1A9A">
        <w:rPr>
          <w:i/>
          <w:iCs/>
          <w:szCs w:val="24"/>
        </w:rPr>
        <w:t xml:space="preserve">White Industries Australia Limited v. The Republic of India, </w:t>
      </w:r>
      <w:r w:rsidR="00361A2E" w:rsidRPr="001D1A9A">
        <w:rPr>
          <w:szCs w:val="24"/>
        </w:rPr>
        <w:t xml:space="preserve">UNCITRAL Arbitration, online: </w:t>
      </w:r>
      <w:r w:rsidR="000F6C5A" w:rsidRPr="001D1A9A">
        <w:rPr>
          <w:szCs w:val="24"/>
        </w:rPr>
        <w:t xml:space="preserve">https://www.italaw.com/sites/default/files/case-documents/ita0906.pdf, </w:t>
      </w:r>
      <w:r w:rsidR="00ED44BD" w:rsidRPr="001D1A9A">
        <w:rPr>
          <w:szCs w:val="24"/>
        </w:rPr>
        <w:t>¶8.1.6.</w:t>
      </w:r>
    </w:p>
  </w:footnote>
  <w:footnote w:id="144">
    <w:p w14:paraId="537EB1B7" w14:textId="06C4ABA6"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Ibid</w:t>
      </w:r>
      <w:r w:rsidR="0053595F" w:rsidRPr="001D1A9A">
        <w:rPr>
          <w:i/>
          <w:szCs w:val="24"/>
        </w:rPr>
        <w:t>, ¶</w:t>
      </w:r>
      <w:r w:rsidR="00F07E40" w:rsidRPr="001D1A9A">
        <w:rPr>
          <w:rFonts w:cs="Times New Roman"/>
          <w:kern w:val="0"/>
          <w:szCs w:val="24"/>
          <w:lang w:val="en-US"/>
        </w:rPr>
        <w:t>8.1.14.</w:t>
      </w:r>
    </w:p>
  </w:footnote>
  <w:footnote w:id="145">
    <w:p w14:paraId="3E74AAB3" w14:textId="255FCFD8"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1421AD" w:rsidRPr="001D1A9A">
        <w:rPr>
          <w:szCs w:val="24"/>
        </w:rPr>
        <w:t>Compromis</w:t>
      </w:r>
      <w:r w:rsidR="0053595F" w:rsidRPr="001D1A9A">
        <w:rPr>
          <w:szCs w:val="24"/>
        </w:rPr>
        <w:t>, ¶</w:t>
      </w:r>
      <w:r w:rsidRPr="001D1A9A">
        <w:rPr>
          <w:szCs w:val="24"/>
        </w:rPr>
        <w:t>38</w:t>
      </w:r>
    </w:p>
  </w:footnote>
  <w:footnote w:id="146">
    <w:p w14:paraId="1CC55A1D" w14:textId="4C4A4946" w:rsidR="00027AF1" w:rsidRPr="001D1A9A" w:rsidRDefault="00027AF1" w:rsidP="00395591">
      <w:pPr>
        <w:pBdr>
          <w:top w:val="nil"/>
          <w:left w:val="nil"/>
          <w:bottom w:val="nil"/>
          <w:right w:val="nil"/>
          <w:between w:val="nil"/>
        </w:pBdr>
        <w:spacing w:line="240" w:lineRule="auto"/>
        <w:ind w:left="360" w:hanging="360"/>
        <w:rPr>
          <w:color w:val="000000"/>
        </w:rPr>
      </w:pPr>
      <w:r w:rsidRPr="001D1A9A">
        <w:rPr>
          <w:rStyle w:val="FootnoteReference"/>
        </w:rPr>
        <w:footnoteRef/>
      </w:r>
      <w:r w:rsidRPr="001D1A9A">
        <w:rPr>
          <w:color w:val="000000"/>
        </w:rPr>
        <w:t xml:space="preserve"> Hazel Fox and Philippa Webb, </w:t>
      </w:r>
      <w:r w:rsidRPr="001D1A9A">
        <w:rPr>
          <w:i/>
          <w:color w:val="000000"/>
        </w:rPr>
        <w:t>The Law of State Immunity</w:t>
      </w:r>
      <w:r w:rsidRPr="001D1A9A">
        <w:rPr>
          <w:color w:val="000000"/>
        </w:rPr>
        <w:t xml:space="preserve"> (Oxford</w:t>
      </w:r>
      <w:r w:rsidR="00740997" w:rsidRPr="001D1A9A">
        <w:rPr>
          <w:color w:val="000000"/>
        </w:rPr>
        <w:t xml:space="preserve">: </w:t>
      </w:r>
      <w:r w:rsidRPr="001D1A9A">
        <w:rPr>
          <w:color w:val="000000"/>
        </w:rPr>
        <w:t>Oxford University Press, 2015)</w:t>
      </w:r>
      <w:r w:rsidR="00740997" w:rsidRPr="001D1A9A">
        <w:rPr>
          <w:color w:val="000000"/>
        </w:rPr>
        <w:t>,</w:t>
      </w:r>
      <w:r w:rsidRPr="001D1A9A">
        <w:rPr>
          <w:color w:val="000000"/>
        </w:rPr>
        <w:t xml:space="preserve"> 132-164</w:t>
      </w:r>
      <w:r w:rsidR="00740997" w:rsidRPr="001D1A9A">
        <w:rPr>
          <w:color w:val="000000"/>
        </w:rPr>
        <w:t>.</w:t>
      </w:r>
      <w:r w:rsidRPr="001D1A9A">
        <w:rPr>
          <w:color w:val="000000"/>
        </w:rPr>
        <w:t xml:space="preserve"> </w:t>
      </w:r>
    </w:p>
  </w:footnote>
  <w:footnote w:id="147">
    <w:p w14:paraId="5A1ED024" w14:textId="4856FA10"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Yang, 296</w:t>
      </w:r>
      <w:r w:rsidR="006A2FE1" w:rsidRPr="001D1A9A">
        <w:rPr>
          <w:szCs w:val="24"/>
        </w:rPr>
        <w:t xml:space="preserve">. </w:t>
      </w:r>
    </w:p>
  </w:footnote>
  <w:footnote w:id="148">
    <w:p w14:paraId="3FF26297" w14:textId="4EE7BA4E" w:rsidR="0026604B" w:rsidRPr="001D1A9A" w:rsidRDefault="0026604B" w:rsidP="00F03E26">
      <w:pPr>
        <w:pStyle w:val="FootnoteText"/>
        <w:ind w:left="360" w:hanging="360"/>
        <w:jc w:val="left"/>
        <w:rPr>
          <w:szCs w:val="24"/>
        </w:rPr>
      </w:pPr>
      <w:r w:rsidRPr="001D1A9A">
        <w:rPr>
          <w:rStyle w:val="FootnoteReference"/>
          <w:szCs w:val="24"/>
        </w:rPr>
        <w:footnoteRef/>
      </w:r>
      <w:r w:rsidR="00F03E26">
        <w:rPr>
          <w:szCs w:val="24"/>
        </w:rPr>
        <w:t xml:space="preserve"> </w:t>
      </w:r>
      <w:r w:rsidR="00F03E26" w:rsidRPr="00F03E26">
        <w:rPr>
          <w:szCs w:val="24"/>
        </w:rPr>
        <w:t xml:space="preserve">ILC, </w:t>
      </w:r>
      <w:r w:rsidR="00F03E26" w:rsidRPr="00F03E26">
        <w:rPr>
          <w:i/>
          <w:iCs/>
          <w:szCs w:val="24"/>
        </w:rPr>
        <w:t>Draft articles on Jurisdictional Immunities of States and Their Property</w:t>
      </w:r>
      <w:r w:rsidR="00F03E26" w:rsidRPr="00F03E26">
        <w:rPr>
          <w:szCs w:val="24"/>
        </w:rPr>
        <w:t>, with</w:t>
      </w:r>
      <w:r w:rsidR="00F03E26">
        <w:rPr>
          <w:szCs w:val="24"/>
        </w:rPr>
        <w:t xml:space="preserve"> </w:t>
      </w:r>
      <w:r w:rsidR="00F03E26" w:rsidRPr="00F03E26">
        <w:rPr>
          <w:szCs w:val="24"/>
        </w:rPr>
        <w:t>commentaries A/46/10 (1991)</w:t>
      </w:r>
      <w:r w:rsidR="00D2759D">
        <w:rPr>
          <w:szCs w:val="24"/>
        </w:rPr>
        <w:t xml:space="preserve"> </w:t>
      </w:r>
      <w:r w:rsidR="00F03E26" w:rsidRPr="00F03E26">
        <w:rPr>
          <w:szCs w:val="24"/>
        </w:rPr>
        <w:t>26</w:t>
      </w:r>
      <w:r w:rsidR="006E5107" w:rsidRPr="001D1A9A">
        <w:rPr>
          <w:szCs w:val="24"/>
        </w:rPr>
        <w:t>17 ¶15</w:t>
      </w:r>
      <w:r w:rsidR="00D54E67" w:rsidRPr="001D1A9A">
        <w:rPr>
          <w:szCs w:val="24"/>
        </w:rPr>
        <w:t xml:space="preserve"> [</w:t>
      </w:r>
      <w:r w:rsidR="00D54E67" w:rsidRPr="001D1A9A">
        <w:rPr>
          <w:i/>
          <w:iCs/>
          <w:szCs w:val="24"/>
        </w:rPr>
        <w:t>U</w:t>
      </w:r>
      <w:r w:rsidR="00D54E67" w:rsidRPr="001D1A9A">
        <w:rPr>
          <w:i/>
          <w:iCs/>
          <w:szCs w:val="24"/>
          <w:lang w:val="fr-CA"/>
        </w:rPr>
        <w:t xml:space="preserve">NJISP </w:t>
      </w:r>
      <w:proofErr w:type="spellStart"/>
      <w:r w:rsidR="00CE2494" w:rsidRPr="001D1A9A">
        <w:rPr>
          <w:szCs w:val="24"/>
          <w:lang w:val="fr-CA"/>
        </w:rPr>
        <w:t>Commentaries</w:t>
      </w:r>
      <w:proofErr w:type="spellEnd"/>
      <w:r w:rsidR="00D54E67" w:rsidRPr="001D1A9A">
        <w:rPr>
          <w:szCs w:val="24"/>
          <w:lang w:val="fr-CA"/>
        </w:rPr>
        <w:t>]</w:t>
      </w:r>
    </w:p>
  </w:footnote>
  <w:footnote w:id="149">
    <w:p w14:paraId="5C0D0DC5" w14:textId="0957609D"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FE05A6" w:rsidRPr="001D1A9A">
        <w:rPr>
          <w:i/>
          <w:iCs/>
          <w:szCs w:val="24"/>
        </w:rPr>
        <w:t>France v Turkey</w:t>
      </w:r>
      <w:r w:rsidR="0053595F" w:rsidRPr="001D1A9A">
        <w:rPr>
          <w:szCs w:val="24"/>
        </w:rPr>
        <w:t>, ¶</w:t>
      </w:r>
      <w:r w:rsidRPr="001D1A9A">
        <w:rPr>
          <w:szCs w:val="24"/>
        </w:rPr>
        <w:t>47.</w:t>
      </w:r>
    </w:p>
  </w:footnote>
  <w:footnote w:id="150">
    <w:p w14:paraId="7BD61ACD" w14:textId="746F536C" w:rsidR="00027AF1" w:rsidRPr="001D1A9A" w:rsidRDefault="00027AF1" w:rsidP="00395591">
      <w:pPr>
        <w:pStyle w:val="FootnoteText"/>
        <w:ind w:left="360" w:hanging="360"/>
        <w:rPr>
          <w:szCs w:val="24"/>
          <w:lang w:val="fr-CA"/>
        </w:rPr>
      </w:pPr>
      <w:r w:rsidRPr="001D1A9A">
        <w:rPr>
          <w:rStyle w:val="FootnoteReference"/>
          <w:szCs w:val="24"/>
        </w:rPr>
        <w:footnoteRef/>
      </w:r>
      <w:r w:rsidRPr="001D1A9A">
        <w:rPr>
          <w:szCs w:val="24"/>
          <w:lang w:val="fr-CA"/>
        </w:rPr>
        <w:t xml:space="preserve"> </w:t>
      </w:r>
      <w:r w:rsidRPr="001D1A9A">
        <w:rPr>
          <w:i/>
          <w:szCs w:val="24"/>
          <w:lang w:val="fr-CA"/>
        </w:rPr>
        <w:t>La G</w:t>
      </w:r>
      <w:r w:rsidR="00A34E08" w:rsidRPr="001D1A9A">
        <w:rPr>
          <w:i/>
          <w:szCs w:val="24"/>
          <w:lang w:val="fr-CA"/>
        </w:rPr>
        <w:t>é</w:t>
      </w:r>
      <w:r w:rsidRPr="001D1A9A">
        <w:rPr>
          <w:i/>
          <w:szCs w:val="24"/>
          <w:lang w:val="fr-CA"/>
        </w:rPr>
        <w:t>n</w:t>
      </w:r>
      <w:r w:rsidR="00A34E08" w:rsidRPr="001D1A9A">
        <w:rPr>
          <w:i/>
          <w:szCs w:val="24"/>
          <w:lang w:val="fr-CA"/>
        </w:rPr>
        <w:t>é</w:t>
      </w:r>
      <w:r w:rsidRPr="001D1A9A">
        <w:rPr>
          <w:i/>
          <w:szCs w:val="24"/>
          <w:lang w:val="fr-CA"/>
        </w:rPr>
        <w:t xml:space="preserve">rale des </w:t>
      </w:r>
      <w:r w:rsidR="00A34E08" w:rsidRPr="001D1A9A">
        <w:rPr>
          <w:i/>
          <w:szCs w:val="24"/>
          <w:lang w:val="fr-CA"/>
        </w:rPr>
        <w:t>Carrières</w:t>
      </w:r>
      <w:r w:rsidRPr="001D1A9A">
        <w:rPr>
          <w:i/>
          <w:szCs w:val="24"/>
          <w:lang w:val="fr-CA"/>
        </w:rPr>
        <w:t xml:space="preserve"> et des Mine v. FG </w:t>
      </w:r>
      <w:proofErr w:type="spellStart"/>
      <w:r w:rsidRPr="001D1A9A">
        <w:rPr>
          <w:i/>
          <w:szCs w:val="24"/>
          <w:lang w:val="fr-CA"/>
        </w:rPr>
        <w:t>Hemisphere</w:t>
      </w:r>
      <w:proofErr w:type="spellEnd"/>
      <w:r w:rsidRPr="001D1A9A">
        <w:rPr>
          <w:i/>
          <w:szCs w:val="24"/>
          <w:lang w:val="fr-CA"/>
        </w:rPr>
        <w:t xml:space="preserve"> Associates</w:t>
      </w:r>
      <w:r w:rsidRPr="001D1A9A">
        <w:rPr>
          <w:szCs w:val="24"/>
          <w:lang w:val="fr-CA"/>
        </w:rPr>
        <w:t>, 2012 UKPC at 27</w:t>
      </w:r>
      <w:r w:rsidR="00490BD4" w:rsidRPr="001D1A9A">
        <w:rPr>
          <w:szCs w:val="24"/>
          <w:lang w:val="fr-CA"/>
        </w:rPr>
        <w:t xml:space="preserve"> (United </w:t>
      </w:r>
      <w:proofErr w:type="spellStart"/>
      <w:r w:rsidR="00490BD4" w:rsidRPr="001D1A9A">
        <w:rPr>
          <w:szCs w:val="24"/>
          <w:lang w:val="fr-CA"/>
        </w:rPr>
        <w:t>Kingdom</w:t>
      </w:r>
      <w:proofErr w:type="spellEnd"/>
      <w:r w:rsidR="00490BD4" w:rsidRPr="001D1A9A">
        <w:rPr>
          <w:szCs w:val="24"/>
          <w:lang w:val="fr-CA"/>
        </w:rPr>
        <w:t>)</w:t>
      </w:r>
      <w:r w:rsidRPr="001D1A9A">
        <w:rPr>
          <w:szCs w:val="24"/>
          <w:lang w:val="fr-CA"/>
        </w:rPr>
        <w:t>; Yang</w:t>
      </w:r>
      <w:r w:rsidR="00490BD4" w:rsidRPr="001D1A9A">
        <w:rPr>
          <w:szCs w:val="24"/>
          <w:lang w:val="fr-CA"/>
        </w:rPr>
        <w:t xml:space="preserve">, </w:t>
      </w:r>
      <w:r w:rsidRPr="001D1A9A">
        <w:rPr>
          <w:szCs w:val="24"/>
          <w:lang w:val="fr-CA"/>
        </w:rPr>
        <w:t>233</w:t>
      </w:r>
      <w:r w:rsidR="00490BD4" w:rsidRPr="001D1A9A">
        <w:rPr>
          <w:szCs w:val="24"/>
          <w:lang w:val="fr-CA"/>
        </w:rPr>
        <w:t xml:space="preserve">. </w:t>
      </w:r>
    </w:p>
  </w:footnote>
  <w:footnote w:id="151">
    <w:p w14:paraId="069F33A0" w14:textId="660051B6" w:rsidR="00CF0275" w:rsidRPr="002E0692" w:rsidRDefault="00CF0275" w:rsidP="00395591">
      <w:pPr>
        <w:pStyle w:val="FootnoteText"/>
        <w:ind w:left="360" w:hanging="360"/>
      </w:pPr>
      <w:r>
        <w:rPr>
          <w:rStyle w:val="FootnoteReference"/>
        </w:rPr>
        <w:footnoteRef/>
      </w:r>
      <w:r>
        <w:t xml:space="preserve"> </w:t>
      </w:r>
      <w:r w:rsidRPr="001D1A9A">
        <w:rPr>
          <w:i/>
          <w:iCs/>
          <w:szCs w:val="24"/>
          <w:lang w:val="fr-CA"/>
        </w:rPr>
        <w:t>Trendtex Trading Corporation v Central Bank of Nigeria</w:t>
      </w:r>
      <w:r w:rsidRPr="001D1A9A">
        <w:rPr>
          <w:szCs w:val="24"/>
          <w:lang w:val="fr-CA"/>
        </w:rPr>
        <w:t>, [1977] QB 52</w:t>
      </w:r>
      <w:r w:rsidR="00EF1005">
        <w:rPr>
          <w:szCs w:val="24"/>
          <w:lang w:val="fr-CA"/>
        </w:rPr>
        <w:t>9</w:t>
      </w:r>
      <w:r w:rsidRPr="001D1A9A">
        <w:rPr>
          <w:szCs w:val="24"/>
          <w:lang w:val="fr-CA"/>
        </w:rPr>
        <w:t xml:space="preserve"> (United </w:t>
      </w:r>
      <w:proofErr w:type="spellStart"/>
      <w:r w:rsidRPr="001D1A9A">
        <w:rPr>
          <w:szCs w:val="24"/>
          <w:lang w:val="fr-CA"/>
        </w:rPr>
        <w:t>Kingdom</w:t>
      </w:r>
      <w:proofErr w:type="spellEnd"/>
      <w:r w:rsidRPr="001D1A9A">
        <w:rPr>
          <w:szCs w:val="24"/>
          <w:lang w:val="fr-CA"/>
        </w:rPr>
        <w:t>)</w:t>
      </w:r>
      <w:r w:rsidR="00E96A23">
        <w:rPr>
          <w:szCs w:val="24"/>
          <w:lang w:val="fr-CA"/>
        </w:rPr>
        <w:t>, 467</w:t>
      </w:r>
      <w:r w:rsidR="002E0692">
        <w:rPr>
          <w:szCs w:val="24"/>
          <w:lang w:val="fr-CA"/>
        </w:rPr>
        <w:t xml:space="preserve"> [</w:t>
      </w:r>
      <w:r w:rsidR="002E0692">
        <w:rPr>
          <w:i/>
          <w:iCs/>
          <w:szCs w:val="24"/>
          <w:lang w:val="fr-CA"/>
        </w:rPr>
        <w:t>Trendtex</w:t>
      </w:r>
      <w:r w:rsidR="002E0692">
        <w:rPr>
          <w:szCs w:val="24"/>
          <w:lang w:val="fr-CA"/>
        </w:rPr>
        <w:t>]</w:t>
      </w:r>
      <w:r w:rsidR="00E96A23">
        <w:rPr>
          <w:szCs w:val="24"/>
          <w:lang w:val="fr-CA"/>
        </w:rPr>
        <w:t>.</w:t>
      </w:r>
    </w:p>
  </w:footnote>
  <w:footnote w:id="152">
    <w:p w14:paraId="3FF2F8DC" w14:textId="03566491" w:rsidR="00081FA5" w:rsidRDefault="00081FA5" w:rsidP="00395591">
      <w:pPr>
        <w:pStyle w:val="FootnoteText"/>
        <w:ind w:left="360" w:hanging="360"/>
      </w:pPr>
      <w:r>
        <w:rPr>
          <w:rStyle w:val="FootnoteReference"/>
        </w:rPr>
        <w:footnoteRef/>
      </w:r>
      <w:r>
        <w:t xml:space="preserve"> Yang, 284-</w:t>
      </w:r>
      <w:r w:rsidR="00E30621">
        <w:t>286</w:t>
      </w:r>
    </w:p>
  </w:footnote>
  <w:footnote w:id="153">
    <w:p w14:paraId="2757BB08" w14:textId="4BDAA1FB"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Yang</w:t>
      </w:r>
      <w:r w:rsidR="00490BD4" w:rsidRPr="001D1A9A">
        <w:rPr>
          <w:szCs w:val="24"/>
        </w:rPr>
        <w:t>,</w:t>
      </w:r>
      <w:r w:rsidRPr="001D1A9A">
        <w:rPr>
          <w:szCs w:val="24"/>
        </w:rPr>
        <w:t xml:space="preserve"> 235</w:t>
      </w:r>
      <w:r w:rsidR="00490BD4" w:rsidRPr="001D1A9A">
        <w:rPr>
          <w:szCs w:val="24"/>
        </w:rPr>
        <w:t>.</w:t>
      </w:r>
    </w:p>
  </w:footnote>
  <w:footnote w:id="154">
    <w:p w14:paraId="6BAEFC1E" w14:textId="1F40E118"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proofErr w:type="spellStart"/>
      <w:r w:rsidR="00436C4F" w:rsidRPr="00436C4F">
        <w:rPr>
          <w:i/>
          <w:iCs/>
          <w:szCs w:val="24"/>
        </w:rPr>
        <w:t>Tsavliris</w:t>
      </w:r>
      <w:proofErr w:type="spellEnd"/>
      <w:r w:rsidR="00436C4F" w:rsidRPr="00436C4F">
        <w:rPr>
          <w:i/>
          <w:iCs/>
          <w:szCs w:val="24"/>
        </w:rPr>
        <w:t xml:space="preserve"> Salvage International Ltd. v. The Grain Board </w:t>
      </w:r>
      <w:proofErr w:type="gramStart"/>
      <w:r w:rsidR="00436C4F" w:rsidRPr="00436C4F">
        <w:rPr>
          <w:i/>
          <w:iCs/>
          <w:szCs w:val="24"/>
        </w:rPr>
        <w:t>Of</w:t>
      </w:r>
      <w:proofErr w:type="gramEnd"/>
      <w:r w:rsidR="00436C4F" w:rsidRPr="00436C4F">
        <w:rPr>
          <w:i/>
          <w:iCs/>
          <w:szCs w:val="24"/>
        </w:rPr>
        <w:t xml:space="preserve"> Iraq</w:t>
      </w:r>
      <w:r w:rsidR="00436C4F">
        <w:rPr>
          <w:szCs w:val="24"/>
        </w:rPr>
        <w:t>, [2008]</w:t>
      </w:r>
      <w:r w:rsidR="00E0564F">
        <w:rPr>
          <w:szCs w:val="24"/>
        </w:rPr>
        <w:t xml:space="preserve"> EWHC 612</w:t>
      </w:r>
      <w:r w:rsidR="00242B04">
        <w:rPr>
          <w:szCs w:val="24"/>
        </w:rPr>
        <w:t xml:space="preserve"> (Judgement of the High Court of Justice of England and Wales), </w:t>
      </w:r>
      <w:r w:rsidR="00E74E39">
        <w:rPr>
          <w:szCs w:val="24"/>
        </w:rPr>
        <w:t>¶</w:t>
      </w:r>
      <w:r w:rsidR="003716A6">
        <w:rPr>
          <w:szCs w:val="24"/>
        </w:rPr>
        <w:t>68</w:t>
      </w:r>
      <w:r w:rsidR="00991BE4">
        <w:rPr>
          <w:szCs w:val="24"/>
        </w:rPr>
        <w:t>-74</w:t>
      </w:r>
    </w:p>
  </w:footnote>
  <w:footnote w:id="155">
    <w:p w14:paraId="330AFF6A" w14:textId="1BFA1311"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6E679B" w:rsidRPr="001D1A9A">
        <w:rPr>
          <w:szCs w:val="24"/>
        </w:rPr>
        <w:t>Compromis</w:t>
      </w:r>
      <w:r w:rsidRPr="001D1A9A">
        <w:rPr>
          <w:szCs w:val="24"/>
        </w:rPr>
        <w:t xml:space="preserve"> </w:t>
      </w:r>
      <w:r w:rsidR="006E679B" w:rsidRPr="001D1A9A">
        <w:rPr>
          <w:szCs w:val="24"/>
        </w:rPr>
        <w:t>¶</w:t>
      </w:r>
      <w:r w:rsidRPr="001D1A9A">
        <w:rPr>
          <w:szCs w:val="24"/>
        </w:rPr>
        <w:t>24</w:t>
      </w:r>
      <w:r w:rsidR="006E679B" w:rsidRPr="001D1A9A">
        <w:rPr>
          <w:szCs w:val="24"/>
        </w:rPr>
        <w:t xml:space="preserve">. </w:t>
      </w:r>
    </w:p>
  </w:footnote>
  <w:footnote w:id="156">
    <w:p w14:paraId="2832CF38" w14:textId="569DA64D"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854588" w:rsidRPr="00861E4C">
        <w:rPr>
          <w:i/>
          <w:iCs/>
          <w:szCs w:val="24"/>
        </w:rPr>
        <w:t>United Nations Convention on Jurisdictional Immunities of States and Their Property</w:t>
      </w:r>
      <w:r w:rsidR="00854588" w:rsidRPr="001D1A9A">
        <w:rPr>
          <w:szCs w:val="24"/>
        </w:rPr>
        <w:t xml:space="preserve">, A/59508 (2004), art 10.  </w:t>
      </w:r>
      <w:r w:rsidR="00E96A23">
        <w:rPr>
          <w:szCs w:val="24"/>
        </w:rPr>
        <w:t>[</w:t>
      </w:r>
      <w:r w:rsidR="00854588" w:rsidRPr="001D1A9A">
        <w:rPr>
          <w:i/>
          <w:iCs/>
          <w:szCs w:val="24"/>
        </w:rPr>
        <w:t>UNJISP</w:t>
      </w:r>
      <w:r w:rsidR="00E96A23">
        <w:rPr>
          <w:szCs w:val="24"/>
        </w:rPr>
        <w:t>]</w:t>
      </w:r>
      <w:r w:rsidR="00854588" w:rsidRPr="001D1A9A">
        <w:rPr>
          <w:szCs w:val="24"/>
        </w:rPr>
        <w:t xml:space="preserve">. </w:t>
      </w:r>
    </w:p>
  </w:footnote>
  <w:footnote w:id="157">
    <w:p w14:paraId="1758E791" w14:textId="40E41897" w:rsidR="00027AF1" w:rsidRPr="001D1A9A" w:rsidRDefault="00027AF1" w:rsidP="00395591">
      <w:pPr>
        <w:pStyle w:val="FootnoteText"/>
        <w:ind w:left="360" w:hanging="360"/>
        <w:rPr>
          <w:szCs w:val="24"/>
          <w:lang w:val="fr-CA"/>
        </w:rPr>
      </w:pPr>
      <w:r w:rsidRPr="001D1A9A">
        <w:rPr>
          <w:rStyle w:val="FootnoteReference"/>
          <w:szCs w:val="24"/>
        </w:rPr>
        <w:footnoteRef/>
      </w:r>
      <w:r w:rsidRPr="001D1A9A">
        <w:rPr>
          <w:szCs w:val="24"/>
          <w:lang w:val="fr-CA"/>
        </w:rPr>
        <w:t xml:space="preserve"> </w:t>
      </w:r>
      <w:proofErr w:type="spellStart"/>
      <w:r w:rsidR="008360D1" w:rsidRPr="001D1A9A">
        <w:rPr>
          <w:szCs w:val="24"/>
          <w:lang w:val="fr-CA"/>
        </w:rPr>
        <w:t>See</w:t>
      </w:r>
      <w:proofErr w:type="spellEnd"/>
      <w:r w:rsidR="008360D1" w:rsidRPr="001D1A9A">
        <w:rPr>
          <w:szCs w:val="24"/>
          <w:lang w:val="fr-CA"/>
        </w:rPr>
        <w:t xml:space="preserve"> e.g., </w:t>
      </w:r>
      <w:r w:rsidR="004A04E7" w:rsidRPr="001D1A9A">
        <w:rPr>
          <w:i/>
          <w:iCs/>
          <w:szCs w:val="24"/>
          <w:lang w:val="fr-CA"/>
        </w:rPr>
        <w:t>Trendtex</w:t>
      </w:r>
      <w:r w:rsidR="002E0692">
        <w:rPr>
          <w:i/>
          <w:iCs/>
          <w:szCs w:val="24"/>
          <w:lang w:val="fr-CA"/>
        </w:rPr>
        <w:t>.</w:t>
      </w:r>
    </w:p>
  </w:footnote>
  <w:footnote w:id="158">
    <w:p w14:paraId="48B8660A" w14:textId="3F4DF428" w:rsidR="00027AF1" w:rsidRPr="001D1A9A" w:rsidRDefault="00027AF1" w:rsidP="00395591">
      <w:pPr>
        <w:pStyle w:val="FootnoteText"/>
        <w:ind w:left="360" w:hanging="360"/>
        <w:rPr>
          <w:szCs w:val="24"/>
          <w:lang w:val="fr-CA"/>
        </w:rPr>
      </w:pPr>
      <w:r w:rsidRPr="001D1A9A">
        <w:rPr>
          <w:rStyle w:val="FootnoteReference"/>
          <w:szCs w:val="24"/>
        </w:rPr>
        <w:footnoteRef/>
      </w:r>
      <w:r w:rsidRPr="001D1A9A">
        <w:rPr>
          <w:szCs w:val="24"/>
          <w:lang w:val="fr-CA"/>
        </w:rPr>
        <w:t xml:space="preserve"> </w:t>
      </w:r>
      <w:r w:rsidR="00854588" w:rsidRPr="001D1A9A">
        <w:rPr>
          <w:i/>
          <w:iCs/>
          <w:szCs w:val="24"/>
          <w:lang w:val="fr-CA"/>
        </w:rPr>
        <w:t>UNJISP</w:t>
      </w:r>
      <w:r w:rsidR="002548FC" w:rsidRPr="001D1A9A">
        <w:rPr>
          <w:szCs w:val="24"/>
          <w:lang w:val="fr-CA"/>
        </w:rPr>
        <w:t>,</w:t>
      </w:r>
      <w:r w:rsidR="00FD7259" w:rsidRPr="001D1A9A">
        <w:rPr>
          <w:szCs w:val="24"/>
          <w:lang w:val="fr-CA"/>
        </w:rPr>
        <w:t xml:space="preserve"> </w:t>
      </w:r>
      <w:r w:rsidR="002548FC" w:rsidRPr="001D1A9A">
        <w:rPr>
          <w:szCs w:val="24"/>
          <w:lang w:val="fr-CA"/>
        </w:rPr>
        <w:t xml:space="preserve">art </w:t>
      </w:r>
      <w:r w:rsidRPr="001D1A9A">
        <w:rPr>
          <w:szCs w:val="24"/>
          <w:lang w:val="fr-CA"/>
        </w:rPr>
        <w:t>2(</w:t>
      </w:r>
      <w:r w:rsidR="002548FC" w:rsidRPr="001D1A9A">
        <w:rPr>
          <w:szCs w:val="24"/>
          <w:lang w:val="fr-CA"/>
        </w:rPr>
        <w:t>c)</w:t>
      </w:r>
      <w:r w:rsidR="00FD7259" w:rsidRPr="001D1A9A">
        <w:rPr>
          <w:szCs w:val="24"/>
          <w:lang w:val="fr-CA"/>
        </w:rPr>
        <w:t>.</w:t>
      </w:r>
      <w:r w:rsidR="00854588" w:rsidRPr="001D1A9A">
        <w:rPr>
          <w:szCs w:val="24"/>
          <w:lang w:val="fr-CA"/>
        </w:rPr>
        <w:t xml:space="preserve"> </w:t>
      </w:r>
    </w:p>
  </w:footnote>
  <w:footnote w:id="159">
    <w:p w14:paraId="66CC7CB0" w14:textId="0966BDFE"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i/>
          <w:szCs w:val="24"/>
        </w:rPr>
        <w:t xml:space="preserve">LG and Others v Rina </w:t>
      </w:r>
      <w:proofErr w:type="spellStart"/>
      <w:r w:rsidR="00B64284" w:rsidRPr="001D1A9A">
        <w:rPr>
          <w:i/>
          <w:szCs w:val="24"/>
        </w:rPr>
        <w:t>SpA</w:t>
      </w:r>
      <w:proofErr w:type="spellEnd"/>
      <w:r w:rsidR="00B64284" w:rsidRPr="001D1A9A">
        <w:rPr>
          <w:i/>
          <w:szCs w:val="24"/>
        </w:rPr>
        <w:t xml:space="preserve"> </w:t>
      </w:r>
      <w:r w:rsidRPr="001D1A9A">
        <w:rPr>
          <w:i/>
          <w:szCs w:val="24"/>
        </w:rPr>
        <w:t>and Ente Registro Italiano Navale</w:t>
      </w:r>
      <w:r w:rsidRPr="001D1A9A">
        <w:rPr>
          <w:szCs w:val="24"/>
        </w:rPr>
        <w:t xml:space="preserve">, </w:t>
      </w:r>
      <w:r w:rsidR="00932F70" w:rsidRPr="001D1A9A">
        <w:rPr>
          <w:szCs w:val="24"/>
        </w:rPr>
        <w:t xml:space="preserve">2020, </w:t>
      </w:r>
      <w:r w:rsidR="00C1599D" w:rsidRPr="001D1A9A">
        <w:rPr>
          <w:szCs w:val="24"/>
        </w:rPr>
        <w:t xml:space="preserve">C-641/18 </w:t>
      </w:r>
      <w:r w:rsidR="00932F70" w:rsidRPr="001D1A9A">
        <w:rPr>
          <w:szCs w:val="24"/>
        </w:rPr>
        <w:t>¶</w:t>
      </w:r>
      <w:r w:rsidRPr="001D1A9A">
        <w:rPr>
          <w:szCs w:val="24"/>
        </w:rPr>
        <w:t xml:space="preserve">33-34 </w:t>
      </w:r>
      <w:r w:rsidR="002A4096" w:rsidRPr="001D1A9A">
        <w:rPr>
          <w:szCs w:val="24"/>
        </w:rPr>
        <w:t xml:space="preserve">(CJEU). </w:t>
      </w:r>
    </w:p>
  </w:footnote>
  <w:footnote w:id="160">
    <w:p w14:paraId="67BB6CC3" w14:textId="3638D465" w:rsidR="00D20359" w:rsidRPr="00A70607" w:rsidRDefault="00D20359" w:rsidP="00395591">
      <w:pPr>
        <w:pStyle w:val="FootnoteText"/>
        <w:ind w:left="360" w:hanging="360"/>
      </w:pPr>
      <w:r>
        <w:rPr>
          <w:rStyle w:val="FootnoteReference"/>
        </w:rPr>
        <w:footnoteRef/>
      </w:r>
      <w:r>
        <w:t xml:space="preserve"> </w:t>
      </w:r>
      <w:r w:rsidR="00A70607" w:rsidRPr="00A70607">
        <w:rPr>
          <w:i/>
          <w:iCs/>
        </w:rPr>
        <w:t>I Congreso del Partido</w:t>
      </w:r>
      <w:r w:rsidR="00A70607">
        <w:rPr>
          <w:i/>
          <w:iCs/>
        </w:rPr>
        <w:t xml:space="preserve">, </w:t>
      </w:r>
      <w:r w:rsidR="0045030B">
        <w:t>[</w:t>
      </w:r>
      <w:r w:rsidR="00761AEA">
        <w:t>19</w:t>
      </w:r>
      <w:r w:rsidR="00607140">
        <w:t xml:space="preserve">78] </w:t>
      </w:r>
      <w:r w:rsidR="009037D7" w:rsidRPr="009037D7">
        <w:t>1 All ER 1169</w:t>
      </w:r>
      <w:r w:rsidR="00EC3EBC">
        <w:t xml:space="preserve"> (Queen’s Bench Division, Admiralty Court)</w:t>
      </w:r>
      <w:r w:rsidR="00A740B2">
        <w:t>,</w:t>
      </w:r>
      <w:r w:rsidR="00171E4E">
        <w:t xml:space="preserve"> </w:t>
      </w:r>
      <w:r w:rsidR="00E5722D">
        <w:t>1170.</w:t>
      </w:r>
    </w:p>
  </w:footnote>
  <w:footnote w:id="161">
    <w:p w14:paraId="4DD8543D" w14:textId="69617E1B" w:rsidR="00027AF1" w:rsidRPr="001D1A9A" w:rsidRDefault="00027AF1" w:rsidP="00395591">
      <w:pPr>
        <w:pBdr>
          <w:top w:val="nil"/>
          <w:left w:val="nil"/>
          <w:bottom w:val="nil"/>
          <w:right w:val="nil"/>
          <w:between w:val="nil"/>
        </w:pBdr>
        <w:spacing w:line="240" w:lineRule="auto"/>
        <w:ind w:left="360" w:hanging="360"/>
        <w:rPr>
          <w:color w:val="000000"/>
        </w:rPr>
      </w:pPr>
      <w:r w:rsidRPr="001D1A9A">
        <w:rPr>
          <w:rStyle w:val="FootnoteReference"/>
        </w:rPr>
        <w:footnoteRef/>
      </w:r>
      <w:r w:rsidRPr="001D1A9A">
        <w:rPr>
          <w:color w:val="000000"/>
        </w:rPr>
        <w:t xml:space="preserve"> Yang, 91</w:t>
      </w:r>
      <w:r w:rsidR="00D1228F" w:rsidRPr="001D1A9A">
        <w:rPr>
          <w:color w:val="000000"/>
        </w:rPr>
        <w:t xml:space="preserve">. </w:t>
      </w:r>
    </w:p>
  </w:footnote>
  <w:footnote w:id="162">
    <w:p w14:paraId="7F247C00" w14:textId="2708251B" w:rsidR="00027AF1" w:rsidRPr="001D1A9A" w:rsidRDefault="00027AF1" w:rsidP="00395591">
      <w:pPr>
        <w:pStyle w:val="FootnoteText"/>
        <w:ind w:left="360" w:hanging="360"/>
        <w:rPr>
          <w:rFonts w:eastAsia="Times New Roman"/>
          <w:kern w:val="0"/>
          <w:szCs w:val="24"/>
          <w14:ligatures w14:val="none"/>
        </w:rPr>
      </w:pPr>
      <w:r w:rsidRPr="001D1A9A">
        <w:rPr>
          <w:rStyle w:val="FootnoteReference"/>
          <w:szCs w:val="24"/>
        </w:rPr>
        <w:footnoteRef/>
      </w:r>
      <w:r w:rsidRPr="001D1A9A">
        <w:rPr>
          <w:szCs w:val="24"/>
        </w:rPr>
        <w:t xml:space="preserve"> Fifth </w:t>
      </w:r>
      <w:r w:rsidR="003854D7" w:rsidRPr="001D1A9A">
        <w:rPr>
          <w:szCs w:val="24"/>
        </w:rPr>
        <w:t>R</w:t>
      </w:r>
      <w:r w:rsidRPr="001D1A9A">
        <w:rPr>
          <w:szCs w:val="24"/>
        </w:rPr>
        <w:t xml:space="preserve">eport of the </w:t>
      </w:r>
      <w:r w:rsidR="003854D7" w:rsidRPr="001D1A9A">
        <w:rPr>
          <w:szCs w:val="24"/>
        </w:rPr>
        <w:t>F</w:t>
      </w:r>
      <w:r w:rsidRPr="001D1A9A">
        <w:rPr>
          <w:szCs w:val="24"/>
        </w:rPr>
        <w:t xml:space="preserve">ormer Special Rapporteur: Yearbook of the ILC 1983, vol. II (Part One), A/CN.4/363, </w:t>
      </w:r>
      <w:r w:rsidR="003854D7" w:rsidRPr="001D1A9A">
        <w:rPr>
          <w:szCs w:val="24"/>
        </w:rPr>
        <w:t>¶</w:t>
      </w:r>
      <w:r w:rsidRPr="001D1A9A">
        <w:rPr>
          <w:szCs w:val="24"/>
        </w:rPr>
        <w:t>76</w:t>
      </w:r>
      <w:r w:rsidR="003854D7" w:rsidRPr="001D1A9A">
        <w:rPr>
          <w:szCs w:val="24"/>
        </w:rPr>
        <w:t>–</w:t>
      </w:r>
      <w:r w:rsidRPr="001D1A9A">
        <w:rPr>
          <w:szCs w:val="24"/>
        </w:rPr>
        <w:t>99</w:t>
      </w:r>
      <w:r w:rsidR="006261AA" w:rsidRPr="001D1A9A">
        <w:rPr>
          <w:szCs w:val="24"/>
        </w:rPr>
        <w:t xml:space="preserve"> [</w:t>
      </w:r>
      <w:r w:rsidR="00713404" w:rsidRPr="001D1A9A">
        <w:rPr>
          <w:i/>
          <w:szCs w:val="24"/>
        </w:rPr>
        <w:t>Immunity Report</w:t>
      </w:r>
      <w:r w:rsidR="00713404" w:rsidRPr="001D1A9A">
        <w:rPr>
          <w:szCs w:val="24"/>
        </w:rPr>
        <w:t>]</w:t>
      </w:r>
      <w:r w:rsidRPr="001D1A9A">
        <w:rPr>
          <w:szCs w:val="24"/>
        </w:rPr>
        <w:t>.</w:t>
      </w:r>
    </w:p>
  </w:footnote>
  <w:footnote w:id="163">
    <w:p w14:paraId="35B61605" w14:textId="10923A66"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463ECC" w:rsidRPr="001D1A9A">
        <w:rPr>
          <w:i/>
          <w:szCs w:val="24"/>
        </w:rPr>
        <w:t>UNJISP</w:t>
      </w:r>
      <w:r w:rsidR="0099106F" w:rsidRPr="001D1A9A">
        <w:rPr>
          <w:szCs w:val="24"/>
        </w:rPr>
        <w:t>, art 12</w:t>
      </w:r>
      <w:r w:rsidR="00930BA7" w:rsidRPr="001D1A9A">
        <w:rPr>
          <w:szCs w:val="24"/>
        </w:rPr>
        <w:t xml:space="preserve">. </w:t>
      </w:r>
    </w:p>
  </w:footnote>
  <w:footnote w:id="164">
    <w:p w14:paraId="2577879F" w14:textId="35AC83A1"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A94AF2" w:rsidRPr="001D1A9A">
        <w:rPr>
          <w:szCs w:val="24"/>
        </w:rPr>
        <w:t xml:space="preserve">State Immunity Act, </w:t>
      </w:r>
      <w:r w:rsidR="00DC401F" w:rsidRPr="001D1A9A">
        <w:rPr>
          <w:szCs w:val="24"/>
        </w:rPr>
        <w:t xml:space="preserve">RSC 1985, c S-18, s 6(a) (Canada). </w:t>
      </w:r>
    </w:p>
  </w:footnote>
  <w:footnote w:id="165">
    <w:p w14:paraId="759AB560" w14:textId="7B7472AB"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color w:val="000000"/>
          <w:szCs w:val="24"/>
        </w:rPr>
        <w:t>Foreign Sovereign Immunities Act</w:t>
      </w:r>
      <w:r w:rsidR="00152178" w:rsidRPr="001D1A9A">
        <w:rPr>
          <w:color w:val="000000"/>
          <w:szCs w:val="24"/>
        </w:rPr>
        <w:t>,</w:t>
      </w:r>
      <w:r w:rsidRPr="001D1A9A">
        <w:rPr>
          <w:color w:val="000000"/>
          <w:szCs w:val="24"/>
        </w:rPr>
        <w:t xml:space="preserve"> 1976</w:t>
      </w:r>
      <w:r w:rsidR="00152178" w:rsidRPr="001D1A9A">
        <w:rPr>
          <w:color w:val="000000"/>
          <w:szCs w:val="24"/>
        </w:rPr>
        <w:t>, 94-583</w:t>
      </w:r>
      <w:r w:rsidR="006B5646" w:rsidRPr="001D1A9A">
        <w:rPr>
          <w:color w:val="000000"/>
          <w:szCs w:val="24"/>
        </w:rPr>
        <w:t xml:space="preserve">, </w:t>
      </w:r>
      <w:r w:rsidRPr="001D1A9A">
        <w:rPr>
          <w:color w:val="000000"/>
          <w:szCs w:val="24"/>
        </w:rPr>
        <w:t>§1605(a)(5)</w:t>
      </w:r>
      <w:r w:rsidR="006B5646" w:rsidRPr="001D1A9A">
        <w:rPr>
          <w:color w:val="000000"/>
          <w:szCs w:val="24"/>
        </w:rPr>
        <w:t xml:space="preserve"> (United States). </w:t>
      </w:r>
    </w:p>
  </w:footnote>
  <w:footnote w:id="166">
    <w:p w14:paraId="4B2D232E" w14:textId="6EC69374"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State Immunity Act</w:t>
      </w:r>
      <w:r w:rsidR="00560D11" w:rsidRPr="001D1A9A">
        <w:rPr>
          <w:szCs w:val="24"/>
        </w:rPr>
        <w:t>,</w:t>
      </w:r>
      <w:r w:rsidRPr="001D1A9A">
        <w:rPr>
          <w:szCs w:val="24"/>
        </w:rPr>
        <w:t xml:space="preserve"> 1978</w:t>
      </w:r>
      <w:r w:rsidR="00560D11" w:rsidRPr="001D1A9A">
        <w:rPr>
          <w:szCs w:val="24"/>
        </w:rPr>
        <w:t>, c 33, s</w:t>
      </w:r>
      <w:r w:rsidRPr="001D1A9A">
        <w:rPr>
          <w:szCs w:val="24"/>
        </w:rPr>
        <w:t xml:space="preserve"> 5</w:t>
      </w:r>
      <w:r w:rsidR="00560D11" w:rsidRPr="001D1A9A">
        <w:rPr>
          <w:szCs w:val="24"/>
        </w:rPr>
        <w:t xml:space="preserve"> (United Kingdom).</w:t>
      </w:r>
    </w:p>
  </w:footnote>
  <w:footnote w:id="167">
    <w:p w14:paraId="1DAB6691" w14:textId="5787C85B" w:rsidR="00027AF1" w:rsidRPr="001D1A9A" w:rsidRDefault="00027AF1" w:rsidP="00395591">
      <w:pPr>
        <w:pBdr>
          <w:top w:val="nil"/>
          <w:left w:val="nil"/>
          <w:bottom w:val="nil"/>
          <w:right w:val="nil"/>
          <w:between w:val="nil"/>
        </w:pBdr>
        <w:spacing w:line="240" w:lineRule="auto"/>
        <w:ind w:left="360" w:hanging="360"/>
        <w:rPr>
          <w:color w:val="000000"/>
        </w:rPr>
      </w:pPr>
      <w:r w:rsidRPr="001D1A9A">
        <w:rPr>
          <w:rStyle w:val="FootnoteReference"/>
        </w:rPr>
        <w:footnoteRef/>
      </w:r>
      <w:r w:rsidRPr="001D1A9A">
        <w:t xml:space="preserve"> </w:t>
      </w:r>
      <w:r w:rsidRPr="001D1A9A">
        <w:rPr>
          <w:color w:val="000000"/>
        </w:rPr>
        <w:t>Foreign States Immunities Act</w:t>
      </w:r>
      <w:r w:rsidR="0005196A" w:rsidRPr="001D1A9A">
        <w:rPr>
          <w:color w:val="000000"/>
        </w:rPr>
        <w:t>,</w:t>
      </w:r>
      <w:r w:rsidRPr="001D1A9A">
        <w:rPr>
          <w:color w:val="000000"/>
        </w:rPr>
        <w:t xml:space="preserve"> 1985</w:t>
      </w:r>
      <w:r w:rsidR="0005196A" w:rsidRPr="001D1A9A">
        <w:rPr>
          <w:color w:val="000000"/>
        </w:rPr>
        <w:t xml:space="preserve">, </w:t>
      </w:r>
      <w:r w:rsidR="00854EE6" w:rsidRPr="001D1A9A">
        <w:rPr>
          <w:color w:val="000000"/>
        </w:rPr>
        <w:t xml:space="preserve">No. 196, </w:t>
      </w:r>
      <w:r w:rsidR="0005196A" w:rsidRPr="001D1A9A">
        <w:rPr>
          <w:color w:val="000000"/>
        </w:rPr>
        <w:t>s 13</w:t>
      </w:r>
      <w:r w:rsidR="00950539">
        <w:rPr>
          <w:color w:val="000000"/>
        </w:rPr>
        <w:t xml:space="preserve"> (</w:t>
      </w:r>
      <w:r w:rsidR="00950539" w:rsidRPr="00950539">
        <w:rPr>
          <w:color w:val="000000"/>
        </w:rPr>
        <w:t>Australi</w:t>
      </w:r>
      <w:r w:rsidR="00950539">
        <w:rPr>
          <w:color w:val="000000"/>
        </w:rPr>
        <w:t>a)</w:t>
      </w:r>
      <w:r w:rsidR="0005196A" w:rsidRPr="001D1A9A">
        <w:rPr>
          <w:color w:val="000000"/>
        </w:rPr>
        <w:t xml:space="preserve">. </w:t>
      </w:r>
    </w:p>
  </w:footnote>
  <w:footnote w:id="168">
    <w:p w14:paraId="538A8DC2" w14:textId="12CE1B8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color w:val="000000"/>
          <w:szCs w:val="24"/>
        </w:rPr>
        <w:t>State Immunity Act</w:t>
      </w:r>
      <w:r w:rsidR="00BE4ED4" w:rsidRPr="001D1A9A">
        <w:rPr>
          <w:color w:val="000000"/>
          <w:szCs w:val="24"/>
        </w:rPr>
        <w:t>,</w:t>
      </w:r>
      <w:r w:rsidRPr="001D1A9A">
        <w:rPr>
          <w:color w:val="000000"/>
          <w:szCs w:val="24"/>
        </w:rPr>
        <w:t xml:space="preserve"> 1979</w:t>
      </w:r>
      <w:r w:rsidR="008542F9" w:rsidRPr="001D1A9A">
        <w:rPr>
          <w:color w:val="000000"/>
          <w:szCs w:val="24"/>
        </w:rPr>
        <w:t xml:space="preserve">, s 7 (Singapore). </w:t>
      </w:r>
    </w:p>
  </w:footnote>
  <w:footnote w:id="169">
    <w:p w14:paraId="056D3774" w14:textId="3F12A04A"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Act on the Civil Jurisdiction of Japan with respect to Foreign States, </w:t>
      </w:r>
      <w:r w:rsidR="00AA34E3" w:rsidRPr="001D1A9A">
        <w:rPr>
          <w:szCs w:val="24"/>
        </w:rPr>
        <w:t xml:space="preserve">2009, </w:t>
      </w:r>
      <w:r w:rsidR="0005196A" w:rsidRPr="001D1A9A">
        <w:rPr>
          <w:szCs w:val="24"/>
        </w:rPr>
        <w:t xml:space="preserve">No. 24, </w:t>
      </w:r>
      <w:r w:rsidR="00AA34E3" w:rsidRPr="001D1A9A">
        <w:rPr>
          <w:szCs w:val="24"/>
        </w:rPr>
        <w:t>art</w:t>
      </w:r>
      <w:r w:rsidRPr="001D1A9A">
        <w:rPr>
          <w:szCs w:val="24"/>
        </w:rPr>
        <w:t xml:space="preserve"> 10</w:t>
      </w:r>
      <w:r w:rsidR="00AA34E3" w:rsidRPr="001D1A9A">
        <w:rPr>
          <w:szCs w:val="24"/>
        </w:rPr>
        <w:t xml:space="preserve"> (Japan). </w:t>
      </w:r>
    </w:p>
  </w:footnote>
  <w:footnote w:id="170">
    <w:p w14:paraId="49F506CD" w14:textId="14A8AA3E"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9B0177" w:rsidRPr="001D1A9A">
        <w:rPr>
          <w:szCs w:val="24"/>
        </w:rPr>
        <w:t xml:space="preserve">Foreign States Immunity Law, 2009, 5769-2008, art 5 (Israel). </w:t>
      </w:r>
    </w:p>
  </w:footnote>
  <w:footnote w:id="171">
    <w:p w14:paraId="5812C003" w14:textId="3A83AF1E"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F47C6C" w:rsidRPr="001D1A9A">
        <w:rPr>
          <w:szCs w:val="24"/>
        </w:rPr>
        <w:t xml:space="preserve">Foreign State Immunity Law, art 9 (China). </w:t>
      </w:r>
    </w:p>
  </w:footnote>
  <w:footnote w:id="172">
    <w:p w14:paraId="625D0F40" w14:textId="6701C4E9"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EC5620" w:rsidRPr="001D1A9A">
        <w:rPr>
          <w:szCs w:val="24"/>
        </w:rPr>
        <w:t xml:space="preserve">Federal Law of the Russian Federation, </w:t>
      </w:r>
      <w:r w:rsidR="00287326" w:rsidRPr="001D1A9A">
        <w:rPr>
          <w:szCs w:val="24"/>
        </w:rPr>
        <w:t xml:space="preserve">2015, </w:t>
      </w:r>
      <w:r w:rsidR="005A74E5" w:rsidRPr="001D1A9A">
        <w:rPr>
          <w:szCs w:val="24"/>
        </w:rPr>
        <w:t>297-FZ,</w:t>
      </w:r>
      <w:r w:rsidR="00287326" w:rsidRPr="001D1A9A">
        <w:rPr>
          <w:szCs w:val="24"/>
        </w:rPr>
        <w:t xml:space="preserve"> art 11 (Russia). </w:t>
      </w:r>
      <w:r w:rsidR="005A74E5" w:rsidRPr="001D1A9A">
        <w:rPr>
          <w:szCs w:val="24"/>
        </w:rPr>
        <w:t xml:space="preserve"> </w:t>
      </w:r>
    </w:p>
  </w:footnote>
  <w:footnote w:id="173">
    <w:p w14:paraId="271EF420" w14:textId="4AB4B329"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Jurisdictional Immunities of Foreign States Act</w:t>
      </w:r>
      <w:r w:rsidR="00820D73" w:rsidRPr="001D1A9A">
        <w:rPr>
          <w:szCs w:val="24"/>
        </w:rPr>
        <w:t>,</w:t>
      </w:r>
      <w:r w:rsidRPr="001D1A9A">
        <w:rPr>
          <w:szCs w:val="24"/>
        </w:rPr>
        <w:t xml:space="preserve"> 2024</w:t>
      </w:r>
      <w:r w:rsidR="00972B6E" w:rsidRPr="001D1A9A">
        <w:rPr>
          <w:szCs w:val="24"/>
        </w:rPr>
        <w:t xml:space="preserve">, </w:t>
      </w:r>
      <w:r w:rsidRPr="001D1A9A">
        <w:rPr>
          <w:szCs w:val="24"/>
        </w:rPr>
        <w:t>Act 853</w:t>
      </w:r>
      <w:r w:rsidR="009A3144" w:rsidRPr="001D1A9A">
        <w:rPr>
          <w:szCs w:val="24"/>
        </w:rPr>
        <w:t xml:space="preserve">, art 10 (Malaysia). </w:t>
      </w:r>
    </w:p>
  </w:footnote>
  <w:footnote w:id="174">
    <w:p w14:paraId="69883C59" w14:textId="3ED8119B" w:rsidR="00027AF1" w:rsidRPr="001D1A9A" w:rsidRDefault="00027AF1" w:rsidP="00395591">
      <w:pPr>
        <w:pStyle w:val="FootnoteText"/>
        <w:tabs>
          <w:tab w:val="left" w:pos="1422"/>
        </w:tabs>
        <w:ind w:left="360" w:hanging="360"/>
        <w:rPr>
          <w:szCs w:val="24"/>
        </w:rPr>
      </w:pPr>
      <w:r w:rsidRPr="001D1A9A">
        <w:rPr>
          <w:rStyle w:val="FootnoteReference"/>
          <w:szCs w:val="24"/>
        </w:rPr>
        <w:footnoteRef/>
      </w:r>
      <w:r w:rsidRPr="001D1A9A">
        <w:rPr>
          <w:szCs w:val="24"/>
        </w:rPr>
        <w:t xml:space="preserve"> </w:t>
      </w:r>
      <w:r w:rsidRPr="001D1A9A">
        <w:rPr>
          <w:color w:val="000000"/>
          <w:szCs w:val="24"/>
        </w:rPr>
        <w:t>Foreign States Immunities Act</w:t>
      </w:r>
      <w:r w:rsidR="00634002" w:rsidRPr="001D1A9A">
        <w:rPr>
          <w:color w:val="000000"/>
          <w:szCs w:val="24"/>
        </w:rPr>
        <w:t>,</w:t>
      </w:r>
      <w:r w:rsidRPr="001D1A9A">
        <w:rPr>
          <w:color w:val="000000"/>
          <w:szCs w:val="24"/>
        </w:rPr>
        <w:t xml:space="preserve"> 1981</w:t>
      </w:r>
      <w:r w:rsidR="00634002" w:rsidRPr="001D1A9A">
        <w:rPr>
          <w:color w:val="000000"/>
          <w:szCs w:val="24"/>
        </w:rPr>
        <w:t>, s 6</w:t>
      </w:r>
      <w:r w:rsidR="000E11D8" w:rsidRPr="001D1A9A">
        <w:rPr>
          <w:color w:val="000000"/>
          <w:szCs w:val="24"/>
        </w:rPr>
        <w:t xml:space="preserve"> (South Africa).</w:t>
      </w:r>
      <w:r w:rsidR="00634002" w:rsidRPr="001D1A9A">
        <w:rPr>
          <w:color w:val="000000"/>
          <w:szCs w:val="24"/>
        </w:rPr>
        <w:t xml:space="preserve"> </w:t>
      </w:r>
    </w:p>
  </w:footnote>
  <w:footnote w:id="175">
    <w:p w14:paraId="4B0D8614" w14:textId="412BD399" w:rsidR="0084107C" w:rsidRPr="00A36B7F" w:rsidRDefault="0084107C" w:rsidP="00395591">
      <w:pPr>
        <w:pStyle w:val="FootnoteText"/>
        <w:ind w:left="360" w:hanging="360"/>
      </w:pPr>
      <w:r>
        <w:rPr>
          <w:rStyle w:val="FootnoteReference"/>
        </w:rPr>
        <w:footnoteRef/>
      </w:r>
      <w:r>
        <w:t xml:space="preserve"> </w:t>
      </w:r>
      <w:r w:rsidR="00A36B7F">
        <w:rPr>
          <w:i/>
          <w:iCs/>
        </w:rPr>
        <w:t xml:space="preserve">North Sea, </w:t>
      </w:r>
      <w:r w:rsidR="00A36B7F">
        <w:t>¶</w:t>
      </w:r>
      <w:r w:rsidR="00A6736A">
        <w:t>73-</w:t>
      </w:r>
      <w:r w:rsidR="00481069">
        <w:t>74</w:t>
      </w:r>
    </w:p>
  </w:footnote>
  <w:footnote w:id="176">
    <w:p w14:paraId="06B518D1" w14:textId="5094235F" w:rsidR="00FF2561" w:rsidRDefault="00FF2561" w:rsidP="00395591">
      <w:pPr>
        <w:pStyle w:val="FootnoteText"/>
        <w:ind w:left="360" w:hanging="360"/>
      </w:pPr>
      <w:r>
        <w:rPr>
          <w:rStyle w:val="FootnoteReference"/>
        </w:rPr>
        <w:footnoteRef/>
      </w:r>
      <w:r>
        <w:t xml:space="preserve"> Yang, </w:t>
      </w:r>
      <w:r w:rsidR="00A72862">
        <w:t>199.</w:t>
      </w:r>
    </w:p>
  </w:footnote>
  <w:footnote w:id="177">
    <w:p w14:paraId="431CB1AA" w14:textId="77777777" w:rsidR="00BA48F8" w:rsidRDefault="00027AF1" w:rsidP="00395591">
      <w:pPr>
        <w:pStyle w:val="FootnoteText"/>
        <w:spacing w:after="0"/>
        <w:ind w:left="360" w:hanging="360"/>
        <w:rPr>
          <w:szCs w:val="24"/>
        </w:rPr>
      </w:pPr>
      <w:r w:rsidRPr="001D1A9A">
        <w:rPr>
          <w:rStyle w:val="FootnoteReference"/>
          <w:szCs w:val="24"/>
        </w:rPr>
        <w:footnoteRef/>
      </w:r>
      <w:r w:rsidRPr="001D1A9A">
        <w:rPr>
          <w:szCs w:val="24"/>
        </w:rPr>
        <w:t xml:space="preserve"> </w:t>
      </w:r>
      <w:r w:rsidR="00653BDA" w:rsidRPr="001D1A9A">
        <w:rPr>
          <w:szCs w:val="24"/>
        </w:rPr>
        <w:t xml:space="preserve">Status of Treaties, </w:t>
      </w:r>
      <w:r w:rsidR="00653BDA" w:rsidRPr="001D1A9A">
        <w:rPr>
          <w:i/>
          <w:iCs/>
          <w:szCs w:val="24"/>
        </w:rPr>
        <w:t>UNCJISP</w:t>
      </w:r>
      <w:r w:rsidR="00653BDA" w:rsidRPr="001D1A9A">
        <w:rPr>
          <w:szCs w:val="24"/>
        </w:rPr>
        <w:t>, online:</w:t>
      </w:r>
      <w:bookmarkStart w:id="40" w:name="_Hlt218965315"/>
      <w:r w:rsidR="00BA48F8">
        <w:rPr>
          <w:szCs w:val="24"/>
        </w:rPr>
        <w:t xml:space="preserve">  </w:t>
      </w:r>
    </w:p>
    <w:p w14:paraId="2A802289" w14:textId="3F17820E" w:rsidR="00027AF1" w:rsidRPr="001D1A9A" w:rsidRDefault="00BA48F8" w:rsidP="00395591">
      <w:pPr>
        <w:pStyle w:val="FootnoteText"/>
        <w:ind w:left="360" w:firstLine="0"/>
        <w:rPr>
          <w:szCs w:val="24"/>
        </w:rPr>
      </w:pPr>
      <w:r w:rsidRPr="009C2477">
        <w:rPr>
          <w:szCs w:val="24"/>
        </w:rPr>
        <w:t>https://treaties.un.org/pages/viewdetails.aspx?src=treaty&amp;mtdsg_no=iii-13&amp;chapter=3&amp;clang=_en#:~:text=in%20accordance%20with%20article%2030,%2C%20approval%20or%20accession.%22</w:t>
      </w:r>
      <w:bookmarkEnd w:id="40"/>
      <w:r w:rsidR="00653BDA" w:rsidRPr="001D1A9A">
        <w:rPr>
          <w:szCs w:val="24"/>
        </w:rPr>
        <w:t>.</w:t>
      </w:r>
    </w:p>
  </w:footnote>
  <w:footnote w:id="178">
    <w:p w14:paraId="10B9B372" w14:textId="797A0D5C" w:rsidR="00027AF1" w:rsidRPr="001D1A9A" w:rsidRDefault="00027AF1" w:rsidP="00395591">
      <w:pPr>
        <w:ind w:left="360" w:hanging="360"/>
      </w:pPr>
      <w:r w:rsidRPr="001D1A9A">
        <w:rPr>
          <w:rStyle w:val="FootnoteReference"/>
        </w:rPr>
        <w:footnoteRef/>
      </w:r>
      <w:r w:rsidRPr="001D1A9A">
        <w:t xml:space="preserve"> </w:t>
      </w:r>
      <w:r w:rsidR="001C0572" w:rsidRPr="00B333A8">
        <w:rPr>
          <w:i/>
          <w:iCs/>
        </w:rPr>
        <w:t>European Convention on State Immunity</w:t>
      </w:r>
      <w:r w:rsidR="001C0572" w:rsidRPr="001D1A9A">
        <w:t xml:space="preserve">, </w:t>
      </w:r>
      <w:r w:rsidR="0082202B" w:rsidRPr="001D1A9A">
        <w:t xml:space="preserve">ETS No. 074, </w:t>
      </w:r>
      <w:r w:rsidR="001C0572" w:rsidRPr="001D1A9A">
        <w:t xml:space="preserve">arts 5-6(e). </w:t>
      </w:r>
    </w:p>
  </w:footnote>
  <w:footnote w:id="179">
    <w:p w14:paraId="3F25CF71" w14:textId="1564C76D"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1C0572" w:rsidRPr="001D1A9A">
        <w:rPr>
          <w:szCs w:val="24"/>
        </w:rPr>
        <w:t xml:space="preserve">Inter-American Draft Convention on Jurisdictional Immunity of States, </w:t>
      </w:r>
      <w:r w:rsidR="00B221A2" w:rsidRPr="001D1A9A">
        <w:rPr>
          <w:szCs w:val="24"/>
        </w:rPr>
        <w:t xml:space="preserve">OEA/Ser. G-CP/doc. 1352/83, </w:t>
      </w:r>
      <w:r w:rsidR="001C0572" w:rsidRPr="001D1A9A">
        <w:rPr>
          <w:szCs w:val="24"/>
        </w:rPr>
        <w:t>art. 11</w:t>
      </w:r>
      <w:r w:rsidR="007C58BC" w:rsidRPr="001D1A9A">
        <w:rPr>
          <w:szCs w:val="24"/>
        </w:rPr>
        <w:t xml:space="preserve">. </w:t>
      </w:r>
    </w:p>
  </w:footnote>
  <w:footnote w:id="180">
    <w:p w14:paraId="2893F047" w14:textId="01BDB18B"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00D465BE" w:rsidRPr="001D1A9A">
        <w:rPr>
          <w:i/>
          <w:szCs w:val="24"/>
        </w:rPr>
        <w:t>Immunity</w:t>
      </w:r>
      <w:r w:rsidRPr="001D1A9A">
        <w:rPr>
          <w:i/>
          <w:szCs w:val="24"/>
        </w:rPr>
        <w:t xml:space="preserve"> Report</w:t>
      </w:r>
      <w:r w:rsidR="0053595F" w:rsidRPr="001D1A9A">
        <w:rPr>
          <w:szCs w:val="24"/>
        </w:rPr>
        <w:t>, ¶</w:t>
      </w:r>
      <w:r w:rsidR="00DE6FC4" w:rsidRPr="001D1A9A">
        <w:rPr>
          <w:szCs w:val="24"/>
        </w:rPr>
        <w:t xml:space="preserve"> </w:t>
      </w:r>
      <w:r w:rsidRPr="001D1A9A">
        <w:rPr>
          <w:szCs w:val="24"/>
        </w:rPr>
        <w:t>99</w:t>
      </w:r>
    </w:p>
  </w:footnote>
  <w:footnote w:id="181">
    <w:p w14:paraId="117689D7"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Richard Garnett, “Foreign State Immunity and the Harassment of Dissidents” (2023) 24:2 </w:t>
      </w:r>
      <w:proofErr w:type="spellStart"/>
      <w:r w:rsidRPr="001D1A9A">
        <w:rPr>
          <w:szCs w:val="24"/>
        </w:rPr>
        <w:t>Melb.J.Int.L</w:t>
      </w:r>
      <w:proofErr w:type="spellEnd"/>
      <w:r w:rsidRPr="001D1A9A">
        <w:rPr>
          <w:szCs w:val="24"/>
        </w:rPr>
        <w:t xml:space="preserve">. 284, 285; Bohdan </w:t>
      </w:r>
      <w:proofErr w:type="spellStart"/>
      <w:r w:rsidRPr="001D1A9A">
        <w:rPr>
          <w:szCs w:val="24"/>
        </w:rPr>
        <w:t>Karnaukh</w:t>
      </w:r>
      <w:proofErr w:type="spellEnd"/>
      <w:r w:rsidRPr="001D1A9A">
        <w:rPr>
          <w:szCs w:val="24"/>
        </w:rPr>
        <w:t>, “Territorial Tort Exception? The Ukrainian Supreme Court Held That the Russian Federation Could Not Plead Immunity with Regard to Tort Claims Brought by the Victims of the Russia-Ukraine War,” (2022), 3:15 Access Justice East. Eur. 165, 168</w:t>
      </w:r>
    </w:p>
  </w:footnote>
  <w:footnote w:id="182">
    <w:p w14:paraId="24F46BEF" w14:textId="69A26091" w:rsidR="00D604AC" w:rsidRDefault="00D604AC" w:rsidP="00395591">
      <w:pPr>
        <w:pStyle w:val="FootnoteText"/>
        <w:ind w:left="360" w:hanging="360"/>
      </w:pPr>
      <w:r>
        <w:rPr>
          <w:rStyle w:val="FootnoteReference"/>
        </w:rPr>
        <w:footnoteRef/>
      </w:r>
      <w:r>
        <w:t xml:space="preserve"> </w:t>
      </w:r>
      <w:r w:rsidRPr="001D1A9A">
        <w:rPr>
          <w:i/>
          <w:color w:val="000000"/>
          <w:szCs w:val="24"/>
        </w:rPr>
        <w:t xml:space="preserve">Jurisdictional Immunities of the State (Germany v Italy: Greece Intervening) </w:t>
      </w:r>
      <w:r w:rsidRPr="001D1A9A">
        <w:rPr>
          <w:color w:val="000000"/>
          <w:szCs w:val="24"/>
        </w:rPr>
        <w:t xml:space="preserve">[2012] ICJ Rep </w:t>
      </w:r>
      <w:r>
        <w:rPr>
          <w:color w:val="000000"/>
          <w:szCs w:val="24"/>
        </w:rPr>
        <w:t>99</w:t>
      </w:r>
      <w:r w:rsidRPr="001D1A9A">
        <w:rPr>
          <w:color w:val="000000"/>
          <w:szCs w:val="24"/>
        </w:rPr>
        <w:t xml:space="preserve"> </w:t>
      </w:r>
      <w:r w:rsidRPr="001D1A9A">
        <w:rPr>
          <w:szCs w:val="24"/>
          <w:lang w:val="en-GB"/>
        </w:rPr>
        <w:t>¶</w:t>
      </w:r>
      <w:r w:rsidRPr="001D1A9A">
        <w:rPr>
          <w:color w:val="000000"/>
          <w:szCs w:val="24"/>
        </w:rPr>
        <w:t>64.</w:t>
      </w:r>
    </w:p>
  </w:footnote>
  <w:footnote w:id="183">
    <w:p w14:paraId="31F23EB0" w14:textId="6952011F" w:rsidR="00C9453D" w:rsidRDefault="00C9453D" w:rsidP="00395591">
      <w:pPr>
        <w:pStyle w:val="FootnoteText"/>
        <w:ind w:left="360" w:hanging="360"/>
      </w:pPr>
      <w:r>
        <w:rPr>
          <w:rStyle w:val="FootnoteReference"/>
        </w:rPr>
        <w:footnoteRef/>
      </w:r>
      <w:r>
        <w:t xml:space="preserve"> </w:t>
      </w:r>
      <w:r w:rsidR="00D46286">
        <w:t>See</w:t>
      </w:r>
      <w:r w:rsidR="00A07907">
        <w:t xml:space="preserve"> </w:t>
      </w:r>
      <w:proofErr w:type="spellStart"/>
      <w:r w:rsidR="00A07907">
        <w:t>eg.</w:t>
      </w:r>
      <w:proofErr w:type="spellEnd"/>
      <w:r w:rsidR="00A07907">
        <w:t xml:space="preserve">, </w:t>
      </w:r>
      <w:r w:rsidR="00AE522C" w:rsidRPr="00AE522C">
        <w:rPr>
          <w:i/>
          <w:iCs/>
        </w:rPr>
        <w:t>Letelier v. Republic of Chile</w:t>
      </w:r>
      <w:r w:rsidR="00AE522C" w:rsidRPr="00AE522C">
        <w:t>, 488 F. Supp. 665 (D.D.C. 1980)</w:t>
      </w:r>
      <w:r w:rsidR="00E40820">
        <w:t xml:space="preserve"> (United States</w:t>
      </w:r>
      <w:r w:rsidR="000A0427">
        <w:t>).</w:t>
      </w:r>
    </w:p>
  </w:footnote>
  <w:footnote w:id="184">
    <w:p w14:paraId="0B92B7A1" w14:textId="04E889D9"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w:t>
      </w:r>
      <w:r w:rsidRPr="001D1A9A">
        <w:rPr>
          <w:rFonts w:cs="Times New Roman"/>
          <w:i/>
          <w:kern w:val="0"/>
          <w:szCs w:val="24"/>
          <w:lang w:val="en-US"/>
        </w:rPr>
        <w:t>Al-</w:t>
      </w:r>
      <w:proofErr w:type="spellStart"/>
      <w:r w:rsidRPr="001D1A9A">
        <w:rPr>
          <w:rFonts w:cs="Times New Roman"/>
          <w:i/>
          <w:kern w:val="0"/>
          <w:szCs w:val="24"/>
          <w:lang w:val="en-US"/>
        </w:rPr>
        <w:t>Masarir</w:t>
      </w:r>
      <w:proofErr w:type="spellEnd"/>
      <w:r w:rsidRPr="001D1A9A">
        <w:rPr>
          <w:rFonts w:cs="Times New Roman"/>
          <w:i/>
          <w:kern w:val="0"/>
          <w:szCs w:val="24"/>
          <w:lang w:val="en-US"/>
        </w:rPr>
        <w:t xml:space="preserve"> and Shehabi v Bahrain</w:t>
      </w:r>
      <w:r w:rsidR="004A4432" w:rsidRPr="001D1A9A">
        <w:rPr>
          <w:rFonts w:cs="Times New Roman"/>
          <w:i/>
          <w:kern w:val="0"/>
          <w:szCs w:val="24"/>
          <w:lang w:val="en-US"/>
        </w:rPr>
        <w:t xml:space="preserve">, </w:t>
      </w:r>
      <w:r w:rsidR="004A4432" w:rsidRPr="001D1A9A">
        <w:rPr>
          <w:rFonts w:cs="Times New Roman"/>
          <w:kern w:val="0"/>
          <w:szCs w:val="24"/>
          <w:lang w:val="en-US"/>
        </w:rPr>
        <w:t>[2024] EWCA Civ 1158</w:t>
      </w:r>
      <w:r w:rsidRPr="001D1A9A">
        <w:rPr>
          <w:rFonts w:cs="Times New Roman"/>
          <w:kern w:val="0"/>
          <w:szCs w:val="24"/>
          <w:lang w:val="en-US"/>
        </w:rPr>
        <w:t xml:space="preserve"> </w:t>
      </w:r>
      <w:r w:rsidR="004A4432" w:rsidRPr="001D1A9A">
        <w:rPr>
          <w:rFonts w:cs="Times New Roman"/>
          <w:kern w:val="0"/>
          <w:szCs w:val="24"/>
          <w:lang w:val="en-US"/>
        </w:rPr>
        <w:t>(United Kingdom)</w:t>
      </w:r>
      <w:r w:rsidR="003505CF">
        <w:rPr>
          <w:rFonts w:cs="Times New Roman"/>
          <w:kern w:val="0"/>
          <w:szCs w:val="24"/>
          <w:lang w:val="en-US"/>
        </w:rPr>
        <w:t xml:space="preserve"> ¶</w:t>
      </w:r>
      <w:r w:rsidR="00AF4715">
        <w:rPr>
          <w:rFonts w:cs="Times New Roman"/>
          <w:kern w:val="0"/>
          <w:szCs w:val="24"/>
          <w:lang w:val="en-US"/>
        </w:rPr>
        <w:t>69</w:t>
      </w:r>
      <w:r w:rsidR="00B57AA1">
        <w:rPr>
          <w:rFonts w:cs="Times New Roman"/>
          <w:kern w:val="0"/>
          <w:szCs w:val="24"/>
          <w:lang w:val="en-US"/>
        </w:rPr>
        <w:t>, 81</w:t>
      </w:r>
      <w:r w:rsidR="004A4432" w:rsidRPr="001D1A9A">
        <w:rPr>
          <w:rFonts w:cs="Times New Roman"/>
          <w:kern w:val="0"/>
          <w:szCs w:val="24"/>
          <w:lang w:val="en-US"/>
        </w:rPr>
        <w:t>.</w:t>
      </w:r>
      <w:r w:rsidRPr="001D1A9A">
        <w:rPr>
          <w:rFonts w:cs="Times New Roman"/>
          <w:kern w:val="0"/>
          <w:szCs w:val="24"/>
          <w:lang w:val="en-US"/>
        </w:rPr>
        <w:t xml:space="preserve"> </w:t>
      </w:r>
      <w:r w:rsidR="00B57AA1">
        <w:rPr>
          <w:rFonts w:cs="Times New Roman"/>
          <w:kern w:val="0"/>
          <w:szCs w:val="24"/>
          <w:lang w:val="en-US"/>
        </w:rPr>
        <w:t xml:space="preserve">See also, </w:t>
      </w:r>
      <w:r w:rsidR="00B57AA1" w:rsidRPr="00B57AA1">
        <w:rPr>
          <w:i/>
          <w:iCs/>
        </w:rPr>
        <w:t>Kazemi v Iranian Republic of Iran</w:t>
      </w:r>
      <w:r w:rsidR="00B57AA1">
        <w:t xml:space="preserve"> [2014] 3 SCR 176 (Canada).</w:t>
      </w:r>
    </w:p>
  </w:footnote>
  <w:footnote w:id="185">
    <w:p w14:paraId="169B49A6" w14:textId="77777777" w:rsidR="00027AF1" w:rsidRPr="001D1A9A" w:rsidRDefault="00027AF1" w:rsidP="00395591">
      <w:pPr>
        <w:pStyle w:val="FootnoteText"/>
        <w:ind w:left="360" w:hanging="360"/>
        <w:rPr>
          <w:szCs w:val="24"/>
        </w:rPr>
      </w:pPr>
      <w:r w:rsidRPr="001D1A9A">
        <w:rPr>
          <w:rStyle w:val="FootnoteReference"/>
          <w:szCs w:val="24"/>
        </w:rPr>
        <w:footnoteRef/>
      </w:r>
      <w:r w:rsidRPr="001D1A9A">
        <w:rPr>
          <w:szCs w:val="24"/>
        </w:rPr>
        <w:t xml:space="preserve"> Compromis, ¶39.</w:t>
      </w:r>
    </w:p>
  </w:footnote>
  <w:footnote w:id="186">
    <w:p w14:paraId="5178C102" w14:textId="0F41E9F1" w:rsidR="00DB01AA" w:rsidRDefault="00DB01AA" w:rsidP="00395591">
      <w:pPr>
        <w:pStyle w:val="FootnoteText"/>
        <w:ind w:left="360" w:hanging="360"/>
      </w:pPr>
      <w:r>
        <w:rPr>
          <w:rStyle w:val="FootnoteReference"/>
        </w:rPr>
        <w:footnoteRef/>
      </w:r>
      <w:r>
        <w:t xml:space="preserve"> Compromis, ¶</w:t>
      </w:r>
      <w:r w:rsidR="00B3736D">
        <w:t>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4DD9" w14:textId="4B5843F4" w:rsidR="00711C31" w:rsidRPr="00711C31" w:rsidRDefault="003D2AE8" w:rsidP="00711C31">
    <w:pPr>
      <w:pStyle w:val="Header"/>
      <w:jc w:val="right"/>
      <w:rPr>
        <w:b/>
        <w:bCs/>
      </w:rPr>
    </w:pPr>
    <w:r>
      <w:t>4</w:t>
    </w:r>
    <w:r w:rsidR="00DD33C4">
      <w:t>79R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ED"/>
    <w:multiLevelType w:val="multilevel"/>
    <w:tmpl w:val="B950E07C"/>
    <w:styleLink w:val="CurrentList11"/>
    <w:lvl w:ilvl="0">
      <w:start w:val="1"/>
      <w:numFmt w:val="decimal"/>
      <w:lvlText w:val="%1."/>
      <w:lvlJc w:val="left"/>
      <w:pPr>
        <w:ind w:left="10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162A6"/>
    <w:multiLevelType w:val="multilevel"/>
    <w:tmpl w:val="49663954"/>
    <w:styleLink w:val="CurrentList5"/>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7A26D8"/>
    <w:multiLevelType w:val="multilevel"/>
    <w:tmpl w:val="F1A4C320"/>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1B5B6E"/>
    <w:multiLevelType w:val="hybridMultilevel"/>
    <w:tmpl w:val="F676C9CC"/>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05FEE"/>
    <w:multiLevelType w:val="hybridMultilevel"/>
    <w:tmpl w:val="F676C9CC"/>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164EE"/>
    <w:multiLevelType w:val="hybridMultilevel"/>
    <w:tmpl w:val="B0007DFA"/>
    <w:lvl w:ilvl="0" w:tplc="69869EB8">
      <w:start w:val="1"/>
      <w:numFmt w:val="upperLetter"/>
      <w:pStyle w:val="Heading2"/>
      <w:lvlText w:val="%1."/>
      <w:lvlJc w:val="left"/>
      <w:pPr>
        <w:ind w:left="1111" w:hanging="754"/>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753E0"/>
    <w:multiLevelType w:val="hybridMultilevel"/>
    <w:tmpl w:val="44E6AA86"/>
    <w:lvl w:ilvl="0" w:tplc="D0E097B6">
      <w:start w:val="1"/>
      <w:numFmt w:val="lowerRoman"/>
      <w:pStyle w:val="Heading4"/>
      <w:lvlText w:val="%1."/>
      <w:lvlJc w:val="left"/>
      <w:pPr>
        <w:ind w:left="1775" w:hanging="698"/>
      </w:pPr>
      <w:rPr>
        <w:rFonts w:hint="default"/>
        <w:i/>
        <w:iCs/>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7" w15:restartNumberingAfterBreak="0">
    <w:nsid w:val="21FD259E"/>
    <w:multiLevelType w:val="multilevel"/>
    <w:tmpl w:val="1164893A"/>
    <w:styleLink w:val="CurrentList13"/>
    <w:lvl w:ilvl="0">
      <w:start w:val="1"/>
      <w:numFmt w:val="decimal"/>
      <w:lvlText w:val="%1."/>
      <w:lvlJc w:val="left"/>
      <w:pPr>
        <w:ind w:left="1066" w:hanging="21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725C4"/>
    <w:multiLevelType w:val="multilevel"/>
    <w:tmpl w:val="20524B24"/>
    <w:styleLink w:val="CurrentList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8F2A1A"/>
    <w:multiLevelType w:val="hybridMultilevel"/>
    <w:tmpl w:val="ECE6F428"/>
    <w:lvl w:ilvl="0" w:tplc="9CE0E234">
      <w:start w:val="1"/>
      <w:numFmt w:val="upperRoman"/>
      <w:pStyle w:val="Heading1"/>
      <w:lvlText w:val="%1."/>
      <w:lvlJc w:val="left"/>
      <w:pPr>
        <w:ind w:left="709"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E4548"/>
    <w:multiLevelType w:val="multilevel"/>
    <w:tmpl w:val="F1A4C320"/>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F02A3B"/>
    <w:multiLevelType w:val="multilevel"/>
    <w:tmpl w:val="44E6AA86"/>
    <w:styleLink w:val="CurrentList17"/>
    <w:lvl w:ilvl="0">
      <w:start w:val="1"/>
      <w:numFmt w:val="lowerRoman"/>
      <w:lvlText w:val="%1."/>
      <w:lvlJc w:val="left"/>
      <w:pPr>
        <w:ind w:left="1775" w:hanging="698"/>
      </w:pPr>
      <w:rPr>
        <w:rFonts w:hint="default"/>
        <w:i/>
        <w:iCs/>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12" w15:restartNumberingAfterBreak="0">
    <w:nsid w:val="36FF0B56"/>
    <w:multiLevelType w:val="multilevel"/>
    <w:tmpl w:val="F1A4C32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AA3AD0"/>
    <w:multiLevelType w:val="multilevel"/>
    <w:tmpl w:val="500C74FC"/>
    <w:styleLink w:val="CurrentList20"/>
    <w:lvl w:ilvl="0">
      <w:start w:val="1"/>
      <w:numFmt w:val="upperLetter"/>
      <w:lvlText w:val="%1."/>
      <w:lvlJc w:val="left"/>
      <w:pPr>
        <w:ind w:left="1111" w:hanging="7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7B042B"/>
    <w:multiLevelType w:val="hybridMultilevel"/>
    <w:tmpl w:val="F676C9CC"/>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EA7355"/>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F56DEB"/>
    <w:multiLevelType w:val="multilevel"/>
    <w:tmpl w:val="F2EE2482"/>
    <w:styleLink w:val="CurrentList16"/>
    <w:lvl w:ilvl="0">
      <w:start w:val="1"/>
      <w:numFmt w:val="lowerRoman"/>
      <w:lvlText w:val="%1."/>
      <w:lvlJc w:val="left"/>
      <w:pPr>
        <w:ind w:left="720" w:hanging="360"/>
      </w:pPr>
      <w:rPr>
        <w:rFonts w:hint="default"/>
        <w:i/>
        <w:iCs/>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17" w15:restartNumberingAfterBreak="0">
    <w:nsid w:val="5739615C"/>
    <w:multiLevelType w:val="multilevel"/>
    <w:tmpl w:val="25DCCD28"/>
    <w:styleLink w:val="CurrentList14"/>
    <w:lvl w:ilvl="0">
      <w:start w:val="1"/>
      <w:numFmt w:val="decimal"/>
      <w:lvlText w:val="%1."/>
      <w:lvlJc w:val="left"/>
      <w:pPr>
        <w:ind w:left="2511" w:hanging="18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D835D9"/>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913420"/>
    <w:multiLevelType w:val="multilevel"/>
    <w:tmpl w:val="BBE02736"/>
    <w:styleLink w:val="CurrentList15"/>
    <w:lvl w:ilvl="0">
      <w:start w:val="1"/>
      <w:numFmt w:val="decimal"/>
      <w:lvlText w:val="%1."/>
      <w:lvlJc w:val="left"/>
      <w:pPr>
        <w:ind w:left="1077"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DF51F7"/>
    <w:multiLevelType w:val="hybridMultilevel"/>
    <w:tmpl w:val="F676C9CC"/>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3F6ED8"/>
    <w:multiLevelType w:val="hybridMultilevel"/>
    <w:tmpl w:val="F676C9CC"/>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7B6D4B"/>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6159F9"/>
    <w:multiLevelType w:val="multilevel"/>
    <w:tmpl w:val="FCD29A86"/>
    <w:styleLink w:val="CurrentList12"/>
    <w:lvl w:ilvl="0">
      <w:start w:val="1"/>
      <w:numFmt w:val="decimal"/>
      <w:lvlText w:val="%1."/>
      <w:lvlJc w:val="left"/>
      <w:pPr>
        <w:ind w:left="1083"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AD4CCD"/>
    <w:multiLevelType w:val="multilevel"/>
    <w:tmpl w:val="49663954"/>
    <w:styleLink w:val="CurrentList19"/>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007AA3"/>
    <w:multiLevelType w:val="multilevel"/>
    <w:tmpl w:val="6C42A03A"/>
    <w:styleLink w:val="CurrentList18"/>
    <w:lvl w:ilvl="0">
      <w:start w:val="1"/>
      <w:numFmt w:val="upperLetter"/>
      <w:lvlText w:val="%1."/>
      <w:lvlJc w:val="left"/>
      <w:pPr>
        <w:ind w:left="1077"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C11FF6"/>
    <w:multiLevelType w:val="multilevel"/>
    <w:tmpl w:val="28048770"/>
    <w:styleLink w:val="CurrentList2"/>
    <w:lvl w:ilvl="0">
      <w:start w:val="1"/>
      <w:numFmt w:val="lowerRoman"/>
      <w:lvlText w:val="%1."/>
      <w:lvlJc w:val="left"/>
      <w:pPr>
        <w:ind w:left="709" w:hanging="720"/>
      </w:pPr>
      <w:rPr>
        <w:rFonts w:hint="default"/>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27" w15:restartNumberingAfterBreak="0">
    <w:nsid w:val="762C4D2C"/>
    <w:multiLevelType w:val="hybridMultilevel"/>
    <w:tmpl w:val="F676C9CC"/>
    <w:lvl w:ilvl="0" w:tplc="0409000F">
      <w:start w:val="1"/>
      <w:numFmt w:val="decimal"/>
      <w:pStyle w:val="Heading3"/>
      <w:lvlText w:val="%1."/>
      <w:lvlJc w:val="left"/>
      <w:pPr>
        <w:ind w:left="10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458CC"/>
    <w:multiLevelType w:val="multilevel"/>
    <w:tmpl w:val="172090EE"/>
    <w:styleLink w:val="CurrentList4"/>
    <w:lvl w:ilvl="0">
      <w:start w:val="1"/>
      <w:numFmt w:val="lowerRoman"/>
      <w:lvlText w:val="%1."/>
      <w:lvlJc w:val="left"/>
      <w:pPr>
        <w:ind w:left="1080" w:hanging="720"/>
      </w:pPr>
      <w:rPr>
        <w:rFonts w:hint="default"/>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29" w15:restartNumberingAfterBreak="0">
    <w:nsid w:val="7D044482"/>
    <w:multiLevelType w:val="hybridMultilevel"/>
    <w:tmpl w:val="8022396C"/>
    <w:lvl w:ilvl="0" w:tplc="3D900606">
      <w:start w:val="1"/>
      <w:numFmt w:val="decimal"/>
      <w:pStyle w:val="ListParagraph"/>
      <w:lvlText w:val="%1."/>
      <w:lvlJc w:val="left"/>
      <w:pPr>
        <w:ind w:left="720" w:hanging="360"/>
      </w:pPr>
      <w:rPr>
        <w:rFonts w:hint="default"/>
        <w:b w:val="0"/>
        <w:bCs w:val="0"/>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154157">
    <w:abstractNumId w:val="9"/>
  </w:num>
  <w:num w:numId="2" w16cid:durableId="690452365">
    <w:abstractNumId w:val="29"/>
  </w:num>
  <w:num w:numId="3" w16cid:durableId="1849061147">
    <w:abstractNumId w:val="5"/>
  </w:num>
  <w:num w:numId="4" w16cid:durableId="696465448">
    <w:abstractNumId w:val="27"/>
  </w:num>
  <w:num w:numId="5" w16cid:durableId="1779135799">
    <w:abstractNumId w:val="6"/>
  </w:num>
  <w:num w:numId="6" w16cid:durableId="234363799">
    <w:abstractNumId w:val="12"/>
  </w:num>
  <w:num w:numId="7" w16cid:durableId="1197350600">
    <w:abstractNumId w:val="26"/>
  </w:num>
  <w:num w:numId="8" w16cid:durableId="1409037763">
    <w:abstractNumId w:val="2"/>
  </w:num>
  <w:num w:numId="9" w16cid:durableId="1478306542">
    <w:abstractNumId w:val="28"/>
  </w:num>
  <w:num w:numId="10" w16cid:durableId="979850111">
    <w:abstractNumId w:val="1"/>
  </w:num>
  <w:num w:numId="11" w16cid:durableId="1919706396">
    <w:abstractNumId w:val="15"/>
  </w:num>
  <w:num w:numId="12" w16cid:durableId="1159423158">
    <w:abstractNumId w:val="22"/>
  </w:num>
  <w:num w:numId="13" w16cid:durableId="2120101079">
    <w:abstractNumId w:val="18"/>
  </w:num>
  <w:num w:numId="14" w16cid:durableId="232934329">
    <w:abstractNumId w:val="8"/>
  </w:num>
  <w:num w:numId="15" w16cid:durableId="661200600">
    <w:abstractNumId w:val="10"/>
  </w:num>
  <w:num w:numId="16" w16cid:durableId="1695500329">
    <w:abstractNumId w:val="0"/>
  </w:num>
  <w:num w:numId="17" w16cid:durableId="1968972415">
    <w:abstractNumId w:val="23"/>
  </w:num>
  <w:num w:numId="18" w16cid:durableId="1442605207">
    <w:abstractNumId w:val="7"/>
  </w:num>
  <w:num w:numId="19" w16cid:durableId="1455824684">
    <w:abstractNumId w:val="17"/>
  </w:num>
  <w:num w:numId="20" w16cid:durableId="1857422953">
    <w:abstractNumId w:val="19"/>
  </w:num>
  <w:num w:numId="21" w16cid:durableId="518541213">
    <w:abstractNumId w:val="16"/>
  </w:num>
  <w:num w:numId="22" w16cid:durableId="1426420126">
    <w:abstractNumId w:val="11"/>
  </w:num>
  <w:num w:numId="23" w16cid:durableId="410935174">
    <w:abstractNumId w:val="25"/>
  </w:num>
  <w:num w:numId="24" w16cid:durableId="562134111">
    <w:abstractNumId w:val="24"/>
  </w:num>
  <w:num w:numId="25" w16cid:durableId="229583929">
    <w:abstractNumId w:val="13"/>
  </w:num>
  <w:num w:numId="26" w16cid:durableId="406341508">
    <w:abstractNumId w:val="5"/>
    <w:lvlOverride w:ilvl="0">
      <w:startOverride w:val="1"/>
    </w:lvlOverride>
  </w:num>
  <w:num w:numId="27" w16cid:durableId="1787920021">
    <w:abstractNumId w:val="4"/>
  </w:num>
  <w:num w:numId="28" w16cid:durableId="646132007">
    <w:abstractNumId w:val="14"/>
  </w:num>
  <w:num w:numId="29" w16cid:durableId="1768695701">
    <w:abstractNumId w:val="5"/>
    <w:lvlOverride w:ilvl="0">
      <w:startOverride w:val="1"/>
    </w:lvlOverride>
  </w:num>
  <w:num w:numId="30" w16cid:durableId="1273974116">
    <w:abstractNumId w:val="3"/>
  </w:num>
  <w:num w:numId="31" w16cid:durableId="2031177709">
    <w:abstractNumId w:val="6"/>
    <w:lvlOverride w:ilvl="0">
      <w:startOverride w:val="1"/>
    </w:lvlOverride>
  </w:num>
  <w:num w:numId="32" w16cid:durableId="1265528960">
    <w:abstractNumId w:val="5"/>
    <w:lvlOverride w:ilvl="0">
      <w:startOverride w:val="1"/>
    </w:lvlOverride>
  </w:num>
  <w:num w:numId="33" w16cid:durableId="1194733928">
    <w:abstractNumId w:val="20"/>
  </w:num>
  <w:num w:numId="34" w16cid:durableId="694119002">
    <w:abstractNumId w:val="21"/>
  </w:num>
  <w:num w:numId="35" w16cid:durableId="578439414">
    <w:abstractNumId w:val="6"/>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B8"/>
    <w:rsid w:val="000002C3"/>
    <w:rsid w:val="00000810"/>
    <w:rsid w:val="00000AAF"/>
    <w:rsid w:val="00000B82"/>
    <w:rsid w:val="00000E5A"/>
    <w:rsid w:val="00001562"/>
    <w:rsid w:val="000015C4"/>
    <w:rsid w:val="0000173B"/>
    <w:rsid w:val="000017D6"/>
    <w:rsid w:val="00001FC5"/>
    <w:rsid w:val="0000253E"/>
    <w:rsid w:val="000025BF"/>
    <w:rsid w:val="0000282C"/>
    <w:rsid w:val="00002FD8"/>
    <w:rsid w:val="00003C9C"/>
    <w:rsid w:val="0000485C"/>
    <w:rsid w:val="00004A7F"/>
    <w:rsid w:val="000055C3"/>
    <w:rsid w:val="00006431"/>
    <w:rsid w:val="00006C1A"/>
    <w:rsid w:val="00006CD7"/>
    <w:rsid w:val="00007141"/>
    <w:rsid w:val="00007B0D"/>
    <w:rsid w:val="00013B02"/>
    <w:rsid w:val="000140ED"/>
    <w:rsid w:val="000143A7"/>
    <w:rsid w:val="00014D50"/>
    <w:rsid w:val="00014FC0"/>
    <w:rsid w:val="00015556"/>
    <w:rsid w:val="00015B89"/>
    <w:rsid w:val="000160BE"/>
    <w:rsid w:val="0001639A"/>
    <w:rsid w:val="00016415"/>
    <w:rsid w:val="0001679C"/>
    <w:rsid w:val="000175FA"/>
    <w:rsid w:val="0002130C"/>
    <w:rsid w:val="00021488"/>
    <w:rsid w:val="000218BE"/>
    <w:rsid w:val="00021F69"/>
    <w:rsid w:val="00022196"/>
    <w:rsid w:val="00022307"/>
    <w:rsid w:val="0002265C"/>
    <w:rsid w:val="0002477C"/>
    <w:rsid w:val="00025089"/>
    <w:rsid w:val="00025853"/>
    <w:rsid w:val="00025A79"/>
    <w:rsid w:val="00026447"/>
    <w:rsid w:val="00026BD5"/>
    <w:rsid w:val="00027044"/>
    <w:rsid w:val="00027AF1"/>
    <w:rsid w:val="00027F06"/>
    <w:rsid w:val="00030B5C"/>
    <w:rsid w:val="00031A6D"/>
    <w:rsid w:val="00031EC8"/>
    <w:rsid w:val="00032333"/>
    <w:rsid w:val="00033523"/>
    <w:rsid w:val="00033CBE"/>
    <w:rsid w:val="0003566C"/>
    <w:rsid w:val="00035A2F"/>
    <w:rsid w:val="00036971"/>
    <w:rsid w:val="00036CD0"/>
    <w:rsid w:val="0003735F"/>
    <w:rsid w:val="00037765"/>
    <w:rsid w:val="00037B3A"/>
    <w:rsid w:val="00037B7B"/>
    <w:rsid w:val="000402AB"/>
    <w:rsid w:val="0004164D"/>
    <w:rsid w:val="00041A81"/>
    <w:rsid w:val="000423DB"/>
    <w:rsid w:val="00043190"/>
    <w:rsid w:val="00043D5E"/>
    <w:rsid w:val="0004420A"/>
    <w:rsid w:val="00045B5E"/>
    <w:rsid w:val="00045D35"/>
    <w:rsid w:val="00045FC6"/>
    <w:rsid w:val="00047912"/>
    <w:rsid w:val="00047C89"/>
    <w:rsid w:val="00047D2B"/>
    <w:rsid w:val="00047F11"/>
    <w:rsid w:val="000505FC"/>
    <w:rsid w:val="0005073B"/>
    <w:rsid w:val="0005075D"/>
    <w:rsid w:val="000508AE"/>
    <w:rsid w:val="0005146C"/>
    <w:rsid w:val="000514B5"/>
    <w:rsid w:val="0005196A"/>
    <w:rsid w:val="0005268B"/>
    <w:rsid w:val="00052DA9"/>
    <w:rsid w:val="00052DCB"/>
    <w:rsid w:val="00053D19"/>
    <w:rsid w:val="00053FB1"/>
    <w:rsid w:val="00054A4C"/>
    <w:rsid w:val="0005507A"/>
    <w:rsid w:val="000555E5"/>
    <w:rsid w:val="000556A7"/>
    <w:rsid w:val="000557B8"/>
    <w:rsid w:val="00056CB4"/>
    <w:rsid w:val="000570C4"/>
    <w:rsid w:val="00057393"/>
    <w:rsid w:val="000578F4"/>
    <w:rsid w:val="00057E63"/>
    <w:rsid w:val="00057F6D"/>
    <w:rsid w:val="00060532"/>
    <w:rsid w:val="00060794"/>
    <w:rsid w:val="00060C6E"/>
    <w:rsid w:val="00060EBC"/>
    <w:rsid w:val="00062025"/>
    <w:rsid w:val="00062675"/>
    <w:rsid w:val="000627B8"/>
    <w:rsid w:val="00062D61"/>
    <w:rsid w:val="000631F7"/>
    <w:rsid w:val="0006428F"/>
    <w:rsid w:val="00064499"/>
    <w:rsid w:val="00065001"/>
    <w:rsid w:val="000661FA"/>
    <w:rsid w:val="000662BF"/>
    <w:rsid w:val="00066697"/>
    <w:rsid w:val="000678BB"/>
    <w:rsid w:val="00067FED"/>
    <w:rsid w:val="00070E75"/>
    <w:rsid w:val="00071D1A"/>
    <w:rsid w:val="00072780"/>
    <w:rsid w:val="00072CD6"/>
    <w:rsid w:val="00072D1D"/>
    <w:rsid w:val="000732A1"/>
    <w:rsid w:val="00074547"/>
    <w:rsid w:val="000745E4"/>
    <w:rsid w:val="0007571A"/>
    <w:rsid w:val="00076B1A"/>
    <w:rsid w:val="0007721B"/>
    <w:rsid w:val="0007762D"/>
    <w:rsid w:val="0007795A"/>
    <w:rsid w:val="00077AF6"/>
    <w:rsid w:val="00077F79"/>
    <w:rsid w:val="00080294"/>
    <w:rsid w:val="00080F12"/>
    <w:rsid w:val="00080F60"/>
    <w:rsid w:val="00081FA5"/>
    <w:rsid w:val="00082773"/>
    <w:rsid w:val="00084BC0"/>
    <w:rsid w:val="00084E74"/>
    <w:rsid w:val="00084FE2"/>
    <w:rsid w:val="000851A6"/>
    <w:rsid w:val="000858CD"/>
    <w:rsid w:val="00085B77"/>
    <w:rsid w:val="0008620D"/>
    <w:rsid w:val="000871C5"/>
    <w:rsid w:val="00090A10"/>
    <w:rsid w:val="00090B0F"/>
    <w:rsid w:val="00091E4E"/>
    <w:rsid w:val="00092289"/>
    <w:rsid w:val="0009242B"/>
    <w:rsid w:val="000926FB"/>
    <w:rsid w:val="00092E54"/>
    <w:rsid w:val="00092F8C"/>
    <w:rsid w:val="00093D76"/>
    <w:rsid w:val="00094223"/>
    <w:rsid w:val="000945BF"/>
    <w:rsid w:val="00094698"/>
    <w:rsid w:val="00095446"/>
    <w:rsid w:val="00095A91"/>
    <w:rsid w:val="00095EE2"/>
    <w:rsid w:val="000964A7"/>
    <w:rsid w:val="00096CC4"/>
    <w:rsid w:val="0009738E"/>
    <w:rsid w:val="00097A4F"/>
    <w:rsid w:val="000A00E3"/>
    <w:rsid w:val="000A01DA"/>
    <w:rsid w:val="000A0427"/>
    <w:rsid w:val="000A053C"/>
    <w:rsid w:val="000A0709"/>
    <w:rsid w:val="000A0BC6"/>
    <w:rsid w:val="000A27B4"/>
    <w:rsid w:val="000A32F5"/>
    <w:rsid w:val="000A39CD"/>
    <w:rsid w:val="000A3F41"/>
    <w:rsid w:val="000A4106"/>
    <w:rsid w:val="000A4289"/>
    <w:rsid w:val="000A4752"/>
    <w:rsid w:val="000A479A"/>
    <w:rsid w:val="000A5321"/>
    <w:rsid w:val="000A596B"/>
    <w:rsid w:val="000A5BE9"/>
    <w:rsid w:val="000A76A5"/>
    <w:rsid w:val="000A7862"/>
    <w:rsid w:val="000A7C44"/>
    <w:rsid w:val="000B03E1"/>
    <w:rsid w:val="000B07C4"/>
    <w:rsid w:val="000B10BD"/>
    <w:rsid w:val="000B19D2"/>
    <w:rsid w:val="000B1AAD"/>
    <w:rsid w:val="000B1D94"/>
    <w:rsid w:val="000B23E2"/>
    <w:rsid w:val="000B248D"/>
    <w:rsid w:val="000B25E9"/>
    <w:rsid w:val="000B29C9"/>
    <w:rsid w:val="000B2B07"/>
    <w:rsid w:val="000B2F7B"/>
    <w:rsid w:val="000B4328"/>
    <w:rsid w:val="000B4361"/>
    <w:rsid w:val="000B57FC"/>
    <w:rsid w:val="000B7420"/>
    <w:rsid w:val="000B7E6D"/>
    <w:rsid w:val="000C0672"/>
    <w:rsid w:val="000C0914"/>
    <w:rsid w:val="000C1D1E"/>
    <w:rsid w:val="000C3514"/>
    <w:rsid w:val="000C3D38"/>
    <w:rsid w:val="000C4597"/>
    <w:rsid w:val="000C4C4F"/>
    <w:rsid w:val="000C54BC"/>
    <w:rsid w:val="000C5856"/>
    <w:rsid w:val="000C6C24"/>
    <w:rsid w:val="000C6C3E"/>
    <w:rsid w:val="000C6FD8"/>
    <w:rsid w:val="000D09BC"/>
    <w:rsid w:val="000D2364"/>
    <w:rsid w:val="000D3B83"/>
    <w:rsid w:val="000D4492"/>
    <w:rsid w:val="000D4C6E"/>
    <w:rsid w:val="000D510B"/>
    <w:rsid w:val="000D54D5"/>
    <w:rsid w:val="000D5C2B"/>
    <w:rsid w:val="000D663A"/>
    <w:rsid w:val="000D6E93"/>
    <w:rsid w:val="000D7094"/>
    <w:rsid w:val="000D7222"/>
    <w:rsid w:val="000D732A"/>
    <w:rsid w:val="000D79D0"/>
    <w:rsid w:val="000E0A46"/>
    <w:rsid w:val="000E11D8"/>
    <w:rsid w:val="000E158B"/>
    <w:rsid w:val="000E172E"/>
    <w:rsid w:val="000E1786"/>
    <w:rsid w:val="000E1DA1"/>
    <w:rsid w:val="000E1E22"/>
    <w:rsid w:val="000E2B23"/>
    <w:rsid w:val="000E333D"/>
    <w:rsid w:val="000E681D"/>
    <w:rsid w:val="000F096C"/>
    <w:rsid w:val="000F0F5D"/>
    <w:rsid w:val="000F1057"/>
    <w:rsid w:val="000F14C2"/>
    <w:rsid w:val="000F1960"/>
    <w:rsid w:val="000F1A81"/>
    <w:rsid w:val="000F1AF1"/>
    <w:rsid w:val="000F1DA7"/>
    <w:rsid w:val="000F278F"/>
    <w:rsid w:val="000F2B26"/>
    <w:rsid w:val="000F2B32"/>
    <w:rsid w:val="000F30EB"/>
    <w:rsid w:val="000F3F99"/>
    <w:rsid w:val="000F4A4C"/>
    <w:rsid w:val="000F4C7C"/>
    <w:rsid w:val="000F5539"/>
    <w:rsid w:val="000F55A0"/>
    <w:rsid w:val="000F6498"/>
    <w:rsid w:val="000F6799"/>
    <w:rsid w:val="000F6C5A"/>
    <w:rsid w:val="000F7D28"/>
    <w:rsid w:val="0010045E"/>
    <w:rsid w:val="00100FC9"/>
    <w:rsid w:val="00101514"/>
    <w:rsid w:val="0010157D"/>
    <w:rsid w:val="001016E9"/>
    <w:rsid w:val="0010198D"/>
    <w:rsid w:val="00102071"/>
    <w:rsid w:val="00102A9E"/>
    <w:rsid w:val="00102F20"/>
    <w:rsid w:val="00104677"/>
    <w:rsid w:val="00104A2C"/>
    <w:rsid w:val="00105A54"/>
    <w:rsid w:val="0010614D"/>
    <w:rsid w:val="0010617E"/>
    <w:rsid w:val="0010626E"/>
    <w:rsid w:val="001068CA"/>
    <w:rsid w:val="00107547"/>
    <w:rsid w:val="00107DEF"/>
    <w:rsid w:val="00110D4C"/>
    <w:rsid w:val="001115EE"/>
    <w:rsid w:val="00111944"/>
    <w:rsid w:val="001120DB"/>
    <w:rsid w:val="00112969"/>
    <w:rsid w:val="00113704"/>
    <w:rsid w:val="00114583"/>
    <w:rsid w:val="00114709"/>
    <w:rsid w:val="00114871"/>
    <w:rsid w:val="00115170"/>
    <w:rsid w:val="00115A27"/>
    <w:rsid w:val="00115BC8"/>
    <w:rsid w:val="00116207"/>
    <w:rsid w:val="00116C77"/>
    <w:rsid w:val="00116F8D"/>
    <w:rsid w:val="00117984"/>
    <w:rsid w:val="00117CF8"/>
    <w:rsid w:val="00120AF4"/>
    <w:rsid w:val="0012173E"/>
    <w:rsid w:val="00121E38"/>
    <w:rsid w:val="00122235"/>
    <w:rsid w:val="00122319"/>
    <w:rsid w:val="00122B90"/>
    <w:rsid w:val="00122F28"/>
    <w:rsid w:val="00124055"/>
    <w:rsid w:val="0012539C"/>
    <w:rsid w:val="0012547C"/>
    <w:rsid w:val="00125654"/>
    <w:rsid w:val="001257A7"/>
    <w:rsid w:val="00126C11"/>
    <w:rsid w:val="0012742A"/>
    <w:rsid w:val="00130B92"/>
    <w:rsid w:val="0013199C"/>
    <w:rsid w:val="00131B1E"/>
    <w:rsid w:val="0013235B"/>
    <w:rsid w:val="00132659"/>
    <w:rsid w:val="001326DF"/>
    <w:rsid w:val="00133343"/>
    <w:rsid w:val="0013335D"/>
    <w:rsid w:val="001336D3"/>
    <w:rsid w:val="00133FAF"/>
    <w:rsid w:val="001341FE"/>
    <w:rsid w:val="0013443B"/>
    <w:rsid w:val="001352D9"/>
    <w:rsid w:val="00135427"/>
    <w:rsid w:val="001354FB"/>
    <w:rsid w:val="00136DF6"/>
    <w:rsid w:val="00136EF2"/>
    <w:rsid w:val="00137200"/>
    <w:rsid w:val="00137252"/>
    <w:rsid w:val="00137340"/>
    <w:rsid w:val="00137433"/>
    <w:rsid w:val="001377DA"/>
    <w:rsid w:val="00137B1C"/>
    <w:rsid w:val="00137F95"/>
    <w:rsid w:val="0014066E"/>
    <w:rsid w:val="00140699"/>
    <w:rsid w:val="00140734"/>
    <w:rsid w:val="001421AD"/>
    <w:rsid w:val="001432AE"/>
    <w:rsid w:val="0014356F"/>
    <w:rsid w:val="00143E1B"/>
    <w:rsid w:val="0014473E"/>
    <w:rsid w:val="00145584"/>
    <w:rsid w:val="00146177"/>
    <w:rsid w:val="00146AEA"/>
    <w:rsid w:val="00146E23"/>
    <w:rsid w:val="00147CAE"/>
    <w:rsid w:val="00147D2C"/>
    <w:rsid w:val="00151283"/>
    <w:rsid w:val="00151651"/>
    <w:rsid w:val="0015170D"/>
    <w:rsid w:val="00151B67"/>
    <w:rsid w:val="00151D60"/>
    <w:rsid w:val="00152178"/>
    <w:rsid w:val="001525FE"/>
    <w:rsid w:val="001526C0"/>
    <w:rsid w:val="00153160"/>
    <w:rsid w:val="00153333"/>
    <w:rsid w:val="0015359A"/>
    <w:rsid w:val="00153697"/>
    <w:rsid w:val="00153996"/>
    <w:rsid w:val="00154758"/>
    <w:rsid w:val="00154C3B"/>
    <w:rsid w:val="001559B9"/>
    <w:rsid w:val="00156136"/>
    <w:rsid w:val="001568E4"/>
    <w:rsid w:val="0015724C"/>
    <w:rsid w:val="0015795C"/>
    <w:rsid w:val="00157F3B"/>
    <w:rsid w:val="001600B0"/>
    <w:rsid w:val="0016065B"/>
    <w:rsid w:val="0016097F"/>
    <w:rsid w:val="00160CE7"/>
    <w:rsid w:val="001614F6"/>
    <w:rsid w:val="00161BAC"/>
    <w:rsid w:val="00162542"/>
    <w:rsid w:val="001633DB"/>
    <w:rsid w:val="00163C58"/>
    <w:rsid w:val="00164320"/>
    <w:rsid w:val="001648B2"/>
    <w:rsid w:val="00164C38"/>
    <w:rsid w:val="00164EAC"/>
    <w:rsid w:val="00165A7B"/>
    <w:rsid w:val="00166C2F"/>
    <w:rsid w:val="00167187"/>
    <w:rsid w:val="00167381"/>
    <w:rsid w:val="001677D3"/>
    <w:rsid w:val="00167834"/>
    <w:rsid w:val="001678A6"/>
    <w:rsid w:val="00167994"/>
    <w:rsid w:val="00167C83"/>
    <w:rsid w:val="00170EE3"/>
    <w:rsid w:val="001713D1"/>
    <w:rsid w:val="00171E4E"/>
    <w:rsid w:val="00171FA8"/>
    <w:rsid w:val="0017222F"/>
    <w:rsid w:val="00172418"/>
    <w:rsid w:val="001735C8"/>
    <w:rsid w:val="00173B32"/>
    <w:rsid w:val="001745CE"/>
    <w:rsid w:val="00174E1D"/>
    <w:rsid w:val="00174F96"/>
    <w:rsid w:val="00175AFD"/>
    <w:rsid w:val="00175DA0"/>
    <w:rsid w:val="00176195"/>
    <w:rsid w:val="00176EB5"/>
    <w:rsid w:val="0017724E"/>
    <w:rsid w:val="00177615"/>
    <w:rsid w:val="001776D2"/>
    <w:rsid w:val="00177C51"/>
    <w:rsid w:val="0018205B"/>
    <w:rsid w:val="00182ED9"/>
    <w:rsid w:val="0018326A"/>
    <w:rsid w:val="00183404"/>
    <w:rsid w:val="0018346C"/>
    <w:rsid w:val="00183E96"/>
    <w:rsid w:val="00184230"/>
    <w:rsid w:val="001842AC"/>
    <w:rsid w:val="001843BE"/>
    <w:rsid w:val="00184D3C"/>
    <w:rsid w:val="001852C6"/>
    <w:rsid w:val="0018542F"/>
    <w:rsid w:val="00185D25"/>
    <w:rsid w:val="0018610F"/>
    <w:rsid w:val="0018651F"/>
    <w:rsid w:val="0018692F"/>
    <w:rsid w:val="00187FE9"/>
    <w:rsid w:val="00191581"/>
    <w:rsid w:val="00191AC1"/>
    <w:rsid w:val="00191C4D"/>
    <w:rsid w:val="00191C6D"/>
    <w:rsid w:val="001920FF"/>
    <w:rsid w:val="00192F21"/>
    <w:rsid w:val="00193188"/>
    <w:rsid w:val="001937CC"/>
    <w:rsid w:val="001945BC"/>
    <w:rsid w:val="001965CA"/>
    <w:rsid w:val="00197542"/>
    <w:rsid w:val="001A18ED"/>
    <w:rsid w:val="001A284D"/>
    <w:rsid w:val="001A2DF0"/>
    <w:rsid w:val="001A31E4"/>
    <w:rsid w:val="001A320C"/>
    <w:rsid w:val="001A4018"/>
    <w:rsid w:val="001A46A5"/>
    <w:rsid w:val="001A47A5"/>
    <w:rsid w:val="001A4995"/>
    <w:rsid w:val="001A5016"/>
    <w:rsid w:val="001A51B1"/>
    <w:rsid w:val="001A51E2"/>
    <w:rsid w:val="001A5350"/>
    <w:rsid w:val="001A58A4"/>
    <w:rsid w:val="001A5931"/>
    <w:rsid w:val="001A599C"/>
    <w:rsid w:val="001A62A8"/>
    <w:rsid w:val="001A6927"/>
    <w:rsid w:val="001A6CAD"/>
    <w:rsid w:val="001A6E97"/>
    <w:rsid w:val="001A71D7"/>
    <w:rsid w:val="001B02F1"/>
    <w:rsid w:val="001B0D50"/>
    <w:rsid w:val="001B0E14"/>
    <w:rsid w:val="001B1BE3"/>
    <w:rsid w:val="001B20DC"/>
    <w:rsid w:val="001B23D1"/>
    <w:rsid w:val="001B3130"/>
    <w:rsid w:val="001B32B3"/>
    <w:rsid w:val="001B334A"/>
    <w:rsid w:val="001B3702"/>
    <w:rsid w:val="001B384A"/>
    <w:rsid w:val="001B3E63"/>
    <w:rsid w:val="001B3EA4"/>
    <w:rsid w:val="001B45BC"/>
    <w:rsid w:val="001B4845"/>
    <w:rsid w:val="001B4AFB"/>
    <w:rsid w:val="001B594D"/>
    <w:rsid w:val="001B5E46"/>
    <w:rsid w:val="001B60AA"/>
    <w:rsid w:val="001B6502"/>
    <w:rsid w:val="001B661C"/>
    <w:rsid w:val="001B6652"/>
    <w:rsid w:val="001B6C26"/>
    <w:rsid w:val="001B74A5"/>
    <w:rsid w:val="001C0572"/>
    <w:rsid w:val="001C0D2B"/>
    <w:rsid w:val="001C0FF9"/>
    <w:rsid w:val="001C124A"/>
    <w:rsid w:val="001C1640"/>
    <w:rsid w:val="001C197C"/>
    <w:rsid w:val="001C1D25"/>
    <w:rsid w:val="001C20A6"/>
    <w:rsid w:val="001C314E"/>
    <w:rsid w:val="001C330E"/>
    <w:rsid w:val="001C348A"/>
    <w:rsid w:val="001C37A2"/>
    <w:rsid w:val="001C3BCE"/>
    <w:rsid w:val="001C48CF"/>
    <w:rsid w:val="001C4D63"/>
    <w:rsid w:val="001C603E"/>
    <w:rsid w:val="001C60B0"/>
    <w:rsid w:val="001C6164"/>
    <w:rsid w:val="001C6D5A"/>
    <w:rsid w:val="001C7F09"/>
    <w:rsid w:val="001D01BA"/>
    <w:rsid w:val="001D0601"/>
    <w:rsid w:val="001D098B"/>
    <w:rsid w:val="001D0CB9"/>
    <w:rsid w:val="001D0FE8"/>
    <w:rsid w:val="001D1107"/>
    <w:rsid w:val="001D139D"/>
    <w:rsid w:val="001D1A45"/>
    <w:rsid w:val="001D1A9A"/>
    <w:rsid w:val="001D216B"/>
    <w:rsid w:val="001D46D5"/>
    <w:rsid w:val="001D519B"/>
    <w:rsid w:val="001D5272"/>
    <w:rsid w:val="001D57B2"/>
    <w:rsid w:val="001D6B0B"/>
    <w:rsid w:val="001D7476"/>
    <w:rsid w:val="001E05FE"/>
    <w:rsid w:val="001E0887"/>
    <w:rsid w:val="001E100D"/>
    <w:rsid w:val="001E101D"/>
    <w:rsid w:val="001E10DE"/>
    <w:rsid w:val="001E2156"/>
    <w:rsid w:val="001E32D7"/>
    <w:rsid w:val="001E34EA"/>
    <w:rsid w:val="001E4D71"/>
    <w:rsid w:val="001E4EC7"/>
    <w:rsid w:val="001E5F97"/>
    <w:rsid w:val="001E6DC3"/>
    <w:rsid w:val="001E7335"/>
    <w:rsid w:val="001E7A05"/>
    <w:rsid w:val="001F11A4"/>
    <w:rsid w:val="001F22FB"/>
    <w:rsid w:val="001F27E9"/>
    <w:rsid w:val="001F2895"/>
    <w:rsid w:val="001F36CF"/>
    <w:rsid w:val="001F46E3"/>
    <w:rsid w:val="001F582E"/>
    <w:rsid w:val="001F5A8C"/>
    <w:rsid w:val="001F5C29"/>
    <w:rsid w:val="001F5C54"/>
    <w:rsid w:val="001F602E"/>
    <w:rsid w:val="001F642F"/>
    <w:rsid w:val="001F64FB"/>
    <w:rsid w:val="001F6570"/>
    <w:rsid w:val="001F6A6F"/>
    <w:rsid w:val="001F7993"/>
    <w:rsid w:val="0020125E"/>
    <w:rsid w:val="0020149A"/>
    <w:rsid w:val="00201CE8"/>
    <w:rsid w:val="00202730"/>
    <w:rsid w:val="00203251"/>
    <w:rsid w:val="00203459"/>
    <w:rsid w:val="00203FCD"/>
    <w:rsid w:val="0020435B"/>
    <w:rsid w:val="00204FF1"/>
    <w:rsid w:val="00205879"/>
    <w:rsid w:val="00205A50"/>
    <w:rsid w:val="002105D5"/>
    <w:rsid w:val="00210DDD"/>
    <w:rsid w:val="00211A7D"/>
    <w:rsid w:val="00211EAF"/>
    <w:rsid w:val="0021243C"/>
    <w:rsid w:val="002127E2"/>
    <w:rsid w:val="0021340A"/>
    <w:rsid w:val="0021370F"/>
    <w:rsid w:val="002138DA"/>
    <w:rsid w:val="00213FD7"/>
    <w:rsid w:val="00214190"/>
    <w:rsid w:val="00214337"/>
    <w:rsid w:val="00214B95"/>
    <w:rsid w:val="00214E63"/>
    <w:rsid w:val="002150FB"/>
    <w:rsid w:val="00215AD5"/>
    <w:rsid w:val="002163F0"/>
    <w:rsid w:val="002171C3"/>
    <w:rsid w:val="00217362"/>
    <w:rsid w:val="002174CC"/>
    <w:rsid w:val="0021793C"/>
    <w:rsid w:val="002202D0"/>
    <w:rsid w:val="00220465"/>
    <w:rsid w:val="00222F71"/>
    <w:rsid w:val="002258C8"/>
    <w:rsid w:val="002273DE"/>
    <w:rsid w:val="00231627"/>
    <w:rsid w:val="00231F75"/>
    <w:rsid w:val="00232ACC"/>
    <w:rsid w:val="0023301F"/>
    <w:rsid w:val="00233A67"/>
    <w:rsid w:val="00233F0B"/>
    <w:rsid w:val="002346B7"/>
    <w:rsid w:val="002346EC"/>
    <w:rsid w:val="002358C0"/>
    <w:rsid w:val="00235B61"/>
    <w:rsid w:val="002361EC"/>
    <w:rsid w:val="00236EA8"/>
    <w:rsid w:val="00236F33"/>
    <w:rsid w:val="002373F8"/>
    <w:rsid w:val="002403C8"/>
    <w:rsid w:val="002412A4"/>
    <w:rsid w:val="0024254B"/>
    <w:rsid w:val="00242568"/>
    <w:rsid w:val="00242B04"/>
    <w:rsid w:val="00243F8A"/>
    <w:rsid w:val="00244387"/>
    <w:rsid w:val="002448AB"/>
    <w:rsid w:val="00245259"/>
    <w:rsid w:val="00245B67"/>
    <w:rsid w:val="0024636D"/>
    <w:rsid w:val="00246457"/>
    <w:rsid w:val="0024674E"/>
    <w:rsid w:val="00247716"/>
    <w:rsid w:val="002507D6"/>
    <w:rsid w:val="00250CC6"/>
    <w:rsid w:val="002521BB"/>
    <w:rsid w:val="00252381"/>
    <w:rsid w:val="00252BF0"/>
    <w:rsid w:val="00253834"/>
    <w:rsid w:val="002539D0"/>
    <w:rsid w:val="00253BC2"/>
    <w:rsid w:val="002541A9"/>
    <w:rsid w:val="002548FC"/>
    <w:rsid w:val="0025554C"/>
    <w:rsid w:val="002555DD"/>
    <w:rsid w:val="002556BC"/>
    <w:rsid w:val="00256423"/>
    <w:rsid w:val="00256ADB"/>
    <w:rsid w:val="00257013"/>
    <w:rsid w:val="0025763E"/>
    <w:rsid w:val="00257F50"/>
    <w:rsid w:val="002613F2"/>
    <w:rsid w:val="00261999"/>
    <w:rsid w:val="00261CD2"/>
    <w:rsid w:val="0026204D"/>
    <w:rsid w:val="00262675"/>
    <w:rsid w:val="002638D4"/>
    <w:rsid w:val="002648C0"/>
    <w:rsid w:val="0026604B"/>
    <w:rsid w:val="00266B75"/>
    <w:rsid w:val="00266DB5"/>
    <w:rsid w:val="00267F4F"/>
    <w:rsid w:val="0027077E"/>
    <w:rsid w:val="002707CA"/>
    <w:rsid w:val="00270DDD"/>
    <w:rsid w:val="00270F28"/>
    <w:rsid w:val="002711DA"/>
    <w:rsid w:val="00272218"/>
    <w:rsid w:val="00272641"/>
    <w:rsid w:val="00273719"/>
    <w:rsid w:val="00273F37"/>
    <w:rsid w:val="0027410F"/>
    <w:rsid w:val="00274199"/>
    <w:rsid w:val="0027485B"/>
    <w:rsid w:val="00274864"/>
    <w:rsid w:val="002748A4"/>
    <w:rsid w:val="00274EE0"/>
    <w:rsid w:val="002752FF"/>
    <w:rsid w:val="00275363"/>
    <w:rsid w:val="00275E5E"/>
    <w:rsid w:val="0027645E"/>
    <w:rsid w:val="002768BB"/>
    <w:rsid w:val="00277076"/>
    <w:rsid w:val="0027790E"/>
    <w:rsid w:val="00280066"/>
    <w:rsid w:val="0028089E"/>
    <w:rsid w:val="00281953"/>
    <w:rsid w:val="00281B3B"/>
    <w:rsid w:val="002820CF"/>
    <w:rsid w:val="0028214C"/>
    <w:rsid w:val="00282A0A"/>
    <w:rsid w:val="00283198"/>
    <w:rsid w:val="00283396"/>
    <w:rsid w:val="0028362E"/>
    <w:rsid w:val="00283E19"/>
    <w:rsid w:val="00283E40"/>
    <w:rsid w:val="00284073"/>
    <w:rsid w:val="00285093"/>
    <w:rsid w:val="00285563"/>
    <w:rsid w:val="00285851"/>
    <w:rsid w:val="00286701"/>
    <w:rsid w:val="00286EA6"/>
    <w:rsid w:val="00287326"/>
    <w:rsid w:val="0028787A"/>
    <w:rsid w:val="00287BFB"/>
    <w:rsid w:val="00287E1B"/>
    <w:rsid w:val="00290235"/>
    <w:rsid w:val="00291075"/>
    <w:rsid w:val="002910F6"/>
    <w:rsid w:val="0029122E"/>
    <w:rsid w:val="00291328"/>
    <w:rsid w:val="00291B7C"/>
    <w:rsid w:val="00291FFF"/>
    <w:rsid w:val="002920A1"/>
    <w:rsid w:val="002920AE"/>
    <w:rsid w:val="0029378B"/>
    <w:rsid w:val="00293EBC"/>
    <w:rsid w:val="00293FA2"/>
    <w:rsid w:val="00294AAF"/>
    <w:rsid w:val="00296F99"/>
    <w:rsid w:val="00297392"/>
    <w:rsid w:val="00297574"/>
    <w:rsid w:val="0029760F"/>
    <w:rsid w:val="002A0CA2"/>
    <w:rsid w:val="002A103B"/>
    <w:rsid w:val="002A1DA1"/>
    <w:rsid w:val="002A2360"/>
    <w:rsid w:val="002A3BF6"/>
    <w:rsid w:val="002A4096"/>
    <w:rsid w:val="002A5444"/>
    <w:rsid w:val="002A612C"/>
    <w:rsid w:val="002A629A"/>
    <w:rsid w:val="002A651E"/>
    <w:rsid w:val="002A67A7"/>
    <w:rsid w:val="002A6979"/>
    <w:rsid w:val="002B01FF"/>
    <w:rsid w:val="002B0D26"/>
    <w:rsid w:val="002B0FDC"/>
    <w:rsid w:val="002B1953"/>
    <w:rsid w:val="002B2606"/>
    <w:rsid w:val="002B269A"/>
    <w:rsid w:val="002B27CC"/>
    <w:rsid w:val="002B2938"/>
    <w:rsid w:val="002B38F4"/>
    <w:rsid w:val="002B3AA9"/>
    <w:rsid w:val="002B3CD1"/>
    <w:rsid w:val="002B4C31"/>
    <w:rsid w:val="002B5DF6"/>
    <w:rsid w:val="002B7329"/>
    <w:rsid w:val="002C0083"/>
    <w:rsid w:val="002C0EEE"/>
    <w:rsid w:val="002C2CCD"/>
    <w:rsid w:val="002C34FC"/>
    <w:rsid w:val="002C35B7"/>
    <w:rsid w:val="002C3EC8"/>
    <w:rsid w:val="002C48EA"/>
    <w:rsid w:val="002C5033"/>
    <w:rsid w:val="002C54E8"/>
    <w:rsid w:val="002C5683"/>
    <w:rsid w:val="002C5838"/>
    <w:rsid w:val="002C5A96"/>
    <w:rsid w:val="002C6112"/>
    <w:rsid w:val="002C632C"/>
    <w:rsid w:val="002C643C"/>
    <w:rsid w:val="002C6581"/>
    <w:rsid w:val="002C6A43"/>
    <w:rsid w:val="002C6DD8"/>
    <w:rsid w:val="002C6EDE"/>
    <w:rsid w:val="002C6F9E"/>
    <w:rsid w:val="002C7208"/>
    <w:rsid w:val="002C72B9"/>
    <w:rsid w:val="002C78DD"/>
    <w:rsid w:val="002C7A22"/>
    <w:rsid w:val="002D0198"/>
    <w:rsid w:val="002D0600"/>
    <w:rsid w:val="002D1724"/>
    <w:rsid w:val="002D1A41"/>
    <w:rsid w:val="002D1C27"/>
    <w:rsid w:val="002D3052"/>
    <w:rsid w:val="002D31B3"/>
    <w:rsid w:val="002D331C"/>
    <w:rsid w:val="002D3D6F"/>
    <w:rsid w:val="002D5432"/>
    <w:rsid w:val="002D546F"/>
    <w:rsid w:val="002D5850"/>
    <w:rsid w:val="002D5A47"/>
    <w:rsid w:val="002D6533"/>
    <w:rsid w:val="002D65C4"/>
    <w:rsid w:val="002D746E"/>
    <w:rsid w:val="002D7D66"/>
    <w:rsid w:val="002E0258"/>
    <w:rsid w:val="002E03D5"/>
    <w:rsid w:val="002E051A"/>
    <w:rsid w:val="002E0692"/>
    <w:rsid w:val="002E10A5"/>
    <w:rsid w:val="002E12B3"/>
    <w:rsid w:val="002E148C"/>
    <w:rsid w:val="002E14AA"/>
    <w:rsid w:val="002E2447"/>
    <w:rsid w:val="002E2713"/>
    <w:rsid w:val="002E2EB6"/>
    <w:rsid w:val="002E3363"/>
    <w:rsid w:val="002E3DE9"/>
    <w:rsid w:val="002E3E9C"/>
    <w:rsid w:val="002E484B"/>
    <w:rsid w:val="002E48C7"/>
    <w:rsid w:val="002E4C07"/>
    <w:rsid w:val="002E53C4"/>
    <w:rsid w:val="002E5624"/>
    <w:rsid w:val="002E5BEC"/>
    <w:rsid w:val="002E5D87"/>
    <w:rsid w:val="002E5E0C"/>
    <w:rsid w:val="002E65AE"/>
    <w:rsid w:val="002E6A2A"/>
    <w:rsid w:val="002E6DDE"/>
    <w:rsid w:val="002E7588"/>
    <w:rsid w:val="002E7775"/>
    <w:rsid w:val="002E7BE6"/>
    <w:rsid w:val="002E7C43"/>
    <w:rsid w:val="002F01CE"/>
    <w:rsid w:val="002F0586"/>
    <w:rsid w:val="002F0E7E"/>
    <w:rsid w:val="002F0FB5"/>
    <w:rsid w:val="002F154D"/>
    <w:rsid w:val="002F1A1C"/>
    <w:rsid w:val="002F1A60"/>
    <w:rsid w:val="002F1BE9"/>
    <w:rsid w:val="002F1ED7"/>
    <w:rsid w:val="002F2ACF"/>
    <w:rsid w:val="002F354D"/>
    <w:rsid w:val="002F36A2"/>
    <w:rsid w:val="002F36DE"/>
    <w:rsid w:val="002F3E63"/>
    <w:rsid w:val="002F506E"/>
    <w:rsid w:val="002F5DE3"/>
    <w:rsid w:val="002F6ADE"/>
    <w:rsid w:val="002F6D9E"/>
    <w:rsid w:val="002F7317"/>
    <w:rsid w:val="002F73BA"/>
    <w:rsid w:val="002F796E"/>
    <w:rsid w:val="00301140"/>
    <w:rsid w:val="00301F27"/>
    <w:rsid w:val="00302038"/>
    <w:rsid w:val="00304247"/>
    <w:rsid w:val="00306041"/>
    <w:rsid w:val="003066AD"/>
    <w:rsid w:val="00306DDC"/>
    <w:rsid w:val="00306F29"/>
    <w:rsid w:val="003105D4"/>
    <w:rsid w:val="0031086F"/>
    <w:rsid w:val="00310C8A"/>
    <w:rsid w:val="0031249D"/>
    <w:rsid w:val="00313730"/>
    <w:rsid w:val="00313F5C"/>
    <w:rsid w:val="003157BE"/>
    <w:rsid w:val="00315D95"/>
    <w:rsid w:val="00315E74"/>
    <w:rsid w:val="00315FF7"/>
    <w:rsid w:val="00317142"/>
    <w:rsid w:val="003179CF"/>
    <w:rsid w:val="00317F42"/>
    <w:rsid w:val="00320111"/>
    <w:rsid w:val="00320531"/>
    <w:rsid w:val="00320C61"/>
    <w:rsid w:val="00320E76"/>
    <w:rsid w:val="00321CAE"/>
    <w:rsid w:val="00321EC7"/>
    <w:rsid w:val="00322280"/>
    <w:rsid w:val="00322578"/>
    <w:rsid w:val="00322679"/>
    <w:rsid w:val="00324014"/>
    <w:rsid w:val="003244A9"/>
    <w:rsid w:val="0032476B"/>
    <w:rsid w:val="00324AF3"/>
    <w:rsid w:val="00325E9B"/>
    <w:rsid w:val="00327684"/>
    <w:rsid w:val="003276BA"/>
    <w:rsid w:val="00330630"/>
    <w:rsid w:val="003308C5"/>
    <w:rsid w:val="003314A2"/>
    <w:rsid w:val="003319A5"/>
    <w:rsid w:val="00331E64"/>
    <w:rsid w:val="0033215E"/>
    <w:rsid w:val="0033246A"/>
    <w:rsid w:val="003324FA"/>
    <w:rsid w:val="0033255B"/>
    <w:rsid w:val="0033376E"/>
    <w:rsid w:val="00333948"/>
    <w:rsid w:val="0033464A"/>
    <w:rsid w:val="00334684"/>
    <w:rsid w:val="00334918"/>
    <w:rsid w:val="00334C51"/>
    <w:rsid w:val="00334CF9"/>
    <w:rsid w:val="00334E46"/>
    <w:rsid w:val="003368D2"/>
    <w:rsid w:val="00336EB3"/>
    <w:rsid w:val="00337077"/>
    <w:rsid w:val="00340024"/>
    <w:rsid w:val="00341757"/>
    <w:rsid w:val="003442B9"/>
    <w:rsid w:val="00344A14"/>
    <w:rsid w:val="003460E5"/>
    <w:rsid w:val="0034651C"/>
    <w:rsid w:val="00346BE7"/>
    <w:rsid w:val="00346E19"/>
    <w:rsid w:val="00346E5B"/>
    <w:rsid w:val="003478CD"/>
    <w:rsid w:val="00347F7C"/>
    <w:rsid w:val="003505CF"/>
    <w:rsid w:val="00350DBB"/>
    <w:rsid w:val="0035167A"/>
    <w:rsid w:val="00351759"/>
    <w:rsid w:val="00351E4B"/>
    <w:rsid w:val="003525DD"/>
    <w:rsid w:val="003525F2"/>
    <w:rsid w:val="0035278C"/>
    <w:rsid w:val="003528EF"/>
    <w:rsid w:val="00352D91"/>
    <w:rsid w:val="00353038"/>
    <w:rsid w:val="0035303F"/>
    <w:rsid w:val="00353139"/>
    <w:rsid w:val="00353251"/>
    <w:rsid w:val="00353C3D"/>
    <w:rsid w:val="00353CF9"/>
    <w:rsid w:val="00354CE9"/>
    <w:rsid w:val="003551DD"/>
    <w:rsid w:val="00355A8F"/>
    <w:rsid w:val="00356405"/>
    <w:rsid w:val="003567FF"/>
    <w:rsid w:val="00357398"/>
    <w:rsid w:val="003600EE"/>
    <w:rsid w:val="003601B2"/>
    <w:rsid w:val="003606FB"/>
    <w:rsid w:val="00361125"/>
    <w:rsid w:val="0036164C"/>
    <w:rsid w:val="00361A2E"/>
    <w:rsid w:val="00361D29"/>
    <w:rsid w:val="00361F48"/>
    <w:rsid w:val="00362195"/>
    <w:rsid w:val="00362961"/>
    <w:rsid w:val="003631E2"/>
    <w:rsid w:val="00364211"/>
    <w:rsid w:val="003644F7"/>
    <w:rsid w:val="00364C98"/>
    <w:rsid w:val="00365033"/>
    <w:rsid w:val="003652C7"/>
    <w:rsid w:val="0036592B"/>
    <w:rsid w:val="00365F64"/>
    <w:rsid w:val="00366044"/>
    <w:rsid w:val="00366D1D"/>
    <w:rsid w:val="0036754B"/>
    <w:rsid w:val="00370134"/>
    <w:rsid w:val="003706F8"/>
    <w:rsid w:val="003716A6"/>
    <w:rsid w:val="00371CE5"/>
    <w:rsid w:val="00373711"/>
    <w:rsid w:val="00374CBB"/>
    <w:rsid w:val="00374EB1"/>
    <w:rsid w:val="00375C31"/>
    <w:rsid w:val="003766DE"/>
    <w:rsid w:val="003768B6"/>
    <w:rsid w:val="00376D0E"/>
    <w:rsid w:val="003773D2"/>
    <w:rsid w:val="00377EAF"/>
    <w:rsid w:val="00381017"/>
    <w:rsid w:val="0038141F"/>
    <w:rsid w:val="0038226B"/>
    <w:rsid w:val="003829DC"/>
    <w:rsid w:val="0038380E"/>
    <w:rsid w:val="00384AA7"/>
    <w:rsid w:val="00384AB9"/>
    <w:rsid w:val="003854D7"/>
    <w:rsid w:val="0038551C"/>
    <w:rsid w:val="003859EC"/>
    <w:rsid w:val="00387CE1"/>
    <w:rsid w:val="00387FEA"/>
    <w:rsid w:val="00390246"/>
    <w:rsid w:val="0039032B"/>
    <w:rsid w:val="00390E61"/>
    <w:rsid w:val="00391D2D"/>
    <w:rsid w:val="00391F18"/>
    <w:rsid w:val="003920A3"/>
    <w:rsid w:val="003922D5"/>
    <w:rsid w:val="00393100"/>
    <w:rsid w:val="003931C9"/>
    <w:rsid w:val="00393E82"/>
    <w:rsid w:val="00393F91"/>
    <w:rsid w:val="003944AA"/>
    <w:rsid w:val="003948E3"/>
    <w:rsid w:val="00394CD3"/>
    <w:rsid w:val="00395185"/>
    <w:rsid w:val="0039534C"/>
    <w:rsid w:val="00395591"/>
    <w:rsid w:val="00395DE4"/>
    <w:rsid w:val="00396097"/>
    <w:rsid w:val="0039634D"/>
    <w:rsid w:val="003965B1"/>
    <w:rsid w:val="00396F02"/>
    <w:rsid w:val="003978E4"/>
    <w:rsid w:val="00397C74"/>
    <w:rsid w:val="003A0101"/>
    <w:rsid w:val="003A07D7"/>
    <w:rsid w:val="003A0E45"/>
    <w:rsid w:val="003A114B"/>
    <w:rsid w:val="003A11E9"/>
    <w:rsid w:val="003A189C"/>
    <w:rsid w:val="003A2361"/>
    <w:rsid w:val="003A2BC5"/>
    <w:rsid w:val="003A312E"/>
    <w:rsid w:val="003A3BE8"/>
    <w:rsid w:val="003A40BF"/>
    <w:rsid w:val="003A41D3"/>
    <w:rsid w:val="003A4316"/>
    <w:rsid w:val="003A4A05"/>
    <w:rsid w:val="003A4A19"/>
    <w:rsid w:val="003A596F"/>
    <w:rsid w:val="003A5AE6"/>
    <w:rsid w:val="003A62C9"/>
    <w:rsid w:val="003A6EFA"/>
    <w:rsid w:val="003A73A6"/>
    <w:rsid w:val="003A7411"/>
    <w:rsid w:val="003A74B9"/>
    <w:rsid w:val="003A77CB"/>
    <w:rsid w:val="003A78DF"/>
    <w:rsid w:val="003B03D9"/>
    <w:rsid w:val="003B0E0D"/>
    <w:rsid w:val="003B1D0F"/>
    <w:rsid w:val="003B2388"/>
    <w:rsid w:val="003B2873"/>
    <w:rsid w:val="003B2C24"/>
    <w:rsid w:val="003B3650"/>
    <w:rsid w:val="003B3BB6"/>
    <w:rsid w:val="003B42FD"/>
    <w:rsid w:val="003B5354"/>
    <w:rsid w:val="003B5490"/>
    <w:rsid w:val="003B5E20"/>
    <w:rsid w:val="003B60E2"/>
    <w:rsid w:val="003B67C2"/>
    <w:rsid w:val="003B6A75"/>
    <w:rsid w:val="003B6E20"/>
    <w:rsid w:val="003B7328"/>
    <w:rsid w:val="003C0367"/>
    <w:rsid w:val="003C046F"/>
    <w:rsid w:val="003C05D9"/>
    <w:rsid w:val="003C091D"/>
    <w:rsid w:val="003C1235"/>
    <w:rsid w:val="003C125E"/>
    <w:rsid w:val="003C1B6B"/>
    <w:rsid w:val="003C1E19"/>
    <w:rsid w:val="003C24BA"/>
    <w:rsid w:val="003C2AD2"/>
    <w:rsid w:val="003C455F"/>
    <w:rsid w:val="003C4824"/>
    <w:rsid w:val="003C63C3"/>
    <w:rsid w:val="003C77E3"/>
    <w:rsid w:val="003C7AD4"/>
    <w:rsid w:val="003D02D1"/>
    <w:rsid w:val="003D0C05"/>
    <w:rsid w:val="003D1248"/>
    <w:rsid w:val="003D134A"/>
    <w:rsid w:val="003D1589"/>
    <w:rsid w:val="003D1C93"/>
    <w:rsid w:val="003D216B"/>
    <w:rsid w:val="003D22F8"/>
    <w:rsid w:val="003D2AE8"/>
    <w:rsid w:val="003D2BE8"/>
    <w:rsid w:val="003D2E6A"/>
    <w:rsid w:val="003D3251"/>
    <w:rsid w:val="003D499F"/>
    <w:rsid w:val="003D5EC3"/>
    <w:rsid w:val="003D74E4"/>
    <w:rsid w:val="003D7EBE"/>
    <w:rsid w:val="003E0ED4"/>
    <w:rsid w:val="003E15F2"/>
    <w:rsid w:val="003E3A5A"/>
    <w:rsid w:val="003E450F"/>
    <w:rsid w:val="003E45B8"/>
    <w:rsid w:val="003E497F"/>
    <w:rsid w:val="003E615E"/>
    <w:rsid w:val="003E731F"/>
    <w:rsid w:val="003E7C47"/>
    <w:rsid w:val="003F05A9"/>
    <w:rsid w:val="003F07C3"/>
    <w:rsid w:val="003F0963"/>
    <w:rsid w:val="003F0A39"/>
    <w:rsid w:val="003F10E7"/>
    <w:rsid w:val="003F192F"/>
    <w:rsid w:val="003F1AA6"/>
    <w:rsid w:val="003F1BC5"/>
    <w:rsid w:val="003F1F0D"/>
    <w:rsid w:val="003F2704"/>
    <w:rsid w:val="003F2C20"/>
    <w:rsid w:val="003F33E5"/>
    <w:rsid w:val="003F37AA"/>
    <w:rsid w:val="003F3C01"/>
    <w:rsid w:val="003F3EB6"/>
    <w:rsid w:val="003F406D"/>
    <w:rsid w:val="003F4FE6"/>
    <w:rsid w:val="003F6CEE"/>
    <w:rsid w:val="003F74EC"/>
    <w:rsid w:val="0040050D"/>
    <w:rsid w:val="00400650"/>
    <w:rsid w:val="00400CCD"/>
    <w:rsid w:val="0040113B"/>
    <w:rsid w:val="0040183D"/>
    <w:rsid w:val="00401B34"/>
    <w:rsid w:val="00402904"/>
    <w:rsid w:val="00402D05"/>
    <w:rsid w:val="00404098"/>
    <w:rsid w:val="004040B0"/>
    <w:rsid w:val="004043D5"/>
    <w:rsid w:val="00404853"/>
    <w:rsid w:val="004050AA"/>
    <w:rsid w:val="0040534E"/>
    <w:rsid w:val="004053D5"/>
    <w:rsid w:val="00405A40"/>
    <w:rsid w:val="00405DF7"/>
    <w:rsid w:val="00405F7C"/>
    <w:rsid w:val="004064BA"/>
    <w:rsid w:val="00406932"/>
    <w:rsid w:val="00406D2A"/>
    <w:rsid w:val="00407298"/>
    <w:rsid w:val="0040744D"/>
    <w:rsid w:val="0040782F"/>
    <w:rsid w:val="004110AE"/>
    <w:rsid w:val="004115BA"/>
    <w:rsid w:val="00411784"/>
    <w:rsid w:val="00411D67"/>
    <w:rsid w:val="00412149"/>
    <w:rsid w:val="004121E0"/>
    <w:rsid w:val="004122AB"/>
    <w:rsid w:val="004141B8"/>
    <w:rsid w:val="004147E5"/>
    <w:rsid w:val="00414C41"/>
    <w:rsid w:val="00415B2B"/>
    <w:rsid w:val="004168C0"/>
    <w:rsid w:val="00416B9E"/>
    <w:rsid w:val="00417194"/>
    <w:rsid w:val="0041759F"/>
    <w:rsid w:val="0041776E"/>
    <w:rsid w:val="0041797C"/>
    <w:rsid w:val="00421ADE"/>
    <w:rsid w:val="004222A3"/>
    <w:rsid w:val="00424421"/>
    <w:rsid w:val="0042442C"/>
    <w:rsid w:val="004245C5"/>
    <w:rsid w:val="00426E1A"/>
    <w:rsid w:val="004273AF"/>
    <w:rsid w:val="00427915"/>
    <w:rsid w:val="00427965"/>
    <w:rsid w:val="00430F89"/>
    <w:rsid w:val="00431597"/>
    <w:rsid w:val="00431800"/>
    <w:rsid w:val="00432207"/>
    <w:rsid w:val="004330A7"/>
    <w:rsid w:val="00433F49"/>
    <w:rsid w:val="00434118"/>
    <w:rsid w:val="004345A4"/>
    <w:rsid w:val="004345B8"/>
    <w:rsid w:val="00434884"/>
    <w:rsid w:val="00434AC6"/>
    <w:rsid w:val="0043504C"/>
    <w:rsid w:val="004356D9"/>
    <w:rsid w:val="00435870"/>
    <w:rsid w:val="00435BC1"/>
    <w:rsid w:val="00435C2B"/>
    <w:rsid w:val="00435EE6"/>
    <w:rsid w:val="00436685"/>
    <w:rsid w:val="00436C4F"/>
    <w:rsid w:val="004373B1"/>
    <w:rsid w:val="004375C0"/>
    <w:rsid w:val="004376D8"/>
    <w:rsid w:val="0043788F"/>
    <w:rsid w:val="00437DBD"/>
    <w:rsid w:val="004401BF"/>
    <w:rsid w:val="00440692"/>
    <w:rsid w:val="00441087"/>
    <w:rsid w:val="004410CF"/>
    <w:rsid w:val="0044288E"/>
    <w:rsid w:val="00442BF0"/>
    <w:rsid w:val="00443536"/>
    <w:rsid w:val="00443554"/>
    <w:rsid w:val="00443FC0"/>
    <w:rsid w:val="0044410A"/>
    <w:rsid w:val="00444720"/>
    <w:rsid w:val="00444B64"/>
    <w:rsid w:val="004454BB"/>
    <w:rsid w:val="00445B4E"/>
    <w:rsid w:val="00445F6F"/>
    <w:rsid w:val="004460AA"/>
    <w:rsid w:val="00446C08"/>
    <w:rsid w:val="00446E79"/>
    <w:rsid w:val="004501BB"/>
    <w:rsid w:val="0045030B"/>
    <w:rsid w:val="004504EB"/>
    <w:rsid w:val="004505F1"/>
    <w:rsid w:val="00450E36"/>
    <w:rsid w:val="00451CD1"/>
    <w:rsid w:val="00451DF0"/>
    <w:rsid w:val="00451E67"/>
    <w:rsid w:val="00451F10"/>
    <w:rsid w:val="0045268E"/>
    <w:rsid w:val="004529CE"/>
    <w:rsid w:val="00452F5B"/>
    <w:rsid w:val="00452FA0"/>
    <w:rsid w:val="0045477B"/>
    <w:rsid w:val="00454EF3"/>
    <w:rsid w:val="004554D4"/>
    <w:rsid w:val="00455573"/>
    <w:rsid w:val="00456370"/>
    <w:rsid w:val="00456B78"/>
    <w:rsid w:val="0045737A"/>
    <w:rsid w:val="00457A6C"/>
    <w:rsid w:val="00457AF8"/>
    <w:rsid w:val="00457E3F"/>
    <w:rsid w:val="00460065"/>
    <w:rsid w:val="00460822"/>
    <w:rsid w:val="00460CE3"/>
    <w:rsid w:val="004610B7"/>
    <w:rsid w:val="0046121B"/>
    <w:rsid w:val="00461D15"/>
    <w:rsid w:val="0046282D"/>
    <w:rsid w:val="00462D6D"/>
    <w:rsid w:val="00463027"/>
    <w:rsid w:val="00463698"/>
    <w:rsid w:val="0046374E"/>
    <w:rsid w:val="004638FF"/>
    <w:rsid w:val="00463ECC"/>
    <w:rsid w:val="0046400A"/>
    <w:rsid w:val="00464453"/>
    <w:rsid w:val="00464F3F"/>
    <w:rsid w:val="004652F2"/>
    <w:rsid w:val="00465F1B"/>
    <w:rsid w:val="00466B2B"/>
    <w:rsid w:val="004678BF"/>
    <w:rsid w:val="00467A2C"/>
    <w:rsid w:val="00471440"/>
    <w:rsid w:val="00471E5D"/>
    <w:rsid w:val="00472099"/>
    <w:rsid w:val="00472E0F"/>
    <w:rsid w:val="00472F08"/>
    <w:rsid w:val="00472F29"/>
    <w:rsid w:val="00473065"/>
    <w:rsid w:val="00473095"/>
    <w:rsid w:val="0047353B"/>
    <w:rsid w:val="00473A42"/>
    <w:rsid w:val="004743A0"/>
    <w:rsid w:val="00474F83"/>
    <w:rsid w:val="0047503D"/>
    <w:rsid w:val="004752F3"/>
    <w:rsid w:val="0047563B"/>
    <w:rsid w:val="004757B1"/>
    <w:rsid w:val="00475CEC"/>
    <w:rsid w:val="004761AB"/>
    <w:rsid w:val="00476676"/>
    <w:rsid w:val="00477A84"/>
    <w:rsid w:val="00481069"/>
    <w:rsid w:val="00481AFC"/>
    <w:rsid w:val="00481C32"/>
    <w:rsid w:val="00481FE8"/>
    <w:rsid w:val="00482269"/>
    <w:rsid w:val="004825CB"/>
    <w:rsid w:val="00484FC2"/>
    <w:rsid w:val="00485829"/>
    <w:rsid w:val="0048606F"/>
    <w:rsid w:val="00486320"/>
    <w:rsid w:val="00486B57"/>
    <w:rsid w:val="00486F24"/>
    <w:rsid w:val="004875D8"/>
    <w:rsid w:val="00490368"/>
    <w:rsid w:val="00490BD4"/>
    <w:rsid w:val="0049117E"/>
    <w:rsid w:val="00493753"/>
    <w:rsid w:val="00493B20"/>
    <w:rsid w:val="0049406D"/>
    <w:rsid w:val="00494612"/>
    <w:rsid w:val="0049483A"/>
    <w:rsid w:val="00495571"/>
    <w:rsid w:val="00495C1D"/>
    <w:rsid w:val="00495E88"/>
    <w:rsid w:val="0049610F"/>
    <w:rsid w:val="004965D7"/>
    <w:rsid w:val="00497A2D"/>
    <w:rsid w:val="004A045C"/>
    <w:rsid w:val="004A04E7"/>
    <w:rsid w:val="004A0E43"/>
    <w:rsid w:val="004A1733"/>
    <w:rsid w:val="004A1B60"/>
    <w:rsid w:val="004A2DD8"/>
    <w:rsid w:val="004A349D"/>
    <w:rsid w:val="004A36E4"/>
    <w:rsid w:val="004A3B08"/>
    <w:rsid w:val="004A3E65"/>
    <w:rsid w:val="004A3ECC"/>
    <w:rsid w:val="004A4432"/>
    <w:rsid w:val="004A503C"/>
    <w:rsid w:val="004A51A2"/>
    <w:rsid w:val="004A5780"/>
    <w:rsid w:val="004A5937"/>
    <w:rsid w:val="004A5DC9"/>
    <w:rsid w:val="004A5ED6"/>
    <w:rsid w:val="004B0B2A"/>
    <w:rsid w:val="004B0FF5"/>
    <w:rsid w:val="004B1320"/>
    <w:rsid w:val="004B17EE"/>
    <w:rsid w:val="004B1C7F"/>
    <w:rsid w:val="004B2E20"/>
    <w:rsid w:val="004B3522"/>
    <w:rsid w:val="004B382C"/>
    <w:rsid w:val="004B3DB6"/>
    <w:rsid w:val="004B3EC3"/>
    <w:rsid w:val="004B41D8"/>
    <w:rsid w:val="004B449C"/>
    <w:rsid w:val="004B4AD1"/>
    <w:rsid w:val="004B4D85"/>
    <w:rsid w:val="004B5516"/>
    <w:rsid w:val="004B5927"/>
    <w:rsid w:val="004B5D9E"/>
    <w:rsid w:val="004B7295"/>
    <w:rsid w:val="004B7ADE"/>
    <w:rsid w:val="004B7CA9"/>
    <w:rsid w:val="004C0907"/>
    <w:rsid w:val="004C0E32"/>
    <w:rsid w:val="004C15A3"/>
    <w:rsid w:val="004C1A3E"/>
    <w:rsid w:val="004C265C"/>
    <w:rsid w:val="004C369C"/>
    <w:rsid w:val="004C3AD2"/>
    <w:rsid w:val="004C40EE"/>
    <w:rsid w:val="004C54F8"/>
    <w:rsid w:val="004C687C"/>
    <w:rsid w:val="004C7E6A"/>
    <w:rsid w:val="004D0BF7"/>
    <w:rsid w:val="004D0E95"/>
    <w:rsid w:val="004D0F81"/>
    <w:rsid w:val="004D1123"/>
    <w:rsid w:val="004D1F33"/>
    <w:rsid w:val="004D20FE"/>
    <w:rsid w:val="004D2113"/>
    <w:rsid w:val="004D2B8F"/>
    <w:rsid w:val="004D33CE"/>
    <w:rsid w:val="004D35A5"/>
    <w:rsid w:val="004D37FA"/>
    <w:rsid w:val="004D3A20"/>
    <w:rsid w:val="004D3B5E"/>
    <w:rsid w:val="004D4541"/>
    <w:rsid w:val="004D4C0B"/>
    <w:rsid w:val="004D4CCF"/>
    <w:rsid w:val="004D4E75"/>
    <w:rsid w:val="004D59EB"/>
    <w:rsid w:val="004D5B91"/>
    <w:rsid w:val="004D5EFE"/>
    <w:rsid w:val="004D67B0"/>
    <w:rsid w:val="004D6803"/>
    <w:rsid w:val="004D6BCD"/>
    <w:rsid w:val="004D747A"/>
    <w:rsid w:val="004D763B"/>
    <w:rsid w:val="004E0145"/>
    <w:rsid w:val="004E0A80"/>
    <w:rsid w:val="004E11B3"/>
    <w:rsid w:val="004E15E4"/>
    <w:rsid w:val="004E1F61"/>
    <w:rsid w:val="004E2D63"/>
    <w:rsid w:val="004E2DC2"/>
    <w:rsid w:val="004E3320"/>
    <w:rsid w:val="004E425D"/>
    <w:rsid w:val="004E46A0"/>
    <w:rsid w:val="004E4AC1"/>
    <w:rsid w:val="004E50FD"/>
    <w:rsid w:val="004F0478"/>
    <w:rsid w:val="004F17D4"/>
    <w:rsid w:val="004F26C0"/>
    <w:rsid w:val="004F3744"/>
    <w:rsid w:val="004F4481"/>
    <w:rsid w:val="004F4532"/>
    <w:rsid w:val="004F50EA"/>
    <w:rsid w:val="004F55C3"/>
    <w:rsid w:val="004F58DE"/>
    <w:rsid w:val="004F5B8F"/>
    <w:rsid w:val="004F5EDD"/>
    <w:rsid w:val="004F62CA"/>
    <w:rsid w:val="004F7263"/>
    <w:rsid w:val="004F7355"/>
    <w:rsid w:val="0050004A"/>
    <w:rsid w:val="00500A8E"/>
    <w:rsid w:val="0050108A"/>
    <w:rsid w:val="00501367"/>
    <w:rsid w:val="0050170A"/>
    <w:rsid w:val="00501DAD"/>
    <w:rsid w:val="0050241E"/>
    <w:rsid w:val="005028CE"/>
    <w:rsid w:val="00502B95"/>
    <w:rsid w:val="00504738"/>
    <w:rsid w:val="00504BEB"/>
    <w:rsid w:val="00504F27"/>
    <w:rsid w:val="005053AE"/>
    <w:rsid w:val="00505741"/>
    <w:rsid w:val="005062C9"/>
    <w:rsid w:val="00506877"/>
    <w:rsid w:val="00506B08"/>
    <w:rsid w:val="00510765"/>
    <w:rsid w:val="00510A27"/>
    <w:rsid w:val="005111D5"/>
    <w:rsid w:val="005113DB"/>
    <w:rsid w:val="005117D5"/>
    <w:rsid w:val="0051184B"/>
    <w:rsid w:val="005138EE"/>
    <w:rsid w:val="00513998"/>
    <w:rsid w:val="005140C5"/>
    <w:rsid w:val="005144AA"/>
    <w:rsid w:val="00514F1A"/>
    <w:rsid w:val="00515760"/>
    <w:rsid w:val="00516EBC"/>
    <w:rsid w:val="00517018"/>
    <w:rsid w:val="005170B5"/>
    <w:rsid w:val="00517366"/>
    <w:rsid w:val="00517B46"/>
    <w:rsid w:val="00520FC8"/>
    <w:rsid w:val="0052128D"/>
    <w:rsid w:val="005215AF"/>
    <w:rsid w:val="0052246E"/>
    <w:rsid w:val="00524643"/>
    <w:rsid w:val="00524B0F"/>
    <w:rsid w:val="005259F8"/>
    <w:rsid w:val="00525B88"/>
    <w:rsid w:val="00525B96"/>
    <w:rsid w:val="00526397"/>
    <w:rsid w:val="0052661A"/>
    <w:rsid w:val="005269C8"/>
    <w:rsid w:val="0052749B"/>
    <w:rsid w:val="00527598"/>
    <w:rsid w:val="00530A98"/>
    <w:rsid w:val="00530E76"/>
    <w:rsid w:val="00531F41"/>
    <w:rsid w:val="00532FF4"/>
    <w:rsid w:val="00533587"/>
    <w:rsid w:val="005340C5"/>
    <w:rsid w:val="0053478F"/>
    <w:rsid w:val="0053568E"/>
    <w:rsid w:val="005357FE"/>
    <w:rsid w:val="0053595F"/>
    <w:rsid w:val="0053604B"/>
    <w:rsid w:val="005361AB"/>
    <w:rsid w:val="005369C1"/>
    <w:rsid w:val="00536DC6"/>
    <w:rsid w:val="0053700A"/>
    <w:rsid w:val="005377BC"/>
    <w:rsid w:val="00537891"/>
    <w:rsid w:val="005379C2"/>
    <w:rsid w:val="00537D05"/>
    <w:rsid w:val="00540216"/>
    <w:rsid w:val="005402A0"/>
    <w:rsid w:val="00540B9D"/>
    <w:rsid w:val="00540C8E"/>
    <w:rsid w:val="0054140A"/>
    <w:rsid w:val="005414E7"/>
    <w:rsid w:val="00541CC5"/>
    <w:rsid w:val="00541F83"/>
    <w:rsid w:val="00542402"/>
    <w:rsid w:val="00542A9F"/>
    <w:rsid w:val="00542E30"/>
    <w:rsid w:val="00542E98"/>
    <w:rsid w:val="005430AD"/>
    <w:rsid w:val="0054310B"/>
    <w:rsid w:val="005431A4"/>
    <w:rsid w:val="00543A68"/>
    <w:rsid w:val="00543C04"/>
    <w:rsid w:val="00544115"/>
    <w:rsid w:val="00544F32"/>
    <w:rsid w:val="00544FFC"/>
    <w:rsid w:val="0054511F"/>
    <w:rsid w:val="0054523A"/>
    <w:rsid w:val="005456D6"/>
    <w:rsid w:val="00547814"/>
    <w:rsid w:val="00547B6D"/>
    <w:rsid w:val="00547D6A"/>
    <w:rsid w:val="00551AB2"/>
    <w:rsid w:val="00552695"/>
    <w:rsid w:val="00552E33"/>
    <w:rsid w:val="00553657"/>
    <w:rsid w:val="0055467B"/>
    <w:rsid w:val="005549A9"/>
    <w:rsid w:val="00555C89"/>
    <w:rsid w:val="0055614C"/>
    <w:rsid w:val="00556151"/>
    <w:rsid w:val="0055665D"/>
    <w:rsid w:val="0055699D"/>
    <w:rsid w:val="00556AF5"/>
    <w:rsid w:val="005573C0"/>
    <w:rsid w:val="005600FD"/>
    <w:rsid w:val="005606FF"/>
    <w:rsid w:val="00560D11"/>
    <w:rsid w:val="005622EE"/>
    <w:rsid w:val="00562474"/>
    <w:rsid w:val="00564504"/>
    <w:rsid w:val="00564789"/>
    <w:rsid w:val="00564AC4"/>
    <w:rsid w:val="00564F83"/>
    <w:rsid w:val="00565738"/>
    <w:rsid w:val="00565F9F"/>
    <w:rsid w:val="00566544"/>
    <w:rsid w:val="00566680"/>
    <w:rsid w:val="005671D5"/>
    <w:rsid w:val="00567210"/>
    <w:rsid w:val="00567248"/>
    <w:rsid w:val="0056751F"/>
    <w:rsid w:val="00567E71"/>
    <w:rsid w:val="00567E7F"/>
    <w:rsid w:val="00567FF2"/>
    <w:rsid w:val="005704C1"/>
    <w:rsid w:val="005707E6"/>
    <w:rsid w:val="00570D6D"/>
    <w:rsid w:val="00570D9C"/>
    <w:rsid w:val="00570EC3"/>
    <w:rsid w:val="00570FAB"/>
    <w:rsid w:val="005723C1"/>
    <w:rsid w:val="00572951"/>
    <w:rsid w:val="00572AB0"/>
    <w:rsid w:val="00572C01"/>
    <w:rsid w:val="00572FD6"/>
    <w:rsid w:val="00573861"/>
    <w:rsid w:val="00573991"/>
    <w:rsid w:val="00573DC2"/>
    <w:rsid w:val="00573E80"/>
    <w:rsid w:val="00575B7F"/>
    <w:rsid w:val="00575BDE"/>
    <w:rsid w:val="00575D88"/>
    <w:rsid w:val="00575DEB"/>
    <w:rsid w:val="00576249"/>
    <w:rsid w:val="00576858"/>
    <w:rsid w:val="00577BD9"/>
    <w:rsid w:val="00580EBB"/>
    <w:rsid w:val="00581582"/>
    <w:rsid w:val="0058161D"/>
    <w:rsid w:val="00581680"/>
    <w:rsid w:val="005828FA"/>
    <w:rsid w:val="005829D9"/>
    <w:rsid w:val="00583010"/>
    <w:rsid w:val="0058338D"/>
    <w:rsid w:val="005837F7"/>
    <w:rsid w:val="00583BDC"/>
    <w:rsid w:val="005840F0"/>
    <w:rsid w:val="005842B4"/>
    <w:rsid w:val="005845C1"/>
    <w:rsid w:val="00584C7E"/>
    <w:rsid w:val="00584EE3"/>
    <w:rsid w:val="00584F25"/>
    <w:rsid w:val="005854EE"/>
    <w:rsid w:val="005857E3"/>
    <w:rsid w:val="00585E0A"/>
    <w:rsid w:val="00587B2A"/>
    <w:rsid w:val="00587D10"/>
    <w:rsid w:val="005902F5"/>
    <w:rsid w:val="005909EC"/>
    <w:rsid w:val="00590DF0"/>
    <w:rsid w:val="005926A4"/>
    <w:rsid w:val="0059319D"/>
    <w:rsid w:val="005937A0"/>
    <w:rsid w:val="00593919"/>
    <w:rsid w:val="00593B98"/>
    <w:rsid w:val="00593BD8"/>
    <w:rsid w:val="00593D18"/>
    <w:rsid w:val="00594010"/>
    <w:rsid w:val="005944BD"/>
    <w:rsid w:val="00594BA9"/>
    <w:rsid w:val="005964E3"/>
    <w:rsid w:val="00596ADD"/>
    <w:rsid w:val="0059766E"/>
    <w:rsid w:val="005A0491"/>
    <w:rsid w:val="005A0495"/>
    <w:rsid w:val="005A1136"/>
    <w:rsid w:val="005A20C8"/>
    <w:rsid w:val="005A354C"/>
    <w:rsid w:val="005A376F"/>
    <w:rsid w:val="005A3888"/>
    <w:rsid w:val="005A3AF2"/>
    <w:rsid w:val="005A3B6D"/>
    <w:rsid w:val="005A41B8"/>
    <w:rsid w:val="005A64C0"/>
    <w:rsid w:val="005A681F"/>
    <w:rsid w:val="005A6FD4"/>
    <w:rsid w:val="005A71AF"/>
    <w:rsid w:val="005A74E5"/>
    <w:rsid w:val="005A7630"/>
    <w:rsid w:val="005A793B"/>
    <w:rsid w:val="005A7E38"/>
    <w:rsid w:val="005B0043"/>
    <w:rsid w:val="005B1696"/>
    <w:rsid w:val="005B20A5"/>
    <w:rsid w:val="005B219F"/>
    <w:rsid w:val="005B2A9E"/>
    <w:rsid w:val="005B44A9"/>
    <w:rsid w:val="005B470E"/>
    <w:rsid w:val="005B47C1"/>
    <w:rsid w:val="005B4DF0"/>
    <w:rsid w:val="005B52FB"/>
    <w:rsid w:val="005B5868"/>
    <w:rsid w:val="005B766A"/>
    <w:rsid w:val="005B7BCF"/>
    <w:rsid w:val="005C03B1"/>
    <w:rsid w:val="005C11BD"/>
    <w:rsid w:val="005C17EC"/>
    <w:rsid w:val="005C187A"/>
    <w:rsid w:val="005C1E91"/>
    <w:rsid w:val="005C279E"/>
    <w:rsid w:val="005C2D1E"/>
    <w:rsid w:val="005C42C6"/>
    <w:rsid w:val="005C4533"/>
    <w:rsid w:val="005C4859"/>
    <w:rsid w:val="005C4A62"/>
    <w:rsid w:val="005C5011"/>
    <w:rsid w:val="005C5161"/>
    <w:rsid w:val="005C52E4"/>
    <w:rsid w:val="005C5494"/>
    <w:rsid w:val="005C5B62"/>
    <w:rsid w:val="005C5BF7"/>
    <w:rsid w:val="005C5ED3"/>
    <w:rsid w:val="005C6583"/>
    <w:rsid w:val="005C69CA"/>
    <w:rsid w:val="005C69E7"/>
    <w:rsid w:val="005C6CC6"/>
    <w:rsid w:val="005C7E04"/>
    <w:rsid w:val="005D0997"/>
    <w:rsid w:val="005D2558"/>
    <w:rsid w:val="005D2B96"/>
    <w:rsid w:val="005D3191"/>
    <w:rsid w:val="005D47A5"/>
    <w:rsid w:val="005D5FC5"/>
    <w:rsid w:val="005D679C"/>
    <w:rsid w:val="005D68CE"/>
    <w:rsid w:val="005D6AF0"/>
    <w:rsid w:val="005D6E4F"/>
    <w:rsid w:val="005D7AF2"/>
    <w:rsid w:val="005D7C50"/>
    <w:rsid w:val="005D7FA7"/>
    <w:rsid w:val="005E09A6"/>
    <w:rsid w:val="005E0DAB"/>
    <w:rsid w:val="005E0F62"/>
    <w:rsid w:val="005E10D8"/>
    <w:rsid w:val="005E16F1"/>
    <w:rsid w:val="005E2973"/>
    <w:rsid w:val="005E2B00"/>
    <w:rsid w:val="005E35A1"/>
    <w:rsid w:val="005E3EA2"/>
    <w:rsid w:val="005E3EF8"/>
    <w:rsid w:val="005E4386"/>
    <w:rsid w:val="005E4845"/>
    <w:rsid w:val="005E4861"/>
    <w:rsid w:val="005E4B10"/>
    <w:rsid w:val="005E4FC2"/>
    <w:rsid w:val="005E55FB"/>
    <w:rsid w:val="005E5DE0"/>
    <w:rsid w:val="005F0177"/>
    <w:rsid w:val="005F0CA5"/>
    <w:rsid w:val="005F127F"/>
    <w:rsid w:val="005F1B41"/>
    <w:rsid w:val="005F1DF9"/>
    <w:rsid w:val="005F2A05"/>
    <w:rsid w:val="005F2FD7"/>
    <w:rsid w:val="005F3498"/>
    <w:rsid w:val="005F3748"/>
    <w:rsid w:val="005F3935"/>
    <w:rsid w:val="005F3974"/>
    <w:rsid w:val="005F412A"/>
    <w:rsid w:val="005F4293"/>
    <w:rsid w:val="005F4A54"/>
    <w:rsid w:val="005F5395"/>
    <w:rsid w:val="005F5475"/>
    <w:rsid w:val="005F615C"/>
    <w:rsid w:val="005F6263"/>
    <w:rsid w:val="005F67E3"/>
    <w:rsid w:val="005F7C6A"/>
    <w:rsid w:val="0060059C"/>
    <w:rsid w:val="00601B44"/>
    <w:rsid w:val="00601DD0"/>
    <w:rsid w:val="00601F60"/>
    <w:rsid w:val="00602017"/>
    <w:rsid w:val="00602182"/>
    <w:rsid w:val="00602708"/>
    <w:rsid w:val="006028A2"/>
    <w:rsid w:val="00602DBA"/>
    <w:rsid w:val="0060372B"/>
    <w:rsid w:val="00603E2E"/>
    <w:rsid w:val="00604850"/>
    <w:rsid w:val="0060564E"/>
    <w:rsid w:val="00606117"/>
    <w:rsid w:val="00606349"/>
    <w:rsid w:val="00606B01"/>
    <w:rsid w:val="00606D44"/>
    <w:rsid w:val="00607140"/>
    <w:rsid w:val="00610379"/>
    <w:rsid w:val="0061166C"/>
    <w:rsid w:val="00612295"/>
    <w:rsid w:val="006149B5"/>
    <w:rsid w:val="006160AC"/>
    <w:rsid w:val="00616E44"/>
    <w:rsid w:val="006173D8"/>
    <w:rsid w:val="00617AEC"/>
    <w:rsid w:val="00620717"/>
    <w:rsid w:val="00620A06"/>
    <w:rsid w:val="00621DCD"/>
    <w:rsid w:val="00622794"/>
    <w:rsid w:val="006253AA"/>
    <w:rsid w:val="006261AA"/>
    <w:rsid w:val="00626F6C"/>
    <w:rsid w:val="0062781F"/>
    <w:rsid w:val="00627AA0"/>
    <w:rsid w:val="00627E45"/>
    <w:rsid w:val="006302CD"/>
    <w:rsid w:val="0063034F"/>
    <w:rsid w:val="00630B15"/>
    <w:rsid w:val="0063150C"/>
    <w:rsid w:val="00631676"/>
    <w:rsid w:val="00631A6D"/>
    <w:rsid w:val="00631DB8"/>
    <w:rsid w:val="006323BC"/>
    <w:rsid w:val="00632FE7"/>
    <w:rsid w:val="006331C7"/>
    <w:rsid w:val="006334E3"/>
    <w:rsid w:val="00634002"/>
    <w:rsid w:val="0063493E"/>
    <w:rsid w:val="006356A2"/>
    <w:rsid w:val="0063584E"/>
    <w:rsid w:val="00635E0D"/>
    <w:rsid w:val="006365DE"/>
    <w:rsid w:val="006368CA"/>
    <w:rsid w:val="006373BD"/>
    <w:rsid w:val="00637EA6"/>
    <w:rsid w:val="00640062"/>
    <w:rsid w:val="00640737"/>
    <w:rsid w:val="006408F9"/>
    <w:rsid w:val="00640A67"/>
    <w:rsid w:val="00642011"/>
    <w:rsid w:val="0064220F"/>
    <w:rsid w:val="00642297"/>
    <w:rsid w:val="00642BFB"/>
    <w:rsid w:val="0064309B"/>
    <w:rsid w:val="006433FD"/>
    <w:rsid w:val="006438F1"/>
    <w:rsid w:val="006444B0"/>
    <w:rsid w:val="00644641"/>
    <w:rsid w:val="00644C78"/>
    <w:rsid w:val="00645215"/>
    <w:rsid w:val="00645264"/>
    <w:rsid w:val="00645866"/>
    <w:rsid w:val="00645FD8"/>
    <w:rsid w:val="00646655"/>
    <w:rsid w:val="00646876"/>
    <w:rsid w:val="00646EA8"/>
    <w:rsid w:val="00647277"/>
    <w:rsid w:val="00650533"/>
    <w:rsid w:val="00650D1B"/>
    <w:rsid w:val="00651692"/>
    <w:rsid w:val="00652327"/>
    <w:rsid w:val="00652555"/>
    <w:rsid w:val="00652D5E"/>
    <w:rsid w:val="00653426"/>
    <w:rsid w:val="006539AD"/>
    <w:rsid w:val="00653BDA"/>
    <w:rsid w:val="00653CF7"/>
    <w:rsid w:val="0065593F"/>
    <w:rsid w:val="00655DF9"/>
    <w:rsid w:val="00655F01"/>
    <w:rsid w:val="00656796"/>
    <w:rsid w:val="00656BB5"/>
    <w:rsid w:val="00656C26"/>
    <w:rsid w:val="00656FE4"/>
    <w:rsid w:val="00657189"/>
    <w:rsid w:val="006575F1"/>
    <w:rsid w:val="00657731"/>
    <w:rsid w:val="00660915"/>
    <w:rsid w:val="00660F63"/>
    <w:rsid w:val="006611CA"/>
    <w:rsid w:val="00661723"/>
    <w:rsid w:val="006619D3"/>
    <w:rsid w:val="00662409"/>
    <w:rsid w:val="00662D00"/>
    <w:rsid w:val="00663002"/>
    <w:rsid w:val="00663C3A"/>
    <w:rsid w:val="00664546"/>
    <w:rsid w:val="006645B7"/>
    <w:rsid w:val="00665168"/>
    <w:rsid w:val="00665CB4"/>
    <w:rsid w:val="006675C7"/>
    <w:rsid w:val="00670E4C"/>
    <w:rsid w:val="006713EF"/>
    <w:rsid w:val="00671D76"/>
    <w:rsid w:val="0067215C"/>
    <w:rsid w:val="0067287B"/>
    <w:rsid w:val="00674633"/>
    <w:rsid w:val="00674D70"/>
    <w:rsid w:val="00674D7F"/>
    <w:rsid w:val="0067501E"/>
    <w:rsid w:val="00675096"/>
    <w:rsid w:val="00675140"/>
    <w:rsid w:val="00675CEA"/>
    <w:rsid w:val="00676929"/>
    <w:rsid w:val="00676FE9"/>
    <w:rsid w:val="006771FA"/>
    <w:rsid w:val="0067791F"/>
    <w:rsid w:val="006779A9"/>
    <w:rsid w:val="00677CF2"/>
    <w:rsid w:val="00680367"/>
    <w:rsid w:val="00680507"/>
    <w:rsid w:val="00680E67"/>
    <w:rsid w:val="006816C0"/>
    <w:rsid w:val="006825A8"/>
    <w:rsid w:val="006827D9"/>
    <w:rsid w:val="00682823"/>
    <w:rsid w:val="006831F7"/>
    <w:rsid w:val="00683207"/>
    <w:rsid w:val="00683C03"/>
    <w:rsid w:val="00684D07"/>
    <w:rsid w:val="00684D6D"/>
    <w:rsid w:val="00685095"/>
    <w:rsid w:val="00685315"/>
    <w:rsid w:val="006854E1"/>
    <w:rsid w:val="00685732"/>
    <w:rsid w:val="00686384"/>
    <w:rsid w:val="006869FF"/>
    <w:rsid w:val="00690260"/>
    <w:rsid w:val="00690927"/>
    <w:rsid w:val="00690E62"/>
    <w:rsid w:val="006916C3"/>
    <w:rsid w:val="00691F91"/>
    <w:rsid w:val="00692448"/>
    <w:rsid w:val="0069256F"/>
    <w:rsid w:val="006926B8"/>
    <w:rsid w:val="006928FD"/>
    <w:rsid w:val="0069443D"/>
    <w:rsid w:val="00694945"/>
    <w:rsid w:val="00694DC0"/>
    <w:rsid w:val="0069510C"/>
    <w:rsid w:val="006956FC"/>
    <w:rsid w:val="00695B57"/>
    <w:rsid w:val="0069610A"/>
    <w:rsid w:val="00696713"/>
    <w:rsid w:val="00696AE9"/>
    <w:rsid w:val="00696C37"/>
    <w:rsid w:val="0069705B"/>
    <w:rsid w:val="006975DA"/>
    <w:rsid w:val="006A05F3"/>
    <w:rsid w:val="006A08DE"/>
    <w:rsid w:val="006A184D"/>
    <w:rsid w:val="006A1955"/>
    <w:rsid w:val="006A1DC5"/>
    <w:rsid w:val="006A21DE"/>
    <w:rsid w:val="006A2225"/>
    <w:rsid w:val="006A2602"/>
    <w:rsid w:val="006A2FE1"/>
    <w:rsid w:val="006A31D6"/>
    <w:rsid w:val="006A3758"/>
    <w:rsid w:val="006A459B"/>
    <w:rsid w:val="006A4A85"/>
    <w:rsid w:val="006A4B17"/>
    <w:rsid w:val="006A4FA1"/>
    <w:rsid w:val="006A535C"/>
    <w:rsid w:val="006A5901"/>
    <w:rsid w:val="006A59E8"/>
    <w:rsid w:val="006A5D75"/>
    <w:rsid w:val="006A620B"/>
    <w:rsid w:val="006A642A"/>
    <w:rsid w:val="006A7407"/>
    <w:rsid w:val="006A7797"/>
    <w:rsid w:val="006A7958"/>
    <w:rsid w:val="006A7FD7"/>
    <w:rsid w:val="006A7FE5"/>
    <w:rsid w:val="006B02EA"/>
    <w:rsid w:val="006B09CB"/>
    <w:rsid w:val="006B0B2C"/>
    <w:rsid w:val="006B0C0E"/>
    <w:rsid w:val="006B0CA6"/>
    <w:rsid w:val="006B0DEA"/>
    <w:rsid w:val="006B2A5E"/>
    <w:rsid w:val="006B35B6"/>
    <w:rsid w:val="006B3784"/>
    <w:rsid w:val="006B37CA"/>
    <w:rsid w:val="006B3D05"/>
    <w:rsid w:val="006B440D"/>
    <w:rsid w:val="006B4993"/>
    <w:rsid w:val="006B5646"/>
    <w:rsid w:val="006B631B"/>
    <w:rsid w:val="006B6727"/>
    <w:rsid w:val="006B7695"/>
    <w:rsid w:val="006B773A"/>
    <w:rsid w:val="006B7A54"/>
    <w:rsid w:val="006B7DC0"/>
    <w:rsid w:val="006C048C"/>
    <w:rsid w:val="006C0EB5"/>
    <w:rsid w:val="006C1124"/>
    <w:rsid w:val="006C146C"/>
    <w:rsid w:val="006C1636"/>
    <w:rsid w:val="006C2520"/>
    <w:rsid w:val="006C385A"/>
    <w:rsid w:val="006C4822"/>
    <w:rsid w:val="006C4CB6"/>
    <w:rsid w:val="006C57DA"/>
    <w:rsid w:val="006C5809"/>
    <w:rsid w:val="006C5B2F"/>
    <w:rsid w:val="006C60E4"/>
    <w:rsid w:val="006C62B9"/>
    <w:rsid w:val="006C7189"/>
    <w:rsid w:val="006C78A2"/>
    <w:rsid w:val="006D091D"/>
    <w:rsid w:val="006D0A69"/>
    <w:rsid w:val="006D2915"/>
    <w:rsid w:val="006D36C8"/>
    <w:rsid w:val="006D3834"/>
    <w:rsid w:val="006D4928"/>
    <w:rsid w:val="006D4D2D"/>
    <w:rsid w:val="006D548C"/>
    <w:rsid w:val="006D596D"/>
    <w:rsid w:val="006D5D99"/>
    <w:rsid w:val="006D75A9"/>
    <w:rsid w:val="006D7720"/>
    <w:rsid w:val="006D78CB"/>
    <w:rsid w:val="006D796F"/>
    <w:rsid w:val="006E3B54"/>
    <w:rsid w:val="006E3DC1"/>
    <w:rsid w:val="006E443A"/>
    <w:rsid w:val="006E46B6"/>
    <w:rsid w:val="006E5107"/>
    <w:rsid w:val="006E51A2"/>
    <w:rsid w:val="006E65CD"/>
    <w:rsid w:val="006E679B"/>
    <w:rsid w:val="006E6916"/>
    <w:rsid w:val="006E7389"/>
    <w:rsid w:val="006F001D"/>
    <w:rsid w:val="006F036D"/>
    <w:rsid w:val="006F06CC"/>
    <w:rsid w:val="006F08BF"/>
    <w:rsid w:val="006F0A9A"/>
    <w:rsid w:val="006F2E65"/>
    <w:rsid w:val="006F37F8"/>
    <w:rsid w:val="006F3A6E"/>
    <w:rsid w:val="006F43AA"/>
    <w:rsid w:val="006F4CB0"/>
    <w:rsid w:val="006F4EA6"/>
    <w:rsid w:val="006F5557"/>
    <w:rsid w:val="006F6FAD"/>
    <w:rsid w:val="006F784D"/>
    <w:rsid w:val="006F7A1B"/>
    <w:rsid w:val="006F7FC4"/>
    <w:rsid w:val="00700033"/>
    <w:rsid w:val="0070056D"/>
    <w:rsid w:val="00700BB9"/>
    <w:rsid w:val="00700E9A"/>
    <w:rsid w:val="007015B8"/>
    <w:rsid w:val="00703511"/>
    <w:rsid w:val="00703647"/>
    <w:rsid w:val="00703DC7"/>
    <w:rsid w:val="00703ED6"/>
    <w:rsid w:val="00704298"/>
    <w:rsid w:val="00704C90"/>
    <w:rsid w:val="00704EEF"/>
    <w:rsid w:val="0070509A"/>
    <w:rsid w:val="00705B97"/>
    <w:rsid w:val="00705F70"/>
    <w:rsid w:val="00707411"/>
    <w:rsid w:val="0070770B"/>
    <w:rsid w:val="00707719"/>
    <w:rsid w:val="0071005A"/>
    <w:rsid w:val="00710C5B"/>
    <w:rsid w:val="00710CA0"/>
    <w:rsid w:val="00711811"/>
    <w:rsid w:val="00711C31"/>
    <w:rsid w:val="00711DEB"/>
    <w:rsid w:val="00711F75"/>
    <w:rsid w:val="00712CE5"/>
    <w:rsid w:val="00712EB7"/>
    <w:rsid w:val="00713005"/>
    <w:rsid w:val="00713404"/>
    <w:rsid w:val="00713A66"/>
    <w:rsid w:val="007153A5"/>
    <w:rsid w:val="00715822"/>
    <w:rsid w:val="00715ABB"/>
    <w:rsid w:val="00715B72"/>
    <w:rsid w:val="00715EAB"/>
    <w:rsid w:val="007163B6"/>
    <w:rsid w:val="0071651D"/>
    <w:rsid w:val="00716860"/>
    <w:rsid w:val="00716877"/>
    <w:rsid w:val="00717119"/>
    <w:rsid w:val="00717B56"/>
    <w:rsid w:val="00717C8A"/>
    <w:rsid w:val="00717DEE"/>
    <w:rsid w:val="0072176F"/>
    <w:rsid w:val="0072201F"/>
    <w:rsid w:val="0072234D"/>
    <w:rsid w:val="00722366"/>
    <w:rsid w:val="007224D5"/>
    <w:rsid w:val="00722B58"/>
    <w:rsid w:val="00722B65"/>
    <w:rsid w:val="00724E0A"/>
    <w:rsid w:val="007263A6"/>
    <w:rsid w:val="00727408"/>
    <w:rsid w:val="007276A6"/>
    <w:rsid w:val="00727CC7"/>
    <w:rsid w:val="007301CA"/>
    <w:rsid w:val="00730CE2"/>
    <w:rsid w:val="00731BEB"/>
    <w:rsid w:val="00731FD0"/>
    <w:rsid w:val="0073306B"/>
    <w:rsid w:val="00733D7E"/>
    <w:rsid w:val="007346B2"/>
    <w:rsid w:val="00734D91"/>
    <w:rsid w:val="00734E08"/>
    <w:rsid w:val="00736F4B"/>
    <w:rsid w:val="0073760B"/>
    <w:rsid w:val="00737860"/>
    <w:rsid w:val="007404EB"/>
    <w:rsid w:val="0074092D"/>
    <w:rsid w:val="00740997"/>
    <w:rsid w:val="00740A68"/>
    <w:rsid w:val="00740CC8"/>
    <w:rsid w:val="00742A29"/>
    <w:rsid w:val="007442BD"/>
    <w:rsid w:val="0074446A"/>
    <w:rsid w:val="00744BC0"/>
    <w:rsid w:val="00744D17"/>
    <w:rsid w:val="00745214"/>
    <w:rsid w:val="00745DCE"/>
    <w:rsid w:val="00746050"/>
    <w:rsid w:val="007462AF"/>
    <w:rsid w:val="00746581"/>
    <w:rsid w:val="007469E5"/>
    <w:rsid w:val="00746CB5"/>
    <w:rsid w:val="00746DA3"/>
    <w:rsid w:val="00746EEA"/>
    <w:rsid w:val="00747A0A"/>
    <w:rsid w:val="00747E0F"/>
    <w:rsid w:val="0075040A"/>
    <w:rsid w:val="007508A6"/>
    <w:rsid w:val="007509BA"/>
    <w:rsid w:val="00750A8E"/>
    <w:rsid w:val="00750A94"/>
    <w:rsid w:val="00751A87"/>
    <w:rsid w:val="00752154"/>
    <w:rsid w:val="0075256B"/>
    <w:rsid w:val="00753174"/>
    <w:rsid w:val="007534AA"/>
    <w:rsid w:val="0075359E"/>
    <w:rsid w:val="00754090"/>
    <w:rsid w:val="00755D59"/>
    <w:rsid w:val="00755D67"/>
    <w:rsid w:val="007560D8"/>
    <w:rsid w:val="00756204"/>
    <w:rsid w:val="00756E8B"/>
    <w:rsid w:val="00756F55"/>
    <w:rsid w:val="007602A4"/>
    <w:rsid w:val="00760605"/>
    <w:rsid w:val="00761096"/>
    <w:rsid w:val="00761AEA"/>
    <w:rsid w:val="00761F3A"/>
    <w:rsid w:val="00762DC9"/>
    <w:rsid w:val="007635B8"/>
    <w:rsid w:val="00763BFB"/>
    <w:rsid w:val="00763D88"/>
    <w:rsid w:val="00764120"/>
    <w:rsid w:val="007643C1"/>
    <w:rsid w:val="00765AC9"/>
    <w:rsid w:val="007668C1"/>
    <w:rsid w:val="00767669"/>
    <w:rsid w:val="0076785F"/>
    <w:rsid w:val="00771391"/>
    <w:rsid w:val="007729C7"/>
    <w:rsid w:val="00772A16"/>
    <w:rsid w:val="00772B3D"/>
    <w:rsid w:val="00774442"/>
    <w:rsid w:val="00774724"/>
    <w:rsid w:val="00775833"/>
    <w:rsid w:val="0077592D"/>
    <w:rsid w:val="007759A0"/>
    <w:rsid w:val="00777D3A"/>
    <w:rsid w:val="0078045E"/>
    <w:rsid w:val="00780867"/>
    <w:rsid w:val="00780E89"/>
    <w:rsid w:val="007825F2"/>
    <w:rsid w:val="0078263B"/>
    <w:rsid w:val="00782F3E"/>
    <w:rsid w:val="0078303B"/>
    <w:rsid w:val="007831D3"/>
    <w:rsid w:val="00784C93"/>
    <w:rsid w:val="007852B6"/>
    <w:rsid w:val="00785AD2"/>
    <w:rsid w:val="00785BA0"/>
    <w:rsid w:val="007863EE"/>
    <w:rsid w:val="007873F1"/>
    <w:rsid w:val="0078745D"/>
    <w:rsid w:val="00787B78"/>
    <w:rsid w:val="00787F2F"/>
    <w:rsid w:val="007901E4"/>
    <w:rsid w:val="00790299"/>
    <w:rsid w:val="007906F3"/>
    <w:rsid w:val="00792229"/>
    <w:rsid w:val="0079234D"/>
    <w:rsid w:val="00792D08"/>
    <w:rsid w:val="007930B0"/>
    <w:rsid w:val="00793B7E"/>
    <w:rsid w:val="00794D62"/>
    <w:rsid w:val="00795797"/>
    <w:rsid w:val="00796315"/>
    <w:rsid w:val="0079667F"/>
    <w:rsid w:val="00796776"/>
    <w:rsid w:val="00796A69"/>
    <w:rsid w:val="00796F97"/>
    <w:rsid w:val="007A090B"/>
    <w:rsid w:val="007A09EE"/>
    <w:rsid w:val="007A0EED"/>
    <w:rsid w:val="007A1CD6"/>
    <w:rsid w:val="007A2AB7"/>
    <w:rsid w:val="007A2AF3"/>
    <w:rsid w:val="007A336E"/>
    <w:rsid w:val="007A35BD"/>
    <w:rsid w:val="007A3FB1"/>
    <w:rsid w:val="007A4075"/>
    <w:rsid w:val="007A4969"/>
    <w:rsid w:val="007A4CE1"/>
    <w:rsid w:val="007A530B"/>
    <w:rsid w:val="007A6481"/>
    <w:rsid w:val="007A791C"/>
    <w:rsid w:val="007A7D1C"/>
    <w:rsid w:val="007A7E54"/>
    <w:rsid w:val="007B0773"/>
    <w:rsid w:val="007B0CF7"/>
    <w:rsid w:val="007B0E4D"/>
    <w:rsid w:val="007B0F08"/>
    <w:rsid w:val="007B1E71"/>
    <w:rsid w:val="007B1ED5"/>
    <w:rsid w:val="007B2E86"/>
    <w:rsid w:val="007B2F87"/>
    <w:rsid w:val="007B38A7"/>
    <w:rsid w:val="007B3EC2"/>
    <w:rsid w:val="007B42DD"/>
    <w:rsid w:val="007B5114"/>
    <w:rsid w:val="007B56EA"/>
    <w:rsid w:val="007B596C"/>
    <w:rsid w:val="007B5E73"/>
    <w:rsid w:val="007B6DDC"/>
    <w:rsid w:val="007C0366"/>
    <w:rsid w:val="007C03CE"/>
    <w:rsid w:val="007C0487"/>
    <w:rsid w:val="007C08E8"/>
    <w:rsid w:val="007C0CF3"/>
    <w:rsid w:val="007C155B"/>
    <w:rsid w:val="007C2666"/>
    <w:rsid w:val="007C58BC"/>
    <w:rsid w:val="007C5F57"/>
    <w:rsid w:val="007C6282"/>
    <w:rsid w:val="007C6A81"/>
    <w:rsid w:val="007C6C73"/>
    <w:rsid w:val="007C6F32"/>
    <w:rsid w:val="007C72F2"/>
    <w:rsid w:val="007C7939"/>
    <w:rsid w:val="007C7FF1"/>
    <w:rsid w:val="007D05A8"/>
    <w:rsid w:val="007D0969"/>
    <w:rsid w:val="007D0DE6"/>
    <w:rsid w:val="007D1CC1"/>
    <w:rsid w:val="007D1D6F"/>
    <w:rsid w:val="007D2084"/>
    <w:rsid w:val="007D2589"/>
    <w:rsid w:val="007D2CC5"/>
    <w:rsid w:val="007D3491"/>
    <w:rsid w:val="007D35EA"/>
    <w:rsid w:val="007D4561"/>
    <w:rsid w:val="007D4945"/>
    <w:rsid w:val="007D4B02"/>
    <w:rsid w:val="007D4E0C"/>
    <w:rsid w:val="007D5001"/>
    <w:rsid w:val="007D6161"/>
    <w:rsid w:val="007D63B2"/>
    <w:rsid w:val="007D6A11"/>
    <w:rsid w:val="007D6A55"/>
    <w:rsid w:val="007D6DD6"/>
    <w:rsid w:val="007D7242"/>
    <w:rsid w:val="007D73CC"/>
    <w:rsid w:val="007D7A4C"/>
    <w:rsid w:val="007D7EC4"/>
    <w:rsid w:val="007E05D8"/>
    <w:rsid w:val="007E18D7"/>
    <w:rsid w:val="007E1BC0"/>
    <w:rsid w:val="007E2BFC"/>
    <w:rsid w:val="007E3BE7"/>
    <w:rsid w:val="007E41B1"/>
    <w:rsid w:val="007E5210"/>
    <w:rsid w:val="007E6831"/>
    <w:rsid w:val="007E69E0"/>
    <w:rsid w:val="007E71BE"/>
    <w:rsid w:val="007E7380"/>
    <w:rsid w:val="007E75B4"/>
    <w:rsid w:val="007F03D4"/>
    <w:rsid w:val="007F0731"/>
    <w:rsid w:val="007F08FA"/>
    <w:rsid w:val="007F0987"/>
    <w:rsid w:val="007F2227"/>
    <w:rsid w:val="007F2B05"/>
    <w:rsid w:val="007F2EE8"/>
    <w:rsid w:val="007F307C"/>
    <w:rsid w:val="007F3372"/>
    <w:rsid w:val="007F3AE2"/>
    <w:rsid w:val="007F4D60"/>
    <w:rsid w:val="007F58A2"/>
    <w:rsid w:val="007F6164"/>
    <w:rsid w:val="00800311"/>
    <w:rsid w:val="008006A2"/>
    <w:rsid w:val="00801620"/>
    <w:rsid w:val="00801A3F"/>
    <w:rsid w:val="008027A9"/>
    <w:rsid w:val="00802B02"/>
    <w:rsid w:val="00802F98"/>
    <w:rsid w:val="0080322E"/>
    <w:rsid w:val="00805C7D"/>
    <w:rsid w:val="00805E5F"/>
    <w:rsid w:val="00805F21"/>
    <w:rsid w:val="00806BDE"/>
    <w:rsid w:val="00810D25"/>
    <w:rsid w:val="008111A0"/>
    <w:rsid w:val="00811A79"/>
    <w:rsid w:val="00811D26"/>
    <w:rsid w:val="00812144"/>
    <w:rsid w:val="00812F1F"/>
    <w:rsid w:val="0081403E"/>
    <w:rsid w:val="00814815"/>
    <w:rsid w:val="00814958"/>
    <w:rsid w:val="00815BE7"/>
    <w:rsid w:val="00815F2D"/>
    <w:rsid w:val="008166BE"/>
    <w:rsid w:val="00816F39"/>
    <w:rsid w:val="008171A5"/>
    <w:rsid w:val="00817B16"/>
    <w:rsid w:val="00817DBB"/>
    <w:rsid w:val="00817FFD"/>
    <w:rsid w:val="00820132"/>
    <w:rsid w:val="008201DC"/>
    <w:rsid w:val="00820584"/>
    <w:rsid w:val="008206FA"/>
    <w:rsid w:val="00820D73"/>
    <w:rsid w:val="008218FF"/>
    <w:rsid w:val="00821989"/>
    <w:rsid w:val="0082202B"/>
    <w:rsid w:val="00823241"/>
    <w:rsid w:val="0082450E"/>
    <w:rsid w:val="00824F42"/>
    <w:rsid w:val="00825400"/>
    <w:rsid w:val="00825772"/>
    <w:rsid w:val="00825F4E"/>
    <w:rsid w:val="00826709"/>
    <w:rsid w:val="00826E63"/>
    <w:rsid w:val="008272CC"/>
    <w:rsid w:val="0082758E"/>
    <w:rsid w:val="00827DF4"/>
    <w:rsid w:val="00830BCC"/>
    <w:rsid w:val="00830CBA"/>
    <w:rsid w:val="00831331"/>
    <w:rsid w:val="00831B36"/>
    <w:rsid w:val="00832544"/>
    <w:rsid w:val="008339AA"/>
    <w:rsid w:val="00833BE4"/>
    <w:rsid w:val="0083402E"/>
    <w:rsid w:val="008348FE"/>
    <w:rsid w:val="00834F1D"/>
    <w:rsid w:val="00835294"/>
    <w:rsid w:val="008357E7"/>
    <w:rsid w:val="00835B6A"/>
    <w:rsid w:val="00835CD4"/>
    <w:rsid w:val="008360D1"/>
    <w:rsid w:val="00836AA1"/>
    <w:rsid w:val="00836D6A"/>
    <w:rsid w:val="00840670"/>
    <w:rsid w:val="008407B8"/>
    <w:rsid w:val="00840BA0"/>
    <w:rsid w:val="00840DCF"/>
    <w:rsid w:val="0084107C"/>
    <w:rsid w:val="00841289"/>
    <w:rsid w:val="00841325"/>
    <w:rsid w:val="00841B49"/>
    <w:rsid w:val="00841F0E"/>
    <w:rsid w:val="008425FC"/>
    <w:rsid w:val="008426D4"/>
    <w:rsid w:val="00843BD2"/>
    <w:rsid w:val="00843C06"/>
    <w:rsid w:val="00843FF7"/>
    <w:rsid w:val="008449BF"/>
    <w:rsid w:val="00844A5A"/>
    <w:rsid w:val="00845AE2"/>
    <w:rsid w:val="00845C3C"/>
    <w:rsid w:val="008469A0"/>
    <w:rsid w:val="00847373"/>
    <w:rsid w:val="00847CA3"/>
    <w:rsid w:val="00850A6A"/>
    <w:rsid w:val="00851333"/>
    <w:rsid w:val="00851451"/>
    <w:rsid w:val="008515BD"/>
    <w:rsid w:val="008518EC"/>
    <w:rsid w:val="008521C6"/>
    <w:rsid w:val="00852528"/>
    <w:rsid w:val="008525AD"/>
    <w:rsid w:val="008529F8"/>
    <w:rsid w:val="0085347B"/>
    <w:rsid w:val="00853837"/>
    <w:rsid w:val="008542F9"/>
    <w:rsid w:val="00854588"/>
    <w:rsid w:val="00854A48"/>
    <w:rsid w:val="00854EE6"/>
    <w:rsid w:val="00854FF3"/>
    <w:rsid w:val="0085511B"/>
    <w:rsid w:val="0085588D"/>
    <w:rsid w:val="00855E69"/>
    <w:rsid w:val="008565FE"/>
    <w:rsid w:val="00857D98"/>
    <w:rsid w:val="008601CD"/>
    <w:rsid w:val="008609EC"/>
    <w:rsid w:val="00860C6F"/>
    <w:rsid w:val="008610D1"/>
    <w:rsid w:val="00861547"/>
    <w:rsid w:val="008615E7"/>
    <w:rsid w:val="0086163D"/>
    <w:rsid w:val="00861DEF"/>
    <w:rsid w:val="00861E4C"/>
    <w:rsid w:val="008630F7"/>
    <w:rsid w:val="008632B9"/>
    <w:rsid w:val="00863421"/>
    <w:rsid w:val="00864664"/>
    <w:rsid w:val="008646E4"/>
    <w:rsid w:val="0086474F"/>
    <w:rsid w:val="00864869"/>
    <w:rsid w:val="00864945"/>
    <w:rsid w:val="00864FE2"/>
    <w:rsid w:val="008654D1"/>
    <w:rsid w:val="00865643"/>
    <w:rsid w:val="00866580"/>
    <w:rsid w:val="00866819"/>
    <w:rsid w:val="00866C5A"/>
    <w:rsid w:val="00867650"/>
    <w:rsid w:val="00867E96"/>
    <w:rsid w:val="008703FF"/>
    <w:rsid w:val="00870540"/>
    <w:rsid w:val="0087094E"/>
    <w:rsid w:val="00870E1B"/>
    <w:rsid w:val="008725EB"/>
    <w:rsid w:val="008730DA"/>
    <w:rsid w:val="008735E4"/>
    <w:rsid w:val="0087388E"/>
    <w:rsid w:val="00873A58"/>
    <w:rsid w:val="00874287"/>
    <w:rsid w:val="00874382"/>
    <w:rsid w:val="0087440F"/>
    <w:rsid w:val="008745CA"/>
    <w:rsid w:val="00874B3C"/>
    <w:rsid w:val="00874BBD"/>
    <w:rsid w:val="00875D49"/>
    <w:rsid w:val="0087638B"/>
    <w:rsid w:val="0087649A"/>
    <w:rsid w:val="00876620"/>
    <w:rsid w:val="00876E87"/>
    <w:rsid w:val="00880417"/>
    <w:rsid w:val="00881A4C"/>
    <w:rsid w:val="0088238F"/>
    <w:rsid w:val="00882602"/>
    <w:rsid w:val="00882934"/>
    <w:rsid w:val="00882ED8"/>
    <w:rsid w:val="00884AC4"/>
    <w:rsid w:val="00884E5D"/>
    <w:rsid w:val="00884EF9"/>
    <w:rsid w:val="0088544F"/>
    <w:rsid w:val="008857BC"/>
    <w:rsid w:val="00885DE7"/>
    <w:rsid w:val="00886073"/>
    <w:rsid w:val="00886A9F"/>
    <w:rsid w:val="00887785"/>
    <w:rsid w:val="00887932"/>
    <w:rsid w:val="0089074C"/>
    <w:rsid w:val="008908DD"/>
    <w:rsid w:val="00890FA4"/>
    <w:rsid w:val="00891A42"/>
    <w:rsid w:val="008927BA"/>
    <w:rsid w:val="00892C31"/>
    <w:rsid w:val="00893277"/>
    <w:rsid w:val="00893DE1"/>
    <w:rsid w:val="008945D1"/>
    <w:rsid w:val="00894F5F"/>
    <w:rsid w:val="008969F9"/>
    <w:rsid w:val="008A0476"/>
    <w:rsid w:val="008A0D72"/>
    <w:rsid w:val="008A0ED1"/>
    <w:rsid w:val="008A0F84"/>
    <w:rsid w:val="008A1BE2"/>
    <w:rsid w:val="008A20F8"/>
    <w:rsid w:val="008A242B"/>
    <w:rsid w:val="008A39CD"/>
    <w:rsid w:val="008A3C3D"/>
    <w:rsid w:val="008A3E5F"/>
    <w:rsid w:val="008A3F5A"/>
    <w:rsid w:val="008A401C"/>
    <w:rsid w:val="008A470B"/>
    <w:rsid w:val="008A5042"/>
    <w:rsid w:val="008A50EF"/>
    <w:rsid w:val="008A5734"/>
    <w:rsid w:val="008A5BDA"/>
    <w:rsid w:val="008A732E"/>
    <w:rsid w:val="008A7638"/>
    <w:rsid w:val="008A7BD3"/>
    <w:rsid w:val="008B07E5"/>
    <w:rsid w:val="008B0CC4"/>
    <w:rsid w:val="008B0DBC"/>
    <w:rsid w:val="008B13CB"/>
    <w:rsid w:val="008B13D2"/>
    <w:rsid w:val="008B18CC"/>
    <w:rsid w:val="008B1B58"/>
    <w:rsid w:val="008B3806"/>
    <w:rsid w:val="008B3897"/>
    <w:rsid w:val="008B3D37"/>
    <w:rsid w:val="008B3D7D"/>
    <w:rsid w:val="008B429F"/>
    <w:rsid w:val="008B596E"/>
    <w:rsid w:val="008B5DDD"/>
    <w:rsid w:val="008B6351"/>
    <w:rsid w:val="008B65CF"/>
    <w:rsid w:val="008B6BA0"/>
    <w:rsid w:val="008B71E7"/>
    <w:rsid w:val="008C0DB5"/>
    <w:rsid w:val="008C0FB9"/>
    <w:rsid w:val="008C1665"/>
    <w:rsid w:val="008C166F"/>
    <w:rsid w:val="008C1978"/>
    <w:rsid w:val="008C2209"/>
    <w:rsid w:val="008C2A2C"/>
    <w:rsid w:val="008C3CA5"/>
    <w:rsid w:val="008C410F"/>
    <w:rsid w:val="008C48CB"/>
    <w:rsid w:val="008C5057"/>
    <w:rsid w:val="008C56F3"/>
    <w:rsid w:val="008C570C"/>
    <w:rsid w:val="008C5BAE"/>
    <w:rsid w:val="008C64BD"/>
    <w:rsid w:val="008C67EB"/>
    <w:rsid w:val="008C6F81"/>
    <w:rsid w:val="008C7793"/>
    <w:rsid w:val="008D00D5"/>
    <w:rsid w:val="008D0D75"/>
    <w:rsid w:val="008D232D"/>
    <w:rsid w:val="008D29C4"/>
    <w:rsid w:val="008D33AF"/>
    <w:rsid w:val="008D3677"/>
    <w:rsid w:val="008D37C4"/>
    <w:rsid w:val="008D3A9A"/>
    <w:rsid w:val="008D3AC6"/>
    <w:rsid w:val="008D4255"/>
    <w:rsid w:val="008D4B5E"/>
    <w:rsid w:val="008D5478"/>
    <w:rsid w:val="008D7341"/>
    <w:rsid w:val="008D76D6"/>
    <w:rsid w:val="008E0D09"/>
    <w:rsid w:val="008E10D0"/>
    <w:rsid w:val="008E2315"/>
    <w:rsid w:val="008E3C49"/>
    <w:rsid w:val="008E494C"/>
    <w:rsid w:val="008E4D05"/>
    <w:rsid w:val="008E5B00"/>
    <w:rsid w:val="008E6569"/>
    <w:rsid w:val="008E6E2C"/>
    <w:rsid w:val="008E7299"/>
    <w:rsid w:val="008E74FC"/>
    <w:rsid w:val="008E7819"/>
    <w:rsid w:val="008E7CF7"/>
    <w:rsid w:val="008E7FDF"/>
    <w:rsid w:val="008F07FE"/>
    <w:rsid w:val="008F0EC7"/>
    <w:rsid w:val="008F1E52"/>
    <w:rsid w:val="008F1FAB"/>
    <w:rsid w:val="008F2672"/>
    <w:rsid w:val="008F2A09"/>
    <w:rsid w:val="008F33AE"/>
    <w:rsid w:val="008F4769"/>
    <w:rsid w:val="008F49A6"/>
    <w:rsid w:val="008F51E4"/>
    <w:rsid w:val="008F57A8"/>
    <w:rsid w:val="008F588C"/>
    <w:rsid w:val="008F5DD6"/>
    <w:rsid w:val="008F68F6"/>
    <w:rsid w:val="008F6E32"/>
    <w:rsid w:val="008F73D4"/>
    <w:rsid w:val="008F7FD4"/>
    <w:rsid w:val="009000F3"/>
    <w:rsid w:val="00900100"/>
    <w:rsid w:val="00900AF5"/>
    <w:rsid w:val="0090181E"/>
    <w:rsid w:val="009018D1"/>
    <w:rsid w:val="00902BF4"/>
    <w:rsid w:val="009030ED"/>
    <w:rsid w:val="009033C0"/>
    <w:rsid w:val="00903582"/>
    <w:rsid w:val="009037D7"/>
    <w:rsid w:val="0090380D"/>
    <w:rsid w:val="0090497C"/>
    <w:rsid w:val="00904EAD"/>
    <w:rsid w:val="00905563"/>
    <w:rsid w:val="00905A5F"/>
    <w:rsid w:val="00905ECF"/>
    <w:rsid w:val="00905F9A"/>
    <w:rsid w:val="009073A5"/>
    <w:rsid w:val="00910A98"/>
    <w:rsid w:val="00910D3A"/>
    <w:rsid w:val="00912838"/>
    <w:rsid w:val="009138C4"/>
    <w:rsid w:val="00913D66"/>
    <w:rsid w:val="009151C2"/>
    <w:rsid w:val="00915DB9"/>
    <w:rsid w:val="00917692"/>
    <w:rsid w:val="009177C6"/>
    <w:rsid w:val="00917C5A"/>
    <w:rsid w:val="00917D8E"/>
    <w:rsid w:val="009209BA"/>
    <w:rsid w:val="00920AF1"/>
    <w:rsid w:val="00921516"/>
    <w:rsid w:val="0092262B"/>
    <w:rsid w:val="0092287C"/>
    <w:rsid w:val="00922D42"/>
    <w:rsid w:val="00923256"/>
    <w:rsid w:val="00923257"/>
    <w:rsid w:val="00923506"/>
    <w:rsid w:val="00923B21"/>
    <w:rsid w:val="00924076"/>
    <w:rsid w:val="0092558C"/>
    <w:rsid w:val="00926076"/>
    <w:rsid w:val="00926132"/>
    <w:rsid w:val="009263A5"/>
    <w:rsid w:val="0092682A"/>
    <w:rsid w:val="00926FAE"/>
    <w:rsid w:val="0092716E"/>
    <w:rsid w:val="00927460"/>
    <w:rsid w:val="00927628"/>
    <w:rsid w:val="00927E3A"/>
    <w:rsid w:val="00930775"/>
    <w:rsid w:val="00930BA7"/>
    <w:rsid w:val="00931213"/>
    <w:rsid w:val="009315A2"/>
    <w:rsid w:val="009316A9"/>
    <w:rsid w:val="00932141"/>
    <w:rsid w:val="00932F70"/>
    <w:rsid w:val="0093365F"/>
    <w:rsid w:val="00934524"/>
    <w:rsid w:val="0093460C"/>
    <w:rsid w:val="00934650"/>
    <w:rsid w:val="00934BA5"/>
    <w:rsid w:val="00934C8F"/>
    <w:rsid w:val="00935266"/>
    <w:rsid w:val="00936073"/>
    <w:rsid w:val="00936712"/>
    <w:rsid w:val="0093724A"/>
    <w:rsid w:val="009373AE"/>
    <w:rsid w:val="00937CFF"/>
    <w:rsid w:val="009403B8"/>
    <w:rsid w:val="00941253"/>
    <w:rsid w:val="00941522"/>
    <w:rsid w:val="00941980"/>
    <w:rsid w:val="009423BD"/>
    <w:rsid w:val="0094252A"/>
    <w:rsid w:val="00942542"/>
    <w:rsid w:val="00942594"/>
    <w:rsid w:val="009432C7"/>
    <w:rsid w:val="009438FD"/>
    <w:rsid w:val="009443CF"/>
    <w:rsid w:val="00944BBD"/>
    <w:rsid w:val="009450A9"/>
    <w:rsid w:val="00945696"/>
    <w:rsid w:val="00945C20"/>
    <w:rsid w:val="00945CF9"/>
    <w:rsid w:val="009460CE"/>
    <w:rsid w:val="00946402"/>
    <w:rsid w:val="00946498"/>
    <w:rsid w:val="00946AD3"/>
    <w:rsid w:val="00946C02"/>
    <w:rsid w:val="00946FD3"/>
    <w:rsid w:val="00947646"/>
    <w:rsid w:val="00947891"/>
    <w:rsid w:val="00947B62"/>
    <w:rsid w:val="0095033F"/>
    <w:rsid w:val="00950539"/>
    <w:rsid w:val="00950B43"/>
    <w:rsid w:val="009522A6"/>
    <w:rsid w:val="00952E68"/>
    <w:rsid w:val="009543F0"/>
    <w:rsid w:val="00954BED"/>
    <w:rsid w:val="00954CA4"/>
    <w:rsid w:val="00956341"/>
    <w:rsid w:val="0095693B"/>
    <w:rsid w:val="009578C7"/>
    <w:rsid w:val="009604C3"/>
    <w:rsid w:val="00960D1F"/>
    <w:rsid w:val="00961079"/>
    <w:rsid w:val="00961206"/>
    <w:rsid w:val="00961CA3"/>
    <w:rsid w:val="009626A3"/>
    <w:rsid w:val="0096291C"/>
    <w:rsid w:val="00962A75"/>
    <w:rsid w:val="00962FD7"/>
    <w:rsid w:val="0096330F"/>
    <w:rsid w:val="00963F76"/>
    <w:rsid w:val="0096410E"/>
    <w:rsid w:val="009642AA"/>
    <w:rsid w:val="009643B9"/>
    <w:rsid w:val="0096472F"/>
    <w:rsid w:val="00964D64"/>
    <w:rsid w:val="009655DE"/>
    <w:rsid w:val="00965BAC"/>
    <w:rsid w:val="00965E19"/>
    <w:rsid w:val="009673E2"/>
    <w:rsid w:val="009706C2"/>
    <w:rsid w:val="009712D3"/>
    <w:rsid w:val="009713FC"/>
    <w:rsid w:val="00971821"/>
    <w:rsid w:val="00971B04"/>
    <w:rsid w:val="00972B6E"/>
    <w:rsid w:val="00973516"/>
    <w:rsid w:val="00973C3C"/>
    <w:rsid w:val="009742DD"/>
    <w:rsid w:val="009745AD"/>
    <w:rsid w:val="00975F92"/>
    <w:rsid w:val="0097644A"/>
    <w:rsid w:val="009766CA"/>
    <w:rsid w:val="00977D09"/>
    <w:rsid w:val="00977D73"/>
    <w:rsid w:val="0098011E"/>
    <w:rsid w:val="0098148E"/>
    <w:rsid w:val="00981538"/>
    <w:rsid w:val="0098207E"/>
    <w:rsid w:val="00983E55"/>
    <w:rsid w:val="009849EE"/>
    <w:rsid w:val="00984B51"/>
    <w:rsid w:val="009854A1"/>
    <w:rsid w:val="00985620"/>
    <w:rsid w:val="00986709"/>
    <w:rsid w:val="009873C0"/>
    <w:rsid w:val="00987810"/>
    <w:rsid w:val="00990609"/>
    <w:rsid w:val="00990DDB"/>
    <w:rsid w:val="00990F65"/>
    <w:rsid w:val="0099106F"/>
    <w:rsid w:val="009913D4"/>
    <w:rsid w:val="00991674"/>
    <w:rsid w:val="00991725"/>
    <w:rsid w:val="00991AC2"/>
    <w:rsid w:val="00991BE4"/>
    <w:rsid w:val="00991CE3"/>
    <w:rsid w:val="00991D9F"/>
    <w:rsid w:val="00992069"/>
    <w:rsid w:val="0099273B"/>
    <w:rsid w:val="00992BED"/>
    <w:rsid w:val="00992FB3"/>
    <w:rsid w:val="00993D6A"/>
    <w:rsid w:val="00993E86"/>
    <w:rsid w:val="0099483D"/>
    <w:rsid w:val="00995C77"/>
    <w:rsid w:val="00996CE8"/>
    <w:rsid w:val="009A0783"/>
    <w:rsid w:val="009A13F6"/>
    <w:rsid w:val="009A140F"/>
    <w:rsid w:val="009A2FE4"/>
    <w:rsid w:val="009A3083"/>
    <w:rsid w:val="009A3144"/>
    <w:rsid w:val="009A3200"/>
    <w:rsid w:val="009A3AED"/>
    <w:rsid w:val="009A41E2"/>
    <w:rsid w:val="009A50A8"/>
    <w:rsid w:val="009A6220"/>
    <w:rsid w:val="009A6504"/>
    <w:rsid w:val="009A72FF"/>
    <w:rsid w:val="009A75FD"/>
    <w:rsid w:val="009A778E"/>
    <w:rsid w:val="009A7DA9"/>
    <w:rsid w:val="009B0177"/>
    <w:rsid w:val="009B082C"/>
    <w:rsid w:val="009B13DA"/>
    <w:rsid w:val="009B1F2A"/>
    <w:rsid w:val="009B21BA"/>
    <w:rsid w:val="009B35DA"/>
    <w:rsid w:val="009B38F9"/>
    <w:rsid w:val="009B581D"/>
    <w:rsid w:val="009B585D"/>
    <w:rsid w:val="009B5C2D"/>
    <w:rsid w:val="009C0065"/>
    <w:rsid w:val="009C02A6"/>
    <w:rsid w:val="009C04CB"/>
    <w:rsid w:val="009C07CC"/>
    <w:rsid w:val="009C1429"/>
    <w:rsid w:val="009C22C8"/>
    <w:rsid w:val="009C312E"/>
    <w:rsid w:val="009C364F"/>
    <w:rsid w:val="009C3E39"/>
    <w:rsid w:val="009C4008"/>
    <w:rsid w:val="009C41FB"/>
    <w:rsid w:val="009C421B"/>
    <w:rsid w:val="009C4AFC"/>
    <w:rsid w:val="009C4E67"/>
    <w:rsid w:val="009C4EE5"/>
    <w:rsid w:val="009C5480"/>
    <w:rsid w:val="009C58D0"/>
    <w:rsid w:val="009C6814"/>
    <w:rsid w:val="009C6E9B"/>
    <w:rsid w:val="009C707B"/>
    <w:rsid w:val="009C75CB"/>
    <w:rsid w:val="009C7A77"/>
    <w:rsid w:val="009C7D32"/>
    <w:rsid w:val="009C7F59"/>
    <w:rsid w:val="009D053E"/>
    <w:rsid w:val="009D0DF3"/>
    <w:rsid w:val="009D160D"/>
    <w:rsid w:val="009D2257"/>
    <w:rsid w:val="009D2349"/>
    <w:rsid w:val="009D31AC"/>
    <w:rsid w:val="009D3359"/>
    <w:rsid w:val="009D3BEC"/>
    <w:rsid w:val="009D4815"/>
    <w:rsid w:val="009D4E17"/>
    <w:rsid w:val="009D5667"/>
    <w:rsid w:val="009D6235"/>
    <w:rsid w:val="009D6622"/>
    <w:rsid w:val="009D6A26"/>
    <w:rsid w:val="009D6CDA"/>
    <w:rsid w:val="009D781D"/>
    <w:rsid w:val="009D79FC"/>
    <w:rsid w:val="009D7DEB"/>
    <w:rsid w:val="009E00A1"/>
    <w:rsid w:val="009E0493"/>
    <w:rsid w:val="009E1910"/>
    <w:rsid w:val="009E2396"/>
    <w:rsid w:val="009E250B"/>
    <w:rsid w:val="009E2556"/>
    <w:rsid w:val="009E2A58"/>
    <w:rsid w:val="009E32A0"/>
    <w:rsid w:val="009E4300"/>
    <w:rsid w:val="009E48A8"/>
    <w:rsid w:val="009E4936"/>
    <w:rsid w:val="009E4E12"/>
    <w:rsid w:val="009E5681"/>
    <w:rsid w:val="009E5F29"/>
    <w:rsid w:val="009E6819"/>
    <w:rsid w:val="009E6842"/>
    <w:rsid w:val="009E78FE"/>
    <w:rsid w:val="009E7E53"/>
    <w:rsid w:val="009F0A70"/>
    <w:rsid w:val="009F156A"/>
    <w:rsid w:val="009F20D1"/>
    <w:rsid w:val="009F259E"/>
    <w:rsid w:val="009F2957"/>
    <w:rsid w:val="009F2A26"/>
    <w:rsid w:val="009F2AE4"/>
    <w:rsid w:val="009F3368"/>
    <w:rsid w:val="009F3D80"/>
    <w:rsid w:val="009F4238"/>
    <w:rsid w:val="009F59AC"/>
    <w:rsid w:val="009F673A"/>
    <w:rsid w:val="009F6882"/>
    <w:rsid w:val="009F759F"/>
    <w:rsid w:val="00A004BD"/>
    <w:rsid w:val="00A012A6"/>
    <w:rsid w:val="00A02AEC"/>
    <w:rsid w:val="00A02E19"/>
    <w:rsid w:val="00A02F79"/>
    <w:rsid w:val="00A0361C"/>
    <w:rsid w:val="00A0396D"/>
    <w:rsid w:val="00A0408F"/>
    <w:rsid w:val="00A045CE"/>
    <w:rsid w:val="00A04696"/>
    <w:rsid w:val="00A052D9"/>
    <w:rsid w:val="00A055D3"/>
    <w:rsid w:val="00A06260"/>
    <w:rsid w:val="00A06972"/>
    <w:rsid w:val="00A07623"/>
    <w:rsid w:val="00A07907"/>
    <w:rsid w:val="00A10147"/>
    <w:rsid w:val="00A10B1A"/>
    <w:rsid w:val="00A11A05"/>
    <w:rsid w:val="00A120F9"/>
    <w:rsid w:val="00A12140"/>
    <w:rsid w:val="00A1295E"/>
    <w:rsid w:val="00A12DD7"/>
    <w:rsid w:val="00A1308A"/>
    <w:rsid w:val="00A136FB"/>
    <w:rsid w:val="00A1386A"/>
    <w:rsid w:val="00A1389F"/>
    <w:rsid w:val="00A13E12"/>
    <w:rsid w:val="00A14347"/>
    <w:rsid w:val="00A146F3"/>
    <w:rsid w:val="00A14849"/>
    <w:rsid w:val="00A14D7A"/>
    <w:rsid w:val="00A153DC"/>
    <w:rsid w:val="00A15FA7"/>
    <w:rsid w:val="00A165F1"/>
    <w:rsid w:val="00A17177"/>
    <w:rsid w:val="00A202B1"/>
    <w:rsid w:val="00A20398"/>
    <w:rsid w:val="00A204B5"/>
    <w:rsid w:val="00A217C7"/>
    <w:rsid w:val="00A21F63"/>
    <w:rsid w:val="00A24141"/>
    <w:rsid w:val="00A243EE"/>
    <w:rsid w:val="00A24462"/>
    <w:rsid w:val="00A24AAB"/>
    <w:rsid w:val="00A251DC"/>
    <w:rsid w:val="00A252CD"/>
    <w:rsid w:val="00A25A8F"/>
    <w:rsid w:val="00A26433"/>
    <w:rsid w:val="00A26A3C"/>
    <w:rsid w:val="00A2732C"/>
    <w:rsid w:val="00A27ACD"/>
    <w:rsid w:val="00A27B50"/>
    <w:rsid w:val="00A27E08"/>
    <w:rsid w:val="00A3005E"/>
    <w:rsid w:val="00A31AD6"/>
    <w:rsid w:val="00A31BD3"/>
    <w:rsid w:val="00A31BE8"/>
    <w:rsid w:val="00A3219A"/>
    <w:rsid w:val="00A325B6"/>
    <w:rsid w:val="00A32A9C"/>
    <w:rsid w:val="00A33F8D"/>
    <w:rsid w:val="00A341D0"/>
    <w:rsid w:val="00A3455F"/>
    <w:rsid w:val="00A34E08"/>
    <w:rsid w:val="00A357AD"/>
    <w:rsid w:val="00A35F24"/>
    <w:rsid w:val="00A36B7F"/>
    <w:rsid w:val="00A36BA6"/>
    <w:rsid w:val="00A36D66"/>
    <w:rsid w:val="00A37537"/>
    <w:rsid w:val="00A37A4B"/>
    <w:rsid w:val="00A37DB7"/>
    <w:rsid w:val="00A40AEB"/>
    <w:rsid w:val="00A40C83"/>
    <w:rsid w:val="00A410FF"/>
    <w:rsid w:val="00A41B3A"/>
    <w:rsid w:val="00A4237A"/>
    <w:rsid w:val="00A423B9"/>
    <w:rsid w:val="00A42559"/>
    <w:rsid w:val="00A42795"/>
    <w:rsid w:val="00A42E51"/>
    <w:rsid w:val="00A4308F"/>
    <w:rsid w:val="00A43538"/>
    <w:rsid w:val="00A43C14"/>
    <w:rsid w:val="00A43E40"/>
    <w:rsid w:val="00A446B3"/>
    <w:rsid w:val="00A44E84"/>
    <w:rsid w:val="00A45B25"/>
    <w:rsid w:val="00A462BF"/>
    <w:rsid w:val="00A4774A"/>
    <w:rsid w:val="00A50B8B"/>
    <w:rsid w:val="00A50BAA"/>
    <w:rsid w:val="00A511F2"/>
    <w:rsid w:val="00A52154"/>
    <w:rsid w:val="00A52436"/>
    <w:rsid w:val="00A5369C"/>
    <w:rsid w:val="00A539D5"/>
    <w:rsid w:val="00A53AD3"/>
    <w:rsid w:val="00A53D55"/>
    <w:rsid w:val="00A53E1C"/>
    <w:rsid w:val="00A543EC"/>
    <w:rsid w:val="00A54D8A"/>
    <w:rsid w:val="00A56081"/>
    <w:rsid w:val="00A5610E"/>
    <w:rsid w:val="00A56746"/>
    <w:rsid w:val="00A56F82"/>
    <w:rsid w:val="00A60306"/>
    <w:rsid w:val="00A60BF1"/>
    <w:rsid w:val="00A60C41"/>
    <w:rsid w:val="00A615C0"/>
    <w:rsid w:val="00A6164E"/>
    <w:rsid w:val="00A617FB"/>
    <w:rsid w:val="00A626D9"/>
    <w:rsid w:val="00A628D9"/>
    <w:rsid w:val="00A628EF"/>
    <w:rsid w:val="00A62BFA"/>
    <w:rsid w:val="00A630AA"/>
    <w:rsid w:val="00A63F0F"/>
    <w:rsid w:val="00A64127"/>
    <w:rsid w:val="00A6442F"/>
    <w:rsid w:val="00A64753"/>
    <w:rsid w:val="00A6482F"/>
    <w:rsid w:val="00A65177"/>
    <w:rsid w:val="00A663C8"/>
    <w:rsid w:val="00A66930"/>
    <w:rsid w:val="00A6736A"/>
    <w:rsid w:val="00A67830"/>
    <w:rsid w:val="00A70607"/>
    <w:rsid w:val="00A70B06"/>
    <w:rsid w:val="00A723A0"/>
    <w:rsid w:val="00A72692"/>
    <w:rsid w:val="00A72862"/>
    <w:rsid w:val="00A73A89"/>
    <w:rsid w:val="00A73D56"/>
    <w:rsid w:val="00A73E9D"/>
    <w:rsid w:val="00A740B2"/>
    <w:rsid w:val="00A74BCF"/>
    <w:rsid w:val="00A753D5"/>
    <w:rsid w:val="00A75A6C"/>
    <w:rsid w:val="00A75E3B"/>
    <w:rsid w:val="00A76126"/>
    <w:rsid w:val="00A762F1"/>
    <w:rsid w:val="00A76414"/>
    <w:rsid w:val="00A76AF5"/>
    <w:rsid w:val="00A77055"/>
    <w:rsid w:val="00A77E36"/>
    <w:rsid w:val="00A77F72"/>
    <w:rsid w:val="00A801AF"/>
    <w:rsid w:val="00A808CA"/>
    <w:rsid w:val="00A80C00"/>
    <w:rsid w:val="00A82540"/>
    <w:rsid w:val="00A8257C"/>
    <w:rsid w:val="00A82BE7"/>
    <w:rsid w:val="00A82D9B"/>
    <w:rsid w:val="00A82EC8"/>
    <w:rsid w:val="00A83F50"/>
    <w:rsid w:val="00A84779"/>
    <w:rsid w:val="00A848A1"/>
    <w:rsid w:val="00A850B1"/>
    <w:rsid w:val="00A85D17"/>
    <w:rsid w:val="00A8646C"/>
    <w:rsid w:val="00A87099"/>
    <w:rsid w:val="00A906FD"/>
    <w:rsid w:val="00A910DB"/>
    <w:rsid w:val="00A92B2A"/>
    <w:rsid w:val="00A93015"/>
    <w:rsid w:val="00A93795"/>
    <w:rsid w:val="00A94682"/>
    <w:rsid w:val="00A94AF2"/>
    <w:rsid w:val="00A94CE4"/>
    <w:rsid w:val="00A94D25"/>
    <w:rsid w:val="00A94F97"/>
    <w:rsid w:val="00A94FAD"/>
    <w:rsid w:val="00A95233"/>
    <w:rsid w:val="00A95AF9"/>
    <w:rsid w:val="00A95D8A"/>
    <w:rsid w:val="00A96651"/>
    <w:rsid w:val="00A967CA"/>
    <w:rsid w:val="00A96E1D"/>
    <w:rsid w:val="00A972C5"/>
    <w:rsid w:val="00A97EFF"/>
    <w:rsid w:val="00AA0699"/>
    <w:rsid w:val="00AA120C"/>
    <w:rsid w:val="00AA2105"/>
    <w:rsid w:val="00AA226C"/>
    <w:rsid w:val="00AA2586"/>
    <w:rsid w:val="00AA2745"/>
    <w:rsid w:val="00AA28ED"/>
    <w:rsid w:val="00AA2AF1"/>
    <w:rsid w:val="00AA2EFB"/>
    <w:rsid w:val="00AA34E3"/>
    <w:rsid w:val="00AA3AF9"/>
    <w:rsid w:val="00AA4687"/>
    <w:rsid w:val="00AA475F"/>
    <w:rsid w:val="00AA4E61"/>
    <w:rsid w:val="00AA50A2"/>
    <w:rsid w:val="00AA50EB"/>
    <w:rsid w:val="00AA5126"/>
    <w:rsid w:val="00AA5D7F"/>
    <w:rsid w:val="00AA6545"/>
    <w:rsid w:val="00AA6FFB"/>
    <w:rsid w:val="00AA7AD1"/>
    <w:rsid w:val="00AA7CE9"/>
    <w:rsid w:val="00AB106A"/>
    <w:rsid w:val="00AB1C82"/>
    <w:rsid w:val="00AB31B8"/>
    <w:rsid w:val="00AB35C3"/>
    <w:rsid w:val="00AB4168"/>
    <w:rsid w:val="00AB4569"/>
    <w:rsid w:val="00AB65B2"/>
    <w:rsid w:val="00AB68C2"/>
    <w:rsid w:val="00AB7F66"/>
    <w:rsid w:val="00AC001D"/>
    <w:rsid w:val="00AC00E3"/>
    <w:rsid w:val="00AC039C"/>
    <w:rsid w:val="00AC0B62"/>
    <w:rsid w:val="00AC0F26"/>
    <w:rsid w:val="00AC0FF5"/>
    <w:rsid w:val="00AC10BC"/>
    <w:rsid w:val="00AC1341"/>
    <w:rsid w:val="00AC29A9"/>
    <w:rsid w:val="00AC2EAD"/>
    <w:rsid w:val="00AC3CD5"/>
    <w:rsid w:val="00AC456B"/>
    <w:rsid w:val="00AC4921"/>
    <w:rsid w:val="00AC57D1"/>
    <w:rsid w:val="00AC5A45"/>
    <w:rsid w:val="00AC64E9"/>
    <w:rsid w:val="00AC67FD"/>
    <w:rsid w:val="00AC6F4D"/>
    <w:rsid w:val="00AC7270"/>
    <w:rsid w:val="00AC73D6"/>
    <w:rsid w:val="00AC7A74"/>
    <w:rsid w:val="00AC7F69"/>
    <w:rsid w:val="00AD0815"/>
    <w:rsid w:val="00AD1B9E"/>
    <w:rsid w:val="00AD2C23"/>
    <w:rsid w:val="00AD325F"/>
    <w:rsid w:val="00AD4067"/>
    <w:rsid w:val="00AD44BC"/>
    <w:rsid w:val="00AD61B0"/>
    <w:rsid w:val="00AD63D9"/>
    <w:rsid w:val="00AD66EE"/>
    <w:rsid w:val="00AD7326"/>
    <w:rsid w:val="00AD77E6"/>
    <w:rsid w:val="00AD7930"/>
    <w:rsid w:val="00AD7B6A"/>
    <w:rsid w:val="00AE0CE4"/>
    <w:rsid w:val="00AE1213"/>
    <w:rsid w:val="00AE12DA"/>
    <w:rsid w:val="00AE13C7"/>
    <w:rsid w:val="00AE1C11"/>
    <w:rsid w:val="00AE25B3"/>
    <w:rsid w:val="00AE2BE7"/>
    <w:rsid w:val="00AE39EA"/>
    <w:rsid w:val="00AE3E9D"/>
    <w:rsid w:val="00AE4E13"/>
    <w:rsid w:val="00AE5162"/>
    <w:rsid w:val="00AE522C"/>
    <w:rsid w:val="00AE5EED"/>
    <w:rsid w:val="00AE730A"/>
    <w:rsid w:val="00AF05E4"/>
    <w:rsid w:val="00AF0CD2"/>
    <w:rsid w:val="00AF1582"/>
    <w:rsid w:val="00AF18DA"/>
    <w:rsid w:val="00AF1B15"/>
    <w:rsid w:val="00AF2B3F"/>
    <w:rsid w:val="00AF2F42"/>
    <w:rsid w:val="00AF2F6A"/>
    <w:rsid w:val="00AF35C2"/>
    <w:rsid w:val="00AF4715"/>
    <w:rsid w:val="00AF57C5"/>
    <w:rsid w:val="00AF6045"/>
    <w:rsid w:val="00AF6B5E"/>
    <w:rsid w:val="00B00724"/>
    <w:rsid w:val="00B010B7"/>
    <w:rsid w:val="00B01310"/>
    <w:rsid w:val="00B02202"/>
    <w:rsid w:val="00B024F3"/>
    <w:rsid w:val="00B027B3"/>
    <w:rsid w:val="00B036C4"/>
    <w:rsid w:val="00B037C4"/>
    <w:rsid w:val="00B03C89"/>
    <w:rsid w:val="00B069BF"/>
    <w:rsid w:val="00B06E8D"/>
    <w:rsid w:val="00B07073"/>
    <w:rsid w:val="00B07634"/>
    <w:rsid w:val="00B07C6E"/>
    <w:rsid w:val="00B10122"/>
    <w:rsid w:val="00B10383"/>
    <w:rsid w:val="00B109CD"/>
    <w:rsid w:val="00B10CF1"/>
    <w:rsid w:val="00B11439"/>
    <w:rsid w:val="00B1202E"/>
    <w:rsid w:val="00B12787"/>
    <w:rsid w:val="00B134BD"/>
    <w:rsid w:val="00B134FD"/>
    <w:rsid w:val="00B13503"/>
    <w:rsid w:val="00B138E4"/>
    <w:rsid w:val="00B143E1"/>
    <w:rsid w:val="00B14477"/>
    <w:rsid w:val="00B15062"/>
    <w:rsid w:val="00B152D9"/>
    <w:rsid w:val="00B167B6"/>
    <w:rsid w:val="00B16E4C"/>
    <w:rsid w:val="00B16EDB"/>
    <w:rsid w:val="00B172AB"/>
    <w:rsid w:val="00B17598"/>
    <w:rsid w:val="00B20146"/>
    <w:rsid w:val="00B2042D"/>
    <w:rsid w:val="00B2070D"/>
    <w:rsid w:val="00B20824"/>
    <w:rsid w:val="00B20A3F"/>
    <w:rsid w:val="00B210C9"/>
    <w:rsid w:val="00B21841"/>
    <w:rsid w:val="00B2219B"/>
    <w:rsid w:val="00B221A2"/>
    <w:rsid w:val="00B241E7"/>
    <w:rsid w:val="00B251E9"/>
    <w:rsid w:val="00B254B9"/>
    <w:rsid w:val="00B26F4D"/>
    <w:rsid w:val="00B27684"/>
    <w:rsid w:val="00B27AAB"/>
    <w:rsid w:val="00B301C5"/>
    <w:rsid w:val="00B30E13"/>
    <w:rsid w:val="00B316F2"/>
    <w:rsid w:val="00B31AD0"/>
    <w:rsid w:val="00B3241F"/>
    <w:rsid w:val="00B333A8"/>
    <w:rsid w:val="00B3452D"/>
    <w:rsid w:val="00B369FB"/>
    <w:rsid w:val="00B3736D"/>
    <w:rsid w:val="00B37AD7"/>
    <w:rsid w:val="00B41477"/>
    <w:rsid w:val="00B42100"/>
    <w:rsid w:val="00B4248C"/>
    <w:rsid w:val="00B433EE"/>
    <w:rsid w:val="00B4351A"/>
    <w:rsid w:val="00B43ABA"/>
    <w:rsid w:val="00B43D23"/>
    <w:rsid w:val="00B44227"/>
    <w:rsid w:val="00B44281"/>
    <w:rsid w:val="00B44A68"/>
    <w:rsid w:val="00B45822"/>
    <w:rsid w:val="00B458E1"/>
    <w:rsid w:val="00B45EF6"/>
    <w:rsid w:val="00B465CA"/>
    <w:rsid w:val="00B46BFF"/>
    <w:rsid w:val="00B46C9B"/>
    <w:rsid w:val="00B4725B"/>
    <w:rsid w:val="00B472C2"/>
    <w:rsid w:val="00B47729"/>
    <w:rsid w:val="00B47E23"/>
    <w:rsid w:val="00B50493"/>
    <w:rsid w:val="00B5095F"/>
    <w:rsid w:val="00B50AA8"/>
    <w:rsid w:val="00B50E10"/>
    <w:rsid w:val="00B51084"/>
    <w:rsid w:val="00B51FF4"/>
    <w:rsid w:val="00B5209B"/>
    <w:rsid w:val="00B52247"/>
    <w:rsid w:val="00B52792"/>
    <w:rsid w:val="00B5326D"/>
    <w:rsid w:val="00B53CE1"/>
    <w:rsid w:val="00B54312"/>
    <w:rsid w:val="00B544FD"/>
    <w:rsid w:val="00B5468A"/>
    <w:rsid w:val="00B54A3F"/>
    <w:rsid w:val="00B5531A"/>
    <w:rsid w:val="00B5538C"/>
    <w:rsid w:val="00B557C1"/>
    <w:rsid w:val="00B56C8B"/>
    <w:rsid w:val="00B5732D"/>
    <w:rsid w:val="00B57532"/>
    <w:rsid w:val="00B577C6"/>
    <w:rsid w:val="00B57AA1"/>
    <w:rsid w:val="00B60E88"/>
    <w:rsid w:val="00B6104D"/>
    <w:rsid w:val="00B61CE2"/>
    <w:rsid w:val="00B6319A"/>
    <w:rsid w:val="00B63E2B"/>
    <w:rsid w:val="00B64284"/>
    <w:rsid w:val="00B648A7"/>
    <w:rsid w:val="00B64DE2"/>
    <w:rsid w:val="00B656B8"/>
    <w:rsid w:val="00B6574E"/>
    <w:rsid w:val="00B66442"/>
    <w:rsid w:val="00B664AC"/>
    <w:rsid w:val="00B667E1"/>
    <w:rsid w:val="00B67627"/>
    <w:rsid w:val="00B6766C"/>
    <w:rsid w:val="00B70035"/>
    <w:rsid w:val="00B7086D"/>
    <w:rsid w:val="00B714C8"/>
    <w:rsid w:val="00B71855"/>
    <w:rsid w:val="00B7259C"/>
    <w:rsid w:val="00B73B1C"/>
    <w:rsid w:val="00B74356"/>
    <w:rsid w:val="00B7462F"/>
    <w:rsid w:val="00B76CAD"/>
    <w:rsid w:val="00B80048"/>
    <w:rsid w:val="00B80291"/>
    <w:rsid w:val="00B80829"/>
    <w:rsid w:val="00B80EF8"/>
    <w:rsid w:val="00B81C60"/>
    <w:rsid w:val="00B81CAD"/>
    <w:rsid w:val="00B820EA"/>
    <w:rsid w:val="00B82AA7"/>
    <w:rsid w:val="00B8353A"/>
    <w:rsid w:val="00B83D7C"/>
    <w:rsid w:val="00B83EE8"/>
    <w:rsid w:val="00B84031"/>
    <w:rsid w:val="00B844B8"/>
    <w:rsid w:val="00B8451E"/>
    <w:rsid w:val="00B847C0"/>
    <w:rsid w:val="00B84A3A"/>
    <w:rsid w:val="00B84E50"/>
    <w:rsid w:val="00B85188"/>
    <w:rsid w:val="00B85E21"/>
    <w:rsid w:val="00B86C36"/>
    <w:rsid w:val="00B87E72"/>
    <w:rsid w:val="00B912A5"/>
    <w:rsid w:val="00B91789"/>
    <w:rsid w:val="00B919AB"/>
    <w:rsid w:val="00B92C10"/>
    <w:rsid w:val="00B93C68"/>
    <w:rsid w:val="00B93FD7"/>
    <w:rsid w:val="00B94798"/>
    <w:rsid w:val="00B94BD4"/>
    <w:rsid w:val="00B95002"/>
    <w:rsid w:val="00B95441"/>
    <w:rsid w:val="00B957C2"/>
    <w:rsid w:val="00B961A3"/>
    <w:rsid w:val="00B96DCA"/>
    <w:rsid w:val="00B9729D"/>
    <w:rsid w:val="00B974D7"/>
    <w:rsid w:val="00B97536"/>
    <w:rsid w:val="00B97D0F"/>
    <w:rsid w:val="00BA0867"/>
    <w:rsid w:val="00BA1DE4"/>
    <w:rsid w:val="00BA2265"/>
    <w:rsid w:val="00BA2375"/>
    <w:rsid w:val="00BA33F5"/>
    <w:rsid w:val="00BA3753"/>
    <w:rsid w:val="00BA48F8"/>
    <w:rsid w:val="00BA4C5C"/>
    <w:rsid w:val="00BA4D9C"/>
    <w:rsid w:val="00BA4E43"/>
    <w:rsid w:val="00BA5BB2"/>
    <w:rsid w:val="00BA5BFF"/>
    <w:rsid w:val="00BA5F14"/>
    <w:rsid w:val="00BA61BE"/>
    <w:rsid w:val="00BA72A3"/>
    <w:rsid w:val="00BB03DE"/>
    <w:rsid w:val="00BB0590"/>
    <w:rsid w:val="00BB067A"/>
    <w:rsid w:val="00BB2291"/>
    <w:rsid w:val="00BB32C5"/>
    <w:rsid w:val="00BB400D"/>
    <w:rsid w:val="00BB4038"/>
    <w:rsid w:val="00BB45A9"/>
    <w:rsid w:val="00BB4A08"/>
    <w:rsid w:val="00BB4E34"/>
    <w:rsid w:val="00BB5B3B"/>
    <w:rsid w:val="00BB683D"/>
    <w:rsid w:val="00BB73D8"/>
    <w:rsid w:val="00BB78C0"/>
    <w:rsid w:val="00BC0E92"/>
    <w:rsid w:val="00BC12B0"/>
    <w:rsid w:val="00BC14D9"/>
    <w:rsid w:val="00BC1AB5"/>
    <w:rsid w:val="00BC20D5"/>
    <w:rsid w:val="00BC21B4"/>
    <w:rsid w:val="00BC2C4E"/>
    <w:rsid w:val="00BC2CC6"/>
    <w:rsid w:val="00BC3025"/>
    <w:rsid w:val="00BC3FD2"/>
    <w:rsid w:val="00BC43F5"/>
    <w:rsid w:val="00BC484E"/>
    <w:rsid w:val="00BC4DB3"/>
    <w:rsid w:val="00BC5A14"/>
    <w:rsid w:val="00BC5BFF"/>
    <w:rsid w:val="00BC5D2B"/>
    <w:rsid w:val="00BC6AAC"/>
    <w:rsid w:val="00BC6B2F"/>
    <w:rsid w:val="00BC74E9"/>
    <w:rsid w:val="00BC76EE"/>
    <w:rsid w:val="00BC7925"/>
    <w:rsid w:val="00BD051B"/>
    <w:rsid w:val="00BD0B8D"/>
    <w:rsid w:val="00BD1525"/>
    <w:rsid w:val="00BD1562"/>
    <w:rsid w:val="00BD1B6B"/>
    <w:rsid w:val="00BD1C78"/>
    <w:rsid w:val="00BD28A4"/>
    <w:rsid w:val="00BD2DB3"/>
    <w:rsid w:val="00BD3081"/>
    <w:rsid w:val="00BD3678"/>
    <w:rsid w:val="00BD37C1"/>
    <w:rsid w:val="00BD3A1D"/>
    <w:rsid w:val="00BD3BF1"/>
    <w:rsid w:val="00BD43E4"/>
    <w:rsid w:val="00BD4646"/>
    <w:rsid w:val="00BD48E6"/>
    <w:rsid w:val="00BD5170"/>
    <w:rsid w:val="00BD543E"/>
    <w:rsid w:val="00BD5A12"/>
    <w:rsid w:val="00BD5B40"/>
    <w:rsid w:val="00BD5E6F"/>
    <w:rsid w:val="00BD65CC"/>
    <w:rsid w:val="00BE0991"/>
    <w:rsid w:val="00BE130E"/>
    <w:rsid w:val="00BE14F3"/>
    <w:rsid w:val="00BE1DC9"/>
    <w:rsid w:val="00BE20CD"/>
    <w:rsid w:val="00BE2B45"/>
    <w:rsid w:val="00BE4545"/>
    <w:rsid w:val="00BE4ED4"/>
    <w:rsid w:val="00BE4F6C"/>
    <w:rsid w:val="00BE5903"/>
    <w:rsid w:val="00BE6A7E"/>
    <w:rsid w:val="00BE7579"/>
    <w:rsid w:val="00BF03E7"/>
    <w:rsid w:val="00BF2657"/>
    <w:rsid w:val="00BF2C3E"/>
    <w:rsid w:val="00BF2D98"/>
    <w:rsid w:val="00BF2E3B"/>
    <w:rsid w:val="00BF316E"/>
    <w:rsid w:val="00BF435B"/>
    <w:rsid w:val="00BF4646"/>
    <w:rsid w:val="00BF47DC"/>
    <w:rsid w:val="00BF4B0C"/>
    <w:rsid w:val="00BF4B75"/>
    <w:rsid w:val="00BF543F"/>
    <w:rsid w:val="00BF5637"/>
    <w:rsid w:val="00BF670C"/>
    <w:rsid w:val="00BF6F79"/>
    <w:rsid w:val="00BF7E29"/>
    <w:rsid w:val="00C00406"/>
    <w:rsid w:val="00C00733"/>
    <w:rsid w:val="00C00741"/>
    <w:rsid w:val="00C00971"/>
    <w:rsid w:val="00C00E10"/>
    <w:rsid w:val="00C00FB0"/>
    <w:rsid w:val="00C01720"/>
    <w:rsid w:val="00C017C2"/>
    <w:rsid w:val="00C01884"/>
    <w:rsid w:val="00C01AC8"/>
    <w:rsid w:val="00C01E83"/>
    <w:rsid w:val="00C02033"/>
    <w:rsid w:val="00C026C6"/>
    <w:rsid w:val="00C02CAE"/>
    <w:rsid w:val="00C03449"/>
    <w:rsid w:val="00C035D5"/>
    <w:rsid w:val="00C0465C"/>
    <w:rsid w:val="00C04697"/>
    <w:rsid w:val="00C05385"/>
    <w:rsid w:val="00C056C0"/>
    <w:rsid w:val="00C05DB2"/>
    <w:rsid w:val="00C0662D"/>
    <w:rsid w:val="00C06E9A"/>
    <w:rsid w:val="00C0781C"/>
    <w:rsid w:val="00C07989"/>
    <w:rsid w:val="00C1018C"/>
    <w:rsid w:val="00C10D06"/>
    <w:rsid w:val="00C1147D"/>
    <w:rsid w:val="00C11865"/>
    <w:rsid w:val="00C11926"/>
    <w:rsid w:val="00C119A9"/>
    <w:rsid w:val="00C11C1A"/>
    <w:rsid w:val="00C11F9A"/>
    <w:rsid w:val="00C12D52"/>
    <w:rsid w:val="00C14639"/>
    <w:rsid w:val="00C147AF"/>
    <w:rsid w:val="00C149D7"/>
    <w:rsid w:val="00C14E87"/>
    <w:rsid w:val="00C1558D"/>
    <w:rsid w:val="00C1599D"/>
    <w:rsid w:val="00C159F1"/>
    <w:rsid w:val="00C15BEA"/>
    <w:rsid w:val="00C1632A"/>
    <w:rsid w:val="00C16632"/>
    <w:rsid w:val="00C16F2E"/>
    <w:rsid w:val="00C17090"/>
    <w:rsid w:val="00C173E8"/>
    <w:rsid w:val="00C17696"/>
    <w:rsid w:val="00C17B9D"/>
    <w:rsid w:val="00C206CE"/>
    <w:rsid w:val="00C21346"/>
    <w:rsid w:val="00C228AC"/>
    <w:rsid w:val="00C228FE"/>
    <w:rsid w:val="00C22C02"/>
    <w:rsid w:val="00C22DFA"/>
    <w:rsid w:val="00C23560"/>
    <w:rsid w:val="00C23657"/>
    <w:rsid w:val="00C24832"/>
    <w:rsid w:val="00C24B14"/>
    <w:rsid w:val="00C24BDB"/>
    <w:rsid w:val="00C24DA0"/>
    <w:rsid w:val="00C250F9"/>
    <w:rsid w:val="00C2534E"/>
    <w:rsid w:val="00C25AAA"/>
    <w:rsid w:val="00C25C2D"/>
    <w:rsid w:val="00C266D7"/>
    <w:rsid w:val="00C26AC6"/>
    <w:rsid w:val="00C26C7E"/>
    <w:rsid w:val="00C30B1B"/>
    <w:rsid w:val="00C31294"/>
    <w:rsid w:val="00C312C1"/>
    <w:rsid w:val="00C31957"/>
    <w:rsid w:val="00C332D2"/>
    <w:rsid w:val="00C33EF1"/>
    <w:rsid w:val="00C34071"/>
    <w:rsid w:val="00C34369"/>
    <w:rsid w:val="00C34A3C"/>
    <w:rsid w:val="00C34D1D"/>
    <w:rsid w:val="00C34E92"/>
    <w:rsid w:val="00C36506"/>
    <w:rsid w:val="00C36C2E"/>
    <w:rsid w:val="00C371B9"/>
    <w:rsid w:val="00C40829"/>
    <w:rsid w:val="00C421FA"/>
    <w:rsid w:val="00C42CA6"/>
    <w:rsid w:val="00C42D38"/>
    <w:rsid w:val="00C42EAB"/>
    <w:rsid w:val="00C42ED9"/>
    <w:rsid w:val="00C43EE0"/>
    <w:rsid w:val="00C441C9"/>
    <w:rsid w:val="00C4466E"/>
    <w:rsid w:val="00C44BA4"/>
    <w:rsid w:val="00C45898"/>
    <w:rsid w:val="00C45E7E"/>
    <w:rsid w:val="00C4685B"/>
    <w:rsid w:val="00C46926"/>
    <w:rsid w:val="00C46C25"/>
    <w:rsid w:val="00C478A1"/>
    <w:rsid w:val="00C47F44"/>
    <w:rsid w:val="00C5004B"/>
    <w:rsid w:val="00C50832"/>
    <w:rsid w:val="00C50AB3"/>
    <w:rsid w:val="00C5265E"/>
    <w:rsid w:val="00C52BDB"/>
    <w:rsid w:val="00C52CD0"/>
    <w:rsid w:val="00C530FA"/>
    <w:rsid w:val="00C53DBF"/>
    <w:rsid w:val="00C5482D"/>
    <w:rsid w:val="00C5582E"/>
    <w:rsid w:val="00C60541"/>
    <w:rsid w:val="00C6115D"/>
    <w:rsid w:val="00C61379"/>
    <w:rsid w:val="00C62550"/>
    <w:rsid w:val="00C63BFB"/>
    <w:rsid w:val="00C644B3"/>
    <w:rsid w:val="00C650F3"/>
    <w:rsid w:val="00C6538D"/>
    <w:rsid w:val="00C65E36"/>
    <w:rsid w:val="00C66464"/>
    <w:rsid w:val="00C668BF"/>
    <w:rsid w:val="00C66A1E"/>
    <w:rsid w:val="00C66C96"/>
    <w:rsid w:val="00C670B7"/>
    <w:rsid w:val="00C673E3"/>
    <w:rsid w:val="00C6799C"/>
    <w:rsid w:val="00C70693"/>
    <w:rsid w:val="00C7095D"/>
    <w:rsid w:val="00C70965"/>
    <w:rsid w:val="00C71759"/>
    <w:rsid w:val="00C71BF6"/>
    <w:rsid w:val="00C72FD3"/>
    <w:rsid w:val="00C7377A"/>
    <w:rsid w:val="00C73D25"/>
    <w:rsid w:val="00C74DFF"/>
    <w:rsid w:val="00C7517A"/>
    <w:rsid w:val="00C751DF"/>
    <w:rsid w:val="00C7532E"/>
    <w:rsid w:val="00C76378"/>
    <w:rsid w:val="00C774D2"/>
    <w:rsid w:val="00C8024A"/>
    <w:rsid w:val="00C80695"/>
    <w:rsid w:val="00C81913"/>
    <w:rsid w:val="00C8209A"/>
    <w:rsid w:val="00C822B0"/>
    <w:rsid w:val="00C8298E"/>
    <w:rsid w:val="00C82C3D"/>
    <w:rsid w:val="00C830B7"/>
    <w:rsid w:val="00C83A31"/>
    <w:rsid w:val="00C83BA5"/>
    <w:rsid w:val="00C83EB0"/>
    <w:rsid w:val="00C84593"/>
    <w:rsid w:val="00C84FBF"/>
    <w:rsid w:val="00C85F98"/>
    <w:rsid w:val="00C8744F"/>
    <w:rsid w:val="00C875DE"/>
    <w:rsid w:val="00C8781C"/>
    <w:rsid w:val="00C919BE"/>
    <w:rsid w:val="00C91DB5"/>
    <w:rsid w:val="00C92739"/>
    <w:rsid w:val="00C92CD9"/>
    <w:rsid w:val="00C93235"/>
    <w:rsid w:val="00C93F39"/>
    <w:rsid w:val="00C94176"/>
    <w:rsid w:val="00C9453D"/>
    <w:rsid w:val="00C94DB6"/>
    <w:rsid w:val="00C95183"/>
    <w:rsid w:val="00C95A46"/>
    <w:rsid w:val="00C9620D"/>
    <w:rsid w:val="00C96700"/>
    <w:rsid w:val="00C96D51"/>
    <w:rsid w:val="00CA0AA6"/>
    <w:rsid w:val="00CA19A6"/>
    <w:rsid w:val="00CA203F"/>
    <w:rsid w:val="00CA2A65"/>
    <w:rsid w:val="00CA325D"/>
    <w:rsid w:val="00CA35B5"/>
    <w:rsid w:val="00CA3956"/>
    <w:rsid w:val="00CA42F7"/>
    <w:rsid w:val="00CA4891"/>
    <w:rsid w:val="00CA4987"/>
    <w:rsid w:val="00CA4CDB"/>
    <w:rsid w:val="00CA5021"/>
    <w:rsid w:val="00CA646E"/>
    <w:rsid w:val="00CA6F8B"/>
    <w:rsid w:val="00CA70B8"/>
    <w:rsid w:val="00CA747A"/>
    <w:rsid w:val="00CB0566"/>
    <w:rsid w:val="00CB0FCF"/>
    <w:rsid w:val="00CB1645"/>
    <w:rsid w:val="00CB1915"/>
    <w:rsid w:val="00CB2090"/>
    <w:rsid w:val="00CB369E"/>
    <w:rsid w:val="00CB3FCA"/>
    <w:rsid w:val="00CB52CE"/>
    <w:rsid w:val="00CB6335"/>
    <w:rsid w:val="00CB6F66"/>
    <w:rsid w:val="00CC10A6"/>
    <w:rsid w:val="00CC14B2"/>
    <w:rsid w:val="00CC156D"/>
    <w:rsid w:val="00CC18C1"/>
    <w:rsid w:val="00CC2011"/>
    <w:rsid w:val="00CC360A"/>
    <w:rsid w:val="00CC4350"/>
    <w:rsid w:val="00CC5046"/>
    <w:rsid w:val="00CC59AC"/>
    <w:rsid w:val="00CC59E4"/>
    <w:rsid w:val="00CC5CAB"/>
    <w:rsid w:val="00CC61A5"/>
    <w:rsid w:val="00CC6556"/>
    <w:rsid w:val="00CC680D"/>
    <w:rsid w:val="00CC6F7A"/>
    <w:rsid w:val="00CC7459"/>
    <w:rsid w:val="00CD0B12"/>
    <w:rsid w:val="00CD1DCE"/>
    <w:rsid w:val="00CD1DEF"/>
    <w:rsid w:val="00CD1FF3"/>
    <w:rsid w:val="00CD28D2"/>
    <w:rsid w:val="00CD34BC"/>
    <w:rsid w:val="00CD3D3E"/>
    <w:rsid w:val="00CD500E"/>
    <w:rsid w:val="00CD55B0"/>
    <w:rsid w:val="00CD5BD9"/>
    <w:rsid w:val="00CD5E39"/>
    <w:rsid w:val="00CD6300"/>
    <w:rsid w:val="00CD64D8"/>
    <w:rsid w:val="00CD67D3"/>
    <w:rsid w:val="00CD6AED"/>
    <w:rsid w:val="00CD6E52"/>
    <w:rsid w:val="00CD78AC"/>
    <w:rsid w:val="00CE048D"/>
    <w:rsid w:val="00CE2494"/>
    <w:rsid w:val="00CE2513"/>
    <w:rsid w:val="00CE25E2"/>
    <w:rsid w:val="00CE2C9E"/>
    <w:rsid w:val="00CE2FED"/>
    <w:rsid w:val="00CE36B6"/>
    <w:rsid w:val="00CE48AE"/>
    <w:rsid w:val="00CE5943"/>
    <w:rsid w:val="00CE6ECC"/>
    <w:rsid w:val="00CE6F72"/>
    <w:rsid w:val="00CE6F99"/>
    <w:rsid w:val="00CF0275"/>
    <w:rsid w:val="00CF06A0"/>
    <w:rsid w:val="00CF0BB5"/>
    <w:rsid w:val="00CF113B"/>
    <w:rsid w:val="00CF1313"/>
    <w:rsid w:val="00CF1802"/>
    <w:rsid w:val="00CF1DF9"/>
    <w:rsid w:val="00CF3175"/>
    <w:rsid w:val="00CF41C4"/>
    <w:rsid w:val="00CF46D8"/>
    <w:rsid w:val="00CF5179"/>
    <w:rsid w:val="00CF5CC9"/>
    <w:rsid w:val="00CF6B1B"/>
    <w:rsid w:val="00CF7470"/>
    <w:rsid w:val="00CF7B88"/>
    <w:rsid w:val="00D005A2"/>
    <w:rsid w:val="00D00B46"/>
    <w:rsid w:val="00D00D19"/>
    <w:rsid w:val="00D0103A"/>
    <w:rsid w:val="00D01185"/>
    <w:rsid w:val="00D0193B"/>
    <w:rsid w:val="00D01B08"/>
    <w:rsid w:val="00D027D9"/>
    <w:rsid w:val="00D02C58"/>
    <w:rsid w:val="00D02D7B"/>
    <w:rsid w:val="00D03DA3"/>
    <w:rsid w:val="00D04032"/>
    <w:rsid w:val="00D0446D"/>
    <w:rsid w:val="00D04D54"/>
    <w:rsid w:val="00D051BD"/>
    <w:rsid w:val="00D05494"/>
    <w:rsid w:val="00D0571E"/>
    <w:rsid w:val="00D05F24"/>
    <w:rsid w:val="00D0763D"/>
    <w:rsid w:val="00D07912"/>
    <w:rsid w:val="00D07B5B"/>
    <w:rsid w:val="00D10690"/>
    <w:rsid w:val="00D108E1"/>
    <w:rsid w:val="00D10A50"/>
    <w:rsid w:val="00D10A6B"/>
    <w:rsid w:val="00D112B7"/>
    <w:rsid w:val="00D116A6"/>
    <w:rsid w:val="00D1228F"/>
    <w:rsid w:val="00D12408"/>
    <w:rsid w:val="00D13E51"/>
    <w:rsid w:val="00D1409C"/>
    <w:rsid w:val="00D14909"/>
    <w:rsid w:val="00D149F0"/>
    <w:rsid w:val="00D14DE9"/>
    <w:rsid w:val="00D151DE"/>
    <w:rsid w:val="00D154C6"/>
    <w:rsid w:val="00D15B64"/>
    <w:rsid w:val="00D15F02"/>
    <w:rsid w:val="00D16F45"/>
    <w:rsid w:val="00D17051"/>
    <w:rsid w:val="00D171B4"/>
    <w:rsid w:val="00D1722D"/>
    <w:rsid w:val="00D178A8"/>
    <w:rsid w:val="00D17D21"/>
    <w:rsid w:val="00D20359"/>
    <w:rsid w:val="00D204F3"/>
    <w:rsid w:val="00D2067D"/>
    <w:rsid w:val="00D206AB"/>
    <w:rsid w:val="00D20898"/>
    <w:rsid w:val="00D20DB4"/>
    <w:rsid w:val="00D2158D"/>
    <w:rsid w:val="00D215D1"/>
    <w:rsid w:val="00D2319E"/>
    <w:rsid w:val="00D23B79"/>
    <w:rsid w:val="00D24BA5"/>
    <w:rsid w:val="00D257A1"/>
    <w:rsid w:val="00D26F56"/>
    <w:rsid w:val="00D2759D"/>
    <w:rsid w:val="00D30522"/>
    <w:rsid w:val="00D307DB"/>
    <w:rsid w:val="00D30B8B"/>
    <w:rsid w:val="00D319F8"/>
    <w:rsid w:val="00D32C35"/>
    <w:rsid w:val="00D32D4C"/>
    <w:rsid w:val="00D32D6C"/>
    <w:rsid w:val="00D331B7"/>
    <w:rsid w:val="00D33345"/>
    <w:rsid w:val="00D33762"/>
    <w:rsid w:val="00D33C5F"/>
    <w:rsid w:val="00D34D2C"/>
    <w:rsid w:val="00D3565D"/>
    <w:rsid w:val="00D35F86"/>
    <w:rsid w:val="00D36DBC"/>
    <w:rsid w:val="00D3716A"/>
    <w:rsid w:val="00D372DF"/>
    <w:rsid w:val="00D373B3"/>
    <w:rsid w:val="00D37508"/>
    <w:rsid w:val="00D40317"/>
    <w:rsid w:val="00D4034A"/>
    <w:rsid w:val="00D41D23"/>
    <w:rsid w:val="00D42AB9"/>
    <w:rsid w:val="00D42ABC"/>
    <w:rsid w:val="00D43597"/>
    <w:rsid w:val="00D454FF"/>
    <w:rsid w:val="00D46040"/>
    <w:rsid w:val="00D46200"/>
    <w:rsid w:val="00D46286"/>
    <w:rsid w:val="00D465BE"/>
    <w:rsid w:val="00D46707"/>
    <w:rsid w:val="00D46C26"/>
    <w:rsid w:val="00D4713A"/>
    <w:rsid w:val="00D47D7A"/>
    <w:rsid w:val="00D502B2"/>
    <w:rsid w:val="00D5039F"/>
    <w:rsid w:val="00D50726"/>
    <w:rsid w:val="00D514B2"/>
    <w:rsid w:val="00D52326"/>
    <w:rsid w:val="00D54784"/>
    <w:rsid w:val="00D54C6E"/>
    <w:rsid w:val="00D54E67"/>
    <w:rsid w:val="00D54FA0"/>
    <w:rsid w:val="00D5504C"/>
    <w:rsid w:val="00D55A46"/>
    <w:rsid w:val="00D56553"/>
    <w:rsid w:val="00D56F65"/>
    <w:rsid w:val="00D57277"/>
    <w:rsid w:val="00D57CB1"/>
    <w:rsid w:val="00D6022F"/>
    <w:rsid w:val="00D604AC"/>
    <w:rsid w:val="00D60579"/>
    <w:rsid w:val="00D60615"/>
    <w:rsid w:val="00D60E77"/>
    <w:rsid w:val="00D61120"/>
    <w:rsid w:val="00D61E00"/>
    <w:rsid w:val="00D61E75"/>
    <w:rsid w:val="00D623B6"/>
    <w:rsid w:val="00D62610"/>
    <w:rsid w:val="00D62F88"/>
    <w:rsid w:val="00D632A0"/>
    <w:rsid w:val="00D638AB"/>
    <w:rsid w:val="00D642EE"/>
    <w:rsid w:val="00D64508"/>
    <w:rsid w:val="00D6479A"/>
    <w:rsid w:val="00D64BBE"/>
    <w:rsid w:val="00D65550"/>
    <w:rsid w:val="00D65B4D"/>
    <w:rsid w:val="00D667B0"/>
    <w:rsid w:val="00D7078D"/>
    <w:rsid w:val="00D71599"/>
    <w:rsid w:val="00D722DF"/>
    <w:rsid w:val="00D72378"/>
    <w:rsid w:val="00D72FD9"/>
    <w:rsid w:val="00D73E9D"/>
    <w:rsid w:val="00D73FEA"/>
    <w:rsid w:val="00D749F8"/>
    <w:rsid w:val="00D75079"/>
    <w:rsid w:val="00D755B6"/>
    <w:rsid w:val="00D75613"/>
    <w:rsid w:val="00D75CC9"/>
    <w:rsid w:val="00D76961"/>
    <w:rsid w:val="00D769EC"/>
    <w:rsid w:val="00D76BF1"/>
    <w:rsid w:val="00D77155"/>
    <w:rsid w:val="00D77186"/>
    <w:rsid w:val="00D77278"/>
    <w:rsid w:val="00D774FC"/>
    <w:rsid w:val="00D77986"/>
    <w:rsid w:val="00D81881"/>
    <w:rsid w:val="00D82081"/>
    <w:rsid w:val="00D83553"/>
    <w:rsid w:val="00D840F0"/>
    <w:rsid w:val="00D84560"/>
    <w:rsid w:val="00D84F9C"/>
    <w:rsid w:val="00D853B2"/>
    <w:rsid w:val="00D85830"/>
    <w:rsid w:val="00D85AD6"/>
    <w:rsid w:val="00D861E6"/>
    <w:rsid w:val="00D90306"/>
    <w:rsid w:val="00D90339"/>
    <w:rsid w:val="00D90D85"/>
    <w:rsid w:val="00D91082"/>
    <w:rsid w:val="00D914C1"/>
    <w:rsid w:val="00D91780"/>
    <w:rsid w:val="00D92097"/>
    <w:rsid w:val="00D92359"/>
    <w:rsid w:val="00D926BA"/>
    <w:rsid w:val="00D927AE"/>
    <w:rsid w:val="00D92D01"/>
    <w:rsid w:val="00D92EA9"/>
    <w:rsid w:val="00D930CA"/>
    <w:rsid w:val="00D93332"/>
    <w:rsid w:val="00D93417"/>
    <w:rsid w:val="00D936E6"/>
    <w:rsid w:val="00D94382"/>
    <w:rsid w:val="00D95CF4"/>
    <w:rsid w:val="00D96B23"/>
    <w:rsid w:val="00D97DB1"/>
    <w:rsid w:val="00DA0040"/>
    <w:rsid w:val="00DA0C03"/>
    <w:rsid w:val="00DA0E99"/>
    <w:rsid w:val="00DA1AA2"/>
    <w:rsid w:val="00DA3904"/>
    <w:rsid w:val="00DA3BA1"/>
    <w:rsid w:val="00DA3C17"/>
    <w:rsid w:val="00DA4876"/>
    <w:rsid w:val="00DA49D4"/>
    <w:rsid w:val="00DA64DB"/>
    <w:rsid w:val="00DA6BED"/>
    <w:rsid w:val="00DA7744"/>
    <w:rsid w:val="00DB01AA"/>
    <w:rsid w:val="00DB04F1"/>
    <w:rsid w:val="00DB1262"/>
    <w:rsid w:val="00DB1710"/>
    <w:rsid w:val="00DB21B7"/>
    <w:rsid w:val="00DB22C3"/>
    <w:rsid w:val="00DB305E"/>
    <w:rsid w:val="00DB3C17"/>
    <w:rsid w:val="00DB502E"/>
    <w:rsid w:val="00DB52E8"/>
    <w:rsid w:val="00DB54D5"/>
    <w:rsid w:val="00DB675A"/>
    <w:rsid w:val="00DB6DC3"/>
    <w:rsid w:val="00DB7141"/>
    <w:rsid w:val="00DB73C4"/>
    <w:rsid w:val="00DB746E"/>
    <w:rsid w:val="00DC0258"/>
    <w:rsid w:val="00DC1926"/>
    <w:rsid w:val="00DC2B28"/>
    <w:rsid w:val="00DC2C0F"/>
    <w:rsid w:val="00DC2ED5"/>
    <w:rsid w:val="00DC389B"/>
    <w:rsid w:val="00DC3937"/>
    <w:rsid w:val="00DC3AD5"/>
    <w:rsid w:val="00DC401F"/>
    <w:rsid w:val="00DC42EF"/>
    <w:rsid w:val="00DC45AA"/>
    <w:rsid w:val="00DC45D5"/>
    <w:rsid w:val="00DC6453"/>
    <w:rsid w:val="00DC6657"/>
    <w:rsid w:val="00DC66F4"/>
    <w:rsid w:val="00DC69A9"/>
    <w:rsid w:val="00DC7002"/>
    <w:rsid w:val="00DC7524"/>
    <w:rsid w:val="00DC7A1C"/>
    <w:rsid w:val="00DD046E"/>
    <w:rsid w:val="00DD0744"/>
    <w:rsid w:val="00DD2A14"/>
    <w:rsid w:val="00DD2EBB"/>
    <w:rsid w:val="00DD30B8"/>
    <w:rsid w:val="00DD33C4"/>
    <w:rsid w:val="00DD47A1"/>
    <w:rsid w:val="00DD47FE"/>
    <w:rsid w:val="00DD483F"/>
    <w:rsid w:val="00DD4D9B"/>
    <w:rsid w:val="00DD5577"/>
    <w:rsid w:val="00DD597A"/>
    <w:rsid w:val="00DD5F70"/>
    <w:rsid w:val="00DD6BCA"/>
    <w:rsid w:val="00DD7227"/>
    <w:rsid w:val="00DD72E5"/>
    <w:rsid w:val="00DD7347"/>
    <w:rsid w:val="00DD74F1"/>
    <w:rsid w:val="00DD763C"/>
    <w:rsid w:val="00DE0188"/>
    <w:rsid w:val="00DE0283"/>
    <w:rsid w:val="00DE0C39"/>
    <w:rsid w:val="00DE129D"/>
    <w:rsid w:val="00DE16FB"/>
    <w:rsid w:val="00DE277E"/>
    <w:rsid w:val="00DE287F"/>
    <w:rsid w:val="00DE2978"/>
    <w:rsid w:val="00DE347E"/>
    <w:rsid w:val="00DE46F5"/>
    <w:rsid w:val="00DE484A"/>
    <w:rsid w:val="00DE4DC7"/>
    <w:rsid w:val="00DE6FC4"/>
    <w:rsid w:val="00DE7510"/>
    <w:rsid w:val="00DE7C61"/>
    <w:rsid w:val="00DE7D4E"/>
    <w:rsid w:val="00DF00AE"/>
    <w:rsid w:val="00DF0287"/>
    <w:rsid w:val="00DF0693"/>
    <w:rsid w:val="00DF0864"/>
    <w:rsid w:val="00DF09C4"/>
    <w:rsid w:val="00DF25B4"/>
    <w:rsid w:val="00DF2645"/>
    <w:rsid w:val="00DF2729"/>
    <w:rsid w:val="00DF3721"/>
    <w:rsid w:val="00DF42A9"/>
    <w:rsid w:val="00DF5BBA"/>
    <w:rsid w:val="00DF5BC6"/>
    <w:rsid w:val="00DF6B69"/>
    <w:rsid w:val="00DF6DB0"/>
    <w:rsid w:val="00DF76BE"/>
    <w:rsid w:val="00DF7D14"/>
    <w:rsid w:val="00DF7D35"/>
    <w:rsid w:val="00DF7E21"/>
    <w:rsid w:val="00E002E7"/>
    <w:rsid w:val="00E0082B"/>
    <w:rsid w:val="00E01135"/>
    <w:rsid w:val="00E01AEB"/>
    <w:rsid w:val="00E021AD"/>
    <w:rsid w:val="00E045EF"/>
    <w:rsid w:val="00E04692"/>
    <w:rsid w:val="00E04756"/>
    <w:rsid w:val="00E049CF"/>
    <w:rsid w:val="00E04A2D"/>
    <w:rsid w:val="00E051B6"/>
    <w:rsid w:val="00E0564F"/>
    <w:rsid w:val="00E0587C"/>
    <w:rsid w:val="00E05932"/>
    <w:rsid w:val="00E06FE9"/>
    <w:rsid w:val="00E10754"/>
    <w:rsid w:val="00E10984"/>
    <w:rsid w:val="00E10ABC"/>
    <w:rsid w:val="00E11400"/>
    <w:rsid w:val="00E11591"/>
    <w:rsid w:val="00E11987"/>
    <w:rsid w:val="00E11BC6"/>
    <w:rsid w:val="00E139E8"/>
    <w:rsid w:val="00E14634"/>
    <w:rsid w:val="00E14E70"/>
    <w:rsid w:val="00E1657A"/>
    <w:rsid w:val="00E167BD"/>
    <w:rsid w:val="00E16A7D"/>
    <w:rsid w:val="00E16D22"/>
    <w:rsid w:val="00E17B19"/>
    <w:rsid w:val="00E17D43"/>
    <w:rsid w:val="00E20348"/>
    <w:rsid w:val="00E211F8"/>
    <w:rsid w:val="00E21529"/>
    <w:rsid w:val="00E21A5D"/>
    <w:rsid w:val="00E21DDE"/>
    <w:rsid w:val="00E22EF8"/>
    <w:rsid w:val="00E2388F"/>
    <w:rsid w:val="00E24733"/>
    <w:rsid w:val="00E250D4"/>
    <w:rsid w:val="00E26409"/>
    <w:rsid w:val="00E265C7"/>
    <w:rsid w:val="00E26E34"/>
    <w:rsid w:val="00E26F30"/>
    <w:rsid w:val="00E27FC7"/>
    <w:rsid w:val="00E305D4"/>
    <w:rsid w:val="00E30621"/>
    <w:rsid w:val="00E31033"/>
    <w:rsid w:val="00E311E2"/>
    <w:rsid w:val="00E32123"/>
    <w:rsid w:val="00E32929"/>
    <w:rsid w:val="00E329C9"/>
    <w:rsid w:val="00E32A73"/>
    <w:rsid w:val="00E32BF2"/>
    <w:rsid w:val="00E33191"/>
    <w:rsid w:val="00E331AA"/>
    <w:rsid w:val="00E331AF"/>
    <w:rsid w:val="00E33390"/>
    <w:rsid w:val="00E3351D"/>
    <w:rsid w:val="00E339D5"/>
    <w:rsid w:val="00E33D7D"/>
    <w:rsid w:val="00E3470C"/>
    <w:rsid w:val="00E3559F"/>
    <w:rsid w:val="00E35734"/>
    <w:rsid w:val="00E3582D"/>
    <w:rsid w:val="00E35EAC"/>
    <w:rsid w:val="00E36346"/>
    <w:rsid w:val="00E369D1"/>
    <w:rsid w:val="00E36E18"/>
    <w:rsid w:val="00E40820"/>
    <w:rsid w:val="00E40CBC"/>
    <w:rsid w:val="00E4165B"/>
    <w:rsid w:val="00E42042"/>
    <w:rsid w:val="00E42C9F"/>
    <w:rsid w:val="00E42CCE"/>
    <w:rsid w:val="00E42CDD"/>
    <w:rsid w:val="00E431F4"/>
    <w:rsid w:val="00E43220"/>
    <w:rsid w:val="00E4375A"/>
    <w:rsid w:val="00E43D63"/>
    <w:rsid w:val="00E43DBD"/>
    <w:rsid w:val="00E4445E"/>
    <w:rsid w:val="00E44805"/>
    <w:rsid w:val="00E457F7"/>
    <w:rsid w:val="00E46119"/>
    <w:rsid w:val="00E4620E"/>
    <w:rsid w:val="00E47058"/>
    <w:rsid w:val="00E47AB9"/>
    <w:rsid w:val="00E5061F"/>
    <w:rsid w:val="00E50624"/>
    <w:rsid w:val="00E50F7A"/>
    <w:rsid w:val="00E515B5"/>
    <w:rsid w:val="00E51746"/>
    <w:rsid w:val="00E51AFF"/>
    <w:rsid w:val="00E520C1"/>
    <w:rsid w:val="00E52112"/>
    <w:rsid w:val="00E52856"/>
    <w:rsid w:val="00E53288"/>
    <w:rsid w:val="00E539B2"/>
    <w:rsid w:val="00E53D2A"/>
    <w:rsid w:val="00E53EF1"/>
    <w:rsid w:val="00E54922"/>
    <w:rsid w:val="00E554ED"/>
    <w:rsid w:val="00E5616E"/>
    <w:rsid w:val="00E5722D"/>
    <w:rsid w:val="00E572D6"/>
    <w:rsid w:val="00E5763A"/>
    <w:rsid w:val="00E57A60"/>
    <w:rsid w:val="00E57A94"/>
    <w:rsid w:val="00E612A2"/>
    <w:rsid w:val="00E615CE"/>
    <w:rsid w:val="00E620AD"/>
    <w:rsid w:val="00E62B31"/>
    <w:rsid w:val="00E62CC1"/>
    <w:rsid w:val="00E62D65"/>
    <w:rsid w:val="00E630A1"/>
    <w:rsid w:val="00E646A0"/>
    <w:rsid w:val="00E65178"/>
    <w:rsid w:val="00E6534F"/>
    <w:rsid w:val="00E654C6"/>
    <w:rsid w:val="00E66BC7"/>
    <w:rsid w:val="00E677D3"/>
    <w:rsid w:val="00E70119"/>
    <w:rsid w:val="00E717E5"/>
    <w:rsid w:val="00E71C41"/>
    <w:rsid w:val="00E71D09"/>
    <w:rsid w:val="00E73474"/>
    <w:rsid w:val="00E735AF"/>
    <w:rsid w:val="00E73B6C"/>
    <w:rsid w:val="00E74203"/>
    <w:rsid w:val="00E74644"/>
    <w:rsid w:val="00E74A2E"/>
    <w:rsid w:val="00E74E39"/>
    <w:rsid w:val="00E75165"/>
    <w:rsid w:val="00E757D7"/>
    <w:rsid w:val="00E75B8E"/>
    <w:rsid w:val="00E76D1A"/>
    <w:rsid w:val="00E77026"/>
    <w:rsid w:val="00E7765C"/>
    <w:rsid w:val="00E8059D"/>
    <w:rsid w:val="00E80CBD"/>
    <w:rsid w:val="00E80CC1"/>
    <w:rsid w:val="00E81223"/>
    <w:rsid w:val="00E81B4C"/>
    <w:rsid w:val="00E82230"/>
    <w:rsid w:val="00E82588"/>
    <w:rsid w:val="00E82BC0"/>
    <w:rsid w:val="00E836D4"/>
    <w:rsid w:val="00E852E2"/>
    <w:rsid w:val="00E8565F"/>
    <w:rsid w:val="00E86290"/>
    <w:rsid w:val="00E86A6D"/>
    <w:rsid w:val="00E86AD2"/>
    <w:rsid w:val="00E87026"/>
    <w:rsid w:val="00E8738B"/>
    <w:rsid w:val="00E8755A"/>
    <w:rsid w:val="00E87992"/>
    <w:rsid w:val="00E9045E"/>
    <w:rsid w:val="00E90BBF"/>
    <w:rsid w:val="00E90E02"/>
    <w:rsid w:val="00E915D7"/>
    <w:rsid w:val="00E9174C"/>
    <w:rsid w:val="00E929A1"/>
    <w:rsid w:val="00E9344F"/>
    <w:rsid w:val="00E9375D"/>
    <w:rsid w:val="00E93F30"/>
    <w:rsid w:val="00E94C3D"/>
    <w:rsid w:val="00E95237"/>
    <w:rsid w:val="00E958DB"/>
    <w:rsid w:val="00E95F3F"/>
    <w:rsid w:val="00E96456"/>
    <w:rsid w:val="00E96A23"/>
    <w:rsid w:val="00E96D79"/>
    <w:rsid w:val="00E96F7C"/>
    <w:rsid w:val="00E970B8"/>
    <w:rsid w:val="00E97F8C"/>
    <w:rsid w:val="00EA0120"/>
    <w:rsid w:val="00EA01A9"/>
    <w:rsid w:val="00EA0206"/>
    <w:rsid w:val="00EA100C"/>
    <w:rsid w:val="00EA1510"/>
    <w:rsid w:val="00EA1D8E"/>
    <w:rsid w:val="00EA220D"/>
    <w:rsid w:val="00EA2927"/>
    <w:rsid w:val="00EA2FB9"/>
    <w:rsid w:val="00EA3128"/>
    <w:rsid w:val="00EA3A08"/>
    <w:rsid w:val="00EA3B66"/>
    <w:rsid w:val="00EA4CDD"/>
    <w:rsid w:val="00EA4E04"/>
    <w:rsid w:val="00EA5D60"/>
    <w:rsid w:val="00EA5DE1"/>
    <w:rsid w:val="00EA5EC4"/>
    <w:rsid w:val="00EB0181"/>
    <w:rsid w:val="00EB063B"/>
    <w:rsid w:val="00EB0DF1"/>
    <w:rsid w:val="00EB110E"/>
    <w:rsid w:val="00EB149D"/>
    <w:rsid w:val="00EB27F1"/>
    <w:rsid w:val="00EB39CF"/>
    <w:rsid w:val="00EB4023"/>
    <w:rsid w:val="00EB43EC"/>
    <w:rsid w:val="00EB49CA"/>
    <w:rsid w:val="00EB4ED5"/>
    <w:rsid w:val="00EB5CBA"/>
    <w:rsid w:val="00EB630F"/>
    <w:rsid w:val="00EB64E5"/>
    <w:rsid w:val="00EB67E0"/>
    <w:rsid w:val="00EB7325"/>
    <w:rsid w:val="00EB7730"/>
    <w:rsid w:val="00EC006B"/>
    <w:rsid w:val="00EC0EA5"/>
    <w:rsid w:val="00EC180F"/>
    <w:rsid w:val="00EC24C3"/>
    <w:rsid w:val="00EC3C2C"/>
    <w:rsid w:val="00EC3EBC"/>
    <w:rsid w:val="00EC5620"/>
    <w:rsid w:val="00EC5942"/>
    <w:rsid w:val="00EC5F02"/>
    <w:rsid w:val="00EC6F1B"/>
    <w:rsid w:val="00EC72D9"/>
    <w:rsid w:val="00EC7A7C"/>
    <w:rsid w:val="00ED16F2"/>
    <w:rsid w:val="00ED1E9C"/>
    <w:rsid w:val="00ED1FC5"/>
    <w:rsid w:val="00ED26B8"/>
    <w:rsid w:val="00ED333F"/>
    <w:rsid w:val="00ED361C"/>
    <w:rsid w:val="00ED3722"/>
    <w:rsid w:val="00ED396F"/>
    <w:rsid w:val="00ED44BD"/>
    <w:rsid w:val="00ED49C2"/>
    <w:rsid w:val="00ED4C07"/>
    <w:rsid w:val="00ED50CA"/>
    <w:rsid w:val="00ED6511"/>
    <w:rsid w:val="00ED671C"/>
    <w:rsid w:val="00ED739D"/>
    <w:rsid w:val="00ED7BB0"/>
    <w:rsid w:val="00EE10A3"/>
    <w:rsid w:val="00EE1C9B"/>
    <w:rsid w:val="00EE2A9C"/>
    <w:rsid w:val="00EE2D3D"/>
    <w:rsid w:val="00EE3399"/>
    <w:rsid w:val="00EE374D"/>
    <w:rsid w:val="00EE37A5"/>
    <w:rsid w:val="00EE3AE4"/>
    <w:rsid w:val="00EE444D"/>
    <w:rsid w:val="00EE58A9"/>
    <w:rsid w:val="00EE599D"/>
    <w:rsid w:val="00EE5A6A"/>
    <w:rsid w:val="00EE5CC3"/>
    <w:rsid w:val="00EE606D"/>
    <w:rsid w:val="00EE6510"/>
    <w:rsid w:val="00EE71F6"/>
    <w:rsid w:val="00EE75CF"/>
    <w:rsid w:val="00EE79EC"/>
    <w:rsid w:val="00EE7B5E"/>
    <w:rsid w:val="00EF047B"/>
    <w:rsid w:val="00EF05B6"/>
    <w:rsid w:val="00EF072A"/>
    <w:rsid w:val="00EF1005"/>
    <w:rsid w:val="00EF161C"/>
    <w:rsid w:val="00EF1F5C"/>
    <w:rsid w:val="00EF231C"/>
    <w:rsid w:val="00EF2A6F"/>
    <w:rsid w:val="00EF2C79"/>
    <w:rsid w:val="00EF300E"/>
    <w:rsid w:val="00EF3C9A"/>
    <w:rsid w:val="00EF474E"/>
    <w:rsid w:val="00EF56BE"/>
    <w:rsid w:val="00EF6034"/>
    <w:rsid w:val="00EF6B48"/>
    <w:rsid w:val="00EF6BBD"/>
    <w:rsid w:val="00EF6BD4"/>
    <w:rsid w:val="00EF7AEA"/>
    <w:rsid w:val="00F00308"/>
    <w:rsid w:val="00F00ADD"/>
    <w:rsid w:val="00F00E9F"/>
    <w:rsid w:val="00F02602"/>
    <w:rsid w:val="00F02DD7"/>
    <w:rsid w:val="00F0388B"/>
    <w:rsid w:val="00F03ACD"/>
    <w:rsid w:val="00F03CE8"/>
    <w:rsid w:val="00F03E26"/>
    <w:rsid w:val="00F04A5B"/>
    <w:rsid w:val="00F0502B"/>
    <w:rsid w:val="00F05929"/>
    <w:rsid w:val="00F06242"/>
    <w:rsid w:val="00F0691D"/>
    <w:rsid w:val="00F07608"/>
    <w:rsid w:val="00F07E40"/>
    <w:rsid w:val="00F102D0"/>
    <w:rsid w:val="00F10568"/>
    <w:rsid w:val="00F112FB"/>
    <w:rsid w:val="00F11AB5"/>
    <w:rsid w:val="00F1204E"/>
    <w:rsid w:val="00F124B2"/>
    <w:rsid w:val="00F12874"/>
    <w:rsid w:val="00F133AD"/>
    <w:rsid w:val="00F13AEE"/>
    <w:rsid w:val="00F13D3E"/>
    <w:rsid w:val="00F144A3"/>
    <w:rsid w:val="00F14561"/>
    <w:rsid w:val="00F147D0"/>
    <w:rsid w:val="00F14D6E"/>
    <w:rsid w:val="00F15C60"/>
    <w:rsid w:val="00F200ED"/>
    <w:rsid w:val="00F20429"/>
    <w:rsid w:val="00F207E3"/>
    <w:rsid w:val="00F2161E"/>
    <w:rsid w:val="00F2195C"/>
    <w:rsid w:val="00F21A52"/>
    <w:rsid w:val="00F21C1B"/>
    <w:rsid w:val="00F22DFE"/>
    <w:rsid w:val="00F22F80"/>
    <w:rsid w:val="00F2388E"/>
    <w:rsid w:val="00F23B7B"/>
    <w:rsid w:val="00F244AE"/>
    <w:rsid w:val="00F244FF"/>
    <w:rsid w:val="00F24A32"/>
    <w:rsid w:val="00F24FE1"/>
    <w:rsid w:val="00F25B6A"/>
    <w:rsid w:val="00F25FA4"/>
    <w:rsid w:val="00F26662"/>
    <w:rsid w:val="00F26CD7"/>
    <w:rsid w:val="00F26F8F"/>
    <w:rsid w:val="00F277DB"/>
    <w:rsid w:val="00F27B87"/>
    <w:rsid w:val="00F3026E"/>
    <w:rsid w:val="00F30B4E"/>
    <w:rsid w:val="00F30ECA"/>
    <w:rsid w:val="00F311DF"/>
    <w:rsid w:val="00F313D2"/>
    <w:rsid w:val="00F31641"/>
    <w:rsid w:val="00F31FE7"/>
    <w:rsid w:val="00F323BA"/>
    <w:rsid w:val="00F3364E"/>
    <w:rsid w:val="00F336B5"/>
    <w:rsid w:val="00F33999"/>
    <w:rsid w:val="00F339C0"/>
    <w:rsid w:val="00F34F20"/>
    <w:rsid w:val="00F35EC0"/>
    <w:rsid w:val="00F36086"/>
    <w:rsid w:val="00F36654"/>
    <w:rsid w:val="00F36C39"/>
    <w:rsid w:val="00F37406"/>
    <w:rsid w:val="00F37AE9"/>
    <w:rsid w:val="00F37BAF"/>
    <w:rsid w:val="00F37CB5"/>
    <w:rsid w:val="00F37D20"/>
    <w:rsid w:val="00F41790"/>
    <w:rsid w:val="00F41D3E"/>
    <w:rsid w:val="00F426D2"/>
    <w:rsid w:val="00F42A61"/>
    <w:rsid w:val="00F4306B"/>
    <w:rsid w:val="00F43642"/>
    <w:rsid w:val="00F43D99"/>
    <w:rsid w:val="00F44E85"/>
    <w:rsid w:val="00F45700"/>
    <w:rsid w:val="00F45B8B"/>
    <w:rsid w:val="00F4690E"/>
    <w:rsid w:val="00F46C25"/>
    <w:rsid w:val="00F46DB2"/>
    <w:rsid w:val="00F46F4A"/>
    <w:rsid w:val="00F47754"/>
    <w:rsid w:val="00F4792C"/>
    <w:rsid w:val="00F47C6C"/>
    <w:rsid w:val="00F50999"/>
    <w:rsid w:val="00F519ED"/>
    <w:rsid w:val="00F51F80"/>
    <w:rsid w:val="00F51FD7"/>
    <w:rsid w:val="00F5281B"/>
    <w:rsid w:val="00F52A9C"/>
    <w:rsid w:val="00F52E2F"/>
    <w:rsid w:val="00F52EBD"/>
    <w:rsid w:val="00F52FFB"/>
    <w:rsid w:val="00F541C2"/>
    <w:rsid w:val="00F5441D"/>
    <w:rsid w:val="00F55EAB"/>
    <w:rsid w:val="00F563FA"/>
    <w:rsid w:val="00F57265"/>
    <w:rsid w:val="00F574B5"/>
    <w:rsid w:val="00F5760C"/>
    <w:rsid w:val="00F57685"/>
    <w:rsid w:val="00F6063C"/>
    <w:rsid w:val="00F607B6"/>
    <w:rsid w:val="00F6087C"/>
    <w:rsid w:val="00F609AE"/>
    <w:rsid w:val="00F60D21"/>
    <w:rsid w:val="00F61116"/>
    <w:rsid w:val="00F6150D"/>
    <w:rsid w:val="00F61A88"/>
    <w:rsid w:val="00F63EE2"/>
    <w:rsid w:val="00F64B83"/>
    <w:rsid w:val="00F65790"/>
    <w:rsid w:val="00F65863"/>
    <w:rsid w:val="00F65AC4"/>
    <w:rsid w:val="00F65D68"/>
    <w:rsid w:val="00F65F45"/>
    <w:rsid w:val="00F6604E"/>
    <w:rsid w:val="00F668AE"/>
    <w:rsid w:val="00F66B40"/>
    <w:rsid w:val="00F67B60"/>
    <w:rsid w:val="00F67BDE"/>
    <w:rsid w:val="00F67C45"/>
    <w:rsid w:val="00F70254"/>
    <w:rsid w:val="00F7106E"/>
    <w:rsid w:val="00F72663"/>
    <w:rsid w:val="00F72858"/>
    <w:rsid w:val="00F728C7"/>
    <w:rsid w:val="00F7290A"/>
    <w:rsid w:val="00F72F2C"/>
    <w:rsid w:val="00F73407"/>
    <w:rsid w:val="00F737C3"/>
    <w:rsid w:val="00F738BC"/>
    <w:rsid w:val="00F73D66"/>
    <w:rsid w:val="00F744DD"/>
    <w:rsid w:val="00F74628"/>
    <w:rsid w:val="00F74C98"/>
    <w:rsid w:val="00F752D4"/>
    <w:rsid w:val="00F75A9C"/>
    <w:rsid w:val="00F75DA3"/>
    <w:rsid w:val="00F760FD"/>
    <w:rsid w:val="00F76A0E"/>
    <w:rsid w:val="00F76A97"/>
    <w:rsid w:val="00F76E21"/>
    <w:rsid w:val="00F77104"/>
    <w:rsid w:val="00F775FD"/>
    <w:rsid w:val="00F8045D"/>
    <w:rsid w:val="00F80AA4"/>
    <w:rsid w:val="00F80BD2"/>
    <w:rsid w:val="00F83318"/>
    <w:rsid w:val="00F83647"/>
    <w:rsid w:val="00F83D8D"/>
    <w:rsid w:val="00F83F7A"/>
    <w:rsid w:val="00F843A5"/>
    <w:rsid w:val="00F8447A"/>
    <w:rsid w:val="00F84D6C"/>
    <w:rsid w:val="00F84E1E"/>
    <w:rsid w:val="00F85B77"/>
    <w:rsid w:val="00F85CA6"/>
    <w:rsid w:val="00F85F5E"/>
    <w:rsid w:val="00F87BBE"/>
    <w:rsid w:val="00F87C29"/>
    <w:rsid w:val="00F90130"/>
    <w:rsid w:val="00F905A2"/>
    <w:rsid w:val="00F90D17"/>
    <w:rsid w:val="00F91388"/>
    <w:rsid w:val="00F9251B"/>
    <w:rsid w:val="00F93663"/>
    <w:rsid w:val="00F95616"/>
    <w:rsid w:val="00F95767"/>
    <w:rsid w:val="00F967FE"/>
    <w:rsid w:val="00F96DAA"/>
    <w:rsid w:val="00F97A3A"/>
    <w:rsid w:val="00FA0483"/>
    <w:rsid w:val="00FA084B"/>
    <w:rsid w:val="00FA08AF"/>
    <w:rsid w:val="00FA0A13"/>
    <w:rsid w:val="00FA0FD0"/>
    <w:rsid w:val="00FA18E2"/>
    <w:rsid w:val="00FA23DD"/>
    <w:rsid w:val="00FA23E0"/>
    <w:rsid w:val="00FA3FBF"/>
    <w:rsid w:val="00FA42FB"/>
    <w:rsid w:val="00FA6166"/>
    <w:rsid w:val="00FA6422"/>
    <w:rsid w:val="00FA64FB"/>
    <w:rsid w:val="00FA6B6A"/>
    <w:rsid w:val="00FA7549"/>
    <w:rsid w:val="00FA794E"/>
    <w:rsid w:val="00FA7BC3"/>
    <w:rsid w:val="00FA7FDB"/>
    <w:rsid w:val="00FB0094"/>
    <w:rsid w:val="00FB035B"/>
    <w:rsid w:val="00FB0D7E"/>
    <w:rsid w:val="00FB0EE8"/>
    <w:rsid w:val="00FB1178"/>
    <w:rsid w:val="00FB15CA"/>
    <w:rsid w:val="00FB1778"/>
    <w:rsid w:val="00FB1B83"/>
    <w:rsid w:val="00FB244B"/>
    <w:rsid w:val="00FB29E6"/>
    <w:rsid w:val="00FB2EA9"/>
    <w:rsid w:val="00FB32A1"/>
    <w:rsid w:val="00FB335F"/>
    <w:rsid w:val="00FB3BD7"/>
    <w:rsid w:val="00FB52EC"/>
    <w:rsid w:val="00FB54B1"/>
    <w:rsid w:val="00FB55E0"/>
    <w:rsid w:val="00FB5B84"/>
    <w:rsid w:val="00FB6301"/>
    <w:rsid w:val="00FB67B0"/>
    <w:rsid w:val="00FB68DD"/>
    <w:rsid w:val="00FB69F0"/>
    <w:rsid w:val="00FB71E2"/>
    <w:rsid w:val="00FB74B3"/>
    <w:rsid w:val="00FB7BA7"/>
    <w:rsid w:val="00FB7EC1"/>
    <w:rsid w:val="00FC0902"/>
    <w:rsid w:val="00FC114D"/>
    <w:rsid w:val="00FC118B"/>
    <w:rsid w:val="00FC14CE"/>
    <w:rsid w:val="00FC1CC4"/>
    <w:rsid w:val="00FC3392"/>
    <w:rsid w:val="00FC3FD1"/>
    <w:rsid w:val="00FC4114"/>
    <w:rsid w:val="00FC43BC"/>
    <w:rsid w:val="00FC4EAC"/>
    <w:rsid w:val="00FC6531"/>
    <w:rsid w:val="00FD043B"/>
    <w:rsid w:val="00FD04FB"/>
    <w:rsid w:val="00FD0C1D"/>
    <w:rsid w:val="00FD0D20"/>
    <w:rsid w:val="00FD1435"/>
    <w:rsid w:val="00FD143C"/>
    <w:rsid w:val="00FD1B25"/>
    <w:rsid w:val="00FD2424"/>
    <w:rsid w:val="00FD257C"/>
    <w:rsid w:val="00FD537B"/>
    <w:rsid w:val="00FD53FF"/>
    <w:rsid w:val="00FD5467"/>
    <w:rsid w:val="00FD553D"/>
    <w:rsid w:val="00FD56DE"/>
    <w:rsid w:val="00FD666D"/>
    <w:rsid w:val="00FD7259"/>
    <w:rsid w:val="00FD7617"/>
    <w:rsid w:val="00FD77E1"/>
    <w:rsid w:val="00FE05A6"/>
    <w:rsid w:val="00FE1062"/>
    <w:rsid w:val="00FE111F"/>
    <w:rsid w:val="00FE180C"/>
    <w:rsid w:val="00FE22C5"/>
    <w:rsid w:val="00FE26BB"/>
    <w:rsid w:val="00FE2A9C"/>
    <w:rsid w:val="00FE391C"/>
    <w:rsid w:val="00FE3E7A"/>
    <w:rsid w:val="00FE4656"/>
    <w:rsid w:val="00FE4C88"/>
    <w:rsid w:val="00FE67E2"/>
    <w:rsid w:val="00FE706E"/>
    <w:rsid w:val="00FE7897"/>
    <w:rsid w:val="00FF042E"/>
    <w:rsid w:val="00FF0945"/>
    <w:rsid w:val="00FF0A51"/>
    <w:rsid w:val="00FF1878"/>
    <w:rsid w:val="00FF18E8"/>
    <w:rsid w:val="00FF1D65"/>
    <w:rsid w:val="00FF2060"/>
    <w:rsid w:val="00FF2561"/>
    <w:rsid w:val="00FF26FF"/>
    <w:rsid w:val="00FF2844"/>
    <w:rsid w:val="00FF3B48"/>
    <w:rsid w:val="00FF4B99"/>
    <w:rsid w:val="00FF4BF2"/>
    <w:rsid w:val="00FF5182"/>
    <w:rsid w:val="00FF5A75"/>
    <w:rsid w:val="00FF6110"/>
    <w:rsid w:val="00FF7056"/>
    <w:rsid w:val="00FF75CC"/>
    <w:rsid w:val="00FF77A0"/>
    <w:rsid w:val="06E6CC4D"/>
    <w:rsid w:val="2B7EE2B8"/>
    <w:rsid w:val="32E7FE64"/>
    <w:rsid w:val="40D08253"/>
    <w:rsid w:val="474C97E1"/>
    <w:rsid w:val="5D03875C"/>
    <w:rsid w:val="5F4DEA97"/>
    <w:rsid w:val="7996227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2EC6"/>
  <w15:chartTrackingRefBased/>
  <w15:docId w15:val="{13C22394-9811-6C4B-B439-B64F94B7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B8"/>
    <w:pPr>
      <w:spacing w:line="360" w:lineRule="auto"/>
    </w:pPr>
    <w:rPr>
      <w:rFonts w:ascii="Times New Roman" w:hAnsi="Times New Roman"/>
    </w:rPr>
  </w:style>
  <w:style w:type="paragraph" w:styleId="Heading1">
    <w:name w:val="heading 1"/>
    <w:basedOn w:val="ListParagraph"/>
    <w:next w:val="Normal"/>
    <w:link w:val="Heading1Char"/>
    <w:uiPriority w:val="9"/>
    <w:qFormat/>
    <w:rsid w:val="004F4481"/>
    <w:pPr>
      <w:keepNext/>
      <w:keepLines/>
      <w:numPr>
        <w:numId w:val="1"/>
      </w:numPr>
      <w:outlineLvl w:val="0"/>
    </w:pPr>
    <w:rPr>
      <w:rFonts w:eastAsia="Times New Roman" w:cs="Times New Roman"/>
      <w:b/>
      <w:smallCaps/>
      <w:kern w:val="32"/>
      <w14:ligatures w14:val="none"/>
    </w:rPr>
  </w:style>
  <w:style w:type="paragraph" w:styleId="Heading2">
    <w:name w:val="heading 2"/>
    <w:basedOn w:val="ListParagraph"/>
    <w:next w:val="Normal"/>
    <w:link w:val="Heading2Char"/>
    <w:uiPriority w:val="9"/>
    <w:unhideWhenUsed/>
    <w:qFormat/>
    <w:rsid w:val="00C34369"/>
    <w:pPr>
      <w:keepNext/>
      <w:keepLines/>
      <w:numPr>
        <w:numId w:val="3"/>
      </w:numPr>
      <w:outlineLvl w:val="1"/>
    </w:pPr>
    <w:rPr>
      <w:rFonts w:eastAsia="Times New Roman" w:cs="Times New Roman"/>
      <w:smallCaps/>
      <w:kern w:val="0"/>
      <w14:ligatures w14:val="none"/>
    </w:rPr>
  </w:style>
  <w:style w:type="paragraph" w:styleId="Heading3">
    <w:name w:val="heading 3"/>
    <w:basedOn w:val="ListParagraph"/>
    <w:next w:val="Normal"/>
    <w:link w:val="Heading3Char"/>
    <w:uiPriority w:val="9"/>
    <w:unhideWhenUsed/>
    <w:qFormat/>
    <w:rsid w:val="002E148C"/>
    <w:pPr>
      <w:keepNext/>
      <w:keepLines/>
      <w:numPr>
        <w:numId w:val="4"/>
      </w:numPr>
      <w:outlineLvl w:val="2"/>
    </w:pPr>
    <w:rPr>
      <w:rFonts w:eastAsia="Times New Roman" w:cs="Times New Roman"/>
      <w:kern w:val="0"/>
      <w:u w:val="single"/>
      <w14:ligatures w14:val="none"/>
    </w:rPr>
  </w:style>
  <w:style w:type="paragraph" w:styleId="Heading4">
    <w:name w:val="heading 4"/>
    <w:basedOn w:val="ListParagraph"/>
    <w:next w:val="Normal"/>
    <w:link w:val="Heading4Char"/>
    <w:uiPriority w:val="9"/>
    <w:unhideWhenUsed/>
    <w:qFormat/>
    <w:rsid w:val="002E148C"/>
    <w:pPr>
      <w:numPr>
        <w:numId w:val="5"/>
      </w:numPr>
      <w:outlineLvl w:val="3"/>
    </w:pPr>
    <w:rPr>
      <w:i/>
      <w:iCs/>
    </w:rPr>
  </w:style>
  <w:style w:type="paragraph" w:styleId="Heading5">
    <w:name w:val="heading 5"/>
    <w:basedOn w:val="Normal"/>
    <w:next w:val="Normal"/>
    <w:link w:val="Heading5Char"/>
    <w:uiPriority w:val="9"/>
    <w:semiHidden/>
    <w:unhideWhenUsed/>
    <w:qFormat/>
    <w:rsid w:val="003E45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45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45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45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45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481"/>
    <w:rPr>
      <w:rFonts w:ascii="Times New Roman" w:eastAsia="Times New Roman" w:hAnsi="Times New Roman" w:cs="Times New Roman"/>
      <w:b/>
      <w:smallCaps/>
      <w:kern w:val="32"/>
      <w14:ligatures w14:val="none"/>
    </w:rPr>
  </w:style>
  <w:style w:type="character" w:customStyle="1" w:styleId="Heading2Char">
    <w:name w:val="Heading 2 Char"/>
    <w:basedOn w:val="DefaultParagraphFont"/>
    <w:link w:val="Heading2"/>
    <w:uiPriority w:val="9"/>
    <w:rsid w:val="00C34369"/>
    <w:rPr>
      <w:rFonts w:ascii="Times New Roman" w:eastAsia="Times New Roman" w:hAnsi="Times New Roman" w:cs="Times New Roman"/>
      <w:smallCaps/>
      <w:kern w:val="0"/>
      <w14:ligatures w14:val="none"/>
    </w:rPr>
  </w:style>
  <w:style w:type="character" w:customStyle="1" w:styleId="Heading3Char">
    <w:name w:val="Heading 3 Char"/>
    <w:basedOn w:val="DefaultParagraphFont"/>
    <w:link w:val="Heading3"/>
    <w:uiPriority w:val="9"/>
    <w:rsid w:val="002E148C"/>
    <w:rPr>
      <w:rFonts w:ascii="Times New Roman" w:eastAsia="Times New Roman" w:hAnsi="Times New Roman" w:cs="Times New Roman"/>
      <w:kern w:val="0"/>
      <w:u w:val="single"/>
      <w14:ligatures w14:val="none"/>
    </w:rPr>
  </w:style>
  <w:style w:type="character" w:customStyle="1" w:styleId="Heading4Char">
    <w:name w:val="Heading 4 Char"/>
    <w:basedOn w:val="DefaultParagraphFont"/>
    <w:link w:val="Heading4"/>
    <w:uiPriority w:val="9"/>
    <w:rsid w:val="002E148C"/>
    <w:rPr>
      <w:rFonts w:ascii="Times New Roman" w:hAnsi="Times New Roman"/>
      <w:i/>
      <w:iCs/>
    </w:rPr>
  </w:style>
  <w:style w:type="character" w:customStyle="1" w:styleId="Heading5Char">
    <w:name w:val="Heading 5 Char"/>
    <w:basedOn w:val="DefaultParagraphFont"/>
    <w:link w:val="Heading5"/>
    <w:uiPriority w:val="9"/>
    <w:semiHidden/>
    <w:rsid w:val="003E4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B8"/>
    <w:rPr>
      <w:rFonts w:eastAsiaTheme="majorEastAsia" w:cstheme="majorBidi"/>
      <w:color w:val="272727" w:themeColor="text1" w:themeTint="D8"/>
    </w:rPr>
  </w:style>
  <w:style w:type="paragraph" w:styleId="Title">
    <w:name w:val="Title"/>
    <w:basedOn w:val="Normal"/>
    <w:next w:val="Normal"/>
    <w:link w:val="TitleChar"/>
    <w:uiPriority w:val="10"/>
    <w:qFormat/>
    <w:rsid w:val="004110AE"/>
    <w:pPr>
      <w:spacing w:after="200"/>
      <w:jc w:val="center"/>
    </w:pPr>
    <w:rPr>
      <w:rFonts w:cs="Times New Roman"/>
      <w:b/>
      <w:smallCaps/>
      <w:kern w:val="28"/>
    </w:rPr>
  </w:style>
  <w:style w:type="character" w:customStyle="1" w:styleId="TitleChar">
    <w:name w:val="Title Char"/>
    <w:basedOn w:val="DefaultParagraphFont"/>
    <w:link w:val="Title"/>
    <w:uiPriority w:val="10"/>
    <w:rsid w:val="004110AE"/>
    <w:rPr>
      <w:rFonts w:ascii="Times New Roman" w:hAnsi="Times New Roman" w:cs="Times New Roman"/>
      <w:b/>
      <w:smallCaps/>
      <w:kern w:val="28"/>
    </w:rPr>
  </w:style>
  <w:style w:type="paragraph" w:styleId="Subtitle">
    <w:name w:val="Subtitle"/>
    <w:basedOn w:val="Normal"/>
    <w:next w:val="Normal"/>
    <w:link w:val="SubtitleChar"/>
    <w:uiPriority w:val="11"/>
    <w:qFormat/>
    <w:rsid w:val="003E45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B8"/>
    <w:pPr>
      <w:spacing w:before="160"/>
      <w:jc w:val="center"/>
    </w:pPr>
    <w:rPr>
      <w:i/>
      <w:iCs/>
      <w:color w:val="404040" w:themeColor="text1" w:themeTint="BF"/>
    </w:rPr>
  </w:style>
  <w:style w:type="character" w:customStyle="1" w:styleId="QuoteChar">
    <w:name w:val="Quote Char"/>
    <w:basedOn w:val="DefaultParagraphFont"/>
    <w:link w:val="Quote"/>
    <w:uiPriority w:val="29"/>
    <w:rsid w:val="003E45B8"/>
    <w:rPr>
      <w:rFonts w:ascii="Times New Roman" w:hAnsi="Times New Roman"/>
      <w:i/>
      <w:iCs/>
      <w:color w:val="404040" w:themeColor="text1" w:themeTint="BF"/>
    </w:rPr>
  </w:style>
  <w:style w:type="paragraph" w:styleId="ListParagraph">
    <w:name w:val="List Paragraph"/>
    <w:basedOn w:val="Normal"/>
    <w:uiPriority w:val="34"/>
    <w:qFormat/>
    <w:rsid w:val="003308C5"/>
    <w:pPr>
      <w:numPr>
        <w:numId w:val="2"/>
      </w:numPr>
      <w:spacing w:after="0"/>
      <w:ind w:left="0" w:firstLine="0"/>
      <w:jc w:val="both"/>
    </w:pPr>
  </w:style>
  <w:style w:type="character" w:styleId="IntenseEmphasis">
    <w:name w:val="Intense Emphasis"/>
    <w:basedOn w:val="DefaultParagraphFont"/>
    <w:uiPriority w:val="21"/>
    <w:qFormat/>
    <w:rsid w:val="003E45B8"/>
    <w:rPr>
      <w:i/>
      <w:iCs/>
      <w:color w:val="0F4761" w:themeColor="accent1" w:themeShade="BF"/>
    </w:rPr>
  </w:style>
  <w:style w:type="paragraph" w:styleId="IntenseQuote">
    <w:name w:val="Intense Quote"/>
    <w:basedOn w:val="Normal"/>
    <w:next w:val="Normal"/>
    <w:link w:val="IntenseQuoteChar"/>
    <w:uiPriority w:val="30"/>
    <w:qFormat/>
    <w:rsid w:val="003E4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5B8"/>
    <w:rPr>
      <w:rFonts w:ascii="Times New Roman" w:hAnsi="Times New Roman"/>
      <w:i/>
      <w:iCs/>
      <w:color w:val="0F4761" w:themeColor="accent1" w:themeShade="BF"/>
    </w:rPr>
  </w:style>
  <w:style w:type="character" w:styleId="IntenseReference">
    <w:name w:val="Intense Reference"/>
    <w:basedOn w:val="DefaultParagraphFont"/>
    <w:uiPriority w:val="32"/>
    <w:qFormat/>
    <w:rsid w:val="003E45B8"/>
    <w:rPr>
      <w:b/>
      <w:bCs/>
      <w:smallCaps/>
      <w:color w:val="0F4761" w:themeColor="accent1" w:themeShade="BF"/>
      <w:spacing w:val="5"/>
    </w:rPr>
  </w:style>
  <w:style w:type="numbering" w:customStyle="1" w:styleId="CurrentList1">
    <w:name w:val="Current List1"/>
    <w:uiPriority w:val="99"/>
    <w:rsid w:val="00910D3A"/>
    <w:pPr>
      <w:numPr>
        <w:numId w:val="6"/>
      </w:numPr>
    </w:pPr>
  </w:style>
  <w:style w:type="numbering" w:customStyle="1" w:styleId="CurrentList2">
    <w:name w:val="Current List2"/>
    <w:uiPriority w:val="99"/>
    <w:rsid w:val="00910D3A"/>
    <w:pPr>
      <w:numPr>
        <w:numId w:val="7"/>
      </w:numPr>
    </w:pPr>
  </w:style>
  <w:style w:type="numbering" w:customStyle="1" w:styleId="CurrentList3">
    <w:name w:val="Current List3"/>
    <w:uiPriority w:val="99"/>
    <w:rsid w:val="00122319"/>
    <w:pPr>
      <w:numPr>
        <w:numId w:val="8"/>
      </w:numPr>
    </w:pPr>
  </w:style>
  <w:style w:type="numbering" w:customStyle="1" w:styleId="CurrentList4">
    <w:name w:val="Current List4"/>
    <w:uiPriority w:val="99"/>
    <w:rsid w:val="00122319"/>
    <w:pPr>
      <w:numPr>
        <w:numId w:val="9"/>
      </w:numPr>
    </w:pPr>
  </w:style>
  <w:style w:type="paragraph" w:styleId="Header">
    <w:name w:val="header"/>
    <w:basedOn w:val="Normal"/>
    <w:link w:val="HeaderChar"/>
    <w:uiPriority w:val="99"/>
    <w:unhideWhenUsed/>
    <w:rsid w:val="002C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5B7"/>
    <w:rPr>
      <w:rFonts w:ascii="Times New Roman" w:hAnsi="Times New Roman"/>
    </w:rPr>
  </w:style>
  <w:style w:type="paragraph" w:styleId="Footer">
    <w:name w:val="footer"/>
    <w:basedOn w:val="Normal"/>
    <w:link w:val="FooterChar"/>
    <w:uiPriority w:val="99"/>
    <w:unhideWhenUsed/>
    <w:rsid w:val="002C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5B7"/>
    <w:rPr>
      <w:rFonts w:ascii="Times New Roman" w:hAnsi="Times New Roman"/>
    </w:rPr>
  </w:style>
  <w:style w:type="paragraph" w:styleId="FootnoteText">
    <w:name w:val="footnote text"/>
    <w:basedOn w:val="Normal"/>
    <w:link w:val="FootnoteTextChar"/>
    <w:uiPriority w:val="99"/>
    <w:unhideWhenUsed/>
    <w:qFormat/>
    <w:rsid w:val="004F4481"/>
    <w:pPr>
      <w:spacing w:line="240" w:lineRule="auto"/>
      <w:ind w:firstLine="357"/>
      <w:jc w:val="both"/>
    </w:pPr>
    <w:rPr>
      <w:szCs w:val="20"/>
    </w:rPr>
  </w:style>
  <w:style w:type="character" w:customStyle="1" w:styleId="FootnoteTextChar">
    <w:name w:val="Footnote Text Char"/>
    <w:basedOn w:val="DefaultParagraphFont"/>
    <w:link w:val="FootnoteText"/>
    <w:uiPriority w:val="99"/>
    <w:rsid w:val="004F4481"/>
    <w:rPr>
      <w:rFonts w:ascii="Times New Roman" w:hAnsi="Times New Roman"/>
      <w:szCs w:val="20"/>
    </w:rPr>
  </w:style>
  <w:style w:type="character" w:styleId="FootnoteReference">
    <w:name w:val="footnote reference"/>
    <w:basedOn w:val="DefaultParagraphFont"/>
    <w:uiPriority w:val="99"/>
    <w:semiHidden/>
    <w:unhideWhenUsed/>
    <w:rsid w:val="002C35B7"/>
    <w:rPr>
      <w:vertAlign w:val="superscript"/>
    </w:rPr>
  </w:style>
  <w:style w:type="paragraph" w:customStyle="1" w:styleId="Footnote">
    <w:name w:val="Footnote"/>
    <w:basedOn w:val="FootnoteText"/>
    <w:next w:val="FootnoteText"/>
    <w:link w:val="FootnoteChar"/>
    <w:qFormat/>
    <w:rsid w:val="002C35B7"/>
    <w:pPr>
      <w:ind w:left="709" w:hanging="709"/>
    </w:pPr>
    <w:rPr>
      <w:szCs w:val="24"/>
    </w:rPr>
  </w:style>
  <w:style w:type="character" w:customStyle="1" w:styleId="FootnoteChar">
    <w:name w:val="Footnote Char"/>
    <w:basedOn w:val="FootnoteTextChar"/>
    <w:link w:val="Footnote"/>
    <w:rsid w:val="002C35B7"/>
    <w:rPr>
      <w:rFonts w:ascii="Times New Roman" w:hAnsi="Times New Roman"/>
      <w:szCs w:val="20"/>
    </w:rPr>
  </w:style>
  <w:style w:type="paragraph" w:styleId="TOC1">
    <w:name w:val="toc 1"/>
    <w:basedOn w:val="Title"/>
    <w:next w:val="Normal"/>
    <w:autoRedefine/>
    <w:uiPriority w:val="39"/>
    <w:unhideWhenUsed/>
    <w:rsid w:val="00A93795"/>
    <w:pPr>
      <w:tabs>
        <w:tab w:val="right" w:leader="dot" w:pos="9350"/>
      </w:tabs>
      <w:spacing w:before="120" w:after="0"/>
    </w:pPr>
    <w:rPr>
      <w:bCs/>
      <w:smallCaps w:val="0"/>
      <w:kern w:val="2"/>
      <w:szCs w:val="28"/>
    </w:rPr>
  </w:style>
  <w:style w:type="paragraph" w:styleId="TOC2">
    <w:name w:val="toc 2"/>
    <w:basedOn w:val="Heading1"/>
    <w:next w:val="Normal"/>
    <w:autoRedefine/>
    <w:uiPriority w:val="39"/>
    <w:unhideWhenUsed/>
    <w:rsid w:val="005F2A05"/>
    <w:pPr>
      <w:keepNext w:val="0"/>
      <w:keepLines w:val="0"/>
      <w:numPr>
        <w:numId w:val="0"/>
      </w:numPr>
      <w:tabs>
        <w:tab w:val="left" w:pos="720"/>
        <w:tab w:val="right" w:leader="dot" w:pos="9350"/>
      </w:tabs>
      <w:spacing w:before="120"/>
      <w:ind w:left="720" w:hanging="450"/>
      <w:jc w:val="left"/>
      <w:outlineLvl w:val="9"/>
    </w:pPr>
    <w:rPr>
      <w:rFonts w:asciiTheme="minorHAnsi" w:eastAsiaTheme="minorHAnsi" w:hAnsiTheme="minorHAnsi"/>
      <w:bCs/>
      <w:smallCaps w:val="0"/>
      <w:kern w:val="2"/>
      <w:sz w:val="22"/>
      <w:szCs w:val="26"/>
      <w14:ligatures w14:val="standardContextual"/>
    </w:rPr>
  </w:style>
  <w:style w:type="paragraph" w:styleId="TOC3">
    <w:name w:val="toc 3"/>
    <w:basedOn w:val="Heading2"/>
    <w:next w:val="Normal"/>
    <w:autoRedefine/>
    <w:uiPriority w:val="39"/>
    <w:unhideWhenUsed/>
    <w:rsid w:val="005F2A05"/>
    <w:pPr>
      <w:keepNext w:val="0"/>
      <w:keepLines w:val="0"/>
      <w:numPr>
        <w:numId w:val="0"/>
      </w:numPr>
      <w:tabs>
        <w:tab w:val="left" w:pos="1260"/>
        <w:tab w:val="right" w:leader="dot" w:pos="9350"/>
      </w:tabs>
      <w:spacing w:after="160" w:line="240" w:lineRule="auto"/>
      <w:ind w:left="1260" w:hanging="540"/>
      <w:jc w:val="left"/>
      <w:outlineLvl w:val="9"/>
    </w:pPr>
    <w:rPr>
      <w:rFonts w:ascii="Times New Roman Bold" w:eastAsiaTheme="minorHAnsi" w:hAnsi="Times New Roman Bold"/>
      <w:b/>
      <w:bCs/>
      <w:noProof/>
      <w:kern w:val="2"/>
      <w14:ligatures w14:val="standardContextual"/>
    </w:rPr>
  </w:style>
  <w:style w:type="character" w:styleId="Hyperlink">
    <w:name w:val="Hyperlink"/>
    <w:basedOn w:val="DefaultParagraphFont"/>
    <w:uiPriority w:val="99"/>
    <w:unhideWhenUsed/>
    <w:rsid w:val="00711C31"/>
    <w:rPr>
      <w:color w:val="467886" w:themeColor="hyperlink"/>
      <w:u w:val="single"/>
    </w:rPr>
  </w:style>
  <w:style w:type="character" w:styleId="CommentReference">
    <w:name w:val="annotation reference"/>
    <w:basedOn w:val="DefaultParagraphFont"/>
    <w:uiPriority w:val="99"/>
    <w:semiHidden/>
    <w:unhideWhenUsed/>
    <w:rsid w:val="00B664AC"/>
    <w:rPr>
      <w:sz w:val="16"/>
      <w:szCs w:val="16"/>
    </w:rPr>
  </w:style>
  <w:style w:type="paragraph" w:styleId="CommentText">
    <w:name w:val="annotation text"/>
    <w:basedOn w:val="Normal"/>
    <w:link w:val="CommentTextChar"/>
    <w:uiPriority w:val="99"/>
    <w:unhideWhenUsed/>
    <w:rsid w:val="00B664AC"/>
    <w:pPr>
      <w:spacing w:line="240" w:lineRule="auto"/>
    </w:pPr>
    <w:rPr>
      <w:sz w:val="20"/>
      <w:szCs w:val="20"/>
    </w:rPr>
  </w:style>
  <w:style w:type="character" w:customStyle="1" w:styleId="CommentTextChar">
    <w:name w:val="Comment Text Char"/>
    <w:basedOn w:val="DefaultParagraphFont"/>
    <w:link w:val="CommentText"/>
    <w:uiPriority w:val="99"/>
    <w:rsid w:val="00B66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64AC"/>
    <w:rPr>
      <w:b/>
      <w:bCs/>
    </w:rPr>
  </w:style>
  <w:style w:type="character" w:customStyle="1" w:styleId="CommentSubjectChar">
    <w:name w:val="Comment Subject Char"/>
    <w:basedOn w:val="CommentTextChar"/>
    <w:link w:val="CommentSubject"/>
    <w:uiPriority w:val="99"/>
    <w:semiHidden/>
    <w:rsid w:val="00B664AC"/>
    <w:rPr>
      <w:rFonts w:ascii="Times New Roman" w:hAnsi="Times New Roman"/>
      <w:b/>
      <w:bCs/>
      <w:sz w:val="20"/>
      <w:szCs w:val="20"/>
    </w:rPr>
  </w:style>
  <w:style w:type="character" w:styleId="PageNumber">
    <w:name w:val="page number"/>
    <w:basedOn w:val="DefaultParagraphFont"/>
    <w:uiPriority w:val="99"/>
    <w:semiHidden/>
    <w:unhideWhenUsed/>
    <w:rsid w:val="00B664AC"/>
  </w:style>
  <w:style w:type="numbering" w:customStyle="1" w:styleId="CurrentList5">
    <w:name w:val="Current List5"/>
    <w:uiPriority w:val="99"/>
    <w:rsid w:val="00B664AC"/>
    <w:pPr>
      <w:numPr>
        <w:numId w:val="10"/>
      </w:numPr>
    </w:pPr>
  </w:style>
  <w:style w:type="numbering" w:customStyle="1" w:styleId="CurrentList6">
    <w:name w:val="Current List6"/>
    <w:uiPriority w:val="99"/>
    <w:rsid w:val="00B664AC"/>
    <w:pPr>
      <w:numPr>
        <w:numId w:val="11"/>
      </w:numPr>
    </w:pPr>
  </w:style>
  <w:style w:type="numbering" w:customStyle="1" w:styleId="CurrentList7">
    <w:name w:val="Current List7"/>
    <w:uiPriority w:val="99"/>
    <w:rsid w:val="00B664AC"/>
    <w:pPr>
      <w:numPr>
        <w:numId w:val="12"/>
      </w:numPr>
    </w:pPr>
  </w:style>
  <w:style w:type="paragraph" w:styleId="TOC4">
    <w:name w:val="toc 4"/>
    <w:basedOn w:val="Heading3"/>
    <w:next w:val="Normal"/>
    <w:autoRedefine/>
    <w:uiPriority w:val="39"/>
    <w:unhideWhenUsed/>
    <w:rsid w:val="005F2A05"/>
    <w:pPr>
      <w:keepNext w:val="0"/>
      <w:keepLines w:val="0"/>
      <w:numPr>
        <w:numId w:val="0"/>
      </w:numPr>
      <w:tabs>
        <w:tab w:val="left" w:pos="1200"/>
        <w:tab w:val="right" w:leader="dot" w:pos="9350"/>
      </w:tabs>
      <w:ind w:left="1890" w:hanging="630"/>
      <w:jc w:val="left"/>
      <w:outlineLvl w:val="9"/>
    </w:pPr>
    <w:rPr>
      <w:rFonts w:asciiTheme="minorHAnsi" w:eastAsiaTheme="minorHAnsi" w:hAnsiTheme="minorHAnsi"/>
      <w:kern w:val="2"/>
      <w:sz w:val="20"/>
      <w:u w:val="none"/>
      <w14:ligatures w14:val="standardContextual"/>
    </w:rPr>
  </w:style>
  <w:style w:type="numbering" w:customStyle="1" w:styleId="CurrentList8">
    <w:name w:val="Current List8"/>
    <w:uiPriority w:val="99"/>
    <w:rsid w:val="00B664AC"/>
    <w:pPr>
      <w:numPr>
        <w:numId w:val="13"/>
      </w:numPr>
    </w:pPr>
  </w:style>
  <w:style w:type="numbering" w:customStyle="1" w:styleId="CurrentList9">
    <w:name w:val="Current List9"/>
    <w:uiPriority w:val="99"/>
    <w:rsid w:val="002E148C"/>
    <w:pPr>
      <w:numPr>
        <w:numId w:val="14"/>
      </w:numPr>
    </w:pPr>
  </w:style>
  <w:style w:type="numbering" w:customStyle="1" w:styleId="CurrentList10">
    <w:name w:val="Current List10"/>
    <w:uiPriority w:val="99"/>
    <w:rsid w:val="002E148C"/>
    <w:pPr>
      <w:numPr>
        <w:numId w:val="15"/>
      </w:numPr>
    </w:pPr>
  </w:style>
  <w:style w:type="numbering" w:customStyle="1" w:styleId="CurrentList11">
    <w:name w:val="Current List11"/>
    <w:uiPriority w:val="99"/>
    <w:rsid w:val="002E148C"/>
    <w:pPr>
      <w:numPr>
        <w:numId w:val="16"/>
      </w:numPr>
    </w:pPr>
  </w:style>
  <w:style w:type="numbering" w:customStyle="1" w:styleId="CurrentList12">
    <w:name w:val="Current List12"/>
    <w:uiPriority w:val="99"/>
    <w:rsid w:val="002E148C"/>
    <w:pPr>
      <w:numPr>
        <w:numId w:val="17"/>
      </w:numPr>
    </w:pPr>
  </w:style>
  <w:style w:type="numbering" w:customStyle="1" w:styleId="CurrentList13">
    <w:name w:val="Current List13"/>
    <w:uiPriority w:val="99"/>
    <w:rsid w:val="002E148C"/>
    <w:pPr>
      <w:numPr>
        <w:numId w:val="18"/>
      </w:numPr>
    </w:pPr>
  </w:style>
  <w:style w:type="numbering" w:customStyle="1" w:styleId="CurrentList14">
    <w:name w:val="Current List14"/>
    <w:uiPriority w:val="99"/>
    <w:rsid w:val="002E148C"/>
    <w:pPr>
      <w:numPr>
        <w:numId w:val="19"/>
      </w:numPr>
    </w:pPr>
  </w:style>
  <w:style w:type="numbering" w:customStyle="1" w:styleId="CurrentList15">
    <w:name w:val="Current List15"/>
    <w:uiPriority w:val="99"/>
    <w:rsid w:val="002E148C"/>
    <w:pPr>
      <w:numPr>
        <w:numId w:val="20"/>
      </w:numPr>
    </w:pPr>
  </w:style>
  <w:style w:type="numbering" w:customStyle="1" w:styleId="CurrentList16">
    <w:name w:val="Current List16"/>
    <w:uiPriority w:val="99"/>
    <w:rsid w:val="002E148C"/>
    <w:pPr>
      <w:numPr>
        <w:numId w:val="21"/>
      </w:numPr>
    </w:pPr>
  </w:style>
  <w:style w:type="numbering" w:customStyle="1" w:styleId="CurrentList17">
    <w:name w:val="Current List17"/>
    <w:uiPriority w:val="99"/>
    <w:rsid w:val="002E148C"/>
    <w:pPr>
      <w:numPr>
        <w:numId w:val="22"/>
      </w:numPr>
    </w:pPr>
  </w:style>
  <w:style w:type="numbering" w:customStyle="1" w:styleId="CurrentList18">
    <w:name w:val="Current List18"/>
    <w:uiPriority w:val="99"/>
    <w:rsid w:val="002E148C"/>
    <w:pPr>
      <w:numPr>
        <w:numId w:val="23"/>
      </w:numPr>
    </w:pPr>
  </w:style>
  <w:style w:type="numbering" w:customStyle="1" w:styleId="CurrentList19">
    <w:name w:val="Current List19"/>
    <w:uiPriority w:val="99"/>
    <w:rsid w:val="002E148C"/>
    <w:pPr>
      <w:numPr>
        <w:numId w:val="24"/>
      </w:numPr>
    </w:pPr>
  </w:style>
  <w:style w:type="paragraph" w:styleId="TOC5">
    <w:name w:val="toc 5"/>
    <w:basedOn w:val="Normal"/>
    <w:next w:val="Normal"/>
    <w:autoRedefine/>
    <w:uiPriority w:val="39"/>
    <w:unhideWhenUsed/>
    <w:rsid w:val="00A35F24"/>
    <w:pPr>
      <w:spacing w:after="0"/>
      <w:ind w:left="960"/>
    </w:pPr>
    <w:rPr>
      <w:rFonts w:asciiTheme="minorHAnsi" w:hAnsiTheme="minorHAnsi" w:cs="Times New Roman"/>
      <w:sz w:val="20"/>
    </w:rPr>
  </w:style>
  <w:style w:type="paragraph" w:customStyle="1" w:styleId="Title2">
    <w:name w:val="Title2"/>
    <w:basedOn w:val="Title"/>
    <w:qFormat/>
    <w:rsid w:val="002E3DE9"/>
  </w:style>
  <w:style w:type="character" w:styleId="UnresolvedMention">
    <w:name w:val="Unresolved Mention"/>
    <w:basedOn w:val="DefaultParagraphFont"/>
    <w:uiPriority w:val="99"/>
    <w:semiHidden/>
    <w:unhideWhenUsed/>
    <w:rsid w:val="00D60579"/>
    <w:rPr>
      <w:color w:val="605E5C"/>
      <w:shd w:val="clear" w:color="auto" w:fill="E1DFDD"/>
    </w:rPr>
  </w:style>
  <w:style w:type="character" w:styleId="FollowedHyperlink">
    <w:name w:val="FollowedHyperlink"/>
    <w:basedOn w:val="DefaultParagraphFont"/>
    <w:uiPriority w:val="99"/>
    <w:semiHidden/>
    <w:unhideWhenUsed/>
    <w:rsid w:val="000B2F7B"/>
    <w:rPr>
      <w:color w:val="96607D" w:themeColor="followedHyperlink"/>
      <w:u w:val="single"/>
    </w:rPr>
  </w:style>
  <w:style w:type="character" w:styleId="Emphasis">
    <w:name w:val="Emphasis"/>
    <w:basedOn w:val="DefaultParagraphFont"/>
    <w:uiPriority w:val="20"/>
    <w:qFormat/>
    <w:rsid w:val="000B2F7B"/>
    <w:rPr>
      <w:i/>
      <w:iCs/>
    </w:rPr>
  </w:style>
  <w:style w:type="paragraph" w:styleId="NormalWeb">
    <w:name w:val="Normal (Web)"/>
    <w:basedOn w:val="Normal"/>
    <w:uiPriority w:val="99"/>
    <w:unhideWhenUsed/>
    <w:rsid w:val="00BB4E34"/>
    <w:rPr>
      <w:rFonts w:cs="Times New Roman"/>
    </w:rPr>
  </w:style>
  <w:style w:type="character" w:styleId="Strong">
    <w:name w:val="Strong"/>
    <w:basedOn w:val="DefaultParagraphFont"/>
    <w:uiPriority w:val="22"/>
    <w:qFormat/>
    <w:rsid w:val="002F1A60"/>
    <w:rPr>
      <w:b/>
      <w:bCs/>
    </w:rPr>
  </w:style>
  <w:style w:type="numbering" w:customStyle="1" w:styleId="CurrentList20">
    <w:name w:val="Current List20"/>
    <w:uiPriority w:val="99"/>
    <w:rsid w:val="00A967CA"/>
    <w:pPr>
      <w:numPr>
        <w:numId w:val="25"/>
      </w:numPr>
    </w:pPr>
  </w:style>
  <w:style w:type="character" w:customStyle="1" w:styleId="apple-converted-space">
    <w:name w:val="apple-converted-space"/>
    <w:basedOn w:val="DefaultParagraphFont"/>
    <w:rsid w:val="00F133AD"/>
  </w:style>
  <w:style w:type="paragraph" w:styleId="EndnoteText">
    <w:name w:val="endnote text"/>
    <w:basedOn w:val="Normal"/>
    <w:link w:val="EndnoteTextChar"/>
    <w:uiPriority w:val="99"/>
    <w:semiHidden/>
    <w:unhideWhenUsed/>
    <w:rsid w:val="001D11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107"/>
    <w:rPr>
      <w:rFonts w:ascii="Times New Roman" w:hAnsi="Times New Roman"/>
      <w:sz w:val="20"/>
      <w:szCs w:val="20"/>
    </w:rPr>
  </w:style>
  <w:style w:type="character" w:styleId="EndnoteReference">
    <w:name w:val="endnote reference"/>
    <w:basedOn w:val="DefaultParagraphFont"/>
    <w:uiPriority w:val="99"/>
    <w:semiHidden/>
    <w:unhideWhenUsed/>
    <w:rsid w:val="001D1107"/>
    <w:rPr>
      <w:vertAlign w:val="superscript"/>
    </w:rPr>
  </w:style>
  <w:style w:type="character" w:customStyle="1" w:styleId="relative">
    <w:name w:val="relative"/>
    <w:basedOn w:val="DefaultParagraphFont"/>
    <w:rsid w:val="00B10383"/>
  </w:style>
  <w:style w:type="paragraph" w:customStyle="1" w:styleId="not-prose">
    <w:name w:val="not-prose"/>
    <w:basedOn w:val="Normal"/>
    <w:rsid w:val="00B10383"/>
    <w:pPr>
      <w:spacing w:before="100" w:beforeAutospacing="1" w:after="100" w:afterAutospacing="1" w:line="240" w:lineRule="auto"/>
    </w:pPr>
    <w:rPr>
      <w:rFonts w:eastAsia="Times New Roman" w:cs="Times New Roman"/>
      <w:kern w:val="0"/>
      <w14:ligatures w14:val="none"/>
    </w:rPr>
  </w:style>
  <w:style w:type="paragraph" w:styleId="TOCHeading">
    <w:name w:val="TOC Heading"/>
    <w:basedOn w:val="Heading1"/>
    <w:next w:val="Normal"/>
    <w:uiPriority w:val="39"/>
    <w:unhideWhenUsed/>
    <w:qFormat/>
    <w:rsid w:val="00415B2B"/>
    <w:pPr>
      <w:numPr>
        <w:numId w:val="0"/>
      </w:numPr>
      <w:spacing w:before="480" w:line="276" w:lineRule="auto"/>
      <w:jc w:val="left"/>
      <w:outlineLvl w:val="9"/>
    </w:pPr>
    <w:rPr>
      <w:rFonts w:asciiTheme="majorHAnsi" w:eastAsiaTheme="majorEastAsia" w:hAnsiTheme="majorHAnsi" w:cstheme="majorBidi"/>
      <w:bCs/>
      <w:smallCaps w:val="0"/>
      <w:color w:val="0F4761" w:themeColor="accent1" w:themeShade="BF"/>
      <w:kern w:val="0"/>
      <w:sz w:val="28"/>
      <w:szCs w:val="28"/>
      <w:lang w:val="en-US"/>
    </w:rPr>
  </w:style>
  <w:style w:type="paragraph" w:styleId="TOC6">
    <w:name w:val="toc 6"/>
    <w:basedOn w:val="Normal"/>
    <w:next w:val="Normal"/>
    <w:autoRedefine/>
    <w:uiPriority w:val="39"/>
    <w:semiHidden/>
    <w:unhideWhenUsed/>
    <w:rsid w:val="00415B2B"/>
    <w:pPr>
      <w:spacing w:after="0"/>
      <w:ind w:left="1200"/>
    </w:pPr>
    <w:rPr>
      <w:rFonts w:asciiTheme="minorHAnsi" w:hAnsiTheme="minorHAnsi" w:cs="Times New Roman"/>
      <w:sz w:val="20"/>
    </w:rPr>
  </w:style>
  <w:style w:type="paragraph" w:styleId="TOC7">
    <w:name w:val="toc 7"/>
    <w:basedOn w:val="Normal"/>
    <w:next w:val="Normal"/>
    <w:autoRedefine/>
    <w:uiPriority w:val="39"/>
    <w:semiHidden/>
    <w:unhideWhenUsed/>
    <w:rsid w:val="00415B2B"/>
    <w:pPr>
      <w:spacing w:after="0"/>
      <w:ind w:left="1440"/>
    </w:pPr>
    <w:rPr>
      <w:rFonts w:asciiTheme="minorHAnsi" w:hAnsiTheme="minorHAnsi" w:cs="Times New Roman"/>
      <w:sz w:val="20"/>
    </w:rPr>
  </w:style>
  <w:style w:type="paragraph" w:styleId="TOC8">
    <w:name w:val="toc 8"/>
    <w:basedOn w:val="Normal"/>
    <w:next w:val="Normal"/>
    <w:autoRedefine/>
    <w:uiPriority w:val="39"/>
    <w:semiHidden/>
    <w:unhideWhenUsed/>
    <w:rsid w:val="00415B2B"/>
    <w:pPr>
      <w:spacing w:after="0"/>
      <w:ind w:left="1680"/>
    </w:pPr>
    <w:rPr>
      <w:rFonts w:asciiTheme="minorHAnsi" w:hAnsiTheme="minorHAnsi" w:cs="Times New Roman"/>
      <w:sz w:val="20"/>
    </w:rPr>
  </w:style>
  <w:style w:type="paragraph" w:styleId="TOC9">
    <w:name w:val="toc 9"/>
    <w:basedOn w:val="Normal"/>
    <w:next w:val="Normal"/>
    <w:autoRedefine/>
    <w:uiPriority w:val="39"/>
    <w:semiHidden/>
    <w:unhideWhenUsed/>
    <w:rsid w:val="00415B2B"/>
    <w:pPr>
      <w:spacing w:after="0"/>
      <w:ind w:left="1920"/>
    </w:pPr>
    <w:rPr>
      <w:rFonts w:asciiTheme="minorHAnsi" w:hAnsiTheme="minorHAnsi" w:cs="Times New Roman"/>
      <w:sz w:val="20"/>
    </w:rPr>
  </w:style>
  <w:style w:type="paragraph" w:customStyle="1" w:styleId="Default">
    <w:name w:val="Default"/>
    <w:rsid w:val="006D4928"/>
    <w:pPr>
      <w:autoSpaceDE w:val="0"/>
      <w:autoSpaceDN w:val="0"/>
      <w:adjustRightInd w:val="0"/>
      <w:spacing w:after="0" w:line="240" w:lineRule="auto"/>
    </w:pPr>
    <w:rPr>
      <w:rFonts w:ascii="Times New Roman" w:hAnsi="Times New Roman" w:cs="Times New Roman"/>
      <w:color w:val="000000"/>
      <w:kern w:val="0"/>
      <w:lang w:val="en-US"/>
    </w:rPr>
  </w:style>
  <w:style w:type="paragraph" w:styleId="Revision">
    <w:name w:val="Revision"/>
    <w:hidden/>
    <w:uiPriority w:val="99"/>
    <w:semiHidden/>
    <w:rsid w:val="00D92359"/>
    <w:pPr>
      <w:spacing w:after="0" w:line="240" w:lineRule="auto"/>
    </w:pPr>
    <w:rPr>
      <w:rFonts w:ascii="Times New Roman" w:hAnsi="Times New Roman"/>
    </w:rPr>
  </w:style>
  <w:style w:type="table" w:styleId="TableGrid">
    <w:name w:val="Table Grid"/>
    <w:basedOn w:val="TableNormal"/>
    <w:uiPriority w:val="39"/>
    <w:rsid w:val="0005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7A0EE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CE3E-F7A4-A54C-986C-C949A3F8C304}">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12102</Words>
  <Characters>66683</Characters>
  <Application>Microsoft Office Word</Application>
  <DocSecurity>0</DocSecurity>
  <Lines>1149</Lines>
  <Paragraphs>353</Paragraphs>
  <ScaleCrop>false</ScaleCrop>
  <Company/>
  <LinksUpToDate>false</LinksUpToDate>
  <CharactersWithSpaces>78432</CharactersWithSpaces>
  <SharedDoc>false</SharedDoc>
  <HLinks>
    <vt:vector size="204" baseType="variant">
      <vt:variant>
        <vt:i4>1048633</vt:i4>
      </vt:variant>
      <vt:variant>
        <vt:i4>200</vt:i4>
      </vt:variant>
      <vt:variant>
        <vt:i4>0</vt:i4>
      </vt:variant>
      <vt:variant>
        <vt:i4>5</vt:i4>
      </vt:variant>
      <vt:variant>
        <vt:lpwstr/>
      </vt:variant>
      <vt:variant>
        <vt:lpwstr>_Toc219103245</vt:lpwstr>
      </vt:variant>
      <vt:variant>
        <vt:i4>1048633</vt:i4>
      </vt:variant>
      <vt:variant>
        <vt:i4>194</vt:i4>
      </vt:variant>
      <vt:variant>
        <vt:i4>0</vt:i4>
      </vt:variant>
      <vt:variant>
        <vt:i4>5</vt:i4>
      </vt:variant>
      <vt:variant>
        <vt:lpwstr/>
      </vt:variant>
      <vt:variant>
        <vt:lpwstr>_Toc219103244</vt:lpwstr>
      </vt:variant>
      <vt:variant>
        <vt:i4>1048633</vt:i4>
      </vt:variant>
      <vt:variant>
        <vt:i4>188</vt:i4>
      </vt:variant>
      <vt:variant>
        <vt:i4>0</vt:i4>
      </vt:variant>
      <vt:variant>
        <vt:i4>5</vt:i4>
      </vt:variant>
      <vt:variant>
        <vt:lpwstr/>
      </vt:variant>
      <vt:variant>
        <vt:lpwstr>_Toc219103243</vt:lpwstr>
      </vt:variant>
      <vt:variant>
        <vt:i4>1048633</vt:i4>
      </vt:variant>
      <vt:variant>
        <vt:i4>182</vt:i4>
      </vt:variant>
      <vt:variant>
        <vt:i4>0</vt:i4>
      </vt:variant>
      <vt:variant>
        <vt:i4>5</vt:i4>
      </vt:variant>
      <vt:variant>
        <vt:lpwstr/>
      </vt:variant>
      <vt:variant>
        <vt:lpwstr>_Toc219103242</vt:lpwstr>
      </vt:variant>
      <vt:variant>
        <vt:i4>1048633</vt:i4>
      </vt:variant>
      <vt:variant>
        <vt:i4>176</vt:i4>
      </vt:variant>
      <vt:variant>
        <vt:i4>0</vt:i4>
      </vt:variant>
      <vt:variant>
        <vt:i4>5</vt:i4>
      </vt:variant>
      <vt:variant>
        <vt:lpwstr/>
      </vt:variant>
      <vt:variant>
        <vt:lpwstr>_Toc219103241</vt:lpwstr>
      </vt:variant>
      <vt:variant>
        <vt:i4>1048633</vt:i4>
      </vt:variant>
      <vt:variant>
        <vt:i4>170</vt:i4>
      </vt:variant>
      <vt:variant>
        <vt:i4>0</vt:i4>
      </vt:variant>
      <vt:variant>
        <vt:i4>5</vt:i4>
      </vt:variant>
      <vt:variant>
        <vt:lpwstr/>
      </vt:variant>
      <vt:variant>
        <vt:lpwstr>_Toc219103240</vt:lpwstr>
      </vt:variant>
      <vt:variant>
        <vt:i4>1507385</vt:i4>
      </vt:variant>
      <vt:variant>
        <vt:i4>164</vt:i4>
      </vt:variant>
      <vt:variant>
        <vt:i4>0</vt:i4>
      </vt:variant>
      <vt:variant>
        <vt:i4>5</vt:i4>
      </vt:variant>
      <vt:variant>
        <vt:lpwstr/>
      </vt:variant>
      <vt:variant>
        <vt:lpwstr>_Toc219103239</vt:lpwstr>
      </vt:variant>
      <vt:variant>
        <vt:i4>1507385</vt:i4>
      </vt:variant>
      <vt:variant>
        <vt:i4>158</vt:i4>
      </vt:variant>
      <vt:variant>
        <vt:i4>0</vt:i4>
      </vt:variant>
      <vt:variant>
        <vt:i4>5</vt:i4>
      </vt:variant>
      <vt:variant>
        <vt:lpwstr/>
      </vt:variant>
      <vt:variant>
        <vt:lpwstr>_Toc219103238</vt:lpwstr>
      </vt:variant>
      <vt:variant>
        <vt:i4>1507385</vt:i4>
      </vt:variant>
      <vt:variant>
        <vt:i4>152</vt:i4>
      </vt:variant>
      <vt:variant>
        <vt:i4>0</vt:i4>
      </vt:variant>
      <vt:variant>
        <vt:i4>5</vt:i4>
      </vt:variant>
      <vt:variant>
        <vt:lpwstr/>
      </vt:variant>
      <vt:variant>
        <vt:lpwstr>_Toc219103237</vt:lpwstr>
      </vt:variant>
      <vt:variant>
        <vt:i4>1507385</vt:i4>
      </vt:variant>
      <vt:variant>
        <vt:i4>146</vt:i4>
      </vt:variant>
      <vt:variant>
        <vt:i4>0</vt:i4>
      </vt:variant>
      <vt:variant>
        <vt:i4>5</vt:i4>
      </vt:variant>
      <vt:variant>
        <vt:lpwstr/>
      </vt:variant>
      <vt:variant>
        <vt:lpwstr>_Toc219103236</vt:lpwstr>
      </vt:variant>
      <vt:variant>
        <vt:i4>1507385</vt:i4>
      </vt:variant>
      <vt:variant>
        <vt:i4>140</vt:i4>
      </vt:variant>
      <vt:variant>
        <vt:i4>0</vt:i4>
      </vt:variant>
      <vt:variant>
        <vt:i4>5</vt:i4>
      </vt:variant>
      <vt:variant>
        <vt:lpwstr/>
      </vt:variant>
      <vt:variant>
        <vt:lpwstr>_Toc219103235</vt:lpwstr>
      </vt:variant>
      <vt:variant>
        <vt:i4>1507385</vt:i4>
      </vt:variant>
      <vt:variant>
        <vt:i4>134</vt:i4>
      </vt:variant>
      <vt:variant>
        <vt:i4>0</vt:i4>
      </vt:variant>
      <vt:variant>
        <vt:i4>5</vt:i4>
      </vt:variant>
      <vt:variant>
        <vt:lpwstr/>
      </vt:variant>
      <vt:variant>
        <vt:lpwstr>_Toc219103234</vt:lpwstr>
      </vt:variant>
      <vt:variant>
        <vt:i4>1507385</vt:i4>
      </vt:variant>
      <vt:variant>
        <vt:i4>128</vt:i4>
      </vt:variant>
      <vt:variant>
        <vt:i4>0</vt:i4>
      </vt:variant>
      <vt:variant>
        <vt:i4>5</vt:i4>
      </vt:variant>
      <vt:variant>
        <vt:lpwstr/>
      </vt:variant>
      <vt:variant>
        <vt:lpwstr>_Toc219103233</vt:lpwstr>
      </vt:variant>
      <vt:variant>
        <vt:i4>1507385</vt:i4>
      </vt:variant>
      <vt:variant>
        <vt:i4>122</vt:i4>
      </vt:variant>
      <vt:variant>
        <vt:i4>0</vt:i4>
      </vt:variant>
      <vt:variant>
        <vt:i4>5</vt:i4>
      </vt:variant>
      <vt:variant>
        <vt:lpwstr/>
      </vt:variant>
      <vt:variant>
        <vt:lpwstr>_Toc219103232</vt:lpwstr>
      </vt:variant>
      <vt:variant>
        <vt:i4>1507385</vt:i4>
      </vt:variant>
      <vt:variant>
        <vt:i4>116</vt:i4>
      </vt:variant>
      <vt:variant>
        <vt:i4>0</vt:i4>
      </vt:variant>
      <vt:variant>
        <vt:i4>5</vt:i4>
      </vt:variant>
      <vt:variant>
        <vt:lpwstr/>
      </vt:variant>
      <vt:variant>
        <vt:lpwstr>_Toc219103231</vt:lpwstr>
      </vt:variant>
      <vt:variant>
        <vt:i4>1507385</vt:i4>
      </vt:variant>
      <vt:variant>
        <vt:i4>110</vt:i4>
      </vt:variant>
      <vt:variant>
        <vt:i4>0</vt:i4>
      </vt:variant>
      <vt:variant>
        <vt:i4>5</vt:i4>
      </vt:variant>
      <vt:variant>
        <vt:lpwstr/>
      </vt:variant>
      <vt:variant>
        <vt:lpwstr>_Toc219103230</vt:lpwstr>
      </vt:variant>
      <vt:variant>
        <vt:i4>1441849</vt:i4>
      </vt:variant>
      <vt:variant>
        <vt:i4>104</vt:i4>
      </vt:variant>
      <vt:variant>
        <vt:i4>0</vt:i4>
      </vt:variant>
      <vt:variant>
        <vt:i4>5</vt:i4>
      </vt:variant>
      <vt:variant>
        <vt:lpwstr/>
      </vt:variant>
      <vt:variant>
        <vt:lpwstr>_Toc219103229</vt:lpwstr>
      </vt:variant>
      <vt:variant>
        <vt:i4>1441849</vt:i4>
      </vt:variant>
      <vt:variant>
        <vt:i4>98</vt:i4>
      </vt:variant>
      <vt:variant>
        <vt:i4>0</vt:i4>
      </vt:variant>
      <vt:variant>
        <vt:i4>5</vt:i4>
      </vt:variant>
      <vt:variant>
        <vt:lpwstr/>
      </vt:variant>
      <vt:variant>
        <vt:lpwstr>_Toc219103228</vt:lpwstr>
      </vt:variant>
      <vt:variant>
        <vt:i4>1441849</vt:i4>
      </vt:variant>
      <vt:variant>
        <vt:i4>92</vt:i4>
      </vt:variant>
      <vt:variant>
        <vt:i4>0</vt:i4>
      </vt:variant>
      <vt:variant>
        <vt:i4>5</vt:i4>
      </vt:variant>
      <vt:variant>
        <vt:lpwstr/>
      </vt:variant>
      <vt:variant>
        <vt:lpwstr>_Toc219103227</vt:lpwstr>
      </vt:variant>
      <vt:variant>
        <vt:i4>1441849</vt:i4>
      </vt:variant>
      <vt:variant>
        <vt:i4>86</vt:i4>
      </vt:variant>
      <vt:variant>
        <vt:i4>0</vt:i4>
      </vt:variant>
      <vt:variant>
        <vt:i4>5</vt:i4>
      </vt:variant>
      <vt:variant>
        <vt:lpwstr/>
      </vt:variant>
      <vt:variant>
        <vt:lpwstr>_Toc219103226</vt:lpwstr>
      </vt:variant>
      <vt:variant>
        <vt:i4>1441849</vt:i4>
      </vt:variant>
      <vt:variant>
        <vt:i4>80</vt:i4>
      </vt:variant>
      <vt:variant>
        <vt:i4>0</vt:i4>
      </vt:variant>
      <vt:variant>
        <vt:i4>5</vt:i4>
      </vt:variant>
      <vt:variant>
        <vt:lpwstr/>
      </vt:variant>
      <vt:variant>
        <vt:lpwstr>_Toc219103225</vt:lpwstr>
      </vt:variant>
      <vt:variant>
        <vt:i4>1441849</vt:i4>
      </vt:variant>
      <vt:variant>
        <vt:i4>74</vt:i4>
      </vt:variant>
      <vt:variant>
        <vt:i4>0</vt:i4>
      </vt:variant>
      <vt:variant>
        <vt:i4>5</vt:i4>
      </vt:variant>
      <vt:variant>
        <vt:lpwstr/>
      </vt:variant>
      <vt:variant>
        <vt:lpwstr>_Toc219103224</vt:lpwstr>
      </vt:variant>
      <vt:variant>
        <vt:i4>1441849</vt:i4>
      </vt:variant>
      <vt:variant>
        <vt:i4>68</vt:i4>
      </vt:variant>
      <vt:variant>
        <vt:i4>0</vt:i4>
      </vt:variant>
      <vt:variant>
        <vt:i4>5</vt:i4>
      </vt:variant>
      <vt:variant>
        <vt:lpwstr/>
      </vt:variant>
      <vt:variant>
        <vt:lpwstr>_Toc219103223</vt:lpwstr>
      </vt:variant>
      <vt:variant>
        <vt:i4>1441849</vt:i4>
      </vt:variant>
      <vt:variant>
        <vt:i4>62</vt:i4>
      </vt:variant>
      <vt:variant>
        <vt:i4>0</vt:i4>
      </vt:variant>
      <vt:variant>
        <vt:i4>5</vt:i4>
      </vt:variant>
      <vt:variant>
        <vt:lpwstr/>
      </vt:variant>
      <vt:variant>
        <vt:lpwstr>_Toc219103222</vt:lpwstr>
      </vt:variant>
      <vt:variant>
        <vt:i4>1441849</vt:i4>
      </vt:variant>
      <vt:variant>
        <vt:i4>56</vt:i4>
      </vt:variant>
      <vt:variant>
        <vt:i4>0</vt:i4>
      </vt:variant>
      <vt:variant>
        <vt:i4>5</vt:i4>
      </vt:variant>
      <vt:variant>
        <vt:lpwstr/>
      </vt:variant>
      <vt:variant>
        <vt:lpwstr>_Toc219103221</vt:lpwstr>
      </vt:variant>
      <vt:variant>
        <vt:i4>1441849</vt:i4>
      </vt:variant>
      <vt:variant>
        <vt:i4>50</vt:i4>
      </vt:variant>
      <vt:variant>
        <vt:i4>0</vt:i4>
      </vt:variant>
      <vt:variant>
        <vt:i4>5</vt:i4>
      </vt:variant>
      <vt:variant>
        <vt:lpwstr/>
      </vt:variant>
      <vt:variant>
        <vt:lpwstr>_Toc219103220</vt:lpwstr>
      </vt:variant>
      <vt:variant>
        <vt:i4>1376313</vt:i4>
      </vt:variant>
      <vt:variant>
        <vt:i4>44</vt:i4>
      </vt:variant>
      <vt:variant>
        <vt:i4>0</vt:i4>
      </vt:variant>
      <vt:variant>
        <vt:i4>5</vt:i4>
      </vt:variant>
      <vt:variant>
        <vt:lpwstr/>
      </vt:variant>
      <vt:variant>
        <vt:lpwstr>_Toc219103219</vt:lpwstr>
      </vt:variant>
      <vt:variant>
        <vt:i4>1376313</vt:i4>
      </vt:variant>
      <vt:variant>
        <vt:i4>38</vt:i4>
      </vt:variant>
      <vt:variant>
        <vt:i4>0</vt:i4>
      </vt:variant>
      <vt:variant>
        <vt:i4>5</vt:i4>
      </vt:variant>
      <vt:variant>
        <vt:lpwstr/>
      </vt:variant>
      <vt:variant>
        <vt:lpwstr>_Toc219103218</vt:lpwstr>
      </vt:variant>
      <vt:variant>
        <vt:i4>1376313</vt:i4>
      </vt:variant>
      <vt:variant>
        <vt:i4>32</vt:i4>
      </vt:variant>
      <vt:variant>
        <vt:i4>0</vt:i4>
      </vt:variant>
      <vt:variant>
        <vt:i4>5</vt:i4>
      </vt:variant>
      <vt:variant>
        <vt:lpwstr/>
      </vt:variant>
      <vt:variant>
        <vt:lpwstr>_Toc219103217</vt:lpwstr>
      </vt:variant>
      <vt:variant>
        <vt:i4>1376313</vt:i4>
      </vt:variant>
      <vt:variant>
        <vt:i4>26</vt:i4>
      </vt:variant>
      <vt:variant>
        <vt:i4>0</vt:i4>
      </vt:variant>
      <vt:variant>
        <vt:i4>5</vt:i4>
      </vt:variant>
      <vt:variant>
        <vt:lpwstr/>
      </vt:variant>
      <vt:variant>
        <vt:lpwstr>_Toc219103216</vt:lpwstr>
      </vt:variant>
      <vt:variant>
        <vt:i4>1376313</vt:i4>
      </vt:variant>
      <vt:variant>
        <vt:i4>20</vt:i4>
      </vt:variant>
      <vt:variant>
        <vt:i4>0</vt:i4>
      </vt:variant>
      <vt:variant>
        <vt:i4>5</vt:i4>
      </vt:variant>
      <vt:variant>
        <vt:lpwstr/>
      </vt:variant>
      <vt:variant>
        <vt:lpwstr>_Toc219103215</vt:lpwstr>
      </vt:variant>
      <vt:variant>
        <vt:i4>1376313</vt:i4>
      </vt:variant>
      <vt:variant>
        <vt:i4>14</vt:i4>
      </vt:variant>
      <vt:variant>
        <vt:i4>0</vt:i4>
      </vt:variant>
      <vt:variant>
        <vt:i4>5</vt:i4>
      </vt:variant>
      <vt:variant>
        <vt:lpwstr/>
      </vt:variant>
      <vt:variant>
        <vt:lpwstr>_Toc219103214</vt:lpwstr>
      </vt:variant>
      <vt:variant>
        <vt:i4>1376313</vt:i4>
      </vt:variant>
      <vt:variant>
        <vt:i4>8</vt:i4>
      </vt:variant>
      <vt:variant>
        <vt:i4>0</vt:i4>
      </vt:variant>
      <vt:variant>
        <vt:i4>5</vt:i4>
      </vt:variant>
      <vt:variant>
        <vt:lpwstr/>
      </vt:variant>
      <vt:variant>
        <vt:lpwstr>_Toc219103213</vt:lpwstr>
      </vt:variant>
      <vt:variant>
        <vt:i4>1376313</vt:i4>
      </vt:variant>
      <vt:variant>
        <vt:i4>2</vt:i4>
      </vt:variant>
      <vt:variant>
        <vt:i4>0</vt:i4>
      </vt:variant>
      <vt:variant>
        <vt:i4>5</vt:i4>
      </vt:variant>
      <vt:variant>
        <vt:lpwstr/>
      </vt:variant>
      <vt:variant>
        <vt:lpwstr>_Toc219103212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Kelly</dc:creator>
  <cp:keywords/>
  <cp:lastModifiedBy>Chloe Merritt</cp:lastModifiedBy>
  <cp:revision>2</cp:revision>
  <dcterms:created xsi:type="dcterms:W3CDTF">2026-01-12T19:02:00Z</dcterms:created>
  <dcterms:modified xsi:type="dcterms:W3CDTF">2026-01-12T19:02:00Z</dcterms:modified>
</cp:coreProperties>
</file>