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1770A" w14:textId="0A827703" w:rsidR="003E0708" w:rsidRPr="0020290B" w:rsidRDefault="003E0708" w:rsidP="003E0708">
      <w:pPr>
        <w:spacing w:line="300" w:lineRule="auto"/>
        <w:jc w:val="right"/>
        <w:outlineLvl w:val="0"/>
        <w:rPr>
          <w:rFonts w:eastAsia="Times New Roman"/>
          <w:b/>
          <w:caps/>
          <w:lang w:val="en-US"/>
        </w:rPr>
      </w:pPr>
      <w:bookmarkStart w:id="0" w:name="_Toc534995356"/>
      <w:bookmarkStart w:id="1" w:name="_Toc534995746"/>
      <w:bookmarkStart w:id="2" w:name="_Toc535037147"/>
      <w:bookmarkStart w:id="3" w:name="_Toc534927566"/>
      <w:bookmarkStart w:id="4" w:name="_Toc345986003"/>
      <w:bookmarkStart w:id="5" w:name="_Toc345986241"/>
      <w:bookmarkStart w:id="6" w:name="_Toc345986421"/>
      <w:bookmarkStart w:id="7" w:name="_Toc346004584"/>
      <w:bookmarkStart w:id="8" w:name="_Toc535044994"/>
      <w:bookmarkStart w:id="9" w:name="_Toc535045368"/>
      <w:r w:rsidRPr="0020290B">
        <w:rPr>
          <w:rFonts w:eastAsia="Times New Roman"/>
          <w:b/>
          <w:caps/>
          <w:lang w:val="en-US"/>
        </w:rPr>
        <w:t>511</w:t>
      </w:r>
      <w:bookmarkEnd w:id="4"/>
      <w:bookmarkEnd w:id="5"/>
      <w:bookmarkEnd w:id="6"/>
      <w:bookmarkEnd w:id="7"/>
      <w:bookmarkEnd w:id="8"/>
      <w:bookmarkEnd w:id="9"/>
      <w:r w:rsidR="00BB5F7D">
        <w:rPr>
          <w:rFonts w:eastAsia="Times New Roman"/>
          <w:b/>
          <w:caps/>
          <w:lang w:val="en-US"/>
        </w:rPr>
        <w:t>R</w:t>
      </w:r>
    </w:p>
    <w:p w14:paraId="1860A4E2" w14:textId="77777777" w:rsidR="003E0708" w:rsidRPr="0020290B" w:rsidRDefault="003E0708" w:rsidP="003E0708">
      <w:pPr>
        <w:spacing w:line="480" w:lineRule="auto"/>
        <w:jc w:val="center"/>
        <w:rPr>
          <w:rFonts w:eastAsia="Times New Roman"/>
          <w:lang w:val="en-US"/>
        </w:rPr>
      </w:pPr>
    </w:p>
    <w:p w14:paraId="4EA23B4E" w14:textId="77777777" w:rsidR="003E0708" w:rsidRPr="0020290B" w:rsidRDefault="003E0708" w:rsidP="003E0708">
      <w:pPr>
        <w:spacing w:line="300" w:lineRule="auto"/>
        <w:jc w:val="center"/>
        <w:outlineLvl w:val="0"/>
        <w:rPr>
          <w:rFonts w:eastAsia="Times New Roman"/>
          <w:b/>
          <w:caps/>
          <w:lang w:val="en-US"/>
        </w:rPr>
      </w:pPr>
      <w:bookmarkStart w:id="10" w:name="_Toc345986004"/>
      <w:bookmarkStart w:id="11" w:name="_Toc345986242"/>
      <w:bookmarkStart w:id="12" w:name="_Toc345986422"/>
      <w:bookmarkStart w:id="13" w:name="_Toc346004585"/>
      <w:bookmarkStart w:id="14" w:name="_Toc535044995"/>
      <w:bookmarkStart w:id="15" w:name="_Toc535045369"/>
      <w:r w:rsidRPr="0020290B">
        <w:rPr>
          <w:rFonts w:eastAsia="Times New Roman"/>
          <w:b/>
          <w:caps/>
          <w:lang w:val="en-US"/>
        </w:rPr>
        <w:t>INTERNATIONAL COURT OF JUSTICE</w:t>
      </w:r>
      <w:bookmarkEnd w:id="10"/>
      <w:bookmarkEnd w:id="11"/>
      <w:bookmarkEnd w:id="12"/>
      <w:bookmarkEnd w:id="13"/>
      <w:bookmarkEnd w:id="14"/>
      <w:bookmarkEnd w:id="15"/>
    </w:p>
    <w:p w14:paraId="40CA0AEF" w14:textId="77777777" w:rsidR="003E0708" w:rsidRPr="0020290B" w:rsidRDefault="003E0708" w:rsidP="003E0708">
      <w:pPr>
        <w:spacing w:line="480" w:lineRule="auto"/>
        <w:jc w:val="center"/>
        <w:rPr>
          <w:rFonts w:eastAsia="Times New Roman"/>
          <w:lang w:val="en-US"/>
        </w:rPr>
      </w:pPr>
      <w:r w:rsidRPr="0020290B">
        <w:rPr>
          <w:rFonts w:eastAsia="Times New Roman"/>
          <w:b/>
          <w:noProof/>
          <w:lang w:val="en-GB" w:eastAsia="en-GB"/>
        </w:rPr>
        <w:drawing>
          <wp:inline distT="0" distB="0" distL="0" distR="0" wp14:anchorId="0224F5C5" wp14:editId="5EF530E6">
            <wp:extent cx="1405890" cy="1424305"/>
            <wp:effectExtent l="0" t="0" r="3810" b="0"/>
            <wp:docPr id="3" name="Picture 3" descr="C:\Users\keic419\Downloads\icj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ic419\Downloads\icj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890" cy="1424305"/>
                    </a:xfrm>
                    <a:prstGeom prst="rect">
                      <a:avLst/>
                    </a:prstGeom>
                    <a:noFill/>
                    <a:ln>
                      <a:noFill/>
                    </a:ln>
                  </pic:spPr>
                </pic:pic>
              </a:graphicData>
            </a:graphic>
          </wp:inline>
        </w:drawing>
      </w:r>
    </w:p>
    <w:p w14:paraId="2212465F" w14:textId="77777777" w:rsidR="003E0708" w:rsidRPr="0020290B" w:rsidRDefault="003E0708" w:rsidP="003E0708">
      <w:pPr>
        <w:spacing w:line="300" w:lineRule="auto"/>
        <w:jc w:val="center"/>
        <w:outlineLvl w:val="0"/>
        <w:rPr>
          <w:rFonts w:eastAsia="Times New Roman"/>
          <w:caps/>
          <w:lang w:val="en-US"/>
        </w:rPr>
      </w:pPr>
      <w:bookmarkStart w:id="16" w:name="_Toc345986005"/>
      <w:bookmarkStart w:id="17" w:name="_Toc345986243"/>
      <w:bookmarkStart w:id="18" w:name="_Toc345986423"/>
      <w:bookmarkStart w:id="19" w:name="_Toc346004586"/>
      <w:bookmarkStart w:id="20" w:name="_Toc535044996"/>
      <w:bookmarkStart w:id="21" w:name="_Toc535045370"/>
      <w:r w:rsidRPr="0020290B">
        <w:rPr>
          <w:rFonts w:eastAsia="Times New Roman"/>
          <w:caps/>
          <w:lang w:val="en-US"/>
        </w:rPr>
        <w:t>THE PEACE PALACE</w:t>
      </w:r>
      <w:bookmarkEnd w:id="16"/>
      <w:bookmarkEnd w:id="17"/>
      <w:bookmarkEnd w:id="18"/>
      <w:bookmarkEnd w:id="19"/>
      <w:bookmarkEnd w:id="20"/>
      <w:bookmarkEnd w:id="21"/>
    </w:p>
    <w:p w14:paraId="3222724B" w14:textId="77777777" w:rsidR="003E0708" w:rsidRPr="0020290B" w:rsidRDefault="003E0708" w:rsidP="003E0708">
      <w:pPr>
        <w:spacing w:line="300" w:lineRule="auto"/>
        <w:jc w:val="center"/>
        <w:outlineLvl w:val="0"/>
        <w:rPr>
          <w:rFonts w:eastAsia="Times New Roman"/>
          <w:caps/>
          <w:lang w:val="en-US"/>
        </w:rPr>
      </w:pPr>
      <w:bookmarkStart w:id="22" w:name="_Toc345986006"/>
      <w:bookmarkStart w:id="23" w:name="_Toc345986244"/>
      <w:bookmarkStart w:id="24" w:name="_Toc345986424"/>
      <w:bookmarkStart w:id="25" w:name="_Toc346004587"/>
      <w:bookmarkStart w:id="26" w:name="_Toc535044997"/>
      <w:bookmarkStart w:id="27" w:name="_Toc535045371"/>
      <w:r w:rsidRPr="0020290B">
        <w:rPr>
          <w:rFonts w:eastAsia="Times New Roman"/>
          <w:caps/>
          <w:lang w:val="en-US"/>
        </w:rPr>
        <w:t>THE HAGUE, THE NETHERLANDS</w:t>
      </w:r>
      <w:bookmarkEnd w:id="22"/>
      <w:bookmarkEnd w:id="23"/>
      <w:bookmarkEnd w:id="24"/>
      <w:bookmarkEnd w:id="25"/>
      <w:bookmarkEnd w:id="26"/>
      <w:bookmarkEnd w:id="27"/>
    </w:p>
    <w:p w14:paraId="6E878188" w14:textId="77777777" w:rsidR="003E0708" w:rsidRPr="0020290B" w:rsidRDefault="003E0708" w:rsidP="003E0708">
      <w:pPr>
        <w:spacing w:line="300" w:lineRule="auto"/>
        <w:jc w:val="center"/>
        <w:outlineLvl w:val="0"/>
        <w:rPr>
          <w:rFonts w:eastAsia="Times New Roman"/>
          <w:b/>
          <w:caps/>
          <w:lang w:val="en-US"/>
        </w:rPr>
      </w:pPr>
    </w:p>
    <w:p w14:paraId="5F8139E3" w14:textId="77777777" w:rsidR="003E0708" w:rsidRPr="0020290B" w:rsidRDefault="003E0708" w:rsidP="003E0708">
      <w:pPr>
        <w:spacing w:line="300" w:lineRule="auto"/>
        <w:jc w:val="center"/>
        <w:outlineLvl w:val="0"/>
        <w:rPr>
          <w:rFonts w:eastAsia="Times New Roman"/>
          <w:caps/>
          <w:lang w:val="en-US"/>
        </w:rPr>
      </w:pPr>
      <w:bookmarkStart w:id="28" w:name="_Toc535044998"/>
      <w:bookmarkStart w:id="29" w:name="_Toc535045372"/>
      <w:bookmarkStart w:id="30" w:name="_Toc345986007"/>
      <w:bookmarkStart w:id="31" w:name="_Toc345986245"/>
      <w:bookmarkStart w:id="32" w:name="_Toc345986425"/>
      <w:bookmarkStart w:id="33" w:name="_Toc346004588"/>
      <w:r w:rsidRPr="0020290B">
        <w:rPr>
          <w:rFonts w:eastAsia="Times New Roman"/>
          <w:caps/>
          <w:lang w:val="en-US"/>
        </w:rPr>
        <w:t>THE 2019 PHILIP C. JESSUP INTERNATIONAL LAW</w:t>
      </w:r>
      <w:bookmarkEnd w:id="28"/>
      <w:bookmarkEnd w:id="29"/>
    </w:p>
    <w:p w14:paraId="7B96A07D" w14:textId="77777777" w:rsidR="003E0708" w:rsidRPr="0020290B" w:rsidRDefault="003E0708" w:rsidP="003E0708">
      <w:pPr>
        <w:spacing w:line="300" w:lineRule="auto"/>
        <w:jc w:val="center"/>
        <w:outlineLvl w:val="0"/>
        <w:rPr>
          <w:rFonts w:eastAsia="Times New Roman"/>
          <w:caps/>
          <w:lang w:val="en-US"/>
        </w:rPr>
      </w:pPr>
      <w:bookmarkStart w:id="34" w:name="_Toc535044999"/>
      <w:bookmarkStart w:id="35" w:name="_Toc535045373"/>
      <w:r w:rsidRPr="0020290B">
        <w:rPr>
          <w:rFonts w:eastAsia="Times New Roman"/>
          <w:caps/>
          <w:lang w:val="en-US"/>
        </w:rPr>
        <w:t>MOOT COURT</w:t>
      </w:r>
      <w:bookmarkStart w:id="36" w:name="_Toc345986008"/>
      <w:bookmarkStart w:id="37" w:name="_Toc345986246"/>
      <w:bookmarkStart w:id="38" w:name="_Toc345986426"/>
      <w:bookmarkStart w:id="39" w:name="_Toc346004589"/>
      <w:bookmarkEnd w:id="30"/>
      <w:bookmarkEnd w:id="31"/>
      <w:bookmarkEnd w:id="32"/>
      <w:bookmarkEnd w:id="33"/>
      <w:r w:rsidRPr="0020290B">
        <w:rPr>
          <w:rFonts w:eastAsia="Times New Roman"/>
          <w:caps/>
          <w:lang w:val="en-US"/>
        </w:rPr>
        <w:t xml:space="preserve"> COMPETITION</w:t>
      </w:r>
      <w:bookmarkEnd w:id="34"/>
      <w:bookmarkEnd w:id="35"/>
      <w:bookmarkEnd w:id="36"/>
      <w:bookmarkEnd w:id="37"/>
      <w:bookmarkEnd w:id="38"/>
      <w:bookmarkEnd w:id="39"/>
    </w:p>
    <w:p w14:paraId="5C97D23F" w14:textId="77777777" w:rsidR="003E0708" w:rsidRPr="0020290B" w:rsidRDefault="003E0708" w:rsidP="003E0708">
      <w:pPr>
        <w:spacing w:line="300" w:lineRule="auto"/>
        <w:jc w:val="center"/>
        <w:outlineLvl w:val="0"/>
        <w:rPr>
          <w:rFonts w:eastAsia="Times New Roman"/>
          <w:b/>
          <w:caps/>
          <w:lang w:val="en-US"/>
        </w:rPr>
      </w:pPr>
    </w:p>
    <w:p w14:paraId="47699806" w14:textId="77777777" w:rsidR="003E0708" w:rsidRPr="0020290B" w:rsidRDefault="003E0708" w:rsidP="003E0708">
      <w:pPr>
        <w:spacing w:line="300" w:lineRule="auto"/>
        <w:jc w:val="center"/>
        <w:outlineLvl w:val="0"/>
        <w:rPr>
          <w:rFonts w:eastAsia="Times New Roman"/>
          <w:b/>
          <w:caps/>
          <w:lang w:val="en-US"/>
        </w:rPr>
      </w:pPr>
      <w:bookmarkStart w:id="40" w:name="_Toc345986009"/>
      <w:bookmarkStart w:id="41" w:name="_Toc345986247"/>
      <w:bookmarkStart w:id="42" w:name="_Toc345986427"/>
      <w:bookmarkStart w:id="43" w:name="_Toc346004590"/>
      <w:bookmarkStart w:id="44" w:name="_Toc535045000"/>
      <w:bookmarkStart w:id="45" w:name="_Toc535045374"/>
      <w:r w:rsidRPr="0020290B">
        <w:rPr>
          <w:rFonts w:eastAsia="Times New Roman"/>
          <w:b/>
          <w:caps/>
          <w:lang w:val="en-US"/>
        </w:rPr>
        <w:t xml:space="preserve">THE CASE CONCERNING THE </w:t>
      </w:r>
      <w:bookmarkEnd w:id="40"/>
      <w:bookmarkEnd w:id="41"/>
      <w:bookmarkEnd w:id="42"/>
      <w:bookmarkEnd w:id="43"/>
      <w:r w:rsidRPr="0020290B">
        <w:rPr>
          <w:rFonts w:eastAsia="Times New Roman"/>
          <w:b/>
          <w:caps/>
          <w:lang w:val="en-US"/>
        </w:rPr>
        <w:t>Kayleff Yak</w:t>
      </w:r>
      <w:bookmarkEnd w:id="44"/>
      <w:bookmarkEnd w:id="45"/>
    </w:p>
    <w:p w14:paraId="38F9EF8D" w14:textId="77777777" w:rsidR="003E0708" w:rsidRPr="0020290B" w:rsidRDefault="003E0708" w:rsidP="003E0708">
      <w:pPr>
        <w:spacing w:line="300" w:lineRule="auto"/>
        <w:jc w:val="center"/>
        <w:outlineLvl w:val="0"/>
        <w:rPr>
          <w:rFonts w:eastAsia="Times New Roman"/>
          <w:b/>
          <w:caps/>
          <w:lang w:val="en-US"/>
        </w:rPr>
      </w:pPr>
    </w:p>
    <w:p w14:paraId="6767D81A" w14:textId="77777777" w:rsidR="003E0708" w:rsidRPr="0020290B" w:rsidRDefault="003E0708" w:rsidP="003E0708">
      <w:pPr>
        <w:spacing w:line="300" w:lineRule="auto"/>
        <w:jc w:val="center"/>
        <w:outlineLvl w:val="0"/>
        <w:rPr>
          <w:rFonts w:eastAsia="Times New Roman"/>
          <w:b/>
          <w:caps/>
          <w:lang w:val="en-US"/>
        </w:rPr>
      </w:pPr>
      <w:bookmarkStart w:id="46" w:name="_Toc535045001"/>
      <w:bookmarkStart w:id="47" w:name="_Toc535045375"/>
      <w:r w:rsidRPr="0020290B">
        <w:rPr>
          <w:rFonts w:eastAsia="Times New Roman"/>
          <w:b/>
          <w:caps/>
          <w:lang w:val="en-US"/>
        </w:rPr>
        <w:t>The State of Aurok</w:t>
      </w:r>
      <w:bookmarkEnd w:id="46"/>
      <w:bookmarkEnd w:id="47"/>
    </w:p>
    <w:p w14:paraId="15DA3C28" w14:textId="77777777" w:rsidR="003E0708" w:rsidRPr="0020290B" w:rsidRDefault="003E0708" w:rsidP="003E0708">
      <w:pPr>
        <w:spacing w:line="300" w:lineRule="auto"/>
        <w:jc w:val="center"/>
        <w:outlineLvl w:val="0"/>
        <w:rPr>
          <w:rFonts w:eastAsia="Times New Roman"/>
          <w:caps/>
          <w:lang w:val="en-US"/>
        </w:rPr>
      </w:pPr>
      <w:bookmarkStart w:id="48" w:name="_Toc345986011"/>
      <w:bookmarkStart w:id="49" w:name="_Toc345986249"/>
      <w:bookmarkStart w:id="50" w:name="_Toc345986429"/>
      <w:bookmarkStart w:id="51" w:name="_Toc346004592"/>
      <w:bookmarkStart w:id="52" w:name="_Toc535045002"/>
      <w:bookmarkStart w:id="53" w:name="_Toc535045376"/>
      <w:r w:rsidRPr="0020290B">
        <w:rPr>
          <w:rFonts w:eastAsia="Times New Roman"/>
          <w:caps/>
          <w:lang w:val="en-US"/>
        </w:rPr>
        <w:t>(APPLICANT</w:t>
      </w:r>
      <w:bookmarkEnd w:id="48"/>
      <w:bookmarkEnd w:id="49"/>
      <w:bookmarkEnd w:id="50"/>
      <w:bookmarkEnd w:id="51"/>
      <w:r w:rsidRPr="0020290B">
        <w:rPr>
          <w:rFonts w:eastAsia="Times New Roman"/>
          <w:caps/>
          <w:lang w:val="en-US"/>
        </w:rPr>
        <w:t>)</w:t>
      </w:r>
      <w:bookmarkEnd w:id="52"/>
      <w:bookmarkEnd w:id="53"/>
    </w:p>
    <w:p w14:paraId="704294C8" w14:textId="77777777" w:rsidR="003E0708" w:rsidRPr="0020290B" w:rsidRDefault="003E0708" w:rsidP="003E0708">
      <w:pPr>
        <w:spacing w:line="300" w:lineRule="auto"/>
        <w:jc w:val="center"/>
        <w:outlineLvl w:val="0"/>
        <w:rPr>
          <w:rFonts w:eastAsia="Times New Roman"/>
          <w:caps/>
          <w:lang w:val="en-US"/>
        </w:rPr>
      </w:pPr>
      <w:bookmarkStart w:id="54" w:name="_Toc535045003"/>
      <w:bookmarkStart w:id="55" w:name="_Toc535045377"/>
      <w:r w:rsidRPr="0020290B">
        <w:rPr>
          <w:rFonts w:eastAsia="Times New Roman"/>
          <w:caps/>
          <w:lang w:val="en-US"/>
        </w:rPr>
        <w:t>v</w:t>
      </w:r>
      <w:bookmarkEnd w:id="54"/>
      <w:bookmarkEnd w:id="55"/>
    </w:p>
    <w:p w14:paraId="4552BD15" w14:textId="77777777" w:rsidR="003E0708" w:rsidRPr="0020290B" w:rsidRDefault="003E0708" w:rsidP="003E0708">
      <w:pPr>
        <w:spacing w:line="300" w:lineRule="auto"/>
        <w:jc w:val="center"/>
        <w:outlineLvl w:val="0"/>
        <w:rPr>
          <w:rFonts w:eastAsia="Times New Roman"/>
          <w:b/>
          <w:caps/>
          <w:lang w:val="en-US"/>
        </w:rPr>
      </w:pPr>
      <w:bookmarkStart w:id="56" w:name="_Toc345986013"/>
      <w:bookmarkStart w:id="57" w:name="_Toc345986251"/>
      <w:bookmarkStart w:id="58" w:name="_Toc345986431"/>
      <w:bookmarkStart w:id="59" w:name="_Toc346004594"/>
      <w:bookmarkStart w:id="60" w:name="_Toc535045004"/>
      <w:bookmarkStart w:id="61" w:name="_Toc535045378"/>
      <w:r w:rsidRPr="0020290B">
        <w:rPr>
          <w:rFonts w:eastAsia="Times New Roman"/>
          <w:b/>
          <w:caps/>
          <w:lang w:val="en-US"/>
        </w:rPr>
        <w:t xml:space="preserve">THE </w:t>
      </w:r>
      <w:bookmarkEnd w:id="56"/>
      <w:bookmarkEnd w:id="57"/>
      <w:bookmarkEnd w:id="58"/>
      <w:bookmarkEnd w:id="59"/>
      <w:r w:rsidRPr="0020290B">
        <w:rPr>
          <w:rFonts w:eastAsia="Times New Roman"/>
          <w:b/>
          <w:caps/>
          <w:lang w:val="en-US"/>
        </w:rPr>
        <w:t>Republic of Rakkab</w:t>
      </w:r>
      <w:bookmarkEnd w:id="60"/>
      <w:bookmarkEnd w:id="61"/>
    </w:p>
    <w:p w14:paraId="122CB55C" w14:textId="77777777" w:rsidR="003E0708" w:rsidRPr="0020290B" w:rsidRDefault="003E0708" w:rsidP="003E0708">
      <w:pPr>
        <w:spacing w:line="300" w:lineRule="auto"/>
        <w:jc w:val="center"/>
        <w:outlineLvl w:val="0"/>
        <w:rPr>
          <w:rFonts w:eastAsia="Times New Roman"/>
          <w:caps/>
          <w:lang w:val="en-US"/>
        </w:rPr>
      </w:pPr>
      <w:bookmarkStart w:id="62" w:name="_Toc345986014"/>
      <w:bookmarkStart w:id="63" w:name="_Toc345986252"/>
      <w:bookmarkStart w:id="64" w:name="_Toc345986432"/>
      <w:bookmarkStart w:id="65" w:name="_Toc346004595"/>
      <w:bookmarkStart w:id="66" w:name="_Toc535045005"/>
      <w:bookmarkStart w:id="67" w:name="_Toc535045379"/>
      <w:r w:rsidRPr="0020290B">
        <w:rPr>
          <w:rFonts w:eastAsia="Times New Roman"/>
          <w:caps/>
          <w:lang w:val="en-US"/>
        </w:rPr>
        <w:t>(RESPONDENT</w:t>
      </w:r>
      <w:bookmarkEnd w:id="62"/>
      <w:bookmarkEnd w:id="63"/>
      <w:bookmarkEnd w:id="64"/>
      <w:bookmarkEnd w:id="65"/>
      <w:r w:rsidRPr="0020290B">
        <w:rPr>
          <w:rFonts w:eastAsia="Times New Roman"/>
          <w:caps/>
          <w:lang w:val="en-US"/>
        </w:rPr>
        <w:t>)</w:t>
      </w:r>
      <w:bookmarkEnd w:id="66"/>
      <w:bookmarkEnd w:id="67"/>
    </w:p>
    <w:p w14:paraId="58363F05" w14:textId="77777777" w:rsidR="003E0708" w:rsidRPr="0020290B" w:rsidRDefault="003E0708" w:rsidP="003E0708">
      <w:pPr>
        <w:spacing w:line="300" w:lineRule="auto"/>
        <w:jc w:val="center"/>
        <w:outlineLvl w:val="0"/>
        <w:rPr>
          <w:rFonts w:eastAsia="Times New Roman"/>
          <w:b/>
          <w:caps/>
          <w:lang w:val="en-US"/>
        </w:rPr>
      </w:pPr>
    </w:p>
    <w:p w14:paraId="341C904A" w14:textId="77777777" w:rsidR="003E0708" w:rsidRPr="0020290B" w:rsidRDefault="003E0708" w:rsidP="003E0708">
      <w:pPr>
        <w:pBdr>
          <w:top w:val="single" w:sz="4" w:space="1" w:color="auto"/>
        </w:pBdr>
        <w:spacing w:line="300" w:lineRule="auto"/>
        <w:jc w:val="center"/>
        <w:outlineLvl w:val="0"/>
        <w:rPr>
          <w:rFonts w:eastAsia="Times New Roman"/>
          <w:b/>
          <w:caps/>
          <w:lang w:val="en-US"/>
        </w:rPr>
      </w:pPr>
    </w:p>
    <w:p w14:paraId="46D828D2" w14:textId="25A93021" w:rsidR="003E0708" w:rsidRPr="0020290B" w:rsidRDefault="003E0708" w:rsidP="003E0708">
      <w:pPr>
        <w:spacing w:after="0" w:line="300" w:lineRule="auto"/>
        <w:jc w:val="center"/>
        <w:outlineLvl w:val="0"/>
        <w:rPr>
          <w:rFonts w:eastAsia="Times New Roman"/>
          <w:b/>
          <w:caps/>
          <w:lang w:val="en-US"/>
        </w:rPr>
      </w:pPr>
      <w:bookmarkStart w:id="68" w:name="_Toc345986015"/>
      <w:bookmarkStart w:id="69" w:name="_Toc345986253"/>
      <w:bookmarkStart w:id="70" w:name="_Toc345986433"/>
      <w:bookmarkStart w:id="71" w:name="_Toc346004596"/>
      <w:bookmarkStart w:id="72" w:name="_Toc535045006"/>
      <w:bookmarkStart w:id="73" w:name="_Toc535045380"/>
      <w:r w:rsidRPr="0020290B">
        <w:rPr>
          <w:rFonts w:eastAsia="Times New Roman"/>
          <w:b/>
          <w:caps/>
          <w:lang w:val="en-US"/>
        </w:rPr>
        <w:t xml:space="preserve">MEMORIAL FOR THE </w:t>
      </w:r>
      <w:bookmarkEnd w:id="68"/>
      <w:bookmarkEnd w:id="69"/>
      <w:bookmarkEnd w:id="70"/>
      <w:bookmarkEnd w:id="71"/>
      <w:bookmarkEnd w:id="72"/>
      <w:bookmarkEnd w:id="73"/>
      <w:r w:rsidR="00BB5F7D">
        <w:rPr>
          <w:rFonts w:eastAsia="Times New Roman"/>
          <w:b/>
          <w:caps/>
          <w:lang w:val="en-US"/>
        </w:rPr>
        <w:t>Respondent</w:t>
      </w:r>
      <w:bookmarkStart w:id="74" w:name="_GoBack"/>
      <w:bookmarkEnd w:id="74"/>
    </w:p>
    <w:p w14:paraId="6DA2D422" w14:textId="77777777" w:rsidR="003E0708" w:rsidRPr="0020290B" w:rsidRDefault="003E0708" w:rsidP="003E0708">
      <w:pPr>
        <w:spacing w:line="300" w:lineRule="auto"/>
        <w:jc w:val="center"/>
        <w:outlineLvl w:val="0"/>
        <w:rPr>
          <w:rFonts w:eastAsia="Times New Roman"/>
          <w:b/>
          <w:caps/>
          <w:lang w:val="en-US"/>
        </w:rPr>
      </w:pPr>
    </w:p>
    <w:p w14:paraId="1AB10002" w14:textId="77777777" w:rsidR="003E0708" w:rsidRPr="0020290B" w:rsidRDefault="003E0708" w:rsidP="003E0708">
      <w:pPr>
        <w:pBdr>
          <w:top w:val="single" w:sz="4" w:space="1" w:color="auto"/>
        </w:pBdr>
        <w:spacing w:line="300" w:lineRule="auto"/>
        <w:jc w:val="center"/>
        <w:outlineLvl w:val="0"/>
        <w:rPr>
          <w:rFonts w:eastAsia="Times New Roman"/>
          <w:b/>
          <w:caps/>
          <w:lang w:val="en-US"/>
        </w:rPr>
      </w:pPr>
    </w:p>
    <w:p w14:paraId="135A16AF" w14:textId="77777777" w:rsidR="003E0708" w:rsidRPr="0020290B" w:rsidRDefault="003E0708" w:rsidP="003E0708">
      <w:pPr>
        <w:spacing w:line="480" w:lineRule="auto"/>
        <w:jc w:val="center"/>
        <w:rPr>
          <w:rFonts w:eastAsia="Times New Roman"/>
          <w:lang w:val="en-US"/>
        </w:rPr>
      </w:pPr>
      <w:r w:rsidRPr="0020290B">
        <w:rPr>
          <w:rFonts w:eastAsia="Times New Roman"/>
          <w:lang w:val="en-US"/>
        </w:rPr>
        <w:t>2019</w:t>
      </w:r>
    </w:p>
    <w:p w14:paraId="0F3A5C72" w14:textId="58CA6A0D" w:rsidR="005A22C1" w:rsidRDefault="0071378E" w:rsidP="008F47B4">
      <w:pPr>
        <w:pStyle w:val="Heading1"/>
      </w:pPr>
      <w:r w:rsidRPr="0071378E">
        <w:lastRenderedPageBreak/>
        <w:t>TABLE OF CONTENTS</w:t>
      </w:r>
      <w:bookmarkEnd w:id="0"/>
      <w:bookmarkEnd w:id="1"/>
      <w:bookmarkEnd w:id="2"/>
      <w:r w:rsidR="00DF4546" w:rsidRPr="0071378E">
        <w:t xml:space="preserve"> </w:t>
      </w:r>
    </w:p>
    <w:p w14:paraId="77234EE5" w14:textId="6EEB82E1" w:rsidR="00372715" w:rsidRPr="009722A8" w:rsidRDefault="008F47B4">
      <w:pPr>
        <w:pStyle w:val="TOC1"/>
        <w:tabs>
          <w:tab w:val="right" w:leader="dot" w:pos="9350"/>
        </w:tabs>
        <w:rPr>
          <w:rFonts w:ascii="Times New Roman" w:eastAsiaTheme="minorEastAsia" w:hAnsi="Times New Roman"/>
          <w:b w:val="0"/>
          <w:bCs w:val="0"/>
          <w:caps w:val="0"/>
          <w:noProof/>
          <w:sz w:val="24"/>
          <w:szCs w:val="24"/>
        </w:rPr>
      </w:pPr>
      <w:r w:rsidRPr="009722A8">
        <w:rPr>
          <w:rFonts w:ascii="Times New Roman" w:hAnsi="Times New Roman"/>
          <w:sz w:val="24"/>
          <w:szCs w:val="24"/>
        </w:rPr>
        <w:fldChar w:fldCharType="begin"/>
      </w:r>
      <w:r w:rsidRPr="009722A8">
        <w:rPr>
          <w:rFonts w:ascii="Times New Roman" w:hAnsi="Times New Roman"/>
          <w:sz w:val="24"/>
          <w:szCs w:val="24"/>
        </w:rPr>
        <w:instrText xml:space="preserve"> TOC \o "1-5" \u </w:instrText>
      </w:r>
      <w:r w:rsidRPr="009722A8">
        <w:rPr>
          <w:rFonts w:ascii="Times New Roman" w:hAnsi="Times New Roman"/>
          <w:sz w:val="24"/>
          <w:szCs w:val="24"/>
        </w:rPr>
        <w:fldChar w:fldCharType="separate"/>
      </w:r>
      <w:r w:rsidR="00372715" w:rsidRPr="009722A8">
        <w:rPr>
          <w:rFonts w:ascii="Times New Roman" w:hAnsi="Times New Roman"/>
          <w:noProof/>
          <w:sz w:val="24"/>
          <w:szCs w:val="24"/>
        </w:rPr>
        <w:t>index of authorities</w:t>
      </w:r>
      <w:r w:rsidR="00372715" w:rsidRPr="009722A8">
        <w:rPr>
          <w:rFonts w:ascii="Times New Roman" w:hAnsi="Times New Roman"/>
          <w:noProof/>
          <w:sz w:val="24"/>
          <w:szCs w:val="24"/>
        </w:rPr>
        <w:tab/>
      </w:r>
      <w:r w:rsidR="00372715" w:rsidRPr="009722A8">
        <w:rPr>
          <w:rFonts w:ascii="Times New Roman" w:hAnsi="Times New Roman"/>
          <w:noProof/>
          <w:sz w:val="24"/>
          <w:szCs w:val="24"/>
        </w:rPr>
        <w:fldChar w:fldCharType="begin"/>
      </w:r>
      <w:r w:rsidR="00372715" w:rsidRPr="009722A8">
        <w:rPr>
          <w:rFonts w:ascii="Times New Roman" w:hAnsi="Times New Roman"/>
          <w:noProof/>
          <w:sz w:val="24"/>
          <w:szCs w:val="24"/>
        </w:rPr>
        <w:instrText xml:space="preserve"> PAGEREF _Toc535037148 \h </w:instrText>
      </w:r>
      <w:r w:rsidR="00372715" w:rsidRPr="009722A8">
        <w:rPr>
          <w:rFonts w:ascii="Times New Roman" w:hAnsi="Times New Roman"/>
          <w:noProof/>
          <w:sz w:val="24"/>
          <w:szCs w:val="24"/>
        </w:rPr>
      </w:r>
      <w:r w:rsidR="00372715" w:rsidRPr="009722A8">
        <w:rPr>
          <w:rFonts w:ascii="Times New Roman" w:hAnsi="Times New Roman"/>
          <w:noProof/>
          <w:sz w:val="24"/>
          <w:szCs w:val="24"/>
        </w:rPr>
        <w:fldChar w:fldCharType="separate"/>
      </w:r>
      <w:r w:rsidR="00DE63FF" w:rsidRPr="009722A8">
        <w:rPr>
          <w:rFonts w:ascii="Times New Roman" w:hAnsi="Times New Roman"/>
          <w:noProof/>
          <w:sz w:val="24"/>
          <w:szCs w:val="24"/>
        </w:rPr>
        <w:t>6</w:t>
      </w:r>
      <w:r w:rsidR="00372715" w:rsidRPr="009722A8">
        <w:rPr>
          <w:rFonts w:ascii="Times New Roman" w:hAnsi="Times New Roman"/>
          <w:noProof/>
          <w:sz w:val="24"/>
          <w:szCs w:val="24"/>
        </w:rPr>
        <w:fldChar w:fldCharType="end"/>
      </w:r>
    </w:p>
    <w:p w14:paraId="3AF5BFAF" w14:textId="19C89375" w:rsidR="00372715" w:rsidRPr="009722A8" w:rsidRDefault="00372715">
      <w:pPr>
        <w:pStyle w:val="TOC1"/>
        <w:tabs>
          <w:tab w:val="right" w:leader="dot" w:pos="9350"/>
        </w:tabs>
        <w:rPr>
          <w:rFonts w:ascii="Times New Roman" w:eastAsiaTheme="minorEastAsia" w:hAnsi="Times New Roman"/>
          <w:b w:val="0"/>
          <w:bCs w:val="0"/>
          <w:caps w:val="0"/>
          <w:noProof/>
          <w:sz w:val="24"/>
          <w:szCs w:val="24"/>
        </w:rPr>
      </w:pPr>
      <w:r w:rsidRPr="009722A8">
        <w:rPr>
          <w:rFonts w:ascii="Times New Roman" w:hAnsi="Times New Roman"/>
          <w:noProof/>
          <w:sz w:val="24"/>
          <w:szCs w:val="24"/>
          <w:lang w:val="en-AU"/>
        </w:rPr>
        <w:t>STATEMENT OF JURISDICTION</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_Toc535037156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19</w:t>
      </w:r>
      <w:r w:rsidRPr="009722A8">
        <w:rPr>
          <w:rFonts w:ascii="Times New Roman" w:hAnsi="Times New Roman"/>
          <w:noProof/>
          <w:sz w:val="24"/>
          <w:szCs w:val="24"/>
        </w:rPr>
        <w:fldChar w:fldCharType="end"/>
      </w:r>
    </w:p>
    <w:p w14:paraId="00C777C4" w14:textId="74482DF4" w:rsidR="00372715" w:rsidRPr="009722A8" w:rsidRDefault="00372715">
      <w:pPr>
        <w:pStyle w:val="TOC1"/>
        <w:tabs>
          <w:tab w:val="right" w:leader="dot" w:pos="9350"/>
        </w:tabs>
        <w:rPr>
          <w:rFonts w:ascii="Times New Roman" w:eastAsiaTheme="minorEastAsia" w:hAnsi="Times New Roman"/>
          <w:b w:val="0"/>
          <w:bCs w:val="0"/>
          <w:caps w:val="0"/>
          <w:noProof/>
          <w:sz w:val="24"/>
          <w:szCs w:val="24"/>
        </w:rPr>
      </w:pPr>
      <w:r w:rsidRPr="009722A8">
        <w:rPr>
          <w:rFonts w:ascii="Times New Roman" w:hAnsi="Times New Roman"/>
          <w:noProof/>
          <w:sz w:val="24"/>
          <w:szCs w:val="24"/>
          <w:lang w:val="en-AU"/>
        </w:rPr>
        <w:t>QUESTIONS PRESENTED</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_Toc535037157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20</w:t>
      </w:r>
      <w:r w:rsidRPr="009722A8">
        <w:rPr>
          <w:rFonts w:ascii="Times New Roman" w:hAnsi="Times New Roman"/>
          <w:noProof/>
          <w:sz w:val="24"/>
          <w:szCs w:val="24"/>
        </w:rPr>
        <w:fldChar w:fldCharType="end"/>
      </w:r>
    </w:p>
    <w:p w14:paraId="7F4A4FD9" w14:textId="7E67ACC0" w:rsidR="00372715" w:rsidRPr="009722A8" w:rsidRDefault="00372715">
      <w:pPr>
        <w:pStyle w:val="TOC1"/>
        <w:tabs>
          <w:tab w:val="right" w:leader="dot" w:pos="9350"/>
        </w:tabs>
        <w:rPr>
          <w:rFonts w:ascii="Times New Roman" w:eastAsiaTheme="minorEastAsia" w:hAnsi="Times New Roman"/>
          <w:b w:val="0"/>
          <w:bCs w:val="0"/>
          <w:caps w:val="0"/>
          <w:noProof/>
          <w:sz w:val="24"/>
          <w:szCs w:val="24"/>
        </w:rPr>
      </w:pPr>
      <w:r w:rsidRPr="009722A8">
        <w:rPr>
          <w:rFonts w:ascii="Times New Roman" w:hAnsi="Times New Roman"/>
          <w:noProof/>
          <w:sz w:val="24"/>
          <w:szCs w:val="24"/>
          <w:lang w:val="en-GB"/>
        </w:rPr>
        <w:t>STATEMENT OF FACTS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_Toc535037158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21</w:t>
      </w:r>
      <w:r w:rsidRPr="009722A8">
        <w:rPr>
          <w:rFonts w:ascii="Times New Roman" w:hAnsi="Times New Roman"/>
          <w:noProof/>
          <w:sz w:val="24"/>
          <w:szCs w:val="24"/>
        </w:rPr>
        <w:fldChar w:fldCharType="end"/>
      </w:r>
    </w:p>
    <w:p w14:paraId="60E63A22" w14:textId="4862F1CE" w:rsidR="00372715" w:rsidRPr="009722A8" w:rsidRDefault="00372715">
      <w:pPr>
        <w:pStyle w:val="TOC1"/>
        <w:tabs>
          <w:tab w:val="right" w:leader="dot" w:pos="9350"/>
        </w:tabs>
        <w:rPr>
          <w:rFonts w:ascii="Times New Roman" w:eastAsiaTheme="minorEastAsia" w:hAnsi="Times New Roman"/>
          <w:b w:val="0"/>
          <w:bCs w:val="0"/>
          <w:caps w:val="0"/>
          <w:noProof/>
          <w:sz w:val="24"/>
          <w:szCs w:val="24"/>
        </w:rPr>
      </w:pPr>
      <w:r w:rsidRPr="009722A8">
        <w:rPr>
          <w:rFonts w:ascii="Times New Roman" w:hAnsi="Times New Roman"/>
          <w:noProof/>
          <w:sz w:val="24"/>
          <w:szCs w:val="24"/>
          <w:lang w:val="en-AU"/>
        </w:rPr>
        <w:t>Summary of pleadings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_Toc535037159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25</w:t>
      </w:r>
      <w:r w:rsidRPr="009722A8">
        <w:rPr>
          <w:rFonts w:ascii="Times New Roman" w:hAnsi="Times New Roman"/>
          <w:noProof/>
          <w:sz w:val="24"/>
          <w:szCs w:val="24"/>
        </w:rPr>
        <w:fldChar w:fldCharType="end"/>
      </w:r>
    </w:p>
    <w:p w14:paraId="7B510AEE" w14:textId="29F7585F" w:rsidR="00372715" w:rsidRPr="009722A8" w:rsidRDefault="00372715">
      <w:pPr>
        <w:pStyle w:val="TOC1"/>
        <w:tabs>
          <w:tab w:val="right" w:leader="dot" w:pos="9350"/>
        </w:tabs>
        <w:rPr>
          <w:rFonts w:ascii="Times New Roman" w:eastAsiaTheme="minorEastAsia" w:hAnsi="Times New Roman"/>
          <w:b w:val="0"/>
          <w:bCs w:val="0"/>
          <w:caps w:val="0"/>
          <w:noProof/>
          <w:sz w:val="24"/>
          <w:szCs w:val="24"/>
        </w:rPr>
      </w:pPr>
      <w:r w:rsidRPr="009722A8">
        <w:rPr>
          <w:rFonts w:ascii="Times New Roman" w:hAnsi="Times New Roman"/>
          <w:noProof/>
          <w:sz w:val="24"/>
          <w:szCs w:val="24"/>
        </w:rPr>
        <w:t>PLEADINGS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_Toc535037160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27</w:t>
      </w:r>
      <w:r w:rsidRPr="009722A8">
        <w:rPr>
          <w:rFonts w:ascii="Times New Roman" w:hAnsi="Times New Roman"/>
          <w:noProof/>
          <w:sz w:val="24"/>
          <w:szCs w:val="24"/>
        </w:rPr>
        <w:fldChar w:fldCharType="end"/>
      </w:r>
    </w:p>
    <w:p w14:paraId="6F1D51D5" w14:textId="2EFFD447" w:rsidR="00372715" w:rsidRPr="009722A8" w:rsidRDefault="00372715" w:rsidP="009722A8">
      <w:pPr>
        <w:pStyle w:val="TOC2"/>
        <w:rPr>
          <w:rFonts w:eastAsiaTheme="minorEastAsia"/>
          <w:sz w:val="24"/>
          <w:lang w:val="en-NZ"/>
        </w:rPr>
      </w:pPr>
      <w:r w:rsidRPr="009722A8">
        <w:rPr>
          <w:sz w:val="24"/>
        </w:rPr>
        <w:t>I.</w:t>
      </w:r>
      <w:r w:rsidRPr="009722A8">
        <w:rPr>
          <w:rFonts w:eastAsiaTheme="minorEastAsia"/>
          <w:sz w:val="24"/>
          <w:lang w:val="en-NZ"/>
        </w:rPr>
        <w:tab/>
      </w:r>
      <w:r w:rsidRPr="009722A8">
        <w:rPr>
          <w:sz w:val="24"/>
        </w:rPr>
        <w:t>RAKKAB IS NOT RESPONSIBLE FOR THE INTERNATIONALLY WRONGFUL ACTS DESCRIBED IN PLEADINGS II–IV</w:t>
      </w:r>
      <w:r w:rsidRPr="009722A8">
        <w:rPr>
          <w:sz w:val="24"/>
        </w:rPr>
        <w:tab/>
      </w:r>
      <w:r w:rsidRPr="009722A8">
        <w:rPr>
          <w:sz w:val="24"/>
        </w:rPr>
        <w:fldChar w:fldCharType="begin"/>
      </w:r>
      <w:r w:rsidRPr="009722A8">
        <w:rPr>
          <w:sz w:val="24"/>
        </w:rPr>
        <w:instrText xml:space="preserve"> PAGEREF _Toc535037161 \h </w:instrText>
      </w:r>
      <w:r w:rsidRPr="009722A8">
        <w:rPr>
          <w:sz w:val="24"/>
        </w:rPr>
      </w:r>
      <w:r w:rsidRPr="009722A8">
        <w:rPr>
          <w:sz w:val="24"/>
        </w:rPr>
        <w:fldChar w:fldCharType="separate"/>
      </w:r>
      <w:r w:rsidR="00DE63FF" w:rsidRPr="009722A8">
        <w:rPr>
          <w:sz w:val="24"/>
        </w:rPr>
        <w:t>27</w:t>
      </w:r>
      <w:r w:rsidRPr="009722A8">
        <w:rPr>
          <w:sz w:val="24"/>
        </w:rPr>
        <w:fldChar w:fldCharType="end"/>
      </w:r>
    </w:p>
    <w:p w14:paraId="52D93E81" w14:textId="5D054A6B" w:rsidR="00372715" w:rsidRPr="009722A8" w:rsidRDefault="00372715">
      <w:pPr>
        <w:pStyle w:val="TOC3"/>
        <w:rPr>
          <w:rFonts w:eastAsiaTheme="minorEastAsia"/>
          <w:iCs w:val="0"/>
        </w:rPr>
      </w:pPr>
      <w:r w:rsidRPr="009722A8">
        <w:t>A.</w:t>
      </w:r>
      <w:r w:rsidRPr="009722A8">
        <w:rPr>
          <w:rFonts w:eastAsiaTheme="minorEastAsia"/>
          <w:iCs w:val="0"/>
        </w:rPr>
        <w:tab/>
      </w:r>
      <w:r w:rsidRPr="009722A8">
        <w:t>The internationally wrongful acts of DORTA are not attributable to Rakkab</w:t>
      </w:r>
      <w:r w:rsidRPr="009722A8">
        <w:tab/>
      </w:r>
      <w:r w:rsidRPr="009722A8">
        <w:fldChar w:fldCharType="begin"/>
      </w:r>
      <w:r w:rsidRPr="009722A8">
        <w:instrText xml:space="preserve"> PAGEREF _Toc535037162 \h </w:instrText>
      </w:r>
      <w:r w:rsidRPr="009722A8">
        <w:fldChar w:fldCharType="separate"/>
      </w:r>
      <w:r w:rsidR="00DE63FF" w:rsidRPr="009722A8">
        <w:t>27</w:t>
      </w:r>
      <w:r w:rsidRPr="009722A8">
        <w:fldChar w:fldCharType="end"/>
      </w:r>
    </w:p>
    <w:p w14:paraId="733FCAE1" w14:textId="648B30D5"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1.</w:t>
      </w:r>
      <w:r w:rsidRPr="009722A8">
        <w:rPr>
          <w:rFonts w:ascii="Times New Roman" w:eastAsiaTheme="minorEastAsia" w:hAnsi="Times New Roman"/>
          <w:noProof/>
          <w:sz w:val="24"/>
          <w:szCs w:val="24"/>
        </w:rPr>
        <w:tab/>
      </w:r>
      <w:r w:rsidRPr="009722A8">
        <w:rPr>
          <w:rFonts w:ascii="Times New Roman" w:hAnsi="Times New Roman"/>
          <w:noProof/>
          <w:sz w:val="24"/>
          <w:szCs w:val="24"/>
        </w:rPr>
        <w:t>DORTA did not act as a State organ of Rakkab</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_Toc535037163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27</w:t>
      </w:r>
      <w:r w:rsidRPr="009722A8">
        <w:rPr>
          <w:rFonts w:ascii="Times New Roman" w:hAnsi="Times New Roman"/>
          <w:noProof/>
          <w:sz w:val="24"/>
          <w:szCs w:val="24"/>
        </w:rPr>
        <w:fldChar w:fldCharType="end"/>
      </w:r>
    </w:p>
    <w:p w14:paraId="715708C8" w14:textId="24550B40"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2.</w:t>
      </w:r>
      <w:r w:rsidRPr="009722A8">
        <w:rPr>
          <w:rFonts w:ascii="Times New Roman" w:eastAsiaTheme="minorEastAsia" w:hAnsi="Times New Roman"/>
          <w:noProof/>
          <w:sz w:val="24"/>
          <w:szCs w:val="24"/>
        </w:rPr>
        <w:tab/>
      </w:r>
      <w:r w:rsidRPr="009722A8">
        <w:rPr>
          <w:rFonts w:ascii="Times New Roman" w:hAnsi="Times New Roman"/>
          <w:noProof/>
          <w:sz w:val="24"/>
          <w:szCs w:val="24"/>
        </w:rPr>
        <w:t>DORTA was not empowered by the law of Rakkab to exercise, nor did it actually exercise, elements of governmental authority</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_Toc535037164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27</w:t>
      </w:r>
      <w:r w:rsidRPr="009722A8">
        <w:rPr>
          <w:rFonts w:ascii="Times New Roman" w:hAnsi="Times New Roman"/>
          <w:noProof/>
          <w:sz w:val="24"/>
          <w:szCs w:val="24"/>
        </w:rPr>
        <w:fldChar w:fldCharType="end"/>
      </w:r>
    </w:p>
    <w:p w14:paraId="32F8C1FD" w14:textId="475B8825"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w:t>
      </w:r>
      <w:r w:rsidRPr="009722A8">
        <w:rPr>
          <w:rFonts w:ascii="Times New Roman" w:eastAsiaTheme="minorEastAsia" w:hAnsi="Times New Roman"/>
          <w:noProof/>
          <w:sz w:val="24"/>
          <w:szCs w:val="24"/>
        </w:rPr>
        <w:tab/>
      </w:r>
      <w:r w:rsidRPr="009722A8">
        <w:rPr>
          <w:rFonts w:ascii="Times New Roman" w:hAnsi="Times New Roman"/>
          <w:noProof/>
          <w:sz w:val="24"/>
          <w:szCs w:val="24"/>
        </w:rPr>
        <w:t>ASR Article 5 is not customary international law</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_Toc535037165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27</w:t>
      </w:r>
      <w:r w:rsidRPr="009722A8">
        <w:rPr>
          <w:rFonts w:ascii="Times New Roman" w:hAnsi="Times New Roman"/>
          <w:noProof/>
          <w:sz w:val="24"/>
          <w:szCs w:val="24"/>
        </w:rPr>
        <w:fldChar w:fldCharType="end"/>
      </w:r>
    </w:p>
    <w:p w14:paraId="0C36DEF4" w14:textId="3FA80235"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ii.</w:t>
      </w:r>
      <w:r w:rsidRPr="009722A8">
        <w:rPr>
          <w:rFonts w:ascii="Times New Roman" w:eastAsiaTheme="minorEastAsia" w:hAnsi="Times New Roman"/>
          <w:noProof/>
          <w:sz w:val="24"/>
          <w:szCs w:val="24"/>
        </w:rPr>
        <w:tab/>
      </w:r>
      <w:r w:rsidRPr="009722A8">
        <w:rPr>
          <w:rFonts w:ascii="Times New Roman" w:hAnsi="Times New Roman"/>
          <w:noProof/>
          <w:sz w:val="24"/>
          <w:szCs w:val="24"/>
        </w:rPr>
        <w:t>In any event, DORTA was not empowered by Rakkabi law to exercise governmental authority</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_Toc535037166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28</w:t>
      </w:r>
      <w:r w:rsidRPr="009722A8">
        <w:rPr>
          <w:rFonts w:ascii="Times New Roman" w:hAnsi="Times New Roman"/>
          <w:noProof/>
          <w:sz w:val="24"/>
          <w:szCs w:val="24"/>
        </w:rPr>
        <w:fldChar w:fldCharType="end"/>
      </w:r>
    </w:p>
    <w:p w14:paraId="3013FA87" w14:textId="07609B35"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iii.</w:t>
      </w:r>
      <w:r w:rsidRPr="009722A8">
        <w:rPr>
          <w:rFonts w:ascii="Times New Roman" w:eastAsiaTheme="minorEastAsia" w:hAnsi="Times New Roman"/>
          <w:noProof/>
          <w:sz w:val="24"/>
          <w:szCs w:val="24"/>
        </w:rPr>
        <w:tab/>
      </w:r>
      <w:r w:rsidRPr="009722A8">
        <w:rPr>
          <w:rFonts w:ascii="Times New Roman" w:hAnsi="Times New Roman"/>
          <w:noProof/>
          <w:sz w:val="24"/>
          <w:szCs w:val="24"/>
        </w:rPr>
        <w:t>Alternatively, DORTA was not exercising governmental authority in the particular instance</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_Toc535037167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29</w:t>
      </w:r>
      <w:r w:rsidRPr="009722A8">
        <w:rPr>
          <w:rFonts w:ascii="Times New Roman" w:hAnsi="Times New Roman"/>
          <w:noProof/>
          <w:sz w:val="24"/>
          <w:szCs w:val="24"/>
        </w:rPr>
        <w:fldChar w:fldCharType="end"/>
      </w:r>
    </w:p>
    <w:p w14:paraId="097ED640" w14:textId="46AA8330"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3.</w:t>
      </w:r>
      <w:r w:rsidRPr="009722A8">
        <w:rPr>
          <w:rFonts w:ascii="Times New Roman" w:eastAsiaTheme="minorEastAsia" w:hAnsi="Times New Roman"/>
          <w:noProof/>
          <w:sz w:val="24"/>
          <w:szCs w:val="24"/>
        </w:rPr>
        <w:tab/>
      </w:r>
      <w:r w:rsidRPr="009722A8">
        <w:rPr>
          <w:rFonts w:ascii="Times New Roman" w:hAnsi="Times New Roman"/>
          <w:noProof/>
          <w:sz w:val="24"/>
          <w:szCs w:val="24"/>
        </w:rPr>
        <w:t>DORTA was not acting under the instruction, direction or control of Rakkab</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_Toc535037168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29</w:t>
      </w:r>
      <w:r w:rsidRPr="009722A8">
        <w:rPr>
          <w:rFonts w:ascii="Times New Roman" w:hAnsi="Times New Roman"/>
          <w:noProof/>
          <w:sz w:val="24"/>
          <w:szCs w:val="24"/>
        </w:rPr>
        <w:fldChar w:fldCharType="end"/>
      </w:r>
    </w:p>
    <w:p w14:paraId="61EE1A7B" w14:textId="07D5813E"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w:t>
      </w:r>
      <w:r w:rsidRPr="009722A8">
        <w:rPr>
          <w:rFonts w:ascii="Times New Roman" w:eastAsiaTheme="minorEastAsia" w:hAnsi="Times New Roman"/>
          <w:noProof/>
          <w:sz w:val="24"/>
          <w:szCs w:val="24"/>
        </w:rPr>
        <w:tab/>
      </w:r>
      <w:r w:rsidRPr="009722A8">
        <w:rPr>
          <w:rFonts w:ascii="Times New Roman" w:hAnsi="Times New Roman"/>
          <w:noProof/>
          <w:sz w:val="24"/>
          <w:szCs w:val="24"/>
        </w:rPr>
        <w:t>DORTA was not acting under the specific instruction of Rakkab</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_Toc535037169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29</w:t>
      </w:r>
      <w:r w:rsidRPr="009722A8">
        <w:rPr>
          <w:rFonts w:ascii="Times New Roman" w:hAnsi="Times New Roman"/>
          <w:noProof/>
          <w:sz w:val="24"/>
          <w:szCs w:val="24"/>
        </w:rPr>
        <w:fldChar w:fldCharType="end"/>
      </w:r>
    </w:p>
    <w:p w14:paraId="067ADA99" w14:textId="3C9A554B"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ii.</w:t>
      </w:r>
      <w:r w:rsidRPr="009722A8">
        <w:rPr>
          <w:rFonts w:ascii="Times New Roman" w:eastAsiaTheme="minorEastAsia" w:hAnsi="Times New Roman"/>
          <w:noProof/>
          <w:sz w:val="24"/>
          <w:szCs w:val="24"/>
        </w:rPr>
        <w:tab/>
      </w:r>
      <w:r w:rsidRPr="009722A8">
        <w:rPr>
          <w:rFonts w:ascii="Times New Roman" w:hAnsi="Times New Roman"/>
          <w:noProof/>
          <w:sz w:val="24"/>
          <w:szCs w:val="24"/>
        </w:rPr>
        <w:t>DORTA was not acting under direction or effective control of Rakkab</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_Toc535037170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29</w:t>
      </w:r>
      <w:r w:rsidRPr="009722A8">
        <w:rPr>
          <w:rFonts w:ascii="Times New Roman" w:hAnsi="Times New Roman"/>
          <w:noProof/>
          <w:sz w:val="24"/>
          <w:szCs w:val="24"/>
        </w:rPr>
        <w:fldChar w:fldCharType="end"/>
      </w:r>
    </w:p>
    <w:p w14:paraId="3220C100" w14:textId="747C1471"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iii.</w:t>
      </w:r>
      <w:r w:rsidRPr="009722A8">
        <w:rPr>
          <w:rFonts w:ascii="Times New Roman" w:eastAsiaTheme="minorEastAsia" w:hAnsi="Times New Roman"/>
          <w:noProof/>
          <w:sz w:val="24"/>
          <w:szCs w:val="24"/>
        </w:rPr>
        <w:tab/>
      </w:r>
      <w:r w:rsidRPr="009722A8">
        <w:rPr>
          <w:rFonts w:ascii="Times New Roman" w:hAnsi="Times New Roman"/>
          <w:noProof/>
          <w:sz w:val="24"/>
          <w:szCs w:val="24"/>
        </w:rPr>
        <w:t>Additionally, DORTA was not acting under the overall control of Rakkab</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_Toc535037171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30</w:t>
      </w:r>
      <w:r w:rsidRPr="009722A8">
        <w:rPr>
          <w:rFonts w:ascii="Times New Roman" w:hAnsi="Times New Roman"/>
          <w:noProof/>
          <w:sz w:val="24"/>
          <w:szCs w:val="24"/>
        </w:rPr>
        <w:fldChar w:fldCharType="end"/>
      </w:r>
    </w:p>
    <w:p w14:paraId="2D98F74A" w14:textId="6010B3D8" w:rsidR="00372715" w:rsidRPr="009722A8" w:rsidRDefault="00372715">
      <w:pPr>
        <w:pStyle w:val="TOC3"/>
        <w:rPr>
          <w:rFonts w:eastAsiaTheme="minorEastAsia"/>
          <w:iCs w:val="0"/>
        </w:rPr>
      </w:pPr>
      <w:r w:rsidRPr="009722A8">
        <w:t>B.</w:t>
      </w:r>
      <w:r w:rsidRPr="009722A8">
        <w:rPr>
          <w:rFonts w:eastAsiaTheme="minorEastAsia"/>
          <w:iCs w:val="0"/>
        </w:rPr>
        <w:tab/>
      </w:r>
      <w:r w:rsidRPr="009722A8">
        <w:t>Alternatively, Rakkab is not responsible for its own failure to prevent DORTA from committing the wrongful acts</w:t>
      </w:r>
      <w:r w:rsidRPr="009722A8">
        <w:tab/>
      </w:r>
      <w:r w:rsidRPr="009722A8">
        <w:fldChar w:fldCharType="begin"/>
      </w:r>
      <w:r w:rsidRPr="009722A8">
        <w:instrText xml:space="preserve"> PAGEREF _Toc535037172 \h </w:instrText>
      </w:r>
      <w:r w:rsidRPr="009722A8">
        <w:fldChar w:fldCharType="separate"/>
      </w:r>
      <w:r w:rsidR="00DE63FF" w:rsidRPr="009722A8">
        <w:t>31</w:t>
      </w:r>
      <w:r w:rsidRPr="009722A8">
        <w:fldChar w:fldCharType="end"/>
      </w:r>
    </w:p>
    <w:p w14:paraId="6053A700" w14:textId="02E7FF89"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lang w:val="en-AU"/>
        </w:rPr>
        <w:t>1.</w:t>
      </w:r>
      <w:r w:rsidRPr="009722A8">
        <w:rPr>
          <w:rFonts w:ascii="Times New Roman" w:eastAsiaTheme="minorEastAsia" w:hAnsi="Times New Roman"/>
          <w:noProof/>
          <w:sz w:val="24"/>
          <w:szCs w:val="24"/>
        </w:rPr>
        <w:tab/>
      </w:r>
      <w:r w:rsidRPr="009722A8">
        <w:rPr>
          <w:rFonts w:ascii="Times New Roman" w:hAnsi="Times New Roman"/>
          <w:noProof/>
          <w:sz w:val="24"/>
          <w:szCs w:val="24"/>
          <w:lang w:val="en-AU"/>
        </w:rPr>
        <w:t>Rakkab complied with its duty of due diligence to prevent non-State actors from causing transboundary harm to the environment of other States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_Toc535037173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31</w:t>
      </w:r>
      <w:r w:rsidRPr="009722A8">
        <w:rPr>
          <w:rFonts w:ascii="Times New Roman" w:hAnsi="Times New Roman"/>
          <w:noProof/>
          <w:sz w:val="24"/>
          <w:szCs w:val="24"/>
        </w:rPr>
        <w:fldChar w:fldCharType="end"/>
      </w:r>
    </w:p>
    <w:p w14:paraId="043A9208" w14:textId="04E48A20"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lang w:val="en-AU"/>
        </w:rPr>
        <w:t>2.</w:t>
      </w:r>
      <w:r w:rsidRPr="009722A8">
        <w:rPr>
          <w:rFonts w:ascii="Times New Roman" w:eastAsiaTheme="minorEastAsia" w:hAnsi="Times New Roman"/>
          <w:noProof/>
          <w:sz w:val="24"/>
          <w:szCs w:val="24"/>
        </w:rPr>
        <w:tab/>
      </w:r>
      <w:r w:rsidRPr="009722A8">
        <w:rPr>
          <w:rFonts w:ascii="Times New Roman" w:hAnsi="Times New Roman"/>
          <w:noProof/>
          <w:sz w:val="24"/>
          <w:szCs w:val="24"/>
          <w:lang w:val="en-AU"/>
        </w:rPr>
        <w:t>Rakkab satisfied its duty to prevent transboundary violation</w:t>
      </w:r>
      <w:r w:rsidR="00F81D34">
        <w:rPr>
          <w:rFonts w:ascii="Times New Roman" w:hAnsi="Times New Roman"/>
          <w:noProof/>
          <w:sz w:val="24"/>
          <w:szCs w:val="24"/>
          <w:lang w:val="en-AU"/>
        </w:rPr>
        <w:t>s</w:t>
      </w:r>
      <w:r w:rsidRPr="009722A8">
        <w:rPr>
          <w:rFonts w:ascii="Times New Roman" w:hAnsi="Times New Roman"/>
          <w:noProof/>
          <w:sz w:val="24"/>
          <w:szCs w:val="24"/>
          <w:lang w:val="en-AU"/>
        </w:rPr>
        <w:t xml:space="preserve"> of international human rights by non-State actors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_Toc535037174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32</w:t>
      </w:r>
      <w:r w:rsidRPr="009722A8">
        <w:rPr>
          <w:rFonts w:ascii="Times New Roman" w:hAnsi="Times New Roman"/>
          <w:noProof/>
          <w:sz w:val="24"/>
          <w:szCs w:val="24"/>
        </w:rPr>
        <w:fldChar w:fldCharType="end"/>
      </w:r>
    </w:p>
    <w:p w14:paraId="5600E704" w14:textId="687FF6EC"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lang w:val="en-AU" w:eastAsia="ko-KR"/>
        </w:rPr>
        <w:lastRenderedPageBreak/>
        <w:t>3.</w:t>
      </w:r>
      <w:r w:rsidRPr="009722A8">
        <w:rPr>
          <w:rFonts w:ascii="Times New Roman" w:eastAsiaTheme="minorEastAsia" w:hAnsi="Times New Roman"/>
          <w:noProof/>
          <w:sz w:val="24"/>
          <w:szCs w:val="24"/>
        </w:rPr>
        <w:tab/>
      </w:r>
      <w:r w:rsidRPr="009722A8">
        <w:rPr>
          <w:rFonts w:ascii="Times New Roman" w:hAnsi="Times New Roman"/>
          <w:noProof/>
          <w:sz w:val="24"/>
          <w:szCs w:val="24"/>
          <w:lang w:val="en-AU" w:eastAsia="ko-KR"/>
        </w:rPr>
        <w:t>Rakkab did not have an obligation to regulate benefit sharing for the utilisation of traditional knowledge</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_Toc535037175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33</w:t>
      </w:r>
      <w:r w:rsidRPr="009722A8">
        <w:rPr>
          <w:rFonts w:ascii="Times New Roman" w:hAnsi="Times New Roman"/>
          <w:noProof/>
          <w:sz w:val="24"/>
          <w:szCs w:val="24"/>
        </w:rPr>
        <w:fldChar w:fldCharType="end"/>
      </w:r>
    </w:p>
    <w:p w14:paraId="7BAB6170" w14:textId="4E939064" w:rsidR="00372715" w:rsidRPr="009722A8" w:rsidRDefault="00372715" w:rsidP="009722A8">
      <w:pPr>
        <w:pStyle w:val="TOC2"/>
        <w:rPr>
          <w:rFonts w:eastAsiaTheme="minorEastAsia"/>
          <w:sz w:val="24"/>
          <w:lang w:val="en-NZ"/>
        </w:rPr>
      </w:pPr>
      <w:r w:rsidRPr="009722A8">
        <w:rPr>
          <w:sz w:val="24"/>
        </w:rPr>
        <w:t>II.</w:t>
      </w:r>
      <w:r w:rsidRPr="009722A8">
        <w:rPr>
          <w:rFonts w:eastAsiaTheme="minorEastAsia"/>
          <w:sz w:val="24"/>
          <w:lang w:val="en-NZ"/>
        </w:rPr>
        <w:tab/>
      </w:r>
      <w:r w:rsidRPr="009722A8">
        <w:rPr>
          <w:sz w:val="24"/>
        </w:rPr>
        <w:t>THE HARVESTING OF THE YAK IN RAKKA</w:t>
      </w:r>
      <w:r w:rsidR="00F81D34">
        <w:rPr>
          <w:sz w:val="24"/>
        </w:rPr>
        <w:t>B</w:t>
      </w:r>
      <w:r w:rsidRPr="009722A8">
        <w:rPr>
          <w:sz w:val="24"/>
        </w:rPr>
        <w:t xml:space="preserve"> </w:t>
      </w:r>
      <w:r w:rsidR="009722A8" w:rsidRPr="009722A8">
        <w:rPr>
          <w:sz w:val="24"/>
        </w:rPr>
        <w:t xml:space="preserve">DID </w:t>
      </w:r>
      <w:r w:rsidRPr="009722A8">
        <w:rPr>
          <w:sz w:val="24"/>
        </w:rPr>
        <w:t>NOT VIOLATE RAKKAB’S INTERNATIONAL LEGAL OBLIGATIONS RELATING TO THE PROTECTION OF ENDANGERED SPECIES AND THE ENVIRONMENT</w:t>
      </w:r>
      <w:r w:rsidRPr="009722A8">
        <w:rPr>
          <w:sz w:val="24"/>
        </w:rPr>
        <w:tab/>
      </w:r>
      <w:r w:rsidRPr="009722A8">
        <w:rPr>
          <w:sz w:val="24"/>
        </w:rPr>
        <w:fldChar w:fldCharType="begin"/>
      </w:r>
      <w:r w:rsidRPr="009722A8">
        <w:rPr>
          <w:sz w:val="24"/>
        </w:rPr>
        <w:instrText xml:space="preserve"> PAGEREF _Toc535037176 \h </w:instrText>
      </w:r>
      <w:r w:rsidRPr="009722A8">
        <w:rPr>
          <w:sz w:val="24"/>
        </w:rPr>
      </w:r>
      <w:r w:rsidRPr="009722A8">
        <w:rPr>
          <w:sz w:val="24"/>
        </w:rPr>
        <w:fldChar w:fldCharType="separate"/>
      </w:r>
      <w:r w:rsidR="00DE63FF" w:rsidRPr="009722A8">
        <w:rPr>
          <w:sz w:val="24"/>
        </w:rPr>
        <w:t>34</w:t>
      </w:r>
      <w:r w:rsidRPr="009722A8">
        <w:rPr>
          <w:sz w:val="24"/>
        </w:rPr>
        <w:fldChar w:fldCharType="end"/>
      </w:r>
    </w:p>
    <w:p w14:paraId="78C5EF7C" w14:textId="2CCAD49E" w:rsidR="00372715" w:rsidRPr="009722A8" w:rsidRDefault="00372715">
      <w:pPr>
        <w:pStyle w:val="TOC3"/>
        <w:rPr>
          <w:rFonts w:eastAsiaTheme="minorEastAsia"/>
          <w:iCs w:val="0"/>
        </w:rPr>
      </w:pPr>
      <w:r w:rsidRPr="009722A8">
        <w:t>A.</w:t>
      </w:r>
      <w:r w:rsidRPr="009722A8">
        <w:rPr>
          <w:rFonts w:eastAsiaTheme="minorEastAsia"/>
          <w:iCs w:val="0"/>
        </w:rPr>
        <w:tab/>
      </w:r>
      <w:r w:rsidRPr="009722A8">
        <w:t>Rakkab did not violate its international treaty obligations</w:t>
      </w:r>
      <w:r w:rsidRPr="009722A8">
        <w:tab/>
      </w:r>
      <w:r w:rsidRPr="009722A8">
        <w:fldChar w:fldCharType="begin"/>
      </w:r>
      <w:r w:rsidRPr="009722A8">
        <w:instrText xml:space="preserve"> PAGEREF _Toc535037177 \h </w:instrText>
      </w:r>
      <w:r w:rsidRPr="009722A8">
        <w:fldChar w:fldCharType="separate"/>
      </w:r>
      <w:r w:rsidR="00DE63FF" w:rsidRPr="009722A8">
        <w:t>34</w:t>
      </w:r>
      <w:r w:rsidRPr="009722A8">
        <w:fldChar w:fldCharType="end"/>
      </w:r>
    </w:p>
    <w:p w14:paraId="5C81542B" w14:textId="754F8130"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1.</w:t>
      </w:r>
      <w:r w:rsidRPr="009722A8">
        <w:rPr>
          <w:rFonts w:ascii="Times New Roman" w:eastAsiaTheme="minorEastAsia" w:hAnsi="Times New Roman"/>
          <w:noProof/>
          <w:sz w:val="24"/>
          <w:szCs w:val="24"/>
        </w:rPr>
        <w:tab/>
      </w:r>
      <w:r w:rsidRPr="009722A8">
        <w:rPr>
          <w:rFonts w:ascii="Times New Roman" w:hAnsi="Times New Roman"/>
          <w:noProof/>
          <w:sz w:val="24"/>
          <w:szCs w:val="24"/>
        </w:rPr>
        <w:t>Rakkab did not violate its obligations under the Convention on the Conservation of Migratory Species of Wild Animals (“CMS”)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_Toc535037178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34</w:t>
      </w:r>
      <w:r w:rsidRPr="009722A8">
        <w:rPr>
          <w:rFonts w:ascii="Times New Roman" w:hAnsi="Times New Roman"/>
          <w:noProof/>
          <w:sz w:val="24"/>
          <w:szCs w:val="24"/>
        </w:rPr>
        <w:fldChar w:fldCharType="end"/>
      </w:r>
    </w:p>
    <w:p w14:paraId="6886D3A7" w14:textId="7C79062F"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w:t>
      </w:r>
      <w:r w:rsidRPr="009722A8">
        <w:rPr>
          <w:rFonts w:ascii="Times New Roman" w:eastAsiaTheme="minorEastAsia" w:hAnsi="Times New Roman"/>
          <w:noProof/>
          <w:sz w:val="24"/>
          <w:szCs w:val="24"/>
        </w:rPr>
        <w:tab/>
      </w:r>
      <w:r w:rsidRPr="009722A8">
        <w:rPr>
          <w:rFonts w:ascii="Times New Roman" w:hAnsi="Times New Roman"/>
          <w:noProof/>
          <w:sz w:val="24"/>
          <w:szCs w:val="24"/>
        </w:rPr>
        <w:t>The harvesting was for scientific purposes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_Toc535037179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34</w:t>
      </w:r>
      <w:r w:rsidRPr="009722A8">
        <w:rPr>
          <w:rFonts w:ascii="Times New Roman" w:hAnsi="Times New Roman"/>
          <w:noProof/>
          <w:sz w:val="24"/>
          <w:szCs w:val="24"/>
        </w:rPr>
        <w:fldChar w:fldCharType="end"/>
      </w:r>
    </w:p>
    <w:p w14:paraId="1772AC4D" w14:textId="7A91BDCF"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ii.</w:t>
      </w:r>
      <w:r w:rsidRPr="009722A8">
        <w:rPr>
          <w:rFonts w:ascii="Times New Roman" w:eastAsiaTheme="minorEastAsia" w:hAnsi="Times New Roman"/>
          <w:noProof/>
          <w:sz w:val="24"/>
          <w:szCs w:val="24"/>
        </w:rPr>
        <w:tab/>
      </w:r>
      <w:r w:rsidRPr="009722A8">
        <w:rPr>
          <w:rFonts w:ascii="Times New Roman" w:hAnsi="Times New Roman"/>
          <w:noProof/>
          <w:sz w:val="24"/>
          <w:szCs w:val="24"/>
        </w:rPr>
        <w:t>Alternatively, extraordinary circumstances required the harvesting</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_Toc535037180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35</w:t>
      </w:r>
      <w:r w:rsidRPr="009722A8">
        <w:rPr>
          <w:rFonts w:ascii="Times New Roman" w:hAnsi="Times New Roman"/>
          <w:noProof/>
          <w:sz w:val="24"/>
          <w:szCs w:val="24"/>
        </w:rPr>
        <w:fldChar w:fldCharType="end"/>
      </w:r>
    </w:p>
    <w:p w14:paraId="2548B867" w14:textId="592DA9FE"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iii.</w:t>
      </w:r>
      <w:r w:rsidRPr="009722A8">
        <w:rPr>
          <w:rFonts w:ascii="Times New Roman" w:eastAsiaTheme="minorEastAsia" w:hAnsi="Times New Roman"/>
          <w:noProof/>
          <w:sz w:val="24"/>
          <w:szCs w:val="24"/>
        </w:rPr>
        <w:tab/>
      </w:r>
      <w:r w:rsidRPr="009722A8">
        <w:rPr>
          <w:rFonts w:ascii="Times New Roman" w:hAnsi="Times New Roman"/>
          <w:noProof/>
          <w:sz w:val="24"/>
          <w:szCs w:val="24"/>
        </w:rPr>
        <w:t>The exception was precise as to content, limited in space and time, and does not operate to the disadvantage of the Yak</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_Toc535037181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35</w:t>
      </w:r>
      <w:r w:rsidRPr="009722A8">
        <w:rPr>
          <w:rFonts w:ascii="Times New Roman" w:hAnsi="Times New Roman"/>
          <w:noProof/>
          <w:sz w:val="24"/>
          <w:szCs w:val="24"/>
        </w:rPr>
        <w:fldChar w:fldCharType="end"/>
      </w:r>
    </w:p>
    <w:p w14:paraId="71D70442" w14:textId="5C8081FE"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2.</w:t>
      </w:r>
      <w:r w:rsidRPr="009722A8">
        <w:rPr>
          <w:rFonts w:ascii="Times New Roman" w:eastAsiaTheme="minorEastAsia" w:hAnsi="Times New Roman"/>
          <w:noProof/>
          <w:sz w:val="24"/>
          <w:szCs w:val="24"/>
        </w:rPr>
        <w:tab/>
      </w:r>
      <w:r w:rsidRPr="009722A8">
        <w:rPr>
          <w:rFonts w:ascii="Times New Roman" w:hAnsi="Times New Roman"/>
          <w:noProof/>
          <w:sz w:val="24"/>
          <w:szCs w:val="24"/>
        </w:rPr>
        <w:t>Rakkab did not violate its obligations under the Convention on International Trade in Endangered Species of Wild Fauna and Flora (“CITES”)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_Toc535037182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36</w:t>
      </w:r>
      <w:r w:rsidRPr="009722A8">
        <w:rPr>
          <w:rFonts w:ascii="Times New Roman" w:hAnsi="Times New Roman"/>
          <w:noProof/>
          <w:sz w:val="24"/>
          <w:szCs w:val="24"/>
        </w:rPr>
        <w:fldChar w:fldCharType="end"/>
      </w:r>
    </w:p>
    <w:p w14:paraId="60CB44B2" w14:textId="4A37D7AA"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w:t>
      </w:r>
      <w:r w:rsidRPr="009722A8">
        <w:rPr>
          <w:rFonts w:ascii="Times New Roman" w:eastAsiaTheme="minorEastAsia" w:hAnsi="Times New Roman"/>
          <w:noProof/>
          <w:sz w:val="24"/>
          <w:szCs w:val="24"/>
        </w:rPr>
        <w:tab/>
      </w:r>
      <w:r w:rsidRPr="009722A8">
        <w:rPr>
          <w:rFonts w:ascii="Times New Roman" w:hAnsi="Times New Roman"/>
          <w:noProof/>
          <w:sz w:val="24"/>
          <w:szCs w:val="24"/>
        </w:rPr>
        <w:t>An export permit was not required</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_Toc535037183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36</w:t>
      </w:r>
      <w:r w:rsidRPr="009722A8">
        <w:rPr>
          <w:rFonts w:ascii="Times New Roman" w:hAnsi="Times New Roman"/>
          <w:noProof/>
          <w:sz w:val="24"/>
          <w:szCs w:val="24"/>
        </w:rPr>
        <w:fldChar w:fldCharType="end"/>
      </w:r>
    </w:p>
    <w:p w14:paraId="71175014" w14:textId="111FD351"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ii.</w:t>
      </w:r>
      <w:r w:rsidRPr="009722A8">
        <w:rPr>
          <w:rFonts w:ascii="Times New Roman" w:eastAsiaTheme="minorEastAsia" w:hAnsi="Times New Roman"/>
          <w:noProof/>
          <w:sz w:val="24"/>
          <w:szCs w:val="24"/>
        </w:rPr>
        <w:tab/>
      </w:r>
      <w:r w:rsidRPr="009722A8">
        <w:rPr>
          <w:rFonts w:ascii="Times New Roman" w:hAnsi="Times New Roman"/>
          <w:noProof/>
          <w:sz w:val="24"/>
          <w:szCs w:val="24"/>
        </w:rPr>
        <w:t>Alternatively, the breach does not require DORTA to cease harvesting</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_Toc535037184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37</w:t>
      </w:r>
      <w:r w:rsidRPr="009722A8">
        <w:rPr>
          <w:rFonts w:ascii="Times New Roman" w:hAnsi="Times New Roman"/>
          <w:noProof/>
          <w:sz w:val="24"/>
          <w:szCs w:val="24"/>
        </w:rPr>
        <w:fldChar w:fldCharType="end"/>
      </w:r>
    </w:p>
    <w:p w14:paraId="2668134B" w14:textId="14132491" w:rsidR="00372715" w:rsidRPr="009722A8" w:rsidRDefault="00372715">
      <w:pPr>
        <w:pStyle w:val="TOC3"/>
        <w:rPr>
          <w:rFonts w:eastAsiaTheme="minorEastAsia"/>
          <w:iCs w:val="0"/>
        </w:rPr>
      </w:pPr>
      <w:r w:rsidRPr="009722A8">
        <w:t>B.</w:t>
      </w:r>
      <w:r w:rsidRPr="009722A8">
        <w:rPr>
          <w:rFonts w:eastAsiaTheme="minorEastAsia"/>
          <w:iCs w:val="0"/>
        </w:rPr>
        <w:tab/>
      </w:r>
      <w:r w:rsidRPr="009722A8">
        <w:t xml:space="preserve">The harvesting of the Yak </w:t>
      </w:r>
      <w:r w:rsidR="00F81D34">
        <w:t>was</w:t>
      </w:r>
      <w:r w:rsidRPr="009722A8">
        <w:t xml:space="preserve"> consistent with customary international law regarding shared resources</w:t>
      </w:r>
      <w:r w:rsidRPr="009722A8">
        <w:tab/>
      </w:r>
      <w:r w:rsidRPr="009722A8">
        <w:fldChar w:fldCharType="begin"/>
      </w:r>
      <w:r w:rsidRPr="009722A8">
        <w:instrText xml:space="preserve"> PAGEREF _Toc535037185 \h </w:instrText>
      </w:r>
      <w:r w:rsidRPr="009722A8">
        <w:fldChar w:fldCharType="separate"/>
      </w:r>
      <w:r w:rsidR="00DE63FF" w:rsidRPr="009722A8">
        <w:t>37</w:t>
      </w:r>
      <w:r w:rsidRPr="009722A8">
        <w:fldChar w:fldCharType="end"/>
      </w:r>
    </w:p>
    <w:p w14:paraId="01B8D9D3" w14:textId="5F5BA03F"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1.</w:t>
      </w:r>
      <w:r w:rsidRPr="009722A8">
        <w:rPr>
          <w:rFonts w:ascii="Times New Roman" w:eastAsiaTheme="minorEastAsia" w:hAnsi="Times New Roman"/>
          <w:noProof/>
          <w:sz w:val="24"/>
          <w:szCs w:val="24"/>
        </w:rPr>
        <w:tab/>
      </w:r>
      <w:r w:rsidRPr="009722A8">
        <w:rPr>
          <w:rFonts w:ascii="Times New Roman" w:hAnsi="Times New Roman"/>
          <w:noProof/>
          <w:sz w:val="24"/>
          <w:szCs w:val="24"/>
        </w:rPr>
        <w:t>Rakkab complied with its obligation not to cause significant transboundary harm to the environment</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_Toc535037186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37</w:t>
      </w:r>
      <w:r w:rsidRPr="009722A8">
        <w:rPr>
          <w:rFonts w:ascii="Times New Roman" w:hAnsi="Times New Roman"/>
          <w:noProof/>
          <w:sz w:val="24"/>
          <w:szCs w:val="24"/>
        </w:rPr>
        <w:fldChar w:fldCharType="end"/>
      </w:r>
    </w:p>
    <w:p w14:paraId="2B892242" w14:textId="2844B517"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w:t>
      </w:r>
      <w:r w:rsidRPr="009722A8">
        <w:rPr>
          <w:rFonts w:ascii="Times New Roman" w:eastAsiaTheme="minorEastAsia" w:hAnsi="Times New Roman"/>
          <w:noProof/>
          <w:sz w:val="24"/>
          <w:szCs w:val="24"/>
        </w:rPr>
        <w:tab/>
      </w:r>
      <w:r w:rsidRPr="009722A8">
        <w:rPr>
          <w:rFonts w:ascii="Times New Roman" w:hAnsi="Times New Roman"/>
          <w:noProof/>
          <w:sz w:val="24"/>
          <w:szCs w:val="24"/>
        </w:rPr>
        <w:t>Rakkab complied with its due diligence obligations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_Toc535037187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37</w:t>
      </w:r>
      <w:r w:rsidRPr="009722A8">
        <w:rPr>
          <w:rFonts w:ascii="Times New Roman" w:hAnsi="Times New Roman"/>
          <w:noProof/>
          <w:sz w:val="24"/>
          <w:szCs w:val="24"/>
        </w:rPr>
        <w:fldChar w:fldCharType="end"/>
      </w:r>
    </w:p>
    <w:p w14:paraId="46F41712" w14:textId="3B686508"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ii.</w:t>
      </w:r>
      <w:r w:rsidRPr="009722A8">
        <w:rPr>
          <w:rFonts w:ascii="Times New Roman" w:eastAsiaTheme="minorEastAsia" w:hAnsi="Times New Roman"/>
          <w:noProof/>
          <w:sz w:val="24"/>
          <w:szCs w:val="24"/>
        </w:rPr>
        <w:tab/>
      </w:r>
      <w:r w:rsidRPr="009722A8">
        <w:rPr>
          <w:rFonts w:ascii="Times New Roman" w:hAnsi="Times New Roman"/>
          <w:noProof/>
          <w:sz w:val="24"/>
          <w:szCs w:val="24"/>
        </w:rPr>
        <w:t>In any event, Rakkab did not cause significant harm</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_Toc535037188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39</w:t>
      </w:r>
      <w:r w:rsidRPr="009722A8">
        <w:rPr>
          <w:rFonts w:ascii="Times New Roman" w:hAnsi="Times New Roman"/>
          <w:noProof/>
          <w:sz w:val="24"/>
          <w:szCs w:val="24"/>
        </w:rPr>
        <w:fldChar w:fldCharType="end"/>
      </w:r>
    </w:p>
    <w:p w14:paraId="1D25D6E5" w14:textId="4C1E701D"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color w:val="000000" w:themeColor="text1"/>
          <w:sz w:val="24"/>
          <w:szCs w:val="24"/>
          <w:lang w:val="en-AU"/>
        </w:rPr>
        <w:t>iii.</w:t>
      </w:r>
      <w:r w:rsidRPr="009722A8">
        <w:rPr>
          <w:rFonts w:ascii="Times New Roman" w:eastAsiaTheme="minorEastAsia" w:hAnsi="Times New Roman"/>
          <w:noProof/>
          <w:sz w:val="24"/>
          <w:szCs w:val="24"/>
        </w:rPr>
        <w:tab/>
      </w:r>
      <w:r w:rsidRPr="009722A8">
        <w:rPr>
          <w:rFonts w:ascii="Times New Roman" w:hAnsi="Times New Roman"/>
          <w:noProof/>
          <w:color w:val="000000" w:themeColor="text1"/>
          <w:sz w:val="24"/>
          <w:szCs w:val="24"/>
          <w:lang w:val="en-AU"/>
        </w:rPr>
        <w:t xml:space="preserve">Additionally, Aurok has not proven that the hunting of the Yak in Rakkab caused the </w:t>
      </w:r>
      <w:r w:rsidR="00A1222C">
        <w:rPr>
          <w:rFonts w:ascii="Times New Roman" w:hAnsi="Times New Roman"/>
          <w:noProof/>
          <w:color w:val="000000" w:themeColor="text1"/>
          <w:sz w:val="24"/>
          <w:szCs w:val="24"/>
          <w:lang w:val="en-AU"/>
        </w:rPr>
        <w:t>decrease in Yak population</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_Toc535037189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39</w:t>
      </w:r>
      <w:r w:rsidRPr="009722A8">
        <w:rPr>
          <w:rFonts w:ascii="Times New Roman" w:hAnsi="Times New Roman"/>
          <w:noProof/>
          <w:sz w:val="24"/>
          <w:szCs w:val="24"/>
        </w:rPr>
        <w:fldChar w:fldCharType="end"/>
      </w:r>
    </w:p>
    <w:p w14:paraId="4FB1E25C" w14:textId="0313EAB2"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2.</w:t>
      </w:r>
      <w:r w:rsidRPr="009722A8">
        <w:rPr>
          <w:rFonts w:ascii="Times New Roman" w:eastAsiaTheme="minorEastAsia" w:hAnsi="Times New Roman"/>
          <w:noProof/>
          <w:sz w:val="24"/>
          <w:szCs w:val="24"/>
        </w:rPr>
        <w:tab/>
      </w:r>
      <w:r w:rsidRPr="009722A8">
        <w:rPr>
          <w:rFonts w:ascii="Times New Roman" w:hAnsi="Times New Roman"/>
          <w:noProof/>
          <w:sz w:val="24"/>
          <w:szCs w:val="24"/>
        </w:rPr>
        <w:t>Rakkab complied with its obligation of equitable and sustainable use of shared natural resources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_Toc535037190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40</w:t>
      </w:r>
      <w:r w:rsidRPr="009722A8">
        <w:rPr>
          <w:rFonts w:ascii="Times New Roman" w:hAnsi="Times New Roman"/>
          <w:noProof/>
          <w:sz w:val="24"/>
          <w:szCs w:val="24"/>
        </w:rPr>
        <w:fldChar w:fldCharType="end"/>
      </w:r>
    </w:p>
    <w:p w14:paraId="7645D516" w14:textId="025E6F47"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w:t>
      </w:r>
      <w:r w:rsidRPr="009722A8">
        <w:rPr>
          <w:rFonts w:ascii="Times New Roman" w:eastAsiaTheme="minorEastAsia" w:hAnsi="Times New Roman"/>
          <w:noProof/>
          <w:sz w:val="24"/>
          <w:szCs w:val="24"/>
        </w:rPr>
        <w:tab/>
      </w:r>
      <w:r w:rsidRPr="009722A8">
        <w:rPr>
          <w:rFonts w:ascii="Times New Roman" w:hAnsi="Times New Roman"/>
          <w:noProof/>
          <w:sz w:val="24"/>
          <w:szCs w:val="24"/>
        </w:rPr>
        <w:t>Terrestrial migratory species are not a shared natural resource</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_Toc535037191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40</w:t>
      </w:r>
      <w:r w:rsidRPr="009722A8">
        <w:rPr>
          <w:rFonts w:ascii="Times New Roman" w:hAnsi="Times New Roman"/>
          <w:noProof/>
          <w:sz w:val="24"/>
          <w:szCs w:val="24"/>
        </w:rPr>
        <w:fldChar w:fldCharType="end"/>
      </w:r>
    </w:p>
    <w:p w14:paraId="700C9BE2" w14:textId="4E3ACEC0"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ii.</w:t>
      </w:r>
      <w:r w:rsidRPr="009722A8">
        <w:rPr>
          <w:rFonts w:ascii="Times New Roman" w:eastAsiaTheme="minorEastAsia" w:hAnsi="Times New Roman"/>
          <w:noProof/>
          <w:sz w:val="24"/>
          <w:szCs w:val="24"/>
        </w:rPr>
        <w:tab/>
      </w:r>
      <w:r w:rsidRPr="009722A8">
        <w:rPr>
          <w:rFonts w:ascii="Times New Roman" w:hAnsi="Times New Roman"/>
          <w:noProof/>
          <w:sz w:val="24"/>
          <w:szCs w:val="24"/>
        </w:rPr>
        <w:t>Alternatively, the use was equitable and sustainable</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_Toc535037192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41</w:t>
      </w:r>
      <w:r w:rsidRPr="009722A8">
        <w:rPr>
          <w:rFonts w:ascii="Times New Roman" w:hAnsi="Times New Roman"/>
          <w:noProof/>
          <w:sz w:val="24"/>
          <w:szCs w:val="24"/>
        </w:rPr>
        <w:fldChar w:fldCharType="end"/>
      </w:r>
    </w:p>
    <w:p w14:paraId="2EC526B6" w14:textId="18D7C353" w:rsidR="00372715" w:rsidRPr="009722A8" w:rsidRDefault="00372715" w:rsidP="009722A8">
      <w:pPr>
        <w:pStyle w:val="TOC2"/>
        <w:rPr>
          <w:rFonts w:eastAsiaTheme="minorEastAsia"/>
          <w:sz w:val="24"/>
          <w:lang w:val="en-NZ"/>
        </w:rPr>
      </w:pPr>
      <w:r w:rsidRPr="009722A8">
        <w:rPr>
          <w:sz w:val="24"/>
        </w:rPr>
        <w:t>III.</w:t>
      </w:r>
      <w:r w:rsidR="009722A8">
        <w:rPr>
          <w:sz w:val="24"/>
        </w:rPr>
        <w:t xml:space="preserve"> RAKKAB HAS NOT VIOLATED THE AUROKAN CITIZENS' CULTURAL OR RELIGIOUS RIGHTS AND IS NOT REQUIRED TO PROHIBIT THE YAK HARVESTING</w:t>
      </w:r>
      <w:r w:rsidRPr="009722A8">
        <w:rPr>
          <w:sz w:val="24"/>
        </w:rPr>
        <w:tab/>
      </w:r>
      <w:r w:rsidRPr="009722A8">
        <w:rPr>
          <w:sz w:val="24"/>
        </w:rPr>
        <w:fldChar w:fldCharType="begin"/>
      </w:r>
      <w:r w:rsidRPr="009722A8">
        <w:rPr>
          <w:sz w:val="24"/>
        </w:rPr>
        <w:instrText xml:space="preserve"> PAGEREF _Toc535037193 \h </w:instrText>
      </w:r>
      <w:r w:rsidRPr="009722A8">
        <w:rPr>
          <w:sz w:val="24"/>
        </w:rPr>
      </w:r>
      <w:r w:rsidRPr="009722A8">
        <w:rPr>
          <w:sz w:val="24"/>
        </w:rPr>
        <w:fldChar w:fldCharType="separate"/>
      </w:r>
      <w:r w:rsidR="00DE63FF" w:rsidRPr="009722A8">
        <w:rPr>
          <w:sz w:val="24"/>
        </w:rPr>
        <w:t>42</w:t>
      </w:r>
      <w:r w:rsidRPr="009722A8">
        <w:rPr>
          <w:sz w:val="24"/>
        </w:rPr>
        <w:fldChar w:fldCharType="end"/>
      </w:r>
    </w:p>
    <w:p w14:paraId="5C6AE676" w14:textId="3C7F5709" w:rsidR="00372715" w:rsidRPr="009722A8" w:rsidRDefault="00372715">
      <w:pPr>
        <w:pStyle w:val="TOC3"/>
        <w:rPr>
          <w:rFonts w:eastAsiaTheme="minorEastAsia"/>
          <w:iCs w:val="0"/>
        </w:rPr>
      </w:pPr>
      <w:r w:rsidRPr="009722A8">
        <w:rPr>
          <w:lang w:val="en-AU"/>
        </w:rPr>
        <w:lastRenderedPageBreak/>
        <w:t>A.</w:t>
      </w:r>
      <w:r w:rsidRPr="009722A8">
        <w:rPr>
          <w:rFonts w:eastAsiaTheme="minorEastAsia"/>
          <w:iCs w:val="0"/>
        </w:rPr>
        <w:tab/>
      </w:r>
      <w:r w:rsidRPr="009722A8">
        <w:rPr>
          <w:lang w:val="en-AU"/>
        </w:rPr>
        <w:t>Aurok cannot invoke Rakkab’s responsibility for breaching the Aurokan people’s human rights</w:t>
      </w:r>
      <w:r w:rsidRPr="009722A8">
        <w:tab/>
      </w:r>
      <w:r w:rsidRPr="009722A8">
        <w:fldChar w:fldCharType="begin"/>
      </w:r>
      <w:r w:rsidRPr="009722A8">
        <w:instrText xml:space="preserve"> PAGEREF _Toc535037194 \h </w:instrText>
      </w:r>
      <w:r w:rsidRPr="009722A8">
        <w:fldChar w:fldCharType="separate"/>
      </w:r>
      <w:r w:rsidR="00DE63FF" w:rsidRPr="009722A8">
        <w:t>42</w:t>
      </w:r>
      <w:r w:rsidRPr="009722A8">
        <w:fldChar w:fldCharType="end"/>
      </w:r>
    </w:p>
    <w:p w14:paraId="0C182E9D" w14:textId="7410BBB9"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lang w:val="en-AU"/>
        </w:rPr>
        <w:t>1.</w:t>
      </w:r>
      <w:r w:rsidRPr="009722A8">
        <w:rPr>
          <w:rFonts w:ascii="Times New Roman" w:eastAsiaTheme="minorEastAsia" w:hAnsi="Times New Roman"/>
          <w:noProof/>
          <w:sz w:val="24"/>
          <w:szCs w:val="24"/>
        </w:rPr>
        <w:tab/>
      </w:r>
      <w:r w:rsidRPr="009722A8">
        <w:rPr>
          <w:rFonts w:ascii="Times New Roman" w:hAnsi="Times New Roman"/>
          <w:noProof/>
          <w:sz w:val="24"/>
          <w:szCs w:val="24"/>
          <w:lang w:val="en-AU"/>
        </w:rPr>
        <w:t>Aurok lacks standing to bring this claim</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_Toc535037195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42</w:t>
      </w:r>
      <w:r w:rsidRPr="009722A8">
        <w:rPr>
          <w:rFonts w:ascii="Times New Roman" w:hAnsi="Times New Roman"/>
          <w:noProof/>
          <w:sz w:val="24"/>
          <w:szCs w:val="24"/>
        </w:rPr>
        <w:fldChar w:fldCharType="end"/>
      </w:r>
    </w:p>
    <w:p w14:paraId="16C0E62C" w14:textId="05530D1A"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lang w:val="en-AU"/>
        </w:rPr>
        <w:t>2.</w:t>
      </w:r>
      <w:r w:rsidRPr="009722A8">
        <w:rPr>
          <w:rFonts w:ascii="Times New Roman" w:eastAsiaTheme="minorEastAsia" w:hAnsi="Times New Roman"/>
          <w:noProof/>
          <w:sz w:val="24"/>
          <w:szCs w:val="24"/>
        </w:rPr>
        <w:tab/>
      </w:r>
      <w:r w:rsidRPr="009722A8">
        <w:rPr>
          <w:rFonts w:ascii="Times New Roman" w:hAnsi="Times New Roman"/>
          <w:noProof/>
          <w:sz w:val="24"/>
          <w:szCs w:val="24"/>
          <w:lang w:val="en-AU"/>
        </w:rPr>
        <w:t>Rakkab does not owe transboundary obligations to protect the religious and cultural rights of the Aurokan people</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_Toc535037196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43</w:t>
      </w:r>
      <w:r w:rsidRPr="009722A8">
        <w:rPr>
          <w:rFonts w:ascii="Times New Roman" w:hAnsi="Times New Roman"/>
          <w:noProof/>
          <w:sz w:val="24"/>
          <w:szCs w:val="24"/>
        </w:rPr>
        <w:fldChar w:fldCharType="end"/>
      </w:r>
    </w:p>
    <w:p w14:paraId="014AF51D" w14:textId="17CF4555" w:rsidR="00372715" w:rsidRPr="009722A8" w:rsidRDefault="00372715">
      <w:pPr>
        <w:pStyle w:val="TOC3"/>
        <w:rPr>
          <w:rFonts w:eastAsiaTheme="minorEastAsia"/>
          <w:iCs w:val="0"/>
        </w:rPr>
      </w:pPr>
      <w:r w:rsidRPr="009722A8">
        <w:rPr>
          <w:lang w:val="en-AU"/>
        </w:rPr>
        <w:t>B.</w:t>
      </w:r>
      <w:r w:rsidRPr="009722A8">
        <w:rPr>
          <w:rFonts w:eastAsiaTheme="minorEastAsia"/>
          <w:iCs w:val="0"/>
        </w:rPr>
        <w:tab/>
      </w:r>
      <w:r w:rsidRPr="009722A8">
        <w:rPr>
          <w:lang w:val="en-AU"/>
        </w:rPr>
        <w:t>Rakkab has not violated its obligations in respect of religious or cultural rights</w:t>
      </w:r>
      <w:r w:rsidRPr="009722A8">
        <w:tab/>
      </w:r>
      <w:r w:rsidRPr="009722A8">
        <w:fldChar w:fldCharType="begin"/>
      </w:r>
      <w:r w:rsidRPr="009722A8">
        <w:instrText xml:space="preserve"> PAGEREF _Toc535037197 \h </w:instrText>
      </w:r>
      <w:r w:rsidRPr="009722A8">
        <w:fldChar w:fldCharType="separate"/>
      </w:r>
      <w:r w:rsidR="00DE63FF" w:rsidRPr="009722A8">
        <w:t>43</w:t>
      </w:r>
      <w:r w:rsidRPr="009722A8">
        <w:fldChar w:fldCharType="end"/>
      </w:r>
    </w:p>
    <w:p w14:paraId="33AA05D2" w14:textId="6EF39737"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lang w:val="en-AU"/>
        </w:rPr>
        <w:t>1.</w:t>
      </w:r>
      <w:r w:rsidRPr="009722A8">
        <w:rPr>
          <w:rFonts w:ascii="Times New Roman" w:eastAsiaTheme="minorEastAsia" w:hAnsi="Times New Roman"/>
          <w:noProof/>
          <w:sz w:val="24"/>
          <w:szCs w:val="24"/>
        </w:rPr>
        <w:tab/>
      </w:r>
      <w:r w:rsidRPr="009722A8">
        <w:rPr>
          <w:rFonts w:ascii="Times New Roman" w:hAnsi="Times New Roman"/>
          <w:noProof/>
          <w:sz w:val="24"/>
          <w:szCs w:val="24"/>
          <w:lang w:val="en-AU"/>
        </w:rPr>
        <w:t>Aurok has not proven hunting of the Yak in Rakkab has caused the population decrease</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_Toc535037198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44</w:t>
      </w:r>
      <w:r w:rsidRPr="009722A8">
        <w:rPr>
          <w:rFonts w:ascii="Times New Roman" w:hAnsi="Times New Roman"/>
          <w:noProof/>
          <w:sz w:val="24"/>
          <w:szCs w:val="24"/>
        </w:rPr>
        <w:fldChar w:fldCharType="end"/>
      </w:r>
    </w:p>
    <w:p w14:paraId="1CAE0A2E" w14:textId="358B1418"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lang w:val="en-AU"/>
        </w:rPr>
        <w:t>2.</w:t>
      </w:r>
      <w:r w:rsidRPr="009722A8">
        <w:rPr>
          <w:rFonts w:ascii="Times New Roman" w:eastAsiaTheme="minorEastAsia" w:hAnsi="Times New Roman"/>
          <w:noProof/>
          <w:sz w:val="24"/>
          <w:szCs w:val="24"/>
        </w:rPr>
        <w:tab/>
      </w:r>
      <w:r w:rsidRPr="009722A8">
        <w:rPr>
          <w:rFonts w:ascii="Times New Roman" w:hAnsi="Times New Roman"/>
          <w:noProof/>
          <w:sz w:val="24"/>
          <w:szCs w:val="24"/>
          <w:lang w:val="en-AU"/>
        </w:rPr>
        <w:t>Rakkab has not breached its obligation relating to religious rights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_Toc535037199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44</w:t>
      </w:r>
      <w:r w:rsidRPr="009722A8">
        <w:rPr>
          <w:rFonts w:ascii="Times New Roman" w:hAnsi="Times New Roman"/>
          <w:noProof/>
          <w:sz w:val="24"/>
          <w:szCs w:val="24"/>
        </w:rPr>
        <w:fldChar w:fldCharType="end"/>
      </w:r>
    </w:p>
    <w:p w14:paraId="5BC9513A" w14:textId="0603F1DB"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lang w:val="en-AU"/>
        </w:rPr>
        <w:t>3.</w:t>
      </w:r>
      <w:r w:rsidRPr="009722A8">
        <w:rPr>
          <w:rFonts w:ascii="Times New Roman" w:eastAsiaTheme="minorEastAsia" w:hAnsi="Times New Roman"/>
          <w:noProof/>
          <w:sz w:val="24"/>
          <w:szCs w:val="24"/>
        </w:rPr>
        <w:tab/>
      </w:r>
      <w:r w:rsidRPr="009722A8">
        <w:rPr>
          <w:rFonts w:ascii="Times New Roman" w:hAnsi="Times New Roman"/>
          <w:noProof/>
          <w:sz w:val="24"/>
          <w:szCs w:val="24"/>
          <w:lang w:val="en-AU"/>
        </w:rPr>
        <w:t>Rakkab has not breached its obligations relating to cultural rights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_Toc535037200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45</w:t>
      </w:r>
      <w:r w:rsidRPr="009722A8">
        <w:rPr>
          <w:rFonts w:ascii="Times New Roman" w:hAnsi="Times New Roman"/>
          <w:noProof/>
          <w:sz w:val="24"/>
          <w:szCs w:val="24"/>
        </w:rPr>
        <w:fldChar w:fldCharType="end"/>
      </w:r>
    </w:p>
    <w:p w14:paraId="553DFD57" w14:textId="2E9406D9"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lang w:val="en-AU"/>
        </w:rPr>
        <w:t>4.</w:t>
      </w:r>
      <w:r w:rsidRPr="009722A8">
        <w:rPr>
          <w:rFonts w:ascii="Times New Roman" w:eastAsiaTheme="minorEastAsia" w:hAnsi="Times New Roman"/>
          <w:noProof/>
          <w:sz w:val="24"/>
          <w:szCs w:val="24"/>
        </w:rPr>
        <w:tab/>
      </w:r>
      <w:r w:rsidRPr="009722A8">
        <w:rPr>
          <w:rFonts w:ascii="Times New Roman" w:hAnsi="Times New Roman"/>
          <w:noProof/>
          <w:sz w:val="24"/>
          <w:szCs w:val="24"/>
          <w:lang w:val="en-AU"/>
        </w:rPr>
        <w:t>Alternatively, religious and cultural rights were validly limited</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_Toc535037201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46</w:t>
      </w:r>
      <w:r w:rsidRPr="009722A8">
        <w:rPr>
          <w:rFonts w:ascii="Times New Roman" w:hAnsi="Times New Roman"/>
          <w:noProof/>
          <w:sz w:val="24"/>
          <w:szCs w:val="24"/>
        </w:rPr>
        <w:fldChar w:fldCharType="end"/>
      </w:r>
    </w:p>
    <w:p w14:paraId="462CDDE7" w14:textId="0717C3E2"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lang w:val="en-AU"/>
        </w:rPr>
        <w:t>5.</w:t>
      </w:r>
      <w:r w:rsidRPr="009722A8">
        <w:rPr>
          <w:rFonts w:ascii="Times New Roman" w:eastAsiaTheme="minorEastAsia" w:hAnsi="Times New Roman"/>
          <w:noProof/>
          <w:sz w:val="24"/>
          <w:szCs w:val="24"/>
        </w:rPr>
        <w:tab/>
      </w:r>
      <w:r w:rsidRPr="009722A8">
        <w:rPr>
          <w:rFonts w:ascii="Times New Roman" w:hAnsi="Times New Roman"/>
          <w:noProof/>
          <w:sz w:val="24"/>
          <w:szCs w:val="24"/>
          <w:lang w:val="en-AU"/>
        </w:rPr>
        <w:t>There has been no breach of the cultural aspect of self-determination</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_Toc535037202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46</w:t>
      </w:r>
      <w:r w:rsidRPr="009722A8">
        <w:rPr>
          <w:rFonts w:ascii="Times New Roman" w:hAnsi="Times New Roman"/>
          <w:noProof/>
          <w:sz w:val="24"/>
          <w:szCs w:val="24"/>
        </w:rPr>
        <w:fldChar w:fldCharType="end"/>
      </w:r>
    </w:p>
    <w:p w14:paraId="4249C4F4" w14:textId="7C10A002" w:rsidR="00372715" w:rsidRPr="009722A8" w:rsidRDefault="00372715">
      <w:pPr>
        <w:pStyle w:val="TOC3"/>
        <w:rPr>
          <w:rFonts w:eastAsiaTheme="minorEastAsia"/>
          <w:iCs w:val="0"/>
        </w:rPr>
      </w:pPr>
      <w:r w:rsidRPr="009722A8">
        <w:rPr>
          <w:lang w:val="en-AU"/>
        </w:rPr>
        <w:t>C.</w:t>
      </w:r>
      <w:r w:rsidRPr="009722A8">
        <w:rPr>
          <w:rFonts w:eastAsiaTheme="minorEastAsia"/>
          <w:iCs w:val="0"/>
        </w:rPr>
        <w:tab/>
      </w:r>
      <w:r w:rsidRPr="009722A8">
        <w:rPr>
          <w:lang w:val="en-AU"/>
        </w:rPr>
        <w:t>There are no additional obligations in respect to cultural or religious rights because of the indigenous population’s connection with the Yak</w:t>
      </w:r>
      <w:r w:rsidRPr="009722A8">
        <w:tab/>
      </w:r>
      <w:r w:rsidRPr="009722A8">
        <w:fldChar w:fldCharType="begin"/>
      </w:r>
      <w:r w:rsidRPr="009722A8">
        <w:instrText xml:space="preserve"> PAGEREF _Toc535037203 \h </w:instrText>
      </w:r>
      <w:r w:rsidRPr="009722A8">
        <w:fldChar w:fldCharType="separate"/>
      </w:r>
      <w:r w:rsidR="00DE63FF" w:rsidRPr="009722A8">
        <w:t>46</w:t>
      </w:r>
      <w:r w:rsidRPr="009722A8">
        <w:fldChar w:fldCharType="end"/>
      </w:r>
    </w:p>
    <w:p w14:paraId="23159CE9" w14:textId="3D65E580"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lang w:val="en-AU"/>
        </w:rPr>
        <w:t>1.</w:t>
      </w:r>
      <w:r w:rsidRPr="009722A8">
        <w:rPr>
          <w:rFonts w:ascii="Times New Roman" w:eastAsiaTheme="minorEastAsia" w:hAnsi="Times New Roman"/>
          <w:noProof/>
          <w:sz w:val="24"/>
          <w:szCs w:val="24"/>
        </w:rPr>
        <w:tab/>
      </w:r>
      <w:r w:rsidRPr="009722A8">
        <w:rPr>
          <w:rFonts w:ascii="Times New Roman" w:hAnsi="Times New Roman"/>
          <w:noProof/>
          <w:sz w:val="24"/>
          <w:szCs w:val="24"/>
          <w:lang w:val="en-AU"/>
        </w:rPr>
        <w:t>The people of Aurok should not be considered indigenous people under international law</w:t>
      </w:r>
      <w:r w:rsidRPr="009722A8">
        <w:rPr>
          <w:rFonts w:ascii="Times New Roman" w:hAnsi="Times New Roman"/>
          <w:noProof/>
          <w:sz w:val="24"/>
          <w:szCs w:val="24"/>
        </w:rPr>
        <w:tab/>
      </w:r>
      <w:r w:rsidR="009722A8"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_Toc535037204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47</w:t>
      </w:r>
      <w:r w:rsidRPr="009722A8">
        <w:rPr>
          <w:rFonts w:ascii="Times New Roman" w:hAnsi="Times New Roman"/>
          <w:noProof/>
          <w:sz w:val="24"/>
          <w:szCs w:val="24"/>
        </w:rPr>
        <w:fldChar w:fldCharType="end"/>
      </w:r>
    </w:p>
    <w:p w14:paraId="0F314913" w14:textId="421C37D6"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lang w:val="en-AU"/>
        </w:rPr>
        <w:t>2.</w:t>
      </w:r>
      <w:r w:rsidRPr="009722A8">
        <w:rPr>
          <w:rFonts w:ascii="Times New Roman" w:eastAsiaTheme="minorEastAsia" w:hAnsi="Times New Roman"/>
          <w:noProof/>
          <w:sz w:val="24"/>
          <w:szCs w:val="24"/>
        </w:rPr>
        <w:tab/>
      </w:r>
      <w:r w:rsidRPr="009722A8">
        <w:rPr>
          <w:rFonts w:ascii="Times New Roman" w:hAnsi="Times New Roman"/>
          <w:noProof/>
          <w:sz w:val="24"/>
          <w:szCs w:val="24"/>
          <w:lang w:val="en-AU"/>
        </w:rPr>
        <w:t>There is no obligation to protect indigenous culture and religion above the standard already discussed</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_Toc535037205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47</w:t>
      </w:r>
      <w:r w:rsidRPr="009722A8">
        <w:rPr>
          <w:rFonts w:ascii="Times New Roman" w:hAnsi="Times New Roman"/>
          <w:noProof/>
          <w:sz w:val="24"/>
          <w:szCs w:val="24"/>
        </w:rPr>
        <w:fldChar w:fldCharType="end"/>
      </w:r>
    </w:p>
    <w:p w14:paraId="70CD1ABE" w14:textId="6CB3C14E"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lang w:val="en-AU"/>
        </w:rPr>
        <w:t>3.</w:t>
      </w:r>
      <w:r w:rsidRPr="009722A8">
        <w:rPr>
          <w:rFonts w:ascii="Times New Roman" w:eastAsiaTheme="minorEastAsia" w:hAnsi="Times New Roman"/>
          <w:noProof/>
          <w:sz w:val="24"/>
          <w:szCs w:val="24"/>
        </w:rPr>
        <w:tab/>
      </w:r>
      <w:r w:rsidRPr="009722A8">
        <w:rPr>
          <w:rFonts w:ascii="Times New Roman" w:hAnsi="Times New Roman"/>
          <w:noProof/>
          <w:sz w:val="24"/>
          <w:szCs w:val="24"/>
          <w:lang w:val="en-AU"/>
        </w:rPr>
        <w:t>If indigenous rights to natural resources are applicable, they only amount to a right to be consulted</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_Toc535037206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48</w:t>
      </w:r>
      <w:r w:rsidRPr="009722A8">
        <w:rPr>
          <w:rFonts w:ascii="Times New Roman" w:hAnsi="Times New Roman"/>
          <w:noProof/>
          <w:sz w:val="24"/>
          <w:szCs w:val="24"/>
        </w:rPr>
        <w:fldChar w:fldCharType="end"/>
      </w:r>
    </w:p>
    <w:p w14:paraId="0787D7C0" w14:textId="1354D4B3" w:rsidR="00372715" w:rsidRPr="009722A8" w:rsidRDefault="00372715" w:rsidP="009722A8">
      <w:pPr>
        <w:pStyle w:val="TOC2"/>
        <w:rPr>
          <w:rFonts w:eastAsiaTheme="minorEastAsia"/>
          <w:sz w:val="24"/>
          <w:lang w:val="en-NZ"/>
        </w:rPr>
      </w:pPr>
      <w:r w:rsidRPr="009722A8">
        <w:rPr>
          <w:sz w:val="24"/>
        </w:rPr>
        <w:t>IV.</w:t>
      </w:r>
      <w:r w:rsidR="009722A8">
        <w:rPr>
          <w:sz w:val="24"/>
        </w:rPr>
        <w:t xml:space="preserve"> TRADITIONAL KNOWLEDGE HAS NOT BEEN USED CONTRARY TO INTERNATIONAL LAW AND RAKKAB DOES NOT OWE AUROK A PORTION OF THE PROFITS</w:t>
      </w:r>
      <w:r w:rsidRPr="009722A8">
        <w:rPr>
          <w:sz w:val="24"/>
        </w:rPr>
        <w:tab/>
      </w:r>
      <w:r w:rsidRPr="009722A8">
        <w:rPr>
          <w:sz w:val="24"/>
        </w:rPr>
        <w:fldChar w:fldCharType="begin"/>
      </w:r>
      <w:r w:rsidRPr="009722A8">
        <w:rPr>
          <w:sz w:val="24"/>
        </w:rPr>
        <w:instrText xml:space="preserve"> PAGEREF _Toc535037207 \h </w:instrText>
      </w:r>
      <w:r w:rsidRPr="009722A8">
        <w:rPr>
          <w:sz w:val="24"/>
        </w:rPr>
      </w:r>
      <w:r w:rsidRPr="009722A8">
        <w:rPr>
          <w:sz w:val="24"/>
        </w:rPr>
        <w:fldChar w:fldCharType="separate"/>
      </w:r>
      <w:r w:rsidR="00DE63FF" w:rsidRPr="009722A8">
        <w:rPr>
          <w:sz w:val="24"/>
        </w:rPr>
        <w:t>49</w:t>
      </w:r>
      <w:r w:rsidRPr="009722A8">
        <w:rPr>
          <w:sz w:val="24"/>
        </w:rPr>
        <w:fldChar w:fldCharType="end"/>
      </w:r>
    </w:p>
    <w:p w14:paraId="016C8372" w14:textId="5CCA3891" w:rsidR="00372715" w:rsidRPr="009722A8" w:rsidRDefault="00372715">
      <w:pPr>
        <w:pStyle w:val="TOC3"/>
        <w:rPr>
          <w:rFonts w:eastAsiaTheme="minorEastAsia"/>
          <w:iCs w:val="0"/>
        </w:rPr>
      </w:pPr>
      <w:r w:rsidRPr="009722A8">
        <w:t>A.</w:t>
      </w:r>
      <w:r w:rsidRPr="009722A8">
        <w:rPr>
          <w:rFonts w:eastAsiaTheme="minorEastAsia"/>
          <w:iCs w:val="0"/>
        </w:rPr>
        <w:tab/>
      </w:r>
      <w:r w:rsidRPr="009722A8">
        <w:t>There was no international obligation requiring Rakkab to ensure benefit sharing with the Aurokan people</w:t>
      </w:r>
      <w:r w:rsidRPr="009722A8">
        <w:tab/>
      </w:r>
      <w:r w:rsidRPr="009722A8">
        <w:fldChar w:fldCharType="begin"/>
      </w:r>
      <w:r w:rsidRPr="009722A8">
        <w:instrText xml:space="preserve"> PAGEREF _Toc535037208 \h </w:instrText>
      </w:r>
      <w:r w:rsidRPr="009722A8">
        <w:fldChar w:fldCharType="separate"/>
      </w:r>
      <w:r w:rsidR="00DE63FF" w:rsidRPr="009722A8">
        <w:t>49</w:t>
      </w:r>
      <w:r w:rsidRPr="009722A8">
        <w:fldChar w:fldCharType="end"/>
      </w:r>
    </w:p>
    <w:p w14:paraId="3AFB63B6" w14:textId="07BAAAA3"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1.</w:t>
      </w:r>
      <w:r w:rsidRPr="009722A8">
        <w:rPr>
          <w:rFonts w:ascii="Times New Roman" w:eastAsiaTheme="minorEastAsia" w:hAnsi="Times New Roman"/>
          <w:noProof/>
          <w:sz w:val="24"/>
          <w:szCs w:val="24"/>
        </w:rPr>
        <w:tab/>
      </w:r>
      <w:r w:rsidRPr="009722A8">
        <w:rPr>
          <w:rFonts w:ascii="Times New Roman" w:hAnsi="Times New Roman"/>
          <w:noProof/>
          <w:sz w:val="24"/>
          <w:szCs w:val="24"/>
        </w:rPr>
        <w:t>The CBD does not require Rakkab to share benefits from the utilisation of traditional knowledge</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_Toc535037209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49</w:t>
      </w:r>
      <w:r w:rsidRPr="009722A8">
        <w:rPr>
          <w:rFonts w:ascii="Times New Roman" w:hAnsi="Times New Roman"/>
          <w:noProof/>
          <w:sz w:val="24"/>
          <w:szCs w:val="24"/>
        </w:rPr>
        <w:fldChar w:fldCharType="end"/>
      </w:r>
    </w:p>
    <w:p w14:paraId="592D18E8" w14:textId="30A39B6A"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2.</w:t>
      </w:r>
      <w:r w:rsidRPr="009722A8">
        <w:rPr>
          <w:rFonts w:ascii="Times New Roman" w:eastAsiaTheme="minorEastAsia" w:hAnsi="Times New Roman"/>
          <w:noProof/>
          <w:sz w:val="24"/>
          <w:szCs w:val="24"/>
        </w:rPr>
        <w:tab/>
      </w:r>
      <w:r w:rsidRPr="009722A8">
        <w:rPr>
          <w:rFonts w:ascii="Times New Roman" w:hAnsi="Times New Roman"/>
          <w:noProof/>
          <w:sz w:val="24"/>
          <w:szCs w:val="24"/>
        </w:rPr>
        <w:t>The Nagoya Protocol does not apply because it was not in force at the time of use</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_Toc535037210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49</w:t>
      </w:r>
      <w:r w:rsidRPr="009722A8">
        <w:rPr>
          <w:rFonts w:ascii="Times New Roman" w:hAnsi="Times New Roman"/>
          <w:noProof/>
          <w:sz w:val="24"/>
          <w:szCs w:val="24"/>
        </w:rPr>
        <w:fldChar w:fldCharType="end"/>
      </w:r>
    </w:p>
    <w:p w14:paraId="32214EC7" w14:textId="565C1241"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w:t>
      </w:r>
      <w:r w:rsidRPr="009722A8">
        <w:rPr>
          <w:rFonts w:ascii="Times New Roman" w:eastAsiaTheme="minorEastAsia" w:hAnsi="Times New Roman"/>
          <w:noProof/>
          <w:sz w:val="24"/>
          <w:szCs w:val="24"/>
        </w:rPr>
        <w:tab/>
      </w:r>
      <w:r w:rsidRPr="009722A8">
        <w:rPr>
          <w:rFonts w:ascii="Times New Roman" w:hAnsi="Times New Roman"/>
          <w:noProof/>
          <w:sz w:val="24"/>
          <w:szCs w:val="24"/>
        </w:rPr>
        <w:t>Any alleged use of traditional knowledge took place before the Nagoya Protocol came into force</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_Toc535037211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50</w:t>
      </w:r>
      <w:r w:rsidRPr="009722A8">
        <w:rPr>
          <w:rFonts w:ascii="Times New Roman" w:hAnsi="Times New Roman"/>
          <w:noProof/>
          <w:sz w:val="24"/>
          <w:szCs w:val="24"/>
        </w:rPr>
        <w:fldChar w:fldCharType="end"/>
      </w:r>
    </w:p>
    <w:p w14:paraId="42D8019C" w14:textId="043CBAB4"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lastRenderedPageBreak/>
        <w:t>ii.</w:t>
      </w:r>
      <w:r w:rsidRPr="009722A8">
        <w:rPr>
          <w:rFonts w:ascii="Times New Roman" w:eastAsiaTheme="minorEastAsia" w:hAnsi="Times New Roman"/>
          <w:noProof/>
          <w:sz w:val="24"/>
          <w:szCs w:val="24"/>
        </w:rPr>
        <w:tab/>
      </w:r>
      <w:r w:rsidRPr="009722A8">
        <w:rPr>
          <w:rFonts w:ascii="Times New Roman" w:hAnsi="Times New Roman"/>
          <w:noProof/>
          <w:sz w:val="24"/>
          <w:szCs w:val="24"/>
        </w:rPr>
        <w:t>The Nagoya Protocol should not be applied retroactively as such application was not intended by the parties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_Toc535037212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50</w:t>
      </w:r>
      <w:r w:rsidRPr="009722A8">
        <w:rPr>
          <w:rFonts w:ascii="Times New Roman" w:hAnsi="Times New Roman"/>
          <w:noProof/>
          <w:sz w:val="24"/>
          <w:szCs w:val="24"/>
        </w:rPr>
        <w:fldChar w:fldCharType="end"/>
      </w:r>
    </w:p>
    <w:p w14:paraId="73C284ED" w14:textId="48EF158A"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3.</w:t>
      </w:r>
      <w:r w:rsidRPr="009722A8">
        <w:rPr>
          <w:rFonts w:ascii="Times New Roman" w:eastAsiaTheme="minorEastAsia" w:hAnsi="Times New Roman"/>
          <w:noProof/>
          <w:sz w:val="24"/>
          <w:szCs w:val="24"/>
        </w:rPr>
        <w:tab/>
      </w:r>
      <w:r w:rsidRPr="009722A8">
        <w:rPr>
          <w:rFonts w:ascii="Times New Roman" w:hAnsi="Times New Roman"/>
          <w:noProof/>
          <w:sz w:val="24"/>
          <w:szCs w:val="24"/>
        </w:rPr>
        <w:t>There is no customary international law obligation to share benefits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_Toc535037213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51</w:t>
      </w:r>
      <w:r w:rsidRPr="009722A8">
        <w:rPr>
          <w:rFonts w:ascii="Times New Roman" w:hAnsi="Times New Roman"/>
          <w:noProof/>
          <w:sz w:val="24"/>
          <w:szCs w:val="24"/>
        </w:rPr>
        <w:fldChar w:fldCharType="end"/>
      </w:r>
    </w:p>
    <w:p w14:paraId="08726E57" w14:textId="6143CE65" w:rsidR="00372715" w:rsidRPr="009722A8" w:rsidRDefault="00372715">
      <w:pPr>
        <w:pStyle w:val="TOC3"/>
        <w:rPr>
          <w:rFonts w:eastAsiaTheme="minorEastAsia"/>
          <w:iCs w:val="0"/>
        </w:rPr>
      </w:pPr>
      <w:r w:rsidRPr="009722A8">
        <w:t>B.</w:t>
      </w:r>
      <w:r w:rsidRPr="009722A8">
        <w:rPr>
          <w:rFonts w:eastAsiaTheme="minorEastAsia"/>
          <w:iCs w:val="0"/>
        </w:rPr>
        <w:tab/>
      </w:r>
      <w:r w:rsidRPr="009722A8">
        <w:t>Alternatively, Rakkab was not required under the Nagoya Protocol to ensure compensation for the use of traditional knowledge</w:t>
      </w:r>
      <w:r w:rsidRPr="009722A8">
        <w:tab/>
      </w:r>
      <w:r w:rsidRPr="009722A8">
        <w:fldChar w:fldCharType="begin"/>
      </w:r>
      <w:r w:rsidRPr="009722A8">
        <w:instrText xml:space="preserve"> PAGEREF _Toc535037214 \h </w:instrText>
      </w:r>
      <w:r w:rsidRPr="009722A8">
        <w:fldChar w:fldCharType="separate"/>
      </w:r>
      <w:r w:rsidR="00DE63FF" w:rsidRPr="009722A8">
        <w:t>51</w:t>
      </w:r>
      <w:r w:rsidRPr="009722A8">
        <w:fldChar w:fldCharType="end"/>
      </w:r>
    </w:p>
    <w:p w14:paraId="28FFA4FF" w14:textId="3E1739C6"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1.</w:t>
      </w:r>
      <w:r w:rsidRPr="009722A8">
        <w:rPr>
          <w:rFonts w:ascii="Times New Roman" w:eastAsiaTheme="minorEastAsia" w:hAnsi="Times New Roman"/>
          <w:noProof/>
          <w:sz w:val="24"/>
          <w:szCs w:val="24"/>
        </w:rPr>
        <w:tab/>
      </w:r>
      <w:r w:rsidRPr="009722A8">
        <w:rPr>
          <w:rFonts w:ascii="Times New Roman" w:hAnsi="Times New Roman"/>
          <w:noProof/>
          <w:sz w:val="24"/>
          <w:szCs w:val="24"/>
        </w:rPr>
        <w:t>There was no requirement to share benefits as Aurok has not put in place requirements to do so</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_Toc535037215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52</w:t>
      </w:r>
      <w:r w:rsidRPr="009722A8">
        <w:rPr>
          <w:rFonts w:ascii="Times New Roman" w:hAnsi="Times New Roman"/>
          <w:noProof/>
          <w:sz w:val="24"/>
          <w:szCs w:val="24"/>
        </w:rPr>
        <w:fldChar w:fldCharType="end"/>
      </w:r>
    </w:p>
    <w:p w14:paraId="7269969C" w14:textId="33BA2B14"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2.</w:t>
      </w:r>
      <w:r w:rsidRPr="009722A8">
        <w:rPr>
          <w:rFonts w:ascii="Times New Roman" w:eastAsiaTheme="minorEastAsia" w:hAnsi="Times New Roman"/>
          <w:noProof/>
          <w:sz w:val="24"/>
          <w:szCs w:val="24"/>
        </w:rPr>
        <w:tab/>
      </w:r>
      <w:r w:rsidRPr="009722A8">
        <w:rPr>
          <w:rFonts w:ascii="Times New Roman" w:hAnsi="Times New Roman"/>
          <w:noProof/>
          <w:sz w:val="24"/>
          <w:szCs w:val="24"/>
        </w:rPr>
        <w:t>Alternatively, the traditional knowledge should be dealt with under the express provision regarding transboundary situations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_Toc535037216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53</w:t>
      </w:r>
      <w:r w:rsidRPr="009722A8">
        <w:rPr>
          <w:rFonts w:ascii="Times New Roman" w:hAnsi="Times New Roman"/>
          <w:noProof/>
          <w:sz w:val="24"/>
          <w:szCs w:val="24"/>
        </w:rPr>
        <w:fldChar w:fldCharType="end"/>
      </w:r>
    </w:p>
    <w:p w14:paraId="57C3E5EB" w14:textId="6A4A5FA3" w:rsidR="00372715" w:rsidRPr="009722A8" w:rsidRDefault="00372715">
      <w:pPr>
        <w:pStyle w:val="TOC3"/>
        <w:rPr>
          <w:rFonts w:eastAsiaTheme="minorEastAsia"/>
          <w:iCs w:val="0"/>
        </w:rPr>
      </w:pPr>
      <w:r w:rsidRPr="009722A8">
        <w:t>C.</w:t>
      </w:r>
      <w:r w:rsidRPr="009722A8">
        <w:rPr>
          <w:rFonts w:eastAsiaTheme="minorEastAsia"/>
          <w:iCs w:val="0"/>
        </w:rPr>
        <w:tab/>
      </w:r>
      <w:r w:rsidRPr="009722A8">
        <w:t>Even if there was a breach of Rakkab’s benefit sharing obligations, Aurok is not entitled to a portion of the Gallvectra profits</w:t>
      </w:r>
      <w:r w:rsidRPr="009722A8">
        <w:tab/>
      </w:r>
      <w:r w:rsidRPr="009722A8">
        <w:fldChar w:fldCharType="begin"/>
      </w:r>
      <w:r w:rsidRPr="009722A8">
        <w:instrText xml:space="preserve"> PAGEREF _Toc535037217 \h </w:instrText>
      </w:r>
      <w:r w:rsidRPr="009722A8">
        <w:fldChar w:fldCharType="separate"/>
      </w:r>
      <w:r w:rsidR="00DE63FF" w:rsidRPr="009722A8">
        <w:t>53</w:t>
      </w:r>
      <w:r w:rsidRPr="009722A8">
        <w:fldChar w:fldCharType="end"/>
      </w:r>
    </w:p>
    <w:p w14:paraId="11583CF8" w14:textId="43768A07"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1.</w:t>
      </w:r>
      <w:r w:rsidRPr="009722A8">
        <w:rPr>
          <w:rFonts w:ascii="Times New Roman" w:eastAsiaTheme="minorEastAsia" w:hAnsi="Times New Roman"/>
          <w:noProof/>
          <w:sz w:val="24"/>
          <w:szCs w:val="24"/>
        </w:rPr>
        <w:tab/>
      </w:r>
      <w:r w:rsidRPr="009722A8">
        <w:rPr>
          <w:rFonts w:ascii="Times New Roman" w:hAnsi="Times New Roman"/>
          <w:noProof/>
          <w:sz w:val="24"/>
          <w:szCs w:val="24"/>
        </w:rPr>
        <w:t>A portion of the profits is not an appropriate form of reparation</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_Toc535037218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54</w:t>
      </w:r>
      <w:r w:rsidRPr="009722A8">
        <w:rPr>
          <w:rFonts w:ascii="Times New Roman" w:hAnsi="Times New Roman"/>
          <w:noProof/>
          <w:sz w:val="24"/>
          <w:szCs w:val="24"/>
        </w:rPr>
        <w:fldChar w:fldCharType="end"/>
      </w:r>
    </w:p>
    <w:p w14:paraId="0127AC59" w14:textId="6EB6C680" w:rsidR="00372715" w:rsidRPr="009722A8" w:rsidRDefault="00372715">
      <w:pPr>
        <w:pStyle w:val="TOC4"/>
        <w:tabs>
          <w:tab w:val="left" w:pos="120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2.</w:t>
      </w:r>
      <w:r w:rsidRPr="009722A8">
        <w:rPr>
          <w:rFonts w:ascii="Times New Roman" w:eastAsiaTheme="minorEastAsia" w:hAnsi="Times New Roman"/>
          <w:noProof/>
          <w:sz w:val="24"/>
          <w:szCs w:val="24"/>
        </w:rPr>
        <w:tab/>
      </w:r>
      <w:r w:rsidRPr="009722A8">
        <w:rPr>
          <w:rFonts w:ascii="Times New Roman" w:hAnsi="Times New Roman"/>
          <w:noProof/>
          <w:sz w:val="24"/>
          <w:szCs w:val="24"/>
        </w:rPr>
        <w:t>Aurok has suffered no loss that would justify giving a portion of the profits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_Toc535037219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54</w:t>
      </w:r>
      <w:r w:rsidRPr="009722A8">
        <w:rPr>
          <w:rFonts w:ascii="Times New Roman" w:hAnsi="Times New Roman"/>
          <w:noProof/>
          <w:sz w:val="24"/>
          <w:szCs w:val="24"/>
        </w:rPr>
        <w:fldChar w:fldCharType="end"/>
      </w:r>
    </w:p>
    <w:p w14:paraId="6A0B72EC" w14:textId="502327C3"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w:t>
      </w:r>
      <w:r w:rsidRPr="009722A8">
        <w:rPr>
          <w:rFonts w:ascii="Times New Roman" w:eastAsiaTheme="minorEastAsia" w:hAnsi="Times New Roman"/>
          <w:noProof/>
          <w:sz w:val="24"/>
          <w:szCs w:val="24"/>
        </w:rPr>
        <w:tab/>
      </w:r>
      <w:r w:rsidRPr="009722A8">
        <w:rPr>
          <w:rFonts w:ascii="Times New Roman" w:hAnsi="Times New Roman"/>
          <w:noProof/>
          <w:sz w:val="24"/>
          <w:szCs w:val="24"/>
        </w:rPr>
        <w:t>Aurok cannot factually show it has suffered a pecuniary loss</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_Toc535037220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54</w:t>
      </w:r>
      <w:r w:rsidRPr="009722A8">
        <w:rPr>
          <w:rFonts w:ascii="Times New Roman" w:hAnsi="Times New Roman"/>
          <w:noProof/>
          <w:sz w:val="24"/>
          <w:szCs w:val="24"/>
        </w:rPr>
        <w:fldChar w:fldCharType="end"/>
      </w:r>
    </w:p>
    <w:p w14:paraId="5444C876" w14:textId="33BBE8A3" w:rsidR="00372715" w:rsidRPr="009722A8" w:rsidRDefault="00372715">
      <w:pPr>
        <w:pStyle w:val="TOC5"/>
        <w:tabs>
          <w:tab w:val="left" w:pos="1440"/>
          <w:tab w:val="right" w:leader="dot" w:pos="9350"/>
        </w:tabs>
        <w:rPr>
          <w:rFonts w:ascii="Times New Roman" w:eastAsiaTheme="minorEastAsia" w:hAnsi="Times New Roman"/>
          <w:noProof/>
          <w:sz w:val="24"/>
          <w:szCs w:val="24"/>
        </w:rPr>
      </w:pPr>
      <w:r w:rsidRPr="009722A8">
        <w:rPr>
          <w:rFonts w:ascii="Times New Roman" w:hAnsi="Times New Roman"/>
          <w:noProof/>
          <w:sz w:val="24"/>
          <w:szCs w:val="24"/>
        </w:rPr>
        <w:t>ii.</w:t>
      </w:r>
      <w:r w:rsidRPr="009722A8">
        <w:rPr>
          <w:rFonts w:ascii="Times New Roman" w:eastAsiaTheme="minorEastAsia" w:hAnsi="Times New Roman"/>
          <w:noProof/>
          <w:sz w:val="24"/>
          <w:szCs w:val="24"/>
        </w:rPr>
        <w:tab/>
      </w:r>
      <w:r w:rsidRPr="009722A8">
        <w:rPr>
          <w:rFonts w:ascii="Times New Roman" w:hAnsi="Times New Roman"/>
          <w:noProof/>
          <w:sz w:val="24"/>
          <w:szCs w:val="24"/>
        </w:rPr>
        <w:t>Any moral damage does not justify financial reparation</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_Toc535037221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55</w:t>
      </w:r>
      <w:r w:rsidRPr="009722A8">
        <w:rPr>
          <w:rFonts w:ascii="Times New Roman" w:hAnsi="Times New Roman"/>
          <w:noProof/>
          <w:sz w:val="24"/>
          <w:szCs w:val="24"/>
        </w:rPr>
        <w:fldChar w:fldCharType="end"/>
      </w:r>
    </w:p>
    <w:p w14:paraId="6DCB3E6A" w14:textId="71455A22" w:rsidR="00372715" w:rsidRPr="009722A8" w:rsidRDefault="00372715">
      <w:pPr>
        <w:pStyle w:val="TOC1"/>
        <w:tabs>
          <w:tab w:val="right" w:leader="dot" w:pos="9350"/>
        </w:tabs>
        <w:rPr>
          <w:rFonts w:ascii="Times New Roman" w:eastAsiaTheme="minorEastAsia" w:hAnsi="Times New Roman"/>
          <w:b w:val="0"/>
          <w:bCs w:val="0"/>
          <w:caps w:val="0"/>
          <w:noProof/>
          <w:sz w:val="24"/>
          <w:szCs w:val="24"/>
        </w:rPr>
      </w:pPr>
      <w:r w:rsidRPr="009722A8">
        <w:rPr>
          <w:rFonts w:ascii="Times New Roman" w:hAnsi="Times New Roman"/>
          <w:noProof/>
          <w:sz w:val="24"/>
          <w:szCs w:val="24"/>
        </w:rPr>
        <w:t>Conclusion and prayer for relief</w:t>
      </w:r>
      <w:r w:rsidRPr="009722A8">
        <w:rPr>
          <w:rFonts w:ascii="Times New Roman" w:hAnsi="Times New Roman"/>
          <w:noProof/>
          <w:sz w:val="24"/>
          <w:szCs w:val="24"/>
        </w:rPr>
        <w:tab/>
      </w:r>
      <w:r w:rsidRPr="009722A8">
        <w:rPr>
          <w:rFonts w:ascii="Times New Roman" w:hAnsi="Times New Roman"/>
          <w:noProof/>
          <w:sz w:val="24"/>
          <w:szCs w:val="24"/>
        </w:rPr>
        <w:fldChar w:fldCharType="begin"/>
      </w:r>
      <w:r w:rsidRPr="009722A8">
        <w:rPr>
          <w:rFonts w:ascii="Times New Roman" w:hAnsi="Times New Roman"/>
          <w:noProof/>
          <w:sz w:val="24"/>
          <w:szCs w:val="24"/>
        </w:rPr>
        <w:instrText xml:space="preserve"> PAGEREF _Toc535037222 \h </w:instrText>
      </w:r>
      <w:r w:rsidRPr="009722A8">
        <w:rPr>
          <w:rFonts w:ascii="Times New Roman" w:hAnsi="Times New Roman"/>
          <w:noProof/>
          <w:sz w:val="24"/>
          <w:szCs w:val="24"/>
        </w:rPr>
      </w:r>
      <w:r w:rsidRPr="009722A8">
        <w:rPr>
          <w:rFonts w:ascii="Times New Roman" w:hAnsi="Times New Roman"/>
          <w:noProof/>
          <w:sz w:val="24"/>
          <w:szCs w:val="24"/>
        </w:rPr>
        <w:fldChar w:fldCharType="separate"/>
      </w:r>
      <w:r w:rsidR="00DE63FF" w:rsidRPr="009722A8">
        <w:rPr>
          <w:rFonts w:ascii="Times New Roman" w:hAnsi="Times New Roman"/>
          <w:noProof/>
          <w:sz w:val="24"/>
          <w:szCs w:val="24"/>
        </w:rPr>
        <w:t>57</w:t>
      </w:r>
      <w:r w:rsidRPr="009722A8">
        <w:rPr>
          <w:rFonts w:ascii="Times New Roman" w:hAnsi="Times New Roman"/>
          <w:noProof/>
          <w:sz w:val="24"/>
          <w:szCs w:val="24"/>
        </w:rPr>
        <w:fldChar w:fldCharType="end"/>
      </w:r>
    </w:p>
    <w:p w14:paraId="71B57159" w14:textId="5C08DE88" w:rsidR="008F47B4" w:rsidRDefault="008F47B4" w:rsidP="009C254F">
      <w:r w:rsidRPr="009722A8">
        <w:fldChar w:fldCharType="end"/>
      </w:r>
      <w:bookmarkStart w:id="75" w:name="_Toc534995747"/>
      <w:r>
        <w:br w:type="page"/>
      </w:r>
    </w:p>
    <w:p w14:paraId="49274987" w14:textId="09648E58" w:rsidR="001A26AC" w:rsidRDefault="001A26AC" w:rsidP="001A26AC">
      <w:pPr>
        <w:pStyle w:val="Heading1"/>
      </w:pPr>
      <w:bookmarkStart w:id="76" w:name="_Toc535037148"/>
      <w:r>
        <w:lastRenderedPageBreak/>
        <w:t>index of authorities</w:t>
      </w:r>
      <w:bookmarkEnd w:id="3"/>
      <w:bookmarkEnd w:id="75"/>
      <w:bookmarkEnd w:id="76"/>
    </w:p>
    <w:p w14:paraId="033CABDE" w14:textId="77777777" w:rsidR="001A26AC" w:rsidRDefault="001A26AC" w:rsidP="001A26AC">
      <w:pPr>
        <w:pStyle w:val="Heading2"/>
      </w:pPr>
      <w:bookmarkStart w:id="77" w:name="_Toc534993294"/>
      <w:bookmarkStart w:id="78" w:name="_Toc534995358"/>
      <w:bookmarkStart w:id="79" w:name="_Toc534995748"/>
      <w:bookmarkStart w:id="80" w:name="_Toc534995823"/>
      <w:bookmarkStart w:id="81" w:name="_Toc534995977"/>
      <w:bookmarkStart w:id="82" w:name="_Toc534998395"/>
      <w:bookmarkStart w:id="83" w:name="_Toc535037149"/>
      <w:r>
        <w:t>Treaties and conventions</w:t>
      </w:r>
      <w:bookmarkEnd w:id="77"/>
      <w:bookmarkEnd w:id="78"/>
      <w:bookmarkEnd w:id="79"/>
      <w:bookmarkEnd w:id="80"/>
      <w:bookmarkEnd w:id="81"/>
      <w:bookmarkEnd w:id="82"/>
      <w:bookmarkEnd w:id="83"/>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242"/>
      </w:tblGrid>
      <w:tr w:rsidR="001A26AC" w14:paraId="436614AE" w14:textId="77777777" w:rsidTr="009371CB">
        <w:tc>
          <w:tcPr>
            <w:tcW w:w="8364" w:type="dxa"/>
          </w:tcPr>
          <w:p w14:paraId="499A25BC" w14:textId="6B0831B9" w:rsidR="001A26AC" w:rsidRPr="00311DE3" w:rsidRDefault="001C0502" w:rsidP="001C0502">
            <w:r w:rsidRPr="00B6142B">
              <w:t>Charter of the United Nations (1945) (</w:t>
            </w:r>
            <w:r w:rsidR="00705540">
              <w:t>“</w:t>
            </w:r>
            <w:r w:rsidRPr="00671A6D">
              <w:t>UN Charter</w:t>
            </w:r>
            <w:r w:rsidR="00705540">
              <w:t>”</w:t>
            </w:r>
            <w:r w:rsidRPr="00B6142B">
              <w:t>)</w:t>
            </w:r>
          </w:p>
        </w:tc>
        <w:tc>
          <w:tcPr>
            <w:tcW w:w="1242" w:type="dxa"/>
          </w:tcPr>
          <w:p w14:paraId="39A67F15" w14:textId="20D256DC" w:rsidR="001A26AC" w:rsidRDefault="0051166C" w:rsidP="00480C52">
            <w:pPr>
              <w:jc w:val="center"/>
            </w:pPr>
            <w:r>
              <w:t>43</w:t>
            </w:r>
          </w:p>
        </w:tc>
      </w:tr>
      <w:tr w:rsidR="001A26AC" w14:paraId="1C2802A3" w14:textId="77777777" w:rsidTr="009371CB">
        <w:tc>
          <w:tcPr>
            <w:tcW w:w="8364" w:type="dxa"/>
          </w:tcPr>
          <w:p w14:paraId="3E343F10" w14:textId="169BF3C8" w:rsidR="001A26AC" w:rsidRPr="00311DE3" w:rsidRDefault="001C0502" w:rsidP="001C0502">
            <w:pPr>
              <w:spacing w:line="240" w:lineRule="auto"/>
              <w:ind w:left="567" w:hanging="567"/>
            </w:pPr>
            <w:r w:rsidRPr="001C0502">
              <w:t>Convention against Torture and Other Cruel, Inhuman or Degrading Treatment or Punishment (opened for signature 10 December 1984, entered into force 26 June 1987) (</w:t>
            </w:r>
            <w:r w:rsidR="00705540">
              <w:t>“</w:t>
            </w:r>
            <w:r w:rsidRPr="001C0502">
              <w:t>CAT</w:t>
            </w:r>
            <w:r w:rsidR="00705540">
              <w:t>”</w:t>
            </w:r>
            <w:r w:rsidRPr="001C0502">
              <w:t>)</w:t>
            </w:r>
          </w:p>
        </w:tc>
        <w:tc>
          <w:tcPr>
            <w:tcW w:w="1242" w:type="dxa"/>
          </w:tcPr>
          <w:p w14:paraId="75641935" w14:textId="073563F7" w:rsidR="001A26AC" w:rsidRDefault="00B02902" w:rsidP="00480C52">
            <w:pPr>
              <w:jc w:val="center"/>
            </w:pPr>
            <w:r>
              <w:t>42</w:t>
            </w:r>
          </w:p>
        </w:tc>
      </w:tr>
      <w:tr w:rsidR="001C0502" w14:paraId="1462A824" w14:textId="77777777" w:rsidTr="009371CB">
        <w:tc>
          <w:tcPr>
            <w:tcW w:w="8364" w:type="dxa"/>
          </w:tcPr>
          <w:p w14:paraId="1AA76AFB" w14:textId="407D582D" w:rsidR="001C0502" w:rsidRPr="001C0502" w:rsidRDefault="000B181C" w:rsidP="000B181C">
            <w:pPr>
              <w:spacing w:line="240" w:lineRule="auto"/>
              <w:ind w:left="567" w:hanging="567"/>
            </w:pPr>
            <w:r w:rsidRPr="000B181C">
              <w:t>Convention on Biological Diversity (opened for signatures 5 June 1992, entered into force 29 December 1993) (</w:t>
            </w:r>
            <w:r w:rsidR="00705540">
              <w:t>“</w:t>
            </w:r>
            <w:r w:rsidRPr="000B181C">
              <w:t>CBD</w:t>
            </w:r>
            <w:r w:rsidR="00705540">
              <w:t>”</w:t>
            </w:r>
            <w:r w:rsidRPr="000B181C">
              <w:t>)</w:t>
            </w:r>
          </w:p>
        </w:tc>
        <w:tc>
          <w:tcPr>
            <w:tcW w:w="1242" w:type="dxa"/>
          </w:tcPr>
          <w:p w14:paraId="23BFE937" w14:textId="7F335DCD" w:rsidR="001C0502" w:rsidRDefault="00E71D8D" w:rsidP="00480C52">
            <w:pPr>
              <w:jc w:val="center"/>
            </w:pPr>
            <w:r>
              <w:t>31, 40</w:t>
            </w:r>
            <w:r w:rsidR="00D17425">
              <w:t>, 49</w:t>
            </w:r>
          </w:p>
        </w:tc>
      </w:tr>
      <w:tr w:rsidR="00705540" w14:paraId="34758D50" w14:textId="77777777" w:rsidTr="009371CB">
        <w:tc>
          <w:tcPr>
            <w:tcW w:w="8364" w:type="dxa"/>
          </w:tcPr>
          <w:p w14:paraId="64E10B7D" w14:textId="65B490FC" w:rsidR="00705540" w:rsidRPr="000B181C" w:rsidRDefault="00705540" w:rsidP="000B181C">
            <w:pPr>
              <w:spacing w:line="240" w:lineRule="auto"/>
              <w:ind w:left="567" w:hanging="567"/>
            </w:pPr>
            <w:r w:rsidRPr="00705540">
              <w:rPr>
                <w:lang w:val="en-GB"/>
              </w:rPr>
              <w:t>Convention on the Conservation of Migratory Species of Wild Animals 1651 UNTS 333 (“CMS”)</w:t>
            </w:r>
          </w:p>
        </w:tc>
        <w:tc>
          <w:tcPr>
            <w:tcW w:w="1242" w:type="dxa"/>
          </w:tcPr>
          <w:p w14:paraId="28829407" w14:textId="687E715A" w:rsidR="00705540" w:rsidRDefault="000F2E54" w:rsidP="00480C52">
            <w:pPr>
              <w:jc w:val="center"/>
            </w:pPr>
            <w:r>
              <w:t>34, 35, 36</w:t>
            </w:r>
          </w:p>
        </w:tc>
      </w:tr>
      <w:tr w:rsidR="00CF744E" w14:paraId="7ACBA4A0" w14:textId="77777777" w:rsidTr="009371CB">
        <w:tc>
          <w:tcPr>
            <w:tcW w:w="8364" w:type="dxa"/>
          </w:tcPr>
          <w:p w14:paraId="5290F5DE" w14:textId="7ED64359" w:rsidR="00CF744E" w:rsidRPr="00705540" w:rsidRDefault="00CF744E" w:rsidP="000B181C">
            <w:pPr>
              <w:spacing w:line="240" w:lineRule="auto"/>
              <w:ind w:left="567" w:hanging="567"/>
              <w:rPr>
                <w:lang w:val="en-GB"/>
              </w:rPr>
            </w:pPr>
            <w:r>
              <w:rPr>
                <w:lang w:val="en-GB"/>
              </w:rPr>
              <w:t>Convention on Environmental Impact Assessment in a Transboundary Context 1983 UNTS 309 (2001) (“EIA Convention”)</w:t>
            </w:r>
          </w:p>
        </w:tc>
        <w:tc>
          <w:tcPr>
            <w:tcW w:w="1242" w:type="dxa"/>
          </w:tcPr>
          <w:p w14:paraId="1E3538AA" w14:textId="182A4500" w:rsidR="00CF744E" w:rsidRDefault="00BB3A57" w:rsidP="00480C52">
            <w:pPr>
              <w:jc w:val="center"/>
            </w:pPr>
            <w:r>
              <w:t>38</w:t>
            </w:r>
          </w:p>
        </w:tc>
      </w:tr>
      <w:tr w:rsidR="00705540" w14:paraId="4113CE74" w14:textId="77777777" w:rsidTr="009371CB">
        <w:tc>
          <w:tcPr>
            <w:tcW w:w="8364" w:type="dxa"/>
          </w:tcPr>
          <w:p w14:paraId="1A9A4FFD" w14:textId="73DC59A0" w:rsidR="00705540" w:rsidRPr="00705540" w:rsidRDefault="00705540" w:rsidP="000B181C">
            <w:pPr>
              <w:spacing w:line="240" w:lineRule="auto"/>
              <w:ind w:left="567" w:hanging="567"/>
              <w:rPr>
                <w:lang w:val="en-GB"/>
              </w:rPr>
            </w:pPr>
            <w:r w:rsidRPr="00705540">
              <w:rPr>
                <w:lang w:val="en-GB"/>
              </w:rPr>
              <w:t>Convention on International Trade in Endangered Species of Wild Fauna and Flora 993 UNTS 243 (“CITES”)</w:t>
            </w:r>
          </w:p>
        </w:tc>
        <w:tc>
          <w:tcPr>
            <w:tcW w:w="1242" w:type="dxa"/>
          </w:tcPr>
          <w:p w14:paraId="2CFB55B5" w14:textId="58AC1BAA" w:rsidR="00705540" w:rsidRDefault="00BB3A57" w:rsidP="00480C52">
            <w:pPr>
              <w:jc w:val="center"/>
            </w:pPr>
            <w:r>
              <w:t>36, 37</w:t>
            </w:r>
          </w:p>
        </w:tc>
      </w:tr>
      <w:tr w:rsidR="00630020" w14:paraId="1F296E5D" w14:textId="77777777" w:rsidTr="009371CB">
        <w:tc>
          <w:tcPr>
            <w:tcW w:w="8364" w:type="dxa"/>
          </w:tcPr>
          <w:p w14:paraId="1E5AD16E" w14:textId="1F72D211" w:rsidR="00630020" w:rsidRPr="000B181C" w:rsidRDefault="00630020" w:rsidP="00630020">
            <w:pPr>
              <w:spacing w:line="240" w:lineRule="auto"/>
              <w:ind w:left="567" w:hanging="567"/>
            </w:pPr>
            <w:r w:rsidRPr="000B181C">
              <w:t xml:space="preserve">International Covenant on Civil and Political Rights (opened for signature 16 December 1966, entered into force 23 March 1976) </w:t>
            </w:r>
            <w:r>
              <w:t>(“</w:t>
            </w:r>
            <w:r w:rsidRPr="000B181C">
              <w:t>ICCPR</w:t>
            </w:r>
            <w:r>
              <w:t>”)</w:t>
            </w:r>
          </w:p>
        </w:tc>
        <w:tc>
          <w:tcPr>
            <w:tcW w:w="1242" w:type="dxa"/>
          </w:tcPr>
          <w:p w14:paraId="1D213CE2" w14:textId="0E3B022F" w:rsidR="00630020" w:rsidRDefault="00BB3A57" w:rsidP="00480C52">
            <w:pPr>
              <w:jc w:val="center"/>
            </w:pPr>
            <w:r>
              <w:t>32, 44, 46</w:t>
            </w:r>
          </w:p>
        </w:tc>
      </w:tr>
      <w:tr w:rsidR="00630020" w14:paraId="75F81565" w14:textId="77777777" w:rsidTr="009371CB">
        <w:tc>
          <w:tcPr>
            <w:tcW w:w="8364" w:type="dxa"/>
          </w:tcPr>
          <w:p w14:paraId="0B18EFD1" w14:textId="4A7E5523" w:rsidR="00630020" w:rsidRPr="000B181C" w:rsidRDefault="00630020" w:rsidP="00630020">
            <w:pPr>
              <w:spacing w:line="240" w:lineRule="auto"/>
              <w:ind w:left="567" w:hanging="567"/>
            </w:pPr>
            <w:r w:rsidRPr="000B181C">
              <w:t>International Covenant o</w:t>
            </w:r>
            <w:r>
              <w:t>n</w:t>
            </w:r>
            <w:r w:rsidRPr="000B181C">
              <w:t xml:space="preserve"> Economic, Social and Cultural Rights (opened for signature 16 December 1966, </w:t>
            </w:r>
            <w:r w:rsidRPr="000B181C">
              <w:rPr>
                <w:bCs/>
              </w:rPr>
              <w:t xml:space="preserve">entered into force 3 </w:t>
            </w:r>
            <w:r w:rsidRPr="00C925B0">
              <w:rPr>
                <w:bCs/>
              </w:rPr>
              <w:t>January 1976)</w:t>
            </w:r>
            <w:r w:rsidRPr="000B181C">
              <w:rPr>
                <w:b/>
                <w:bCs/>
              </w:rPr>
              <w:t xml:space="preserve"> </w:t>
            </w:r>
            <w:r>
              <w:rPr>
                <w:bCs/>
              </w:rPr>
              <w:t>(“</w:t>
            </w:r>
            <w:r w:rsidRPr="000B181C">
              <w:rPr>
                <w:bCs/>
              </w:rPr>
              <w:t>ICESCR</w:t>
            </w:r>
            <w:r>
              <w:rPr>
                <w:bCs/>
              </w:rPr>
              <w:t>”)</w:t>
            </w:r>
          </w:p>
        </w:tc>
        <w:tc>
          <w:tcPr>
            <w:tcW w:w="1242" w:type="dxa"/>
          </w:tcPr>
          <w:p w14:paraId="56B4ED15" w14:textId="2D5E1B7F" w:rsidR="00630020" w:rsidRDefault="00BB3A57" w:rsidP="00480C52">
            <w:pPr>
              <w:jc w:val="center"/>
            </w:pPr>
            <w:r>
              <w:t>32, 45, 46</w:t>
            </w:r>
          </w:p>
        </w:tc>
      </w:tr>
      <w:tr w:rsidR="00630020" w14:paraId="6F0783E3" w14:textId="77777777" w:rsidTr="009371CB">
        <w:tc>
          <w:tcPr>
            <w:tcW w:w="8364" w:type="dxa"/>
          </w:tcPr>
          <w:p w14:paraId="0A9A276A" w14:textId="4C71A580" w:rsidR="00630020" w:rsidRPr="001C0502" w:rsidRDefault="00630020" w:rsidP="00630020">
            <w:pPr>
              <w:spacing w:line="240" w:lineRule="auto"/>
              <w:ind w:left="567" w:hanging="567"/>
            </w:pPr>
            <w:r w:rsidRPr="000B181C">
              <w:t>International Labo</w:t>
            </w:r>
            <w:r>
              <w:t>u</w:t>
            </w:r>
            <w:r w:rsidRPr="000B181C">
              <w:t xml:space="preserve">r Organization Indigenous and Tribal Peoples Convention, 1989 (No. 169) </w:t>
            </w:r>
            <w:r>
              <w:t>(“</w:t>
            </w:r>
            <w:r w:rsidRPr="000B181C">
              <w:t>ILO Convention No. 169</w:t>
            </w:r>
            <w:r>
              <w:t>”)</w:t>
            </w:r>
          </w:p>
        </w:tc>
        <w:tc>
          <w:tcPr>
            <w:tcW w:w="1242" w:type="dxa"/>
          </w:tcPr>
          <w:p w14:paraId="56E6CB06" w14:textId="75ACAC36" w:rsidR="00630020" w:rsidRDefault="00BB3A57" w:rsidP="00480C52">
            <w:pPr>
              <w:jc w:val="center"/>
            </w:pPr>
            <w:r>
              <w:t>47</w:t>
            </w:r>
            <w:r w:rsidR="00B37DC2">
              <w:t>, 48</w:t>
            </w:r>
          </w:p>
        </w:tc>
      </w:tr>
      <w:tr w:rsidR="00630020" w14:paraId="07550982" w14:textId="77777777" w:rsidTr="009371CB">
        <w:tc>
          <w:tcPr>
            <w:tcW w:w="8364" w:type="dxa"/>
          </w:tcPr>
          <w:p w14:paraId="34C03847" w14:textId="6D38D387" w:rsidR="00630020" w:rsidRPr="001C0502" w:rsidRDefault="00630020" w:rsidP="00630020">
            <w:pPr>
              <w:spacing w:line="240" w:lineRule="auto"/>
              <w:ind w:left="567" w:hanging="567"/>
            </w:pPr>
            <w:r w:rsidRPr="000B376D">
              <w:t xml:space="preserve">Nagoya Protocol on Access to Genetic Resources and the Fair and Equitable Sharing of Benefits Arising from their Utilization to the Convention on Biological Diversity (opened for signature 2 February 2011, entered into force 12 October 2014) </w:t>
            </w:r>
            <w:r>
              <w:t>(“</w:t>
            </w:r>
            <w:r w:rsidRPr="000B376D">
              <w:t>Nagoya Protocol</w:t>
            </w:r>
            <w:r w:rsidRPr="00351EE4">
              <w:t>”)</w:t>
            </w:r>
          </w:p>
        </w:tc>
        <w:tc>
          <w:tcPr>
            <w:tcW w:w="1242" w:type="dxa"/>
          </w:tcPr>
          <w:p w14:paraId="4D3BB9D5" w14:textId="1E0D7AB3" w:rsidR="00630020" w:rsidRDefault="00BB3A57" w:rsidP="00480C52">
            <w:pPr>
              <w:jc w:val="center"/>
            </w:pPr>
            <w:r>
              <w:t>33, 50, 52,</w:t>
            </w:r>
            <w:r w:rsidR="00531AEF">
              <w:t xml:space="preserve"> 53,</w:t>
            </w:r>
            <w:r>
              <w:t xml:space="preserve"> 55</w:t>
            </w:r>
          </w:p>
        </w:tc>
      </w:tr>
      <w:tr w:rsidR="00630020" w14:paraId="0A560BC4" w14:textId="77777777" w:rsidTr="009371CB">
        <w:tc>
          <w:tcPr>
            <w:tcW w:w="8364" w:type="dxa"/>
          </w:tcPr>
          <w:p w14:paraId="5B49C80F" w14:textId="6A62EC62" w:rsidR="00630020" w:rsidRPr="001C0502" w:rsidRDefault="00630020" w:rsidP="00630020">
            <w:pPr>
              <w:spacing w:line="240" w:lineRule="auto"/>
              <w:ind w:left="567" w:hanging="567"/>
            </w:pPr>
            <w:r w:rsidRPr="000B376D">
              <w:t xml:space="preserve">Vienna Convention on the Law of Treaties (opened for signature 23 May 1969, entered into force 27 January 1980) </w:t>
            </w:r>
            <w:r>
              <w:t>(“</w:t>
            </w:r>
            <w:r w:rsidRPr="000B376D">
              <w:t>VCLT</w:t>
            </w:r>
            <w:r>
              <w:t>”)</w:t>
            </w:r>
          </w:p>
        </w:tc>
        <w:tc>
          <w:tcPr>
            <w:tcW w:w="1242" w:type="dxa"/>
          </w:tcPr>
          <w:p w14:paraId="388CBDB1" w14:textId="0FC26DD2" w:rsidR="00630020" w:rsidRDefault="00E87996" w:rsidP="00480C52">
            <w:pPr>
              <w:jc w:val="center"/>
            </w:pPr>
            <w:r>
              <w:t>34, 35, 36, 49, 52</w:t>
            </w:r>
          </w:p>
        </w:tc>
      </w:tr>
    </w:tbl>
    <w:p w14:paraId="4B433DB2" w14:textId="77777777" w:rsidR="001C0502" w:rsidRPr="001C0502" w:rsidRDefault="001C0502" w:rsidP="001C0502"/>
    <w:p w14:paraId="45F9EEC5" w14:textId="3B4CBEF3" w:rsidR="001A26AC" w:rsidRDefault="00382E90" w:rsidP="001A26AC">
      <w:pPr>
        <w:pStyle w:val="Heading2"/>
      </w:pPr>
      <w:bookmarkStart w:id="84" w:name="_Toc534993295"/>
      <w:bookmarkStart w:id="85" w:name="_Toc534995359"/>
      <w:bookmarkStart w:id="86" w:name="_Toc534995749"/>
      <w:bookmarkStart w:id="87" w:name="_Toc534995824"/>
      <w:bookmarkStart w:id="88" w:name="_Toc534995978"/>
      <w:bookmarkStart w:id="89" w:name="_Toc534998396"/>
      <w:bookmarkStart w:id="90" w:name="_Toc535037150"/>
      <w:r>
        <w:t>INTERNATIONAL COURT OF JUSTICE AND PERMANENT COURT OF INTERNATIONAL JUSTICE CASES</w:t>
      </w:r>
      <w:bookmarkEnd w:id="84"/>
      <w:bookmarkEnd w:id="85"/>
      <w:bookmarkEnd w:id="86"/>
      <w:bookmarkEnd w:id="87"/>
      <w:bookmarkEnd w:id="88"/>
      <w:bookmarkEnd w:id="89"/>
      <w:bookmarkEnd w:id="90"/>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242"/>
      </w:tblGrid>
      <w:tr w:rsidR="001A26AC" w14:paraId="66AFBF66" w14:textId="77777777" w:rsidTr="009371CB">
        <w:tc>
          <w:tcPr>
            <w:tcW w:w="8364" w:type="dxa"/>
          </w:tcPr>
          <w:p w14:paraId="2049E751" w14:textId="2F86C446" w:rsidR="00D92114" w:rsidRPr="00311DE3" w:rsidRDefault="00D92114" w:rsidP="00D92114">
            <w:pPr>
              <w:spacing w:line="240" w:lineRule="auto"/>
              <w:ind w:left="567" w:hanging="567"/>
            </w:pPr>
            <w:proofErr w:type="spellStart"/>
            <w:r w:rsidRPr="00D92114">
              <w:rPr>
                <w:i/>
              </w:rPr>
              <w:t>Ahmadou</w:t>
            </w:r>
            <w:proofErr w:type="spellEnd"/>
            <w:r w:rsidRPr="00D92114">
              <w:rPr>
                <w:i/>
              </w:rPr>
              <w:t xml:space="preserve"> </w:t>
            </w:r>
            <w:proofErr w:type="spellStart"/>
            <w:r w:rsidRPr="00D92114">
              <w:rPr>
                <w:i/>
              </w:rPr>
              <w:t>Sadio</w:t>
            </w:r>
            <w:proofErr w:type="spellEnd"/>
            <w:r w:rsidRPr="00D92114">
              <w:rPr>
                <w:i/>
              </w:rPr>
              <w:t xml:space="preserve"> Diallo (Republic of Guinea v Democratic Republic of the Congo) (Compensation)</w:t>
            </w:r>
            <w:r w:rsidRPr="00D92114">
              <w:t xml:space="preserve"> [2012] ICJ Rep 324 </w:t>
            </w:r>
            <w:r w:rsidR="007E05F5">
              <w:t>(“</w:t>
            </w:r>
            <w:proofErr w:type="spellStart"/>
            <w:r w:rsidRPr="00D92114">
              <w:rPr>
                <w:i/>
              </w:rPr>
              <w:t>Ahmadou</w:t>
            </w:r>
            <w:proofErr w:type="spellEnd"/>
            <w:r w:rsidRPr="00D92114">
              <w:rPr>
                <w:i/>
              </w:rPr>
              <w:t xml:space="preserve"> </w:t>
            </w:r>
            <w:proofErr w:type="spellStart"/>
            <w:r w:rsidRPr="00D92114">
              <w:rPr>
                <w:i/>
              </w:rPr>
              <w:t>Sadio</w:t>
            </w:r>
            <w:proofErr w:type="spellEnd"/>
            <w:r w:rsidRPr="00D92114">
              <w:rPr>
                <w:i/>
              </w:rPr>
              <w:t xml:space="preserve"> Diallo (Compensation)</w:t>
            </w:r>
            <w:r w:rsidR="007E05F5">
              <w:t>”)</w:t>
            </w:r>
          </w:p>
        </w:tc>
        <w:tc>
          <w:tcPr>
            <w:tcW w:w="1242" w:type="dxa"/>
          </w:tcPr>
          <w:p w14:paraId="4E3BC98B" w14:textId="6E511788" w:rsidR="001A26AC" w:rsidRDefault="00330786" w:rsidP="00330786">
            <w:pPr>
              <w:jc w:val="center"/>
            </w:pPr>
            <w:r>
              <w:t>54, 55</w:t>
            </w:r>
          </w:p>
        </w:tc>
      </w:tr>
      <w:tr w:rsidR="001A26AC" w14:paraId="06975D14" w14:textId="77777777" w:rsidTr="009371CB">
        <w:tc>
          <w:tcPr>
            <w:tcW w:w="8364" w:type="dxa"/>
          </w:tcPr>
          <w:p w14:paraId="7F4E8717" w14:textId="73F733A2" w:rsidR="001A26AC" w:rsidRPr="00D92114" w:rsidRDefault="00D92114" w:rsidP="00D92114">
            <w:pPr>
              <w:spacing w:line="240" w:lineRule="auto"/>
              <w:ind w:left="567" w:hanging="567"/>
              <w:rPr>
                <w:bCs/>
              </w:rPr>
            </w:pPr>
            <w:proofErr w:type="spellStart"/>
            <w:r w:rsidRPr="00D92114">
              <w:rPr>
                <w:bCs/>
                <w:i/>
              </w:rPr>
              <w:t>Ambatielos</w:t>
            </w:r>
            <w:proofErr w:type="spellEnd"/>
            <w:r w:rsidRPr="00D92114">
              <w:rPr>
                <w:bCs/>
                <w:i/>
              </w:rPr>
              <w:t xml:space="preserve"> Case (Preliminary Objection) (Greece v United Kingdom) </w:t>
            </w:r>
            <w:r w:rsidRPr="00D92114">
              <w:rPr>
                <w:bCs/>
              </w:rPr>
              <w:t xml:space="preserve">[1952] ICJ Rep 28 </w:t>
            </w:r>
            <w:r w:rsidR="007E05F5">
              <w:rPr>
                <w:bCs/>
              </w:rPr>
              <w:t>(“</w:t>
            </w:r>
            <w:proofErr w:type="spellStart"/>
            <w:r w:rsidRPr="00D92114">
              <w:rPr>
                <w:bCs/>
                <w:i/>
              </w:rPr>
              <w:t>Ambatielos</w:t>
            </w:r>
            <w:proofErr w:type="spellEnd"/>
            <w:r w:rsidR="007E05F5" w:rsidRPr="008E4BBD">
              <w:rPr>
                <w:bCs/>
              </w:rPr>
              <w:t>”)</w:t>
            </w:r>
          </w:p>
        </w:tc>
        <w:tc>
          <w:tcPr>
            <w:tcW w:w="1242" w:type="dxa"/>
          </w:tcPr>
          <w:p w14:paraId="02A171CC" w14:textId="068F8B56" w:rsidR="001A26AC" w:rsidRDefault="00330786" w:rsidP="00330786">
            <w:pPr>
              <w:jc w:val="center"/>
            </w:pPr>
            <w:r>
              <w:t>49, 51</w:t>
            </w:r>
          </w:p>
        </w:tc>
      </w:tr>
      <w:tr w:rsidR="00D92114" w14:paraId="23038E58" w14:textId="77777777" w:rsidTr="009371CB">
        <w:tc>
          <w:tcPr>
            <w:tcW w:w="8364" w:type="dxa"/>
          </w:tcPr>
          <w:p w14:paraId="2D6CA125" w14:textId="1A24095F" w:rsidR="00D92114" w:rsidRPr="00D92114" w:rsidRDefault="00D92114" w:rsidP="00D92114">
            <w:pPr>
              <w:spacing w:line="240" w:lineRule="auto"/>
              <w:ind w:left="567" w:hanging="567"/>
              <w:rPr>
                <w:bCs/>
              </w:rPr>
            </w:pPr>
            <w:r w:rsidRPr="00D92114">
              <w:rPr>
                <w:bCs/>
                <w:i/>
              </w:rPr>
              <w:lastRenderedPageBreak/>
              <w:t xml:space="preserve">Application of the Convention on the Prevention and Punishment of the Crime of Genocide (Bosnia and Herzegovina v Serbia and Montenegro) (Judgment) </w:t>
            </w:r>
            <w:r w:rsidRPr="00D92114">
              <w:rPr>
                <w:bCs/>
              </w:rPr>
              <w:t xml:space="preserve">[2007] ICJ Rep 43 </w:t>
            </w:r>
            <w:r w:rsidR="007E05F5">
              <w:rPr>
                <w:bCs/>
              </w:rPr>
              <w:t>(“</w:t>
            </w:r>
            <w:r w:rsidRPr="00D92114">
              <w:rPr>
                <w:bCs/>
                <w:i/>
              </w:rPr>
              <w:t>Genocide Case (Bosnia v Serbia)</w:t>
            </w:r>
            <w:r w:rsidR="007E05F5" w:rsidRPr="008E4BBD">
              <w:rPr>
                <w:bCs/>
              </w:rPr>
              <w:t>”)</w:t>
            </w:r>
          </w:p>
        </w:tc>
        <w:tc>
          <w:tcPr>
            <w:tcW w:w="1242" w:type="dxa"/>
          </w:tcPr>
          <w:p w14:paraId="3B6EC18A" w14:textId="09349C3C" w:rsidR="00D92114" w:rsidRDefault="00120112" w:rsidP="00330786">
            <w:pPr>
              <w:jc w:val="center"/>
            </w:pPr>
            <w:r>
              <w:t>30, 31, 38, 39, 56</w:t>
            </w:r>
          </w:p>
        </w:tc>
      </w:tr>
      <w:tr w:rsidR="00D92114" w14:paraId="1F565F3B" w14:textId="77777777" w:rsidTr="009371CB">
        <w:tc>
          <w:tcPr>
            <w:tcW w:w="8364" w:type="dxa"/>
          </w:tcPr>
          <w:p w14:paraId="5A789D2F" w14:textId="4CE6CE40" w:rsidR="00D92114" w:rsidRPr="00F95D91" w:rsidRDefault="00F95D91" w:rsidP="00F95D91">
            <w:pPr>
              <w:spacing w:line="240" w:lineRule="auto"/>
              <w:ind w:left="567" w:hanging="567"/>
              <w:rPr>
                <w:bCs/>
              </w:rPr>
            </w:pPr>
            <w:r w:rsidRPr="00F95D91">
              <w:rPr>
                <w:bCs/>
                <w:i/>
              </w:rPr>
              <w:t xml:space="preserve">Application of the Convention on the Prevention and Punishment of the Crime of Genocide (Croatia v Serbia) (Judgment)  </w:t>
            </w:r>
            <w:r w:rsidRPr="00F95D91">
              <w:rPr>
                <w:bCs/>
              </w:rPr>
              <w:t xml:space="preserve">[2015] ICJ Rep 3 </w:t>
            </w:r>
            <w:r w:rsidR="007E05F5">
              <w:rPr>
                <w:bCs/>
              </w:rPr>
              <w:t>(“</w:t>
            </w:r>
            <w:r w:rsidRPr="00F95D91">
              <w:rPr>
                <w:bCs/>
                <w:i/>
              </w:rPr>
              <w:t>Genocide Case (Croatia v Serbia)</w:t>
            </w:r>
            <w:r w:rsidR="007E05F5" w:rsidRPr="008E4BBD">
              <w:rPr>
                <w:bCs/>
              </w:rPr>
              <w:t>”)</w:t>
            </w:r>
          </w:p>
        </w:tc>
        <w:tc>
          <w:tcPr>
            <w:tcW w:w="1242" w:type="dxa"/>
          </w:tcPr>
          <w:p w14:paraId="6032FE65" w14:textId="4F28041E" w:rsidR="00D92114" w:rsidRDefault="00F90971" w:rsidP="00330786">
            <w:pPr>
              <w:jc w:val="center"/>
            </w:pPr>
            <w:r>
              <w:t>50</w:t>
            </w:r>
          </w:p>
        </w:tc>
      </w:tr>
      <w:tr w:rsidR="00D92114" w14:paraId="7E49C8ED" w14:textId="77777777" w:rsidTr="009371CB">
        <w:tc>
          <w:tcPr>
            <w:tcW w:w="8364" w:type="dxa"/>
          </w:tcPr>
          <w:p w14:paraId="6607426C" w14:textId="43B4E7B6" w:rsidR="00D92114" w:rsidRPr="00CD3F42" w:rsidRDefault="00CD3F42" w:rsidP="00CD3F42">
            <w:pPr>
              <w:spacing w:line="240" w:lineRule="auto"/>
              <w:ind w:left="567" w:hanging="567"/>
              <w:rPr>
                <w:bCs/>
                <w:i/>
              </w:rPr>
            </w:pPr>
            <w:r w:rsidRPr="00CD3F42">
              <w:rPr>
                <w:bCs/>
                <w:i/>
              </w:rPr>
              <w:t>Application of the International Convention on the Elimination of all Forms of Racial Discrimination (Georgia v Russian Federation) (Provisional Measures) Order of 15 October 2008</w:t>
            </w:r>
            <w:r w:rsidRPr="00CD3F42">
              <w:rPr>
                <w:bCs/>
              </w:rPr>
              <w:t xml:space="preserve"> ICJ Rep 353 </w:t>
            </w:r>
            <w:r w:rsidR="007E05F5">
              <w:rPr>
                <w:bCs/>
              </w:rPr>
              <w:t>(“</w:t>
            </w:r>
            <w:r w:rsidRPr="00CD3F42">
              <w:rPr>
                <w:bCs/>
                <w:i/>
              </w:rPr>
              <w:t>Convention on Racial Discrimination (Order)</w:t>
            </w:r>
            <w:r w:rsidR="007E05F5">
              <w:rPr>
                <w:bCs/>
              </w:rPr>
              <w:t>”)</w:t>
            </w:r>
          </w:p>
        </w:tc>
        <w:tc>
          <w:tcPr>
            <w:tcW w:w="1242" w:type="dxa"/>
          </w:tcPr>
          <w:p w14:paraId="3F8C23E4" w14:textId="3D767319" w:rsidR="00D92114" w:rsidRDefault="00877222" w:rsidP="00330786">
            <w:pPr>
              <w:jc w:val="center"/>
            </w:pPr>
            <w:r>
              <w:t>43</w:t>
            </w:r>
          </w:p>
        </w:tc>
      </w:tr>
      <w:tr w:rsidR="00D92114" w14:paraId="66F142D8" w14:textId="77777777" w:rsidTr="009371CB">
        <w:tc>
          <w:tcPr>
            <w:tcW w:w="8364" w:type="dxa"/>
          </w:tcPr>
          <w:p w14:paraId="61F2D1C6" w14:textId="7FDBD4B0" w:rsidR="00D92114" w:rsidRPr="0022202A" w:rsidRDefault="0022202A" w:rsidP="0022202A">
            <w:pPr>
              <w:spacing w:line="240" w:lineRule="auto"/>
              <w:ind w:left="567" w:hanging="567"/>
              <w:rPr>
                <w:bCs/>
              </w:rPr>
            </w:pPr>
            <w:r w:rsidRPr="0022202A">
              <w:rPr>
                <w:bCs/>
                <w:i/>
              </w:rPr>
              <w:t xml:space="preserve">Armed Activities in the Territory of the Congo (Democratic Republic of the Congo v Uganda) </w:t>
            </w:r>
            <w:r w:rsidRPr="0022202A">
              <w:rPr>
                <w:bCs/>
              </w:rPr>
              <w:t xml:space="preserve">[2005] ICJ Rep 168 </w:t>
            </w:r>
            <w:r w:rsidR="007E05F5">
              <w:rPr>
                <w:bCs/>
              </w:rPr>
              <w:t>(“</w:t>
            </w:r>
            <w:r w:rsidRPr="0022202A">
              <w:rPr>
                <w:bCs/>
                <w:i/>
              </w:rPr>
              <w:t>Armed Activities</w:t>
            </w:r>
            <w:r w:rsidR="007E05F5">
              <w:rPr>
                <w:bCs/>
              </w:rPr>
              <w:t>”)</w:t>
            </w:r>
          </w:p>
        </w:tc>
        <w:tc>
          <w:tcPr>
            <w:tcW w:w="1242" w:type="dxa"/>
          </w:tcPr>
          <w:p w14:paraId="3B668461" w14:textId="73E4F8D2" w:rsidR="00D92114" w:rsidRDefault="001828BA" w:rsidP="00330786">
            <w:pPr>
              <w:jc w:val="center"/>
            </w:pPr>
            <w:r>
              <w:t>39, 40, 43</w:t>
            </w:r>
          </w:p>
        </w:tc>
      </w:tr>
      <w:tr w:rsidR="00D92114" w14:paraId="1FEAF83F" w14:textId="77777777" w:rsidTr="009371CB">
        <w:tc>
          <w:tcPr>
            <w:tcW w:w="8364" w:type="dxa"/>
          </w:tcPr>
          <w:p w14:paraId="509E4EDB" w14:textId="2A2B1CEF" w:rsidR="00D92114" w:rsidRPr="0022202A" w:rsidRDefault="0022202A" w:rsidP="0022202A">
            <w:pPr>
              <w:spacing w:line="240" w:lineRule="auto"/>
              <w:ind w:left="567" w:hanging="567"/>
              <w:rPr>
                <w:bCs/>
              </w:rPr>
            </w:pPr>
            <w:r w:rsidRPr="0022202A">
              <w:rPr>
                <w:bCs/>
                <w:i/>
              </w:rPr>
              <w:t xml:space="preserve">Armed Activities in the Territory of the Congo (Democratic Republic of the Congo v Rwanda) </w:t>
            </w:r>
            <w:r w:rsidRPr="0022202A">
              <w:rPr>
                <w:bCs/>
              </w:rPr>
              <w:t xml:space="preserve">[2006] ICJ Rep 6 </w:t>
            </w:r>
            <w:r w:rsidR="007E05F5">
              <w:rPr>
                <w:bCs/>
              </w:rPr>
              <w:t>(“</w:t>
            </w:r>
            <w:r w:rsidRPr="0022202A">
              <w:rPr>
                <w:bCs/>
                <w:i/>
              </w:rPr>
              <w:t>Armed Activities (Congo v Rwanda)</w:t>
            </w:r>
            <w:r w:rsidR="007E05F5">
              <w:rPr>
                <w:bCs/>
              </w:rPr>
              <w:t>”)</w:t>
            </w:r>
          </w:p>
        </w:tc>
        <w:tc>
          <w:tcPr>
            <w:tcW w:w="1242" w:type="dxa"/>
          </w:tcPr>
          <w:p w14:paraId="64440119" w14:textId="7E4E7D03" w:rsidR="00D92114" w:rsidRDefault="001D7370" w:rsidP="00330786">
            <w:pPr>
              <w:jc w:val="center"/>
            </w:pPr>
            <w:r>
              <w:t>42</w:t>
            </w:r>
          </w:p>
        </w:tc>
      </w:tr>
      <w:tr w:rsidR="00326014" w14:paraId="32A16C85" w14:textId="77777777" w:rsidTr="009371CB">
        <w:tc>
          <w:tcPr>
            <w:tcW w:w="8364" w:type="dxa"/>
          </w:tcPr>
          <w:p w14:paraId="663556B5" w14:textId="5BF69C59" w:rsidR="00326014" w:rsidRPr="00326014" w:rsidRDefault="00326014" w:rsidP="0022202A">
            <w:pPr>
              <w:spacing w:line="240" w:lineRule="auto"/>
              <w:ind w:left="567" w:hanging="567"/>
              <w:rPr>
                <w:bCs/>
              </w:rPr>
            </w:pPr>
            <w:r>
              <w:rPr>
                <w:bCs/>
                <w:i/>
              </w:rPr>
              <w:t>Asylum Case (Colombia/Peru)</w:t>
            </w:r>
            <w:r>
              <w:rPr>
                <w:bCs/>
              </w:rPr>
              <w:t xml:space="preserve"> [1950] ICJ Rep 266</w:t>
            </w:r>
            <w:r w:rsidR="00A21168">
              <w:rPr>
                <w:bCs/>
              </w:rPr>
              <w:t xml:space="preserve"> (“</w:t>
            </w:r>
            <w:r w:rsidR="00A21168">
              <w:rPr>
                <w:bCs/>
                <w:i/>
              </w:rPr>
              <w:t>Asylum Case</w:t>
            </w:r>
            <w:r w:rsidR="00A21168">
              <w:rPr>
                <w:bCs/>
              </w:rPr>
              <w:t>”)</w:t>
            </w:r>
          </w:p>
        </w:tc>
        <w:tc>
          <w:tcPr>
            <w:tcW w:w="1242" w:type="dxa"/>
          </w:tcPr>
          <w:p w14:paraId="274C3BDE" w14:textId="4711B12A" w:rsidR="00326014" w:rsidRDefault="00A21168" w:rsidP="00330786">
            <w:pPr>
              <w:jc w:val="center"/>
            </w:pPr>
            <w:r>
              <w:t>28</w:t>
            </w:r>
          </w:p>
        </w:tc>
      </w:tr>
      <w:tr w:rsidR="00D92114" w14:paraId="4D450A97" w14:textId="77777777" w:rsidTr="009371CB">
        <w:tc>
          <w:tcPr>
            <w:tcW w:w="8364" w:type="dxa"/>
          </w:tcPr>
          <w:p w14:paraId="2DA61F7F" w14:textId="0408DDD0" w:rsidR="00D92114" w:rsidRPr="0022202A" w:rsidRDefault="0022202A" w:rsidP="0022202A">
            <w:pPr>
              <w:spacing w:line="240" w:lineRule="auto"/>
              <w:ind w:left="567" w:hanging="567"/>
              <w:rPr>
                <w:bCs/>
              </w:rPr>
            </w:pPr>
            <w:proofErr w:type="spellStart"/>
            <w:r w:rsidRPr="0022202A">
              <w:rPr>
                <w:bCs/>
                <w:i/>
              </w:rPr>
              <w:t>Avena</w:t>
            </w:r>
            <w:proofErr w:type="spellEnd"/>
            <w:r w:rsidRPr="0022202A">
              <w:rPr>
                <w:bCs/>
                <w:i/>
              </w:rPr>
              <w:t xml:space="preserve"> and Other Mexican Nationals (Mexico v United States of America) </w:t>
            </w:r>
            <w:r w:rsidRPr="0022202A">
              <w:rPr>
                <w:bCs/>
              </w:rPr>
              <w:t xml:space="preserve">[2004] ICJ Rep 12 </w:t>
            </w:r>
            <w:r w:rsidR="007E05F5">
              <w:rPr>
                <w:bCs/>
              </w:rPr>
              <w:t>(“</w:t>
            </w:r>
            <w:proofErr w:type="spellStart"/>
            <w:r w:rsidRPr="0022202A">
              <w:rPr>
                <w:bCs/>
                <w:i/>
              </w:rPr>
              <w:t>Avena</w:t>
            </w:r>
            <w:proofErr w:type="spellEnd"/>
            <w:r w:rsidRPr="0022202A">
              <w:rPr>
                <w:bCs/>
                <w:i/>
              </w:rPr>
              <w:t xml:space="preserve"> and Others</w:t>
            </w:r>
            <w:r w:rsidR="007E05F5" w:rsidRPr="00AA250B">
              <w:rPr>
                <w:bCs/>
              </w:rPr>
              <w:t>”)</w:t>
            </w:r>
          </w:p>
        </w:tc>
        <w:tc>
          <w:tcPr>
            <w:tcW w:w="1242" w:type="dxa"/>
          </w:tcPr>
          <w:p w14:paraId="59131CCF" w14:textId="64D4A2B8" w:rsidR="00D92114" w:rsidRDefault="002B4429" w:rsidP="00330786">
            <w:pPr>
              <w:jc w:val="center"/>
            </w:pPr>
            <w:r>
              <w:t>54</w:t>
            </w:r>
          </w:p>
        </w:tc>
      </w:tr>
      <w:tr w:rsidR="00D92114" w14:paraId="469A61A7" w14:textId="77777777" w:rsidTr="009371CB">
        <w:tc>
          <w:tcPr>
            <w:tcW w:w="8364" w:type="dxa"/>
          </w:tcPr>
          <w:p w14:paraId="6CB41114" w14:textId="134E5ACE" w:rsidR="00D92114" w:rsidRPr="0022202A" w:rsidRDefault="0022202A" w:rsidP="0022202A">
            <w:pPr>
              <w:spacing w:line="240" w:lineRule="auto"/>
              <w:ind w:left="567" w:hanging="567"/>
              <w:rPr>
                <w:bCs/>
              </w:rPr>
            </w:pPr>
            <w:r w:rsidRPr="0022202A">
              <w:rPr>
                <w:bCs/>
                <w:i/>
              </w:rPr>
              <w:t>Barcelona Traction, Light and Power Company Ltd (Belgium v Spain)</w:t>
            </w:r>
            <w:r w:rsidRPr="0022202A">
              <w:rPr>
                <w:bCs/>
              </w:rPr>
              <w:t xml:space="preserve"> [1970] ICJ Rep 3 </w:t>
            </w:r>
            <w:r w:rsidR="007E05F5">
              <w:rPr>
                <w:bCs/>
              </w:rPr>
              <w:t>(“</w:t>
            </w:r>
            <w:r w:rsidRPr="0022202A">
              <w:rPr>
                <w:bCs/>
                <w:i/>
              </w:rPr>
              <w:t>Barcelona Traction</w:t>
            </w:r>
            <w:r w:rsidR="007E05F5">
              <w:rPr>
                <w:bCs/>
              </w:rPr>
              <w:t>”)</w:t>
            </w:r>
          </w:p>
        </w:tc>
        <w:tc>
          <w:tcPr>
            <w:tcW w:w="1242" w:type="dxa"/>
          </w:tcPr>
          <w:p w14:paraId="53001E61" w14:textId="3E0F5B3D" w:rsidR="00D92114" w:rsidRDefault="00267481" w:rsidP="00330786">
            <w:pPr>
              <w:jc w:val="center"/>
            </w:pPr>
            <w:r>
              <w:t>42</w:t>
            </w:r>
          </w:p>
        </w:tc>
      </w:tr>
      <w:tr w:rsidR="00D92114" w14:paraId="2B3AE6D3" w14:textId="77777777" w:rsidTr="009371CB">
        <w:tc>
          <w:tcPr>
            <w:tcW w:w="8364" w:type="dxa"/>
          </w:tcPr>
          <w:p w14:paraId="0A7A05D6" w14:textId="1778AF48" w:rsidR="00D92114" w:rsidRPr="0022202A" w:rsidRDefault="0022202A" w:rsidP="0022202A">
            <w:pPr>
              <w:spacing w:line="240" w:lineRule="auto"/>
              <w:ind w:left="567" w:hanging="567"/>
              <w:rPr>
                <w:bCs/>
              </w:rPr>
            </w:pPr>
            <w:r w:rsidRPr="0022202A">
              <w:rPr>
                <w:bCs/>
                <w:i/>
              </w:rPr>
              <w:t xml:space="preserve">Certain Activities Carried Out By Nicaragua in the Border Area (Costa Rica </w:t>
            </w:r>
            <w:r w:rsidRPr="0022202A">
              <w:rPr>
                <w:bCs/>
                <w:i/>
                <w:iCs/>
              </w:rPr>
              <w:t xml:space="preserve">v </w:t>
            </w:r>
            <w:r w:rsidRPr="0022202A">
              <w:rPr>
                <w:bCs/>
                <w:i/>
              </w:rPr>
              <w:t>Nicaragua)</w:t>
            </w:r>
            <w:r w:rsidRPr="0022202A">
              <w:rPr>
                <w:bCs/>
              </w:rPr>
              <w:t xml:space="preserve"> </w:t>
            </w:r>
            <w:r w:rsidRPr="0022202A">
              <w:rPr>
                <w:bCs/>
                <w:i/>
              </w:rPr>
              <w:t xml:space="preserve">(Compensation) </w:t>
            </w:r>
            <w:r w:rsidRPr="0022202A">
              <w:rPr>
                <w:bCs/>
              </w:rPr>
              <w:t xml:space="preserve">[2018] ICJ Rep 1 </w:t>
            </w:r>
            <w:r w:rsidR="007E05F5">
              <w:rPr>
                <w:bCs/>
              </w:rPr>
              <w:t>(“</w:t>
            </w:r>
            <w:r w:rsidRPr="0022202A">
              <w:rPr>
                <w:bCs/>
                <w:i/>
              </w:rPr>
              <w:t>Border Area (Compensation)</w:t>
            </w:r>
            <w:r w:rsidR="007E05F5">
              <w:rPr>
                <w:bCs/>
              </w:rPr>
              <w:t>”)</w:t>
            </w:r>
          </w:p>
        </w:tc>
        <w:tc>
          <w:tcPr>
            <w:tcW w:w="1242" w:type="dxa"/>
          </w:tcPr>
          <w:p w14:paraId="063E9DDD" w14:textId="5F30D5EF" w:rsidR="00D92114" w:rsidRDefault="00267481" w:rsidP="00330786">
            <w:pPr>
              <w:jc w:val="center"/>
            </w:pPr>
            <w:r>
              <w:t>55, 56</w:t>
            </w:r>
          </w:p>
        </w:tc>
      </w:tr>
      <w:tr w:rsidR="00D92114" w14:paraId="2EF34A0E" w14:textId="77777777" w:rsidTr="009371CB">
        <w:tc>
          <w:tcPr>
            <w:tcW w:w="8364" w:type="dxa"/>
          </w:tcPr>
          <w:p w14:paraId="0DB607B2" w14:textId="0988AD7F" w:rsidR="00D92114" w:rsidRPr="0022202A" w:rsidRDefault="0022202A" w:rsidP="0022202A">
            <w:pPr>
              <w:spacing w:line="240" w:lineRule="auto"/>
              <w:ind w:left="567" w:hanging="567"/>
              <w:rPr>
                <w:bCs/>
              </w:rPr>
            </w:pPr>
            <w:r w:rsidRPr="0022202A">
              <w:rPr>
                <w:bCs/>
                <w:i/>
              </w:rPr>
              <w:t xml:space="preserve">Construction of a Road in Costa Rica along the San Juan River (Nicaragua v Costa Rica) </w:t>
            </w:r>
            <w:r w:rsidRPr="0022202A">
              <w:rPr>
                <w:bCs/>
              </w:rPr>
              <w:t xml:space="preserve">[2015] ICJ Rep 665 </w:t>
            </w:r>
            <w:r w:rsidR="007E05F5">
              <w:rPr>
                <w:bCs/>
              </w:rPr>
              <w:t>(“</w:t>
            </w:r>
            <w:r w:rsidRPr="0022202A">
              <w:rPr>
                <w:bCs/>
                <w:i/>
              </w:rPr>
              <w:t>Construction of a Road</w:t>
            </w:r>
            <w:r w:rsidR="007E05F5" w:rsidRPr="00AA250B">
              <w:rPr>
                <w:bCs/>
              </w:rPr>
              <w:t>”)</w:t>
            </w:r>
          </w:p>
        </w:tc>
        <w:tc>
          <w:tcPr>
            <w:tcW w:w="1242" w:type="dxa"/>
          </w:tcPr>
          <w:p w14:paraId="1B51DF61" w14:textId="3CF2C418" w:rsidR="00D92114" w:rsidRDefault="004F61D6" w:rsidP="00330786">
            <w:pPr>
              <w:jc w:val="center"/>
            </w:pPr>
            <w:r>
              <w:t>31, 37, 38, 39</w:t>
            </w:r>
          </w:p>
        </w:tc>
      </w:tr>
      <w:tr w:rsidR="00D92114" w14:paraId="29ACAE28" w14:textId="77777777" w:rsidTr="009371CB">
        <w:tc>
          <w:tcPr>
            <w:tcW w:w="8364" w:type="dxa"/>
          </w:tcPr>
          <w:p w14:paraId="466CCF4E" w14:textId="258C9925" w:rsidR="00D92114" w:rsidRPr="00311DE3" w:rsidRDefault="0022202A" w:rsidP="0022202A">
            <w:pPr>
              <w:spacing w:line="240" w:lineRule="auto"/>
              <w:ind w:left="567" w:hanging="567"/>
            </w:pPr>
            <w:r w:rsidRPr="0022202A">
              <w:rPr>
                <w:i/>
              </w:rPr>
              <w:t xml:space="preserve">Corfu Channel (United Kingdom v Albania) (Merits) </w:t>
            </w:r>
            <w:r w:rsidRPr="0022202A">
              <w:t xml:space="preserve">[1949] ICJ Rep 4 </w:t>
            </w:r>
            <w:r w:rsidR="007E05F5">
              <w:t>(“</w:t>
            </w:r>
            <w:r w:rsidRPr="0022202A">
              <w:rPr>
                <w:i/>
              </w:rPr>
              <w:t>Corfu Channel</w:t>
            </w:r>
            <w:r w:rsidR="007E05F5" w:rsidRPr="00AA250B">
              <w:t>”)</w:t>
            </w:r>
          </w:p>
        </w:tc>
        <w:tc>
          <w:tcPr>
            <w:tcW w:w="1242" w:type="dxa"/>
          </w:tcPr>
          <w:p w14:paraId="5759C378" w14:textId="536D3CAC" w:rsidR="00D92114" w:rsidRDefault="004352F6" w:rsidP="00330786">
            <w:pPr>
              <w:jc w:val="center"/>
            </w:pPr>
            <w:r>
              <w:t>31, 56</w:t>
            </w:r>
          </w:p>
        </w:tc>
      </w:tr>
      <w:tr w:rsidR="00D92114" w14:paraId="247B1E9E" w14:textId="77777777" w:rsidTr="009371CB">
        <w:tc>
          <w:tcPr>
            <w:tcW w:w="8364" w:type="dxa"/>
          </w:tcPr>
          <w:p w14:paraId="2C9B866F" w14:textId="17EFF26E" w:rsidR="00D92114" w:rsidRPr="0022202A" w:rsidRDefault="0022202A" w:rsidP="0022202A">
            <w:pPr>
              <w:rPr>
                <w:bCs/>
              </w:rPr>
            </w:pPr>
            <w:r>
              <w:rPr>
                <w:bCs/>
                <w:i/>
              </w:rPr>
              <w:t xml:space="preserve">East Timor (Portugal v Australia) </w:t>
            </w:r>
            <w:r>
              <w:rPr>
                <w:bCs/>
              </w:rPr>
              <w:t xml:space="preserve">[1995] ICJ Rep 90 </w:t>
            </w:r>
            <w:r w:rsidR="007E05F5">
              <w:rPr>
                <w:bCs/>
              </w:rPr>
              <w:t>(“</w:t>
            </w:r>
            <w:r>
              <w:rPr>
                <w:bCs/>
                <w:i/>
              </w:rPr>
              <w:t>East Timor</w:t>
            </w:r>
            <w:r w:rsidR="007E05F5">
              <w:rPr>
                <w:bCs/>
              </w:rPr>
              <w:t>”)</w:t>
            </w:r>
          </w:p>
        </w:tc>
        <w:tc>
          <w:tcPr>
            <w:tcW w:w="1242" w:type="dxa"/>
          </w:tcPr>
          <w:p w14:paraId="658117CE" w14:textId="3A1BC768" w:rsidR="00D92114" w:rsidRDefault="00463598" w:rsidP="00330786">
            <w:pPr>
              <w:jc w:val="center"/>
            </w:pPr>
            <w:r>
              <w:t>42</w:t>
            </w:r>
          </w:p>
        </w:tc>
      </w:tr>
      <w:tr w:rsidR="00D92114" w14:paraId="69108395" w14:textId="77777777" w:rsidTr="009371CB">
        <w:tc>
          <w:tcPr>
            <w:tcW w:w="8364" w:type="dxa"/>
          </w:tcPr>
          <w:p w14:paraId="225252A4" w14:textId="4AFCB5A0" w:rsidR="00D92114" w:rsidRPr="00311DE3" w:rsidRDefault="0022202A" w:rsidP="0022202A">
            <w:pPr>
              <w:spacing w:line="240" w:lineRule="auto"/>
              <w:ind w:left="567" w:hanging="567"/>
            </w:pPr>
            <w:r w:rsidRPr="0022202A">
              <w:rPr>
                <w:i/>
              </w:rPr>
              <w:t xml:space="preserve">Factory at </w:t>
            </w:r>
            <w:proofErr w:type="spellStart"/>
            <w:r w:rsidRPr="0022202A">
              <w:rPr>
                <w:i/>
              </w:rPr>
              <w:t>Chorzów</w:t>
            </w:r>
            <w:proofErr w:type="spellEnd"/>
            <w:r w:rsidRPr="0022202A">
              <w:rPr>
                <w:i/>
              </w:rPr>
              <w:t xml:space="preserve"> (Germany v Poland) (Jurisdiction)</w:t>
            </w:r>
            <w:r w:rsidRPr="0022202A">
              <w:t xml:space="preserve"> (1927) Series </w:t>
            </w:r>
            <w:r w:rsidRPr="0022202A">
              <w:rPr>
                <w:bCs/>
              </w:rPr>
              <w:t xml:space="preserve">A </w:t>
            </w:r>
            <w:r w:rsidRPr="0022202A">
              <w:t xml:space="preserve">No. </w:t>
            </w:r>
            <w:r w:rsidRPr="0022202A">
              <w:rPr>
                <w:bCs/>
              </w:rPr>
              <w:t>9</w:t>
            </w:r>
            <w:r w:rsidRPr="0022202A">
              <w:t xml:space="preserve"> </w:t>
            </w:r>
            <w:r w:rsidR="007E05F5">
              <w:t>(“</w:t>
            </w:r>
            <w:r w:rsidRPr="0022202A">
              <w:rPr>
                <w:i/>
              </w:rPr>
              <w:t xml:space="preserve">Factory at </w:t>
            </w:r>
            <w:proofErr w:type="spellStart"/>
            <w:r w:rsidRPr="0022202A">
              <w:rPr>
                <w:i/>
              </w:rPr>
              <w:t>Chorzów</w:t>
            </w:r>
            <w:proofErr w:type="spellEnd"/>
            <w:r w:rsidRPr="0022202A">
              <w:rPr>
                <w:i/>
              </w:rPr>
              <w:t xml:space="preserve"> (Jurisdiction)</w:t>
            </w:r>
            <w:r w:rsidR="007E05F5" w:rsidRPr="00AA250B">
              <w:t>”)</w:t>
            </w:r>
          </w:p>
        </w:tc>
        <w:tc>
          <w:tcPr>
            <w:tcW w:w="1242" w:type="dxa"/>
          </w:tcPr>
          <w:p w14:paraId="4B391CBE" w14:textId="25C0C10C" w:rsidR="00D92114" w:rsidRDefault="00D379CA" w:rsidP="00330786">
            <w:pPr>
              <w:jc w:val="center"/>
            </w:pPr>
            <w:r>
              <w:t>53</w:t>
            </w:r>
          </w:p>
        </w:tc>
      </w:tr>
      <w:tr w:rsidR="00D92114" w14:paraId="672C2AB5" w14:textId="77777777" w:rsidTr="009371CB">
        <w:tc>
          <w:tcPr>
            <w:tcW w:w="8364" w:type="dxa"/>
          </w:tcPr>
          <w:p w14:paraId="028B1AB2" w14:textId="69B67302" w:rsidR="00D92114" w:rsidRPr="00311DE3" w:rsidRDefault="0022202A" w:rsidP="0022202A">
            <w:pPr>
              <w:spacing w:line="240" w:lineRule="auto"/>
              <w:ind w:left="567" w:hanging="567"/>
            </w:pPr>
            <w:r w:rsidRPr="0022202A">
              <w:rPr>
                <w:i/>
              </w:rPr>
              <w:t xml:space="preserve">Factory at </w:t>
            </w:r>
            <w:proofErr w:type="spellStart"/>
            <w:r w:rsidRPr="0022202A">
              <w:rPr>
                <w:i/>
              </w:rPr>
              <w:t>Chorzów</w:t>
            </w:r>
            <w:proofErr w:type="spellEnd"/>
            <w:r w:rsidRPr="0022202A">
              <w:rPr>
                <w:i/>
              </w:rPr>
              <w:t xml:space="preserve"> (Germany v Poland) (</w:t>
            </w:r>
            <w:proofErr w:type="spellStart"/>
            <w:r w:rsidRPr="0022202A">
              <w:rPr>
                <w:i/>
              </w:rPr>
              <w:t>Mertis</w:t>
            </w:r>
            <w:proofErr w:type="spellEnd"/>
            <w:r w:rsidRPr="0022202A">
              <w:rPr>
                <w:i/>
              </w:rPr>
              <w:t>)</w:t>
            </w:r>
            <w:r w:rsidRPr="0022202A">
              <w:t xml:space="preserve"> (1927) Series </w:t>
            </w:r>
            <w:r w:rsidRPr="0022202A">
              <w:rPr>
                <w:bCs/>
              </w:rPr>
              <w:t xml:space="preserve">A </w:t>
            </w:r>
            <w:r w:rsidRPr="0022202A">
              <w:t xml:space="preserve">No. </w:t>
            </w:r>
            <w:r w:rsidRPr="0022202A">
              <w:rPr>
                <w:bCs/>
              </w:rPr>
              <w:t>13</w:t>
            </w:r>
            <w:r w:rsidRPr="0022202A">
              <w:t xml:space="preserve"> </w:t>
            </w:r>
            <w:r w:rsidR="007E05F5">
              <w:t>(“</w:t>
            </w:r>
            <w:r w:rsidRPr="0022202A">
              <w:rPr>
                <w:i/>
              </w:rPr>
              <w:t xml:space="preserve">Factory at </w:t>
            </w:r>
            <w:proofErr w:type="spellStart"/>
            <w:r w:rsidRPr="0022202A">
              <w:rPr>
                <w:i/>
              </w:rPr>
              <w:t>Chorzów</w:t>
            </w:r>
            <w:proofErr w:type="spellEnd"/>
            <w:r w:rsidRPr="0022202A">
              <w:rPr>
                <w:i/>
              </w:rPr>
              <w:t xml:space="preserve"> (Merits)</w:t>
            </w:r>
            <w:r w:rsidR="007E05F5" w:rsidRPr="00AA250B">
              <w:t>”)</w:t>
            </w:r>
          </w:p>
        </w:tc>
        <w:tc>
          <w:tcPr>
            <w:tcW w:w="1242" w:type="dxa"/>
          </w:tcPr>
          <w:p w14:paraId="2D8BCC5F" w14:textId="23C183EE" w:rsidR="00D92114" w:rsidRDefault="00D379CA" w:rsidP="00330786">
            <w:pPr>
              <w:jc w:val="center"/>
            </w:pPr>
            <w:r>
              <w:t>54</w:t>
            </w:r>
          </w:p>
        </w:tc>
      </w:tr>
      <w:tr w:rsidR="00705540" w14:paraId="767F317D" w14:textId="77777777" w:rsidTr="009371CB">
        <w:tc>
          <w:tcPr>
            <w:tcW w:w="8364" w:type="dxa"/>
          </w:tcPr>
          <w:p w14:paraId="24F5CFA5" w14:textId="4AF6A30B" w:rsidR="00705540" w:rsidRPr="0022202A" w:rsidRDefault="00705540" w:rsidP="0022202A">
            <w:pPr>
              <w:spacing w:line="240" w:lineRule="auto"/>
              <w:ind w:left="567" w:hanging="567"/>
              <w:rPr>
                <w:i/>
              </w:rPr>
            </w:pPr>
            <w:r w:rsidRPr="00705540">
              <w:rPr>
                <w:i/>
                <w:iCs/>
                <w:lang w:val="en-GB"/>
              </w:rPr>
              <w:t>Fisheries Jurisdiction (United Kingdom v Iceland) (Merits)</w:t>
            </w:r>
            <w:r w:rsidRPr="00705540">
              <w:rPr>
                <w:iCs/>
                <w:lang w:val="en-GB"/>
              </w:rPr>
              <w:t xml:space="preserve"> </w:t>
            </w:r>
            <w:r w:rsidRPr="00705540">
              <w:rPr>
                <w:lang w:val="en-GB"/>
              </w:rPr>
              <w:t>[1974] ICJ Rep 3</w:t>
            </w:r>
            <w:r w:rsidRPr="00705540">
              <w:rPr>
                <w:i/>
                <w:lang w:val="en-GB"/>
              </w:rPr>
              <w:t xml:space="preserve"> </w:t>
            </w:r>
            <w:r w:rsidRPr="00705540">
              <w:rPr>
                <w:i/>
                <w:iCs/>
                <w:lang w:val="en-GB"/>
              </w:rPr>
              <w:t>(“Fisheries Jurisdiction</w:t>
            </w:r>
            <w:r w:rsidRPr="00AA250B">
              <w:rPr>
                <w:iCs/>
                <w:lang w:val="en-GB"/>
              </w:rPr>
              <w:t>”)</w:t>
            </w:r>
          </w:p>
        </w:tc>
        <w:tc>
          <w:tcPr>
            <w:tcW w:w="1242" w:type="dxa"/>
          </w:tcPr>
          <w:p w14:paraId="052BA5AB" w14:textId="44C4D3BC" w:rsidR="00705540" w:rsidRDefault="00D379CA" w:rsidP="00330786">
            <w:pPr>
              <w:jc w:val="center"/>
            </w:pPr>
            <w:r>
              <w:t>39</w:t>
            </w:r>
          </w:p>
        </w:tc>
      </w:tr>
      <w:tr w:rsidR="00D92114" w14:paraId="07978F1D" w14:textId="77777777" w:rsidTr="009371CB">
        <w:tc>
          <w:tcPr>
            <w:tcW w:w="8364" w:type="dxa"/>
          </w:tcPr>
          <w:p w14:paraId="246F5C90" w14:textId="64301446" w:rsidR="00D92114" w:rsidRPr="00311DE3" w:rsidRDefault="0022202A" w:rsidP="0022202A">
            <w:pPr>
              <w:spacing w:line="240" w:lineRule="auto"/>
              <w:ind w:left="567" w:hanging="567"/>
            </w:pPr>
            <w:proofErr w:type="spellStart"/>
            <w:r w:rsidRPr="0022202A">
              <w:rPr>
                <w:i/>
              </w:rPr>
              <w:t>Gabčíkovo-Nagymaros</w:t>
            </w:r>
            <w:proofErr w:type="spellEnd"/>
            <w:r w:rsidRPr="0022202A">
              <w:rPr>
                <w:i/>
              </w:rPr>
              <w:t xml:space="preserve"> Project (Hungary v Slovakia)</w:t>
            </w:r>
            <w:r w:rsidRPr="0022202A">
              <w:t xml:space="preserve"> [1997] ICJ Rep 7 </w:t>
            </w:r>
            <w:r w:rsidR="007E05F5">
              <w:t>(“</w:t>
            </w:r>
            <w:proofErr w:type="spellStart"/>
            <w:r w:rsidRPr="0022202A">
              <w:rPr>
                <w:i/>
              </w:rPr>
              <w:t>Gabčíkovo-Nagymaros</w:t>
            </w:r>
            <w:proofErr w:type="spellEnd"/>
            <w:r w:rsidR="007E05F5" w:rsidRPr="00AA250B">
              <w:t>”)</w:t>
            </w:r>
          </w:p>
        </w:tc>
        <w:tc>
          <w:tcPr>
            <w:tcW w:w="1242" w:type="dxa"/>
          </w:tcPr>
          <w:p w14:paraId="5F3ECEFC" w14:textId="22AAE37C" w:rsidR="00D92114" w:rsidRDefault="00D379CA" w:rsidP="00330786">
            <w:pPr>
              <w:jc w:val="center"/>
            </w:pPr>
            <w:r>
              <w:t>31, 33, 53</w:t>
            </w:r>
            <w:r w:rsidR="00753FC2">
              <w:t>, 54</w:t>
            </w:r>
          </w:p>
        </w:tc>
      </w:tr>
      <w:tr w:rsidR="00D92114" w14:paraId="51652F0A" w14:textId="77777777" w:rsidTr="009371CB">
        <w:tc>
          <w:tcPr>
            <w:tcW w:w="8364" w:type="dxa"/>
          </w:tcPr>
          <w:p w14:paraId="512CBF8E" w14:textId="02A58234" w:rsidR="00D92114" w:rsidRPr="00311DE3" w:rsidRDefault="0022202A" w:rsidP="0022202A">
            <w:pPr>
              <w:spacing w:line="240" w:lineRule="auto"/>
              <w:ind w:left="567" w:hanging="567"/>
            </w:pPr>
            <w:r w:rsidRPr="0022202A">
              <w:rPr>
                <w:i/>
              </w:rPr>
              <w:t xml:space="preserve">Interpretation of the Agreement of 25 March 1961 between the WHO and Egypt (Advisory Opinion) </w:t>
            </w:r>
            <w:r w:rsidRPr="0022202A">
              <w:t xml:space="preserve">[1980] ICJ Rep 71 </w:t>
            </w:r>
            <w:r w:rsidR="007E05F5">
              <w:t>(“</w:t>
            </w:r>
            <w:r w:rsidRPr="0022202A">
              <w:t xml:space="preserve"> </w:t>
            </w:r>
            <w:r w:rsidRPr="0022202A">
              <w:rPr>
                <w:i/>
              </w:rPr>
              <w:t>Interpretation of the Agreement</w:t>
            </w:r>
            <w:r w:rsidR="007E05F5" w:rsidRPr="00AA250B">
              <w:t>”)</w:t>
            </w:r>
          </w:p>
        </w:tc>
        <w:tc>
          <w:tcPr>
            <w:tcW w:w="1242" w:type="dxa"/>
          </w:tcPr>
          <w:p w14:paraId="3CBD9E0D" w14:textId="724166EB" w:rsidR="00D92114" w:rsidRDefault="00D379CA" w:rsidP="00330786">
            <w:pPr>
              <w:jc w:val="center"/>
            </w:pPr>
            <w:r>
              <w:t>33, 53</w:t>
            </w:r>
          </w:p>
        </w:tc>
      </w:tr>
      <w:tr w:rsidR="00D92114" w14:paraId="4E54FEE2" w14:textId="77777777" w:rsidTr="009371CB">
        <w:tc>
          <w:tcPr>
            <w:tcW w:w="8364" w:type="dxa"/>
          </w:tcPr>
          <w:p w14:paraId="31CA7610" w14:textId="3C64DFE5" w:rsidR="00D92114" w:rsidRPr="00311DE3" w:rsidRDefault="0022202A" w:rsidP="0022202A">
            <w:pPr>
              <w:spacing w:line="240" w:lineRule="auto"/>
              <w:ind w:left="567" w:hanging="567"/>
            </w:pPr>
            <w:r w:rsidRPr="0022202A">
              <w:rPr>
                <w:i/>
              </w:rPr>
              <w:lastRenderedPageBreak/>
              <w:t xml:space="preserve">Legal Consequences of the Construction of a Wall in the Occupied Palestinian Territory </w:t>
            </w:r>
            <w:r w:rsidRPr="0022202A">
              <w:t xml:space="preserve">[2004] ICJ Rep 136 </w:t>
            </w:r>
            <w:r w:rsidR="007E05F5">
              <w:t>(“</w:t>
            </w:r>
            <w:r w:rsidRPr="0022202A">
              <w:rPr>
                <w:i/>
              </w:rPr>
              <w:t>Construction of a Wall</w:t>
            </w:r>
            <w:r w:rsidR="007E05F5" w:rsidRPr="00AA250B">
              <w:t>”)</w:t>
            </w:r>
          </w:p>
        </w:tc>
        <w:tc>
          <w:tcPr>
            <w:tcW w:w="1242" w:type="dxa"/>
          </w:tcPr>
          <w:p w14:paraId="3F201F13" w14:textId="69BCDCFF" w:rsidR="00D92114" w:rsidRDefault="00210368" w:rsidP="00330786">
            <w:pPr>
              <w:jc w:val="center"/>
            </w:pPr>
            <w:r>
              <w:t>43</w:t>
            </w:r>
          </w:p>
        </w:tc>
      </w:tr>
      <w:tr w:rsidR="00356C9F" w14:paraId="1AF867FF" w14:textId="77777777" w:rsidTr="009371CB">
        <w:tc>
          <w:tcPr>
            <w:tcW w:w="8364" w:type="dxa"/>
          </w:tcPr>
          <w:p w14:paraId="0F607E2B" w14:textId="46BA69F1" w:rsidR="00356C9F" w:rsidRPr="0022202A" w:rsidRDefault="00356C9F" w:rsidP="0022202A">
            <w:pPr>
              <w:spacing w:line="240" w:lineRule="auto"/>
              <w:ind w:left="567" w:hanging="567"/>
              <w:rPr>
                <w:i/>
              </w:rPr>
            </w:pPr>
            <w:r w:rsidRPr="00684732">
              <w:rPr>
                <w:i/>
                <w:iCs/>
                <w:color w:val="000000"/>
                <w:lang w:val="en-GB"/>
              </w:rPr>
              <w:t xml:space="preserve">Legality of the Threat or Use of Nuclear Weapons </w:t>
            </w:r>
            <w:r w:rsidRPr="00684732">
              <w:rPr>
                <w:color w:val="000000"/>
                <w:lang w:val="en-GB"/>
              </w:rPr>
              <w:t>(Advisory Opinion) [1996] ICJ Rep 226 (“</w:t>
            </w:r>
            <w:r w:rsidRPr="00684732">
              <w:rPr>
                <w:i/>
                <w:iCs/>
                <w:color w:val="000000"/>
                <w:lang w:val="en-GB"/>
              </w:rPr>
              <w:t>Nuclear Weapons</w:t>
            </w:r>
            <w:r w:rsidRPr="00684732">
              <w:rPr>
                <w:iCs/>
                <w:color w:val="000000"/>
                <w:lang w:val="en-GB"/>
              </w:rPr>
              <w:t>”</w:t>
            </w:r>
            <w:r w:rsidRPr="00684732">
              <w:rPr>
                <w:color w:val="000000"/>
                <w:lang w:val="en-GB"/>
              </w:rPr>
              <w:t>)</w:t>
            </w:r>
          </w:p>
        </w:tc>
        <w:tc>
          <w:tcPr>
            <w:tcW w:w="1242" w:type="dxa"/>
          </w:tcPr>
          <w:p w14:paraId="03D4EF99" w14:textId="18EE36D8" w:rsidR="00356C9F" w:rsidRDefault="00582203" w:rsidP="00330786">
            <w:pPr>
              <w:jc w:val="center"/>
            </w:pPr>
            <w:r>
              <w:t>31, 38</w:t>
            </w:r>
          </w:p>
        </w:tc>
      </w:tr>
      <w:tr w:rsidR="00D92114" w14:paraId="0C5AE07E" w14:textId="77777777" w:rsidTr="009371CB">
        <w:tc>
          <w:tcPr>
            <w:tcW w:w="8364" w:type="dxa"/>
          </w:tcPr>
          <w:p w14:paraId="43CAB10C" w14:textId="41B90B72" w:rsidR="00D92114" w:rsidRPr="00311DE3" w:rsidRDefault="0022202A" w:rsidP="0022202A">
            <w:pPr>
              <w:spacing w:line="240" w:lineRule="auto"/>
              <w:ind w:left="567" w:hanging="567"/>
            </w:pPr>
            <w:r w:rsidRPr="0022202A">
              <w:rPr>
                <w:i/>
              </w:rPr>
              <w:t xml:space="preserve">Military and Paramilitary Activities in and against Nicaragua (Nicaragua v United States of America) (Judgment) </w:t>
            </w:r>
            <w:r w:rsidRPr="0022202A">
              <w:t xml:space="preserve">[1986] ICJ Rep 14 </w:t>
            </w:r>
            <w:r w:rsidR="007E05F5">
              <w:t>(“</w:t>
            </w:r>
            <w:r w:rsidRPr="0022202A">
              <w:rPr>
                <w:i/>
              </w:rPr>
              <w:t>Nicaragua</w:t>
            </w:r>
            <w:r w:rsidR="007E05F5">
              <w:t>”)</w:t>
            </w:r>
          </w:p>
        </w:tc>
        <w:tc>
          <w:tcPr>
            <w:tcW w:w="1242" w:type="dxa"/>
          </w:tcPr>
          <w:p w14:paraId="51F703D5" w14:textId="026CEC83" w:rsidR="00D92114" w:rsidRDefault="00210368" w:rsidP="00330786">
            <w:pPr>
              <w:jc w:val="center"/>
            </w:pPr>
            <w:r>
              <w:t xml:space="preserve">29, 30, 40, </w:t>
            </w:r>
            <w:r w:rsidR="009705F3">
              <w:t>51</w:t>
            </w:r>
          </w:p>
        </w:tc>
      </w:tr>
      <w:tr w:rsidR="00D92114" w14:paraId="6E252440" w14:textId="77777777" w:rsidTr="009371CB">
        <w:tc>
          <w:tcPr>
            <w:tcW w:w="8364" w:type="dxa"/>
          </w:tcPr>
          <w:p w14:paraId="1562FAA6" w14:textId="5543097B" w:rsidR="00D92114" w:rsidRPr="00311DE3" w:rsidRDefault="0022202A" w:rsidP="0022202A">
            <w:pPr>
              <w:spacing w:line="240" w:lineRule="auto"/>
              <w:ind w:left="567" w:hanging="567"/>
            </w:pPr>
            <w:r w:rsidRPr="0022202A">
              <w:rPr>
                <w:i/>
              </w:rPr>
              <w:t>North Sea Continental Shelf Cases (Federal Republic Of Germany v Denmark; Federal Republic of Germany v Netherlands)</w:t>
            </w:r>
            <w:r w:rsidRPr="0022202A">
              <w:t xml:space="preserve"> [1969] ICJ Rep 3 </w:t>
            </w:r>
            <w:r w:rsidR="007E05F5">
              <w:t>(“</w:t>
            </w:r>
            <w:r w:rsidRPr="0022202A">
              <w:rPr>
                <w:i/>
                <w:lang w:val="en-US"/>
              </w:rPr>
              <w:t>North Sea Continental Shelf</w:t>
            </w:r>
            <w:r w:rsidR="007E05F5">
              <w:rPr>
                <w:lang w:val="en-US"/>
              </w:rPr>
              <w:t>”)</w:t>
            </w:r>
          </w:p>
        </w:tc>
        <w:tc>
          <w:tcPr>
            <w:tcW w:w="1242" w:type="dxa"/>
          </w:tcPr>
          <w:p w14:paraId="1136609D" w14:textId="60CD9E9F" w:rsidR="00D92114" w:rsidRDefault="00ED01B1" w:rsidP="00330786">
            <w:pPr>
              <w:jc w:val="center"/>
            </w:pPr>
            <w:r>
              <w:t>28, 43, 51</w:t>
            </w:r>
          </w:p>
        </w:tc>
      </w:tr>
      <w:tr w:rsidR="0022202A" w14:paraId="02A6FCCD" w14:textId="77777777" w:rsidTr="009371CB">
        <w:tc>
          <w:tcPr>
            <w:tcW w:w="8364" w:type="dxa"/>
          </w:tcPr>
          <w:p w14:paraId="56636869" w14:textId="3FD9E656" w:rsidR="0022202A" w:rsidRPr="00311DE3" w:rsidRDefault="0022202A" w:rsidP="0022202A">
            <w:pPr>
              <w:spacing w:line="240" w:lineRule="auto"/>
              <w:ind w:left="567" w:hanging="567"/>
            </w:pPr>
            <w:r w:rsidRPr="0022202A">
              <w:rPr>
                <w:i/>
              </w:rPr>
              <w:t>Pulp Mills on the River Uruguay (Argentina v Uruguay)</w:t>
            </w:r>
            <w:r w:rsidRPr="0022202A">
              <w:t xml:space="preserve"> [201</w:t>
            </w:r>
            <w:r w:rsidR="00705540">
              <w:t>0</w:t>
            </w:r>
            <w:r w:rsidRPr="0022202A">
              <w:t>]</w:t>
            </w:r>
            <w:r w:rsidRPr="0022202A">
              <w:rPr>
                <w:i/>
              </w:rPr>
              <w:t xml:space="preserve"> </w:t>
            </w:r>
            <w:r w:rsidRPr="0022202A">
              <w:t xml:space="preserve">ICJ Rep 14 </w:t>
            </w:r>
            <w:r w:rsidR="007E05F5">
              <w:t>(“</w:t>
            </w:r>
            <w:r w:rsidRPr="0022202A">
              <w:rPr>
                <w:i/>
              </w:rPr>
              <w:t>Pulp Mills</w:t>
            </w:r>
            <w:r w:rsidR="007E05F5">
              <w:t>”)</w:t>
            </w:r>
            <w:r w:rsidRPr="0022202A">
              <w:t xml:space="preserve"> </w:t>
            </w:r>
          </w:p>
        </w:tc>
        <w:tc>
          <w:tcPr>
            <w:tcW w:w="1242" w:type="dxa"/>
          </w:tcPr>
          <w:p w14:paraId="3EA95ECF" w14:textId="7D372C82" w:rsidR="0022202A" w:rsidRDefault="00ED01B1" w:rsidP="00330786">
            <w:pPr>
              <w:jc w:val="center"/>
            </w:pPr>
            <w:r>
              <w:t>31, 38, 39, 41</w:t>
            </w:r>
          </w:p>
        </w:tc>
      </w:tr>
      <w:tr w:rsidR="0022202A" w14:paraId="13D3C57F" w14:textId="77777777" w:rsidTr="009371CB">
        <w:tc>
          <w:tcPr>
            <w:tcW w:w="8364" w:type="dxa"/>
          </w:tcPr>
          <w:p w14:paraId="5B3CF087" w14:textId="5F24C444" w:rsidR="0022202A" w:rsidRPr="00311DE3" w:rsidRDefault="0022202A" w:rsidP="0022202A">
            <w:pPr>
              <w:spacing w:line="240" w:lineRule="auto"/>
              <w:ind w:left="567" w:hanging="567"/>
            </w:pPr>
            <w:r w:rsidRPr="0022202A">
              <w:rPr>
                <w:i/>
              </w:rPr>
              <w:t xml:space="preserve">Questions Relating to the Obligation to Prosecute or Extradite (Belgium v Senegal) </w:t>
            </w:r>
            <w:r w:rsidRPr="0022202A">
              <w:t xml:space="preserve">[2012] ICJ Rep 422 </w:t>
            </w:r>
            <w:r w:rsidR="007E05F5">
              <w:t>(“</w:t>
            </w:r>
            <w:r w:rsidRPr="0022202A">
              <w:rPr>
                <w:i/>
              </w:rPr>
              <w:t>Obligation to Prosecute or Extradite</w:t>
            </w:r>
            <w:r w:rsidR="007E05F5">
              <w:t>”)</w:t>
            </w:r>
          </w:p>
        </w:tc>
        <w:tc>
          <w:tcPr>
            <w:tcW w:w="1242" w:type="dxa"/>
          </w:tcPr>
          <w:p w14:paraId="4BE463C1" w14:textId="0873B29E" w:rsidR="0022202A" w:rsidRDefault="00ED01B1" w:rsidP="00330786">
            <w:pPr>
              <w:jc w:val="center"/>
            </w:pPr>
            <w:r>
              <w:t>42, 49</w:t>
            </w:r>
          </w:p>
        </w:tc>
      </w:tr>
      <w:tr w:rsidR="0022202A" w14:paraId="01DE94D1" w14:textId="77777777" w:rsidTr="009371CB">
        <w:tc>
          <w:tcPr>
            <w:tcW w:w="8364" w:type="dxa"/>
          </w:tcPr>
          <w:p w14:paraId="208AF0F5" w14:textId="75F2451C" w:rsidR="0022202A" w:rsidRPr="00311DE3" w:rsidRDefault="0022202A" w:rsidP="0022202A">
            <w:pPr>
              <w:spacing w:line="240" w:lineRule="auto"/>
              <w:ind w:left="567" w:hanging="567"/>
            </w:pPr>
            <w:r w:rsidRPr="0022202A">
              <w:rPr>
                <w:i/>
              </w:rPr>
              <w:t>Railway Traffic between Lithuania and Poland (Advisory Opinion)</w:t>
            </w:r>
            <w:r w:rsidRPr="0022202A">
              <w:t xml:space="preserve"> (1931) PCIJ </w:t>
            </w:r>
            <w:proofErr w:type="spellStart"/>
            <w:r w:rsidRPr="0022202A">
              <w:t>PCIJ</w:t>
            </w:r>
            <w:proofErr w:type="spellEnd"/>
            <w:r w:rsidRPr="0022202A">
              <w:t xml:space="preserve"> Series A/B No. 42 </w:t>
            </w:r>
            <w:r w:rsidR="007E05F5">
              <w:t>(“</w:t>
            </w:r>
            <w:r w:rsidRPr="0022202A">
              <w:rPr>
                <w:i/>
              </w:rPr>
              <w:t>Railway Traffic</w:t>
            </w:r>
            <w:r w:rsidR="007E05F5" w:rsidRPr="00AA250B">
              <w:t>”)</w:t>
            </w:r>
          </w:p>
        </w:tc>
        <w:tc>
          <w:tcPr>
            <w:tcW w:w="1242" w:type="dxa"/>
          </w:tcPr>
          <w:p w14:paraId="0D4A990F" w14:textId="6EA70BDD" w:rsidR="0022202A" w:rsidRDefault="00BE5ED5" w:rsidP="00330786">
            <w:pPr>
              <w:jc w:val="center"/>
            </w:pPr>
            <w:r>
              <w:t>39, 53</w:t>
            </w:r>
          </w:p>
        </w:tc>
      </w:tr>
      <w:tr w:rsidR="0022202A" w14:paraId="1554051C" w14:textId="77777777" w:rsidTr="009371CB">
        <w:tc>
          <w:tcPr>
            <w:tcW w:w="8364" w:type="dxa"/>
          </w:tcPr>
          <w:p w14:paraId="52FFCA86" w14:textId="7940554E" w:rsidR="0022202A" w:rsidRPr="00AA250B" w:rsidRDefault="00382E90" w:rsidP="00AA250B">
            <w:pPr>
              <w:spacing w:line="240" w:lineRule="auto"/>
              <w:ind w:left="567" w:hanging="567"/>
              <w:rPr>
                <w:iCs/>
              </w:rPr>
            </w:pPr>
            <w:r w:rsidRPr="00382E90">
              <w:rPr>
                <w:i/>
                <w:lang w:val="en-US"/>
              </w:rPr>
              <w:t>South West Africa (Ethiopia v South Africa; Liberia v South Africa) (Judgment)</w:t>
            </w:r>
            <w:r w:rsidRPr="00382E90">
              <w:rPr>
                <w:lang w:val="en-US"/>
              </w:rPr>
              <w:t xml:space="preserve"> [1966] </w:t>
            </w:r>
            <w:r w:rsidRPr="00382E90">
              <w:rPr>
                <w:iCs/>
              </w:rPr>
              <w:t xml:space="preserve">ICJ Rep 6 </w:t>
            </w:r>
            <w:r w:rsidR="007E05F5">
              <w:rPr>
                <w:iCs/>
              </w:rPr>
              <w:t>(“</w:t>
            </w:r>
            <w:r w:rsidRPr="00382E90">
              <w:rPr>
                <w:i/>
                <w:iCs/>
              </w:rPr>
              <w:t>South West Africa</w:t>
            </w:r>
            <w:r w:rsidR="007E05F5">
              <w:rPr>
                <w:iCs/>
              </w:rPr>
              <w:t>”)</w:t>
            </w:r>
          </w:p>
        </w:tc>
        <w:tc>
          <w:tcPr>
            <w:tcW w:w="1242" w:type="dxa"/>
          </w:tcPr>
          <w:p w14:paraId="3A096427" w14:textId="0895B9BD" w:rsidR="0022202A" w:rsidRDefault="00BE5ED5" w:rsidP="00330786">
            <w:pPr>
              <w:jc w:val="center"/>
            </w:pPr>
            <w:r>
              <w:t>42</w:t>
            </w:r>
          </w:p>
        </w:tc>
      </w:tr>
      <w:tr w:rsidR="00AA250B" w14:paraId="6C1BCF49" w14:textId="77777777" w:rsidTr="009371CB">
        <w:tc>
          <w:tcPr>
            <w:tcW w:w="8364" w:type="dxa"/>
          </w:tcPr>
          <w:p w14:paraId="2ABB2617" w14:textId="38603104" w:rsidR="00AA250B" w:rsidRPr="00382E90" w:rsidRDefault="00AA250B" w:rsidP="00382E90">
            <w:pPr>
              <w:spacing w:line="240" w:lineRule="auto"/>
              <w:ind w:left="567" w:hanging="567"/>
              <w:rPr>
                <w:i/>
                <w:lang w:val="en-US"/>
              </w:rPr>
            </w:pPr>
            <w:r w:rsidRPr="00382E90">
              <w:rPr>
                <w:i/>
              </w:rPr>
              <w:t xml:space="preserve">The </w:t>
            </w:r>
            <w:proofErr w:type="spellStart"/>
            <w:r w:rsidRPr="00382E90">
              <w:rPr>
                <w:i/>
              </w:rPr>
              <w:t>Mavrommatis</w:t>
            </w:r>
            <w:proofErr w:type="spellEnd"/>
            <w:r w:rsidRPr="00382E90">
              <w:rPr>
                <w:i/>
              </w:rPr>
              <w:t xml:space="preserve"> Palestine Concessions (Greece v United Kingdom)</w:t>
            </w:r>
            <w:r w:rsidRPr="00382E90">
              <w:t xml:space="preserve"> (1924) PCIJ Series A No. 2 </w:t>
            </w:r>
            <w:r>
              <w:t>(“</w:t>
            </w:r>
            <w:proofErr w:type="spellStart"/>
            <w:r w:rsidRPr="00382E90">
              <w:rPr>
                <w:i/>
              </w:rPr>
              <w:t>Mavrommatis</w:t>
            </w:r>
            <w:proofErr w:type="spellEnd"/>
            <w:r w:rsidRPr="00382E90">
              <w:rPr>
                <w:i/>
              </w:rPr>
              <w:t xml:space="preserve"> Palestine Concessions</w:t>
            </w:r>
            <w:r w:rsidRPr="00AA250B">
              <w:t>”)</w:t>
            </w:r>
          </w:p>
        </w:tc>
        <w:tc>
          <w:tcPr>
            <w:tcW w:w="1242" w:type="dxa"/>
          </w:tcPr>
          <w:p w14:paraId="68B11266" w14:textId="467BB786" w:rsidR="00AA250B" w:rsidRDefault="00BE5ED5" w:rsidP="00330786">
            <w:pPr>
              <w:jc w:val="center"/>
            </w:pPr>
            <w:r>
              <w:t>51</w:t>
            </w:r>
          </w:p>
        </w:tc>
      </w:tr>
      <w:tr w:rsidR="0022202A" w14:paraId="51DAF645" w14:textId="77777777" w:rsidTr="009371CB">
        <w:tc>
          <w:tcPr>
            <w:tcW w:w="8364" w:type="dxa"/>
          </w:tcPr>
          <w:p w14:paraId="1C47BB7D" w14:textId="26BFDDBD" w:rsidR="0022202A" w:rsidRPr="00311DE3" w:rsidRDefault="00382E90" w:rsidP="007C73E9">
            <w:pPr>
              <w:spacing w:line="240" w:lineRule="auto"/>
              <w:ind w:left="567" w:hanging="567"/>
            </w:pPr>
            <w:r>
              <w:rPr>
                <w:i/>
              </w:rPr>
              <w:t xml:space="preserve">United States Diplomatic and Consular Staff in Tehran (United States v Iran) </w:t>
            </w:r>
            <w:r>
              <w:t xml:space="preserve">[1980] ICJ Rep 3 </w:t>
            </w:r>
            <w:r w:rsidR="007E05F5">
              <w:t>(“</w:t>
            </w:r>
            <w:r>
              <w:rPr>
                <w:i/>
              </w:rPr>
              <w:t>Tehran Hostages</w:t>
            </w:r>
            <w:r w:rsidR="007E05F5">
              <w:t>”)</w:t>
            </w:r>
          </w:p>
        </w:tc>
        <w:tc>
          <w:tcPr>
            <w:tcW w:w="1242" w:type="dxa"/>
          </w:tcPr>
          <w:p w14:paraId="06F07591" w14:textId="20164B7F" w:rsidR="0022202A" w:rsidRDefault="00BE5ED5" w:rsidP="00330786">
            <w:pPr>
              <w:jc w:val="center"/>
            </w:pPr>
            <w:r>
              <w:t>50</w:t>
            </w:r>
          </w:p>
        </w:tc>
      </w:tr>
      <w:tr w:rsidR="00705540" w14:paraId="7AEFF7D9" w14:textId="77777777" w:rsidTr="009371CB">
        <w:tc>
          <w:tcPr>
            <w:tcW w:w="8364" w:type="dxa"/>
          </w:tcPr>
          <w:p w14:paraId="4ECCBB8A" w14:textId="023FA70C" w:rsidR="00705540" w:rsidRDefault="00705540" w:rsidP="007C73E9">
            <w:pPr>
              <w:spacing w:line="240" w:lineRule="auto"/>
              <w:ind w:left="567" w:hanging="567"/>
              <w:rPr>
                <w:i/>
              </w:rPr>
            </w:pPr>
            <w:r w:rsidRPr="00705540">
              <w:rPr>
                <w:i/>
                <w:iCs/>
                <w:lang w:val="en-GB"/>
              </w:rPr>
              <w:t>Whaling in the Antarctic (Australia v Japan: New Zealand Intervening</w:t>
            </w:r>
            <w:r w:rsidRPr="00705540">
              <w:rPr>
                <w:iCs/>
                <w:lang w:val="en-GB"/>
              </w:rPr>
              <w:t>) [2014] ICJ Rep 226</w:t>
            </w:r>
            <w:r w:rsidRPr="00705540">
              <w:rPr>
                <w:i/>
                <w:iCs/>
                <w:lang w:val="en-GB"/>
              </w:rPr>
              <w:t xml:space="preserve"> </w:t>
            </w:r>
            <w:r w:rsidRPr="00AA250B">
              <w:rPr>
                <w:iCs/>
                <w:lang w:val="en-GB"/>
              </w:rPr>
              <w:t>(“</w:t>
            </w:r>
            <w:r w:rsidRPr="00705540">
              <w:rPr>
                <w:i/>
                <w:iCs/>
                <w:lang w:val="en-GB"/>
              </w:rPr>
              <w:t>Whaling in the Antarctic</w:t>
            </w:r>
            <w:r w:rsidRPr="00AA250B">
              <w:rPr>
                <w:iCs/>
                <w:lang w:val="en-GB"/>
              </w:rPr>
              <w:t>”)</w:t>
            </w:r>
          </w:p>
        </w:tc>
        <w:tc>
          <w:tcPr>
            <w:tcW w:w="1242" w:type="dxa"/>
          </w:tcPr>
          <w:p w14:paraId="1F437BC5" w14:textId="0439D5A6" w:rsidR="00705540" w:rsidRDefault="00BE5ED5" w:rsidP="00330786">
            <w:pPr>
              <w:jc w:val="center"/>
            </w:pPr>
            <w:r>
              <w:t>34</w:t>
            </w:r>
          </w:p>
        </w:tc>
      </w:tr>
    </w:tbl>
    <w:p w14:paraId="2DC2FBEB" w14:textId="0CBA8C31" w:rsidR="00D92114" w:rsidRDefault="00D92114" w:rsidP="00D92114"/>
    <w:p w14:paraId="183F902C" w14:textId="73B15187" w:rsidR="00382E90" w:rsidRDefault="00382E90" w:rsidP="00382E90">
      <w:pPr>
        <w:pStyle w:val="Heading2"/>
      </w:pPr>
      <w:bookmarkStart w:id="91" w:name="_Toc534993296"/>
      <w:bookmarkStart w:id="92" w:name="_Toc534995360"/>
      <w:bookmarkStart w:id="93" w:name="_Toc534995750"/>
      <w:bookmarkStart w:id="94" w:name="_Toc534995825"/>
      <w:bookmarkStart w:id="95" w:name="_Toc534995979"/>
      <w:bookmarkStart w:id="96" w:name="_Toc534998397"/>
      <w:bookmarkStart w:id="97" w:name="_Toc535037151"/>
      <w:r>
        <w:t>INTERNATIONAL COURT AND</w:t>
      </w:r>
      <w:r w:rsidRPr="006F3C22">
        <w:t xml:space="preserve"> ARBITRAL DECISIONS</w:t>
      </w:r>
      <w:bookmarkEnd w:id="91"/>
      <w:bookmarkEnd w:id="92"/>
      <w:bookmarkEnd w:id="93"/>
      <w:bookmarkEnd w:id="94"/>
      <w:bookmarkEnd w:id="95"/>
      <w:bookmarkEnd w:id="96"/>
      <w:bookmarkEnd w:id="97"/>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242"/>
      </w:tblGrid>
      <w:tr w:rsidR="00382E90" w14:paraId="3348B128" w14:textId="77777777" w:rsidTr="009371CB">
        <w:tc>
          <w:tcPr>
            <w:tcW w:w="8364" w:type="dxa"/>
          </w:tcPr>
          <w:p w14:paraId="598AACD8" w14:textId="079C0D04" w:rsidR="00382E90" w:rsidRPr="00AB03B6" w:rsidRDefault="00AB03B6" w:rsidP="00AB03B6">
            <w:pPr>
              <w:spacing w:line="240" w:lineRule="auto"/>
              <w:ind w:left="567" w:hanging="567"/>
              <w:rPr>
                <w:i/>
              </w:rPr>
            </w:pPr>
            <w:r w:rsidRPr="00AB03B6">
              <w:rPr>
                <w:i/>
              </w:rPr>
              <w:t>Advisory Opinion OC-23/17</w:t>
            </w:r>
            <w:r w:rsidRPr="00AB03B6">
              <w:t xml:space="preserve"> (2017) </w:t>
            </w:r>
            <w:proofErr w:type="spellStart"/>
            <w:r w:rsidRPr="00AB03B6">
              <w:t>IACrtHR</w:t>
            </w:r>
            <w:proofErr w:type="spellEnd"/>
            <w:r w:rsidRPr="00AB03B6">
              <w:t xml:space="preserve"> Series A No. 23 </w:t>
            </w:r>
            <w:r w:rsidR="007E05F5">
              <w:t>(“</w:t>
            </w:r>
            <w:r w:rsidRPr="00AB03B6">
              <w:rPr>
                <w:i/>
              </w:rPr>
              <w:t>Advisory Opinion OC-23/17</w:t>
            </w:r>
            <w:r w:rsidR="007E05F5">
              <w:t>”)</w:t>
            </w:r>
          </w:p>
        </w:tc>
        <w:tc>
          <w:tcPr>
            <w:tcW w:w="1242" w:type="dxa"/>
          </w:tcPr>
          <w:p w14:paraId="3815B189" w14:textId="6400471F" w:rsidR="00382E90" w:rsidRDefault="001571E8" w:rsidP="001571E8">
            <w:pPr>
              <w:jc w:val="center"/>
            </w:pPr>
            <w:r>
              <w:t>31, 37, 38, 43</w:t>
            </w:r>
          </w:p>
        </w:tc>
      </w:tr>
      <w:tr w:rsidR="00382E90" w14:paraId="49B92B8A" w14:textId="77777777" w:rsidTr="009371CB">
        <w:tc>
          <w:tcPr>
            <w:tcW w:w="8364" w:type="dxa"/>
          </w:tcPr>
          <w:p w14:paraId="06C123F3" w14:textId="4CBF525D" w:rsidR="00382E90" w:rsidRPr="00311DE3" w:rsidRDefault="00AB03B6" w:rsidP="00AB03B6">
            <w:pPr>
              <w:spacing w:line="240" w:lineRule="auto"/>
              <w:ind w:left="567" w:hanging="567"/>
            </w:pPr>
            <w:r w:rsidRPr="00AB03B6">
              <w:rPr>
                <w:i/>
              </w:rPr>
              <w:t xml:space="preserve">African Commission on Human and People’s Rights v Republic of Kenya </w:t>
            </w:r>
            <w:r w:rsidRPr="00AB03B6">
              <w:t xml:space="preserve">Application No. 006/2012, African Court of Human Rights, 26 May 2017 </w:t>
            </w:r>
            <w:r w:rsidR="007E05F5">
              <w:t>(“</w:t>
            </w:r>
            <w:proofErr w:type="spellStart"/>
            <w:r w:rsidRPr="00AB03B6">
              <w:rPr>
                <w:i/>
              </w:rPr>
              <w:t>Ogiek</w:t>
            </w:r>
            <w:proofErr w:type="spellEnd"/>
            <w:r w:rsidRPr="00AB03B6">
              <w:rPr>
                <w:i/>
              </w:rPr>
              <w:t xml:space="preserve"> Decision</w:t>
            </w:r>
            <w:r w:rsidR="007E05F5" w:rsidRPr="00AA250B">
              <w:t>”)</w:t>
            </w:r>
          </w:p>
        </w:tc>
        <w:tc>
          <w:tcPr>
            <w:tcW w:w="1242" w:type="dxa"/>
          </w:tcPr>
          <w:p w14:paraId="3A8CE1A4" w14:textId="61919548" w:rsidR="00382E90" w:rsidRDefault="0000627F" w:rsidP="001571E8">
            <w:pPr>
              <w:jc w:val="center"/>
            </w:pPr>
            <w:r>
              <w:t>44, 47</w:t>
            </w:r>
          </w:p>
        </w:tc>
      </w:tr>
      <w:tr w:rsidR="00705540" w14:paraId="7FF5583B" w14:textId="77777777" w:rsidTr="009371CB">
        <w:tc>
          <w:tcPr>
            <w:tcW w:w="8364" w:type="dxa"/>
          </w:tcPr>
          <w:p w14:paraId="7D0A4D6B" w14:textId="420188C3" w:rsidR="00705540" w:rsidRPr="00AB03B6" w:rsidRDefault="00705540" w:rsidP="00AB03B6">
            <w:pPr>
              <w:spacing w:line="240" w:lineRule="auto"/>
              <w:ind w:left="567" w:hanging="567"/>
              <w:rPr>
                <w:i/>
              </w:rPr>
            </w:pPr>
            <w:r w:rsidRPr="00705540">
              <w:rPr>
                <w:i/>
                <w:iCs/>
                <w:lang w:val="en-GB"/>
              </w:rPr>
              <w:t xml:space="preserve">Alabama Claims (United States of America v United Kingdom) </w:t>
            </w:r>
            <w:r w:rsidRPr="00705540">
              <w:rPr>
                <w:lang w:val="en-GB"/>
              </w:rPr>
              <w:t>reprinted in JD Moore “History and Digest of the International Arbitrations to Which the United States Has Been a Party” (1898)</w:t>
            </w:r>
            <w:r w:rsidRPr="00705540">
              <w:rPr>
                <w:i/>
                <w:iCs/>
                <w:lang w:val="en-GB"/>
              </w:rPr>
              <w:t xml:space="preserve"> </w:t>
            </w:r>
            <w:r w:rsidRPr="00AA250B">
              <w:rPr>
                <w:lang w:val="en-GB"/>
              </w:rPr>
              <w:t>(“</w:t>
            </w:r>
            <w:r w:rsidRPr="00705540">
              <w:rPr>
                <w:i/>
                <w:iCs/>
                <w:lang w:val="en-GB"/>
              </w:rPr>
              <w:t>Alabama Arbitration</w:t>
            </w:r>
            <w:r w:rsidRPr="00AA250B">
              <w:rPr>
                <w:lang w:val="en-GB"/>
              </w:rPr>
              <w:t>”)</w:t>
            </w:r>
          </w:p>
        </w:tc>
        <w:tc>
          <w:tcPr>
            <w:tcW w:w="1242" w:type="dxa"/>
          </w:tcPr>
          <w:p w14:paraId="0F490945" w14:textId="7E45B662" w:rsidR="00705540" w:rsidRDefault="00895A18" w:rsidP="001571E8">
            <w:pPr>
              <w:jc w:val="center"/>
            </w:pPr>
            <w:r>
              <w:t>31</w:t>
            </w:r>
          </w:p>
        </w:tc>
      </w:tr>
      <w:tr w:rsidR="00AB03B6" w14:paraId="32153857" w14:textId="77777777" w:rsidTr="009371CB">
        <w:tc>
          <w:tcPr>
            <w:tcW w:w="8364" w:type="dxa"/>
          </w:tcPr>
          <w:p w14:paraId="7AAB2C51" w14:textId="1C0A2339" w:rsidR="00AB03B6" w:rsidRPr="00AB03B6" w:rsidRDefault="00AB03B6" w:rsidP="00AB03B6">
            <w:pPr>
              <w:spacing w:line="240" w:lineRule="auto"/>
              <w:ind w:left="567" w:hanging="567"/>
              <w:rPr>
                <w:iCs/>
              </w:rPr>
            </w:pPr>
            <w:r w:rsidRPr="00AB03B6">
              <w:rPr>
                <w:i/>
                <w:iCs/>
              </w:rPr>
              <w:t>Al-</w:t>
            </w:r>
            <w:proofErr w:type="spellStart"/>
            <w:r w:rsidRPr="00AB03B6">
              <w:rPr>
                <w:i/>
                <w:iCs/>
              </w:rPr>
              <w:t>Skeini</w:t>
            </w:r>
            <w:proofErr w:type="spellEnd"/>
            <w:r w:rsidRPr="00AB03B6">
              <w:rPr>
                <w:i/>
                <w:iCs/>
              </w:rPr>
              <w:t xml:space="preserve"> and Others v The United Kingdom </w:t>
            </w:r>
            <w:r w:rsidRPr="00AB03B6">
              <w:rPr>
                <w:iCs/>
              </w:rPr>
              <w:t xml:space="preserve">(55621/07) Grand Chamber, ECHR 7 July 2011 </w:t>
            </w:r>
            <w:r w:rsidRPr="00AB03B6">
              <w:t xml:space="preserve"> </w:t>
            </w:r>
            <w:r w:rsidR="007E05F5">
              <w:t>(“</w:t>
            </w:r>
            <w:r w:rsidRPr="00AB03B6">
              <w:rPr>
                <w:i/>
              </w:rPr>
              <w:t>Al-</w:t>
            </w:r>
            <w:proofErr w:type="spellStart"/>
            <w:r w:rsidRPr="00AB03B6">
              <w:rPr>
                <w:i/>
              </w:rPr>
              <w:t>Skeini</w:t>
            </w:r>
            <w:proofErr w:type="spellEnd"/>
            <w:r w:rsidR="007E05F5" w:rsidRPr="00AA250B">
              <w:t>”)</w:t>
            </w:r>
          </w:p>
        </w:tc>
        <w:tc>
          <w:tcPr>
            <w:tcW w:w="1242" w:type="dxa"/>
          </w:tcPr>
          <w:p w14:paraId="13D01DD5" w14:textId="27FEB7CA" w:rsidR="00AB03B6" w:rsidRDefault="00895A18" w:rsidP="001571E8">
            <w:pPr>
              <w:jc w:val="center"/>
            </w:pPr>
            <w:r>
              <w:t>43</w:t>
            </w:r>
          </w:p>
        </w:tc>
      </w:tr>
      <w:tr w:rsidR="00AB03B6" w14:paraId="4AD00790" w14:textId="77777777" w:rsidTr="009371CB">
        <w:tc>
          <w:tcPr>
            <w:tcW w:w="8364" w:type="dxa"/>
          </w:tcPr>
          <w:p w14:paraId="731F31C7" w14:textId="396C53F9" w:rsidR="00AB03B6" w:rsidRPr="00AB03B6" w:rsidRDefault="00AB03B6" w:rsidP="00AB03B6">
            <w:pPr>
              <w:spacing w:line="240" w:lineRule="auto"/>
              <w:ind w:left="567" w:hanging="567"/>
              <w:rPr>
                <w:iCs/>
              </w:rPr>
            </w:pPr>
            <w:r w:rsidRPr="00AB03B6">
              <w:rPr>
                <w:i/>
              </w:rPr>
              <w:lastRenderedPageBreak/>
              <w:t xml:space="preserve">Banković v </w:t>
            </w:r>
            <w:r w:rsidRPr="00AB03B6">
              <w:rPr>
                <w:i/>
                <w:iCs/>
              </w:rPr>
              <w:t xml:space="preserve">Belgium and 16 Other Contracting States </w:t>
            </w:r>
            <w:r w:rsidRPr="00AB03B6">
              <w:rPr>
                <w:iCs/>
              </w:rPr>
              <w:t>(52207/99) Grand Chamber, ECHR 12 December 2001</w:t>
            </w:r>
            <w:r w:rsidRPr="00AB03B6">
              <w:t xml:space="preserve"> </w:t>
            </w:r>
            <w:r w:rsidR="007E05F5">
              <w:t>(“</w:t>
            </w:r>
            <w:r w:rsidRPr="00AB03B6">
              <w:rPr>
                <w:i/>
              </w:rPr>
              <w:t>Banković</w:t>
            </w:r>
            <w:r w:rsidR="007E05F5" w:rsidRPr="00AA250B">
              <w:t>”)</w:t>
            </w:r>
          </w:p>
        </w:tc>
        <w:tc>
          <w:tcPr>
            <w:tcW w:w="1242" w:type="dxa"/>
          </w:tcPr>
          <w:p w14:paraId="0EC586C6" w14:textId="1EAEC14C" w:rsidR="00AB03B6" w:rsidRDefault="00895A18" w:rsidP="001571E8">
            <w:pPr>
              <w:jc w:val="center"/>
            </w:pPr>
            <w:r>
              <w:t>43</w:t>
            </w:r>
          </w:p>
        </w:tc>
      </w:tr>
      <w:tr w:rsidR="00705540" w14:paraId="787AE2E2" w14:textId="77777777" w:rsidTr="009371CB">
        <w:tc>
          <w:tcPr>
            <w:tcW w:w="8364" w:type="dxa"/>
          </w:tcPr>
          <w:p w14:paraId="57A85A96" w14:textId="76CAD9D2" w:rsidR="00705540" w:rsidRPr="00AB03B6" w:rsidRDefault="00705540" w:rsidP="00AB03B6">
            <w:pPr>
              <w:spacing w:line="240" w:lineRule="auto"/>
              <w:ind w:left="567" w:hanging="567"/>
              <w:rPr>
                <w:i/>
              </w:rPr>
            </w:pPr>
            <w:r w:rsidRPr="00705540">
              <w:rPr>
                <w:i/>
                <w:iCs/>
                <w:lang w:val="en-GB"/>
              </w:rPr>
              <w:t xml:space="preserve">Foremost Tehran Inc v Islamic Republic of Iran </w:t>
            </w:r>
            <w:r w:rsidRPr="00705540">
              <w:rPr>
                <w:iCs/>
                <w:lang w:val="en-GB"/>
              </w:rPr>
              <w:t xml:space="preserve">(1986) Award 10 Iran-USCTR </w:t>
            </w:r>
            <w:proofErr w:type="gramStart"/>
            <w:r w:rsidRPr="00705540">
              <w:rPr>
                <w:iCs/>
                <w:lang w:val="en-GB"/>
              </w:rPr>
              <w:t>228  (</w:t>
            </w:r>
            <w:proofErr w:type="gramEnd"/>
            <w:r w:rsidRPr="00705540">
              <w:rPr>
                <w:i/>
                <w:iCs/>
                <w:lang w:val="en-GB"/>
              </w:rPr>
              <w:t>“Foremost Tehran Inc v Iran”</w:t>
            </w:r>
            <w:r w:rsidRPr="00705540">
              <w:rPr>
                <w:iCs/>
                <w:lang w:val="en-GB"/>
              </w:rPr>
              <w:t>)</w:t>
            </w:r>
          </w:p>
        </w:tc>
        <w:tc>
          <w:tcPr>
            <w:tcW w:w="1242" w:type="dxa"/>
          </w:tcPr>
          <w:p w14:paraId="70A802A8" w14:textId="502DC110" w:rsidR="00705540" w:rsidRDefault="00895A18" w:rsidP="001571E8">
            <w:pPr>
              <w:jc w:val="center"/>
            </w:pPr>
            <w:r>
              <w:t>29</w:t>
            </w:r>
          </w:p>
        </w:tc>
      </w:tr>
      <w:tr w:rsidR="00705540" w14:paraId="78727EB5" w14:textId="77777777" w:rsidTr="009371CB">
        <w:tc>
          <w:tcPr>
            <w:tcW w:w="8364" w:type="dxa"/>
          </w:tcPr>
          <w:p w14:paraId="121BB113" w14:textId="24CC73D7" w:rsidR="00705540" w:rsidRPr="00705540" w:rsidRDefault="00705540" w:rsidP="00AB03B6">
            <w:pPr>
              <w:spacing w:line="240" w:lineRule="auto"/>
              <w:ind w:left="567" w:hanging="567"/>
              <w:rPr>
                <w:i/>
                <w:iCs/>
                <w:lang w:val="en-GB"/>
              </w:rPr>
            </w:pPr>
            <w:r w:rsidRPr="00684732">
              <w:rPr>
                <w:i/>
                <w:iCs/>
                <w:color w:val="000000"/>
                <w:lang w:val="en-GB"/>
              </w:rPr>
              <w:t xml:space="preserve">Lac </w:t>
            </w:r>
            <w:proofErr w:type="spellStart"/>
            <w:r w:rsidRPr="00684732">
              <w:rPr>
                <w:i/>
                <w:iCs/>
                <w:color w:val="000000"/>
                <w:lang w:val="en-GB"/>
              </w:rPr>
              <w:t>Lanoux</w:t>
            </w:r>
            <w:proofErr w:type="spellEnd"/>
            <w:r w:rsidRPr="00684732">
              <w:rPr>
                <w:i/>
                <w:iCs/>
                <w:color w:val="000000"/>
                <w:lang w:val="en-GB"/>
              </w:rPr>
              <w:t xml:space="preserve"> Arbitration (France v Spain) </w:t>
            </w:r>
            <w:r w:rsidRPr="00684732">
              <w:rPr>
                <w:color w:val="000000"/>
                <w:lang w:val="en-GB"/>
              </w:rPr>
              <w:t>(1957) 12 RIAA 281</w:t>
            </w:r>
            <w:r w:rsidRPr="00684732">
              <w:rPr>
                <w:i/>
                <w:iCs/>
                <w:color w:val="000000"/>
                <w:lang w:val="en-GB"/>
              </w:rPr>
              <w:t xml:space="preserve"> </w:t>
            </w:r>
            <w:r w:rsidRPr="00684732">
              <w:rPr>
                <w:iCs/>
                <w:color w:val="000000"/>
                <w:lang w:val="en-GB"/>
              </w:rPr>
              <w:t>(“</w:t>
            </w:r>
            <w:r w:rsidRPr="00684732">
              <w:rPr>
                <w:i/>
                <w:iCs/>
                <w:color w:val="000000"/>
                <w:lang w:val="en-GB"/>
              </w:rPr>
              <w:t xml:space="preserve">Lake </w:t>
            </w:r>
            <w:proofErr w:type="spellStart"/>
            <w:r w:rsidRPr="00684732">
              <w:rPr>
                <w:i/>
                <w:iCs/>
                <w:color w:val="000000"/>
                <w:lang w:val="en-GB"/>
              </w:rPr>
              <w:t>Lanoux</w:t>
            </w:r>
            <w:proofErr w:type="spellEnd"/>
            <w:r w:rsidRPr="00684732">
              <w:rPr>
                <w:iCs/>
                <w:color w:val="000000"/>
                <w:lang w:val="en-GB"/>
              </w:rPr>
              <w:t>”)</w:t>
            </w:r>
          </w:p>
        </w:tc>
        <w:tc>
          <w:tcPr>
            <w:tcW w:w="1242" w:type="dxa"/>
          </w:tcPr>
          <w:p w14:paraId="4B64E358" w14:textId="4621228D" w:rsidR="00705540" w:rsidRDefault="00895A18" w:rsidP="001571E8">
            <w:pPr>
              <w:jc w:val="center"/>
            </w:pPr>
            <w:r>
              <w:t>31, 39</w:t>
            </w:r>
          </w:p>
        </w:tc>
      </w:tr>
      <w:tr w:rsidR="00AB03B6" w14:paraId="1E38F1D5" w14:textId="77777777" w:rsidTr="009371CB">
        <w:tc>
          <w:tcPr>
            <w:tcW w:w="8364" w:type="dxa"/>
          </w:tcPr>
          <w:p w14:paraId="4C59DFF9" w14:textId="6C8DEF02" w:rsidR="00AB03B6" w:rsidRPr="00311DE3" w:rsidRDefault="00AB03B6" w:rsidP="00AB03B6">
            <w:pPr>
              <w:spacing w:line="240" w:lineRule="auto"/>
              <w:ind w:left="567" w:hanging="567"/>
            </w:pPr>
            <w:r w:rsidRPr="00AB03B6">
              <w:rPr>
                <w:i/>
                <w:iCs/>
              </w:rPr>
              <w:t>LG&amp;E Energy Corp, LG&amp;E Capital Corp, LG&amp;E International Inc v Argentina</w:t>
            </w:r>
            <w:r w:rsidRPr="00AB03B6">
              <w:t xml:space="preserve"> ICSID, ARB/02/1, Award </w:t>
            </w:r>
            <w:proofErr w:type="spellStart"/>
            <w:r w:rsidRPr="00AB03B6">
              <w:t>on</w:t>
            </w:r>
            <w:proofErr w:type="spellEnd"/>
            <w:r w:rsidRPr="00AB03B6">
              <w:t xml:space="preserve"> Damages, 25 July 2007 </w:t>
            </w:r>
            <w:r w:rsidR="007E05F5">
              <w:t>(“</w:t>
            </w:r>
            <w:r w:rsidRPr="00AB03B6">
              <w:rPr>
                <w:i/>
                <w:iCs/>
              </w:rPr>
              <w:t>LG&amp;E Energy Corp</w:t>
            </w:r>
            <w:r w:rsidR="007E05F5" w:rsidRPr="00AA250B">
              <w:rPr>
                <w:iCs/>
              </w:rPr>
              <w:t>”)</w:t>
            </w:r>
          </w:p>
        </w:tc>
        <w:tc>
          <w:tcPr>
            <w:tcW w:w="1242" w:type="dxa"/>
          </w:tcPr>
          <w:p w14:paraId="2EF23DC8" w14:textId="729E6BFA" w:rsidR="00AB03B6" w:rsidRDefault="00895A18" w:rsidP="001571E8">
            <w:pPr>
              <w:jc w:val="center"/>
            </w:pPr>
            <w:r>
              <w:t>54</w:t>
            </w:r>
          </w:p>
        </w:tc>
      </w:tr>
      <w:tr w:rsidR="00AB03B6" w14:paraId="05FDF2ED" w14:textId="77777777" w:rsidTr="009371CB">
        <w:tc>
          <w:tcPr>
            <w:tcW w:w="8364" w:type="dxa"/>
          </w:tcPr>
          <w:p w14:paraId="09A2397F" w14:textId="3E16E072" w:rsidR="00AB03B6" w:rsidRPr="00311DE3" w:rsidRDefault="00AB03B6" w:rsidP="00AB03B6">
            <w:pPr>
              <w:spacing w:line="240" w:lineRule="auto"/>
              <w:ind w:left="567" w:hanging="567"/>
            </w:pPr>
            <w:proofErr w:type="spellStart"/>
            <w:r w:rsidRPr="00AB03B6">
              <w:rPr>
                <w:i/>
              </w:rPr>
              <w:t>Loizidou</w:t>
            </w:r>
            <w:proofErr w:type="spellEnd"/>
            <w:r w:rsidRPr="00AB03B6">
              <w:rPr>
                <w:i/>
              </w:rPr>
              <w:t xml:space="preserve"> v Turkey </w:t>
            </w:r>
            <w:r w:rsidRPr="00AB03B6">
              <w:t xml:space="preserve">(15318/89) Grand Chamber, ECHR 18 December 1996 </w:t>
            </w:r>
            <w:r w:rsidR="007E05F5">
              <w:t>(“</w:t>
            </w:r>
            <w:proofErr w:type="spellStart"/>
            <w:r w:rsidRPr="00AB03B6">
              <w:rPr>
                <w:i/>
              </w:rPr>
              <w:t>Loizidou</w:t>
            </w:r>
            <w:proofErr w:type="spellEnd"/>
            <w:r w:rsidR="007E05F5">
              <w:t>”)</w:t>
            </w:r>
          </w:p>
        </w:tc>
        <w:tc>
          <w:tcPr>
            <w:tcW w:w="1242" w:type="dxa"/>
          </w:tcPr>
          <w:p w14:paraId="2F846AB2" w14:textId="4A50F069" w:rsidR="00AB03B6" w:rsidRDefault="00895A18" w:rsidP="001571E8">
            <w:pPr>
              <w:jc w:val="center"/>
            </w:pPr>
            <w:r>
              <w:t>43</w:t>
            </w:r>
          </w:p>
        </w:tc>
      </w:tr>
      <w:tr w:rsidR="00AB03B6" w14:paraId="4340F3CC" w14:textId="77777777" w:rsidTr="009371CB">
        <w:tc>
          <w:tcPr>
            <w:tcW w:w="8364" w:type="dxa"/>
          </w:tcPr>
          <w:p w14:paraId="7A5D33C7" w14:textId="2B9ACD35" w:rsidR="00AB03B6" w:rsidRPr="00311DE3" w:rsidRDefault="00AB03B6" w:rsidP="00AB03B6">
            <w:pPr>
              <w:spacing w:line="240" w:lineRule="auto"/>
              <w:ind w:left="567" w:hanging="567"/>
            </w:pPr>
            <w:r w:rsidRPr="00AB03B6">
              <w:rPr>
                <w:i/>
                <w:iCs/>
              </w:rPr>
              <w:t xml:space="preserve">Lusitania Case (USA Germany) </w:t>
            </w:r>
            <w:r w:rsidRPr="00AB03B6">
              <w:rPr>
                <w:bCs/>
              </w:rPr>
              <w:t xml:space="preserve">[1923] </w:t>
            </w:r>
            <w:r w:rsidRPr="00AB03B6">
              <w:t xml:space="preserve">7 RIAA </w:t>
            </w:r>
            <w:r w:rsidRPr="00AB03B6">
              <w:rPr>
                <w:bCs/>
              </w:rPr>
              <w:t>32</w:t>
            </w:r>
            <w:r w:rsidRPr="00AB03B6">
              <w:rPr>
                <w:b/>
                <w:bCs/>
              </w:rPr>
              <w:t xml:space="preserve"> </w:t>
            </w:r>
            <w:r w:rsidR="007E05F5">
              <w:rPr>
                <w:bCs/>
              </w:rPr>
              <w:t>(“</w:t>
            </w:r>
            <w:r w:rsidRPr="00AB03B6">
              <w:rPr>
                <w:i/>
                <w:iCs/>
              </w:rPr>
              <w:t>Lusitania Case</w:t>
            </w:r>
            <w:r w:rsidR="007E05F5">
              <w:rPr>
                <w:iCs/>
              </w:rPr>
              <w:t>”)</w:t>
            </w:r>
          </w:p>
        </w:tc>
        <w:tc>
          <w:tcPr>
            <w:tcW w:w="1242" w:type="dxa"/>
          </w:tcPr>
          <w:p w14:paraId="649856A5" w14:textId="40BD605C" w:rsidR="00AB03B6" w:rsidRDefault="00895A18" w:rsidP="001571E8">
            <w:pPr>
              <w:jc w:val="center"/>
            </w:pPr>
            <w:r>
              <w:t>55</w:t>
            </w:r>
          </w:p>
        </w:tc>
      </w:tr>
      <w:tr w:rsidR="00AB03B6" w14:paraId="6B83D08F" w14:textId="77777777" w:rsidTr="009371CB">
        <w:tc>
          <w:tcPr>
            <w:tcW w:w="8364" w:type="dxa"/>
          </w:tcPr>
          <w:p w14:paraId="2DD5BC9E" w14:textId="7DA4A0EB" w:rsidR="00AB03B6" w:rsidRPr="00BB5F7D" w:rsidRDefault="00AB03B6" w:rsidP="00AB03B6">
            <w:pPr>
              <w:spacing w:line="240" w:lineRule="auto"/>
              <w:ind w:left="567" w:hanging="567"/>
              <w:rPr>
                <w:lang w:val="es-ES"/>
              </w:rPr>
            </w:pPr>
            <w:proofErr w:type="spellStart"/>
            <w:r w:rsidRPr="00BB5F7D">
              <w:rPr>
                <w:i/>
                <w:lang w:val="es-ES"/>
              </w:rPr>
              <w:t>Mayagna</w:t>
            </w:r>
            <w:proofErr w:type="spellEnd"/>
            <w:r w:rsidRPr="00BB5F7D">
              <w:rPr>
                <w:i/>
                <w:lang w:val="es-ES"/>
              </w:rPr>
              <w:t xml:space="preserve"> (Sumo) </w:t>
            </w:r>
            <w:proofErr w:type="spellStart"/>
            <w:r w:rsidRPr="00BB5F7D">
              <w:rPr>
                <w:i/>
                <w:lang w:val="es-ES"/>
              </w:rPr>
              <w:t>Awas</w:t>
            </w:r>
            <w:proofErr w:type="spellEnd"/>
            <w:r w:rsidRPr="00BB5F7D">
              <w:rPr>
                <w:i/>
                <w:lang w:val="es-ES"/>
              </w:rPr>
              <w:t xml:space="preserve"> </w:t>
            </w:r>
            <w:proofErr w:type="spellStart"/>
            <w:r w:rsidRPr="00BB5F7D">
              <w:rPr>
                <w:i/>
                <w:lang w:val="es-ES"/>
              </w:rPr>
              <w:t>Tingni</w:t>
            </w:r>
            <w:proofErr w:type="spellEnd"/>
            <w:r w:rsidRPr="00BB5F7D">
              <w:rPr>
                <w:i/>
                <w:lang w:val="es-ES"/>
              </w:rPr>
              <w:t xml:space="preserve"> </w:t>
            </w:r>
            <w:proofErr w:type="spellStart"/>
            <w:r w:rsidRPr="00BB5F7D">
              <w:rPr>
                <w:i/>
                <w:lang w:val="es-ES"/>
              </w:rPr>
              <w:t>Community</w:t>
            </w:r>
            <w:proofErr w:type="spellEnd"/>
            <w:r w:rsidRPr="00BB5F7D">
              <w:rPr>
                <w:i/>
                <w:lang w:val="es-ES"/>
              </w:rPr>
              <w:t xml:space="preserve"> v Nicaragua </w:t>
            </w:r>
            <w:r w:rsidRPr="00BB5F7D">
              <w:rPr>
                <w:lang w:val="es-ES"/>
              </w:rPr>
              <w:t xml:space="preserve">(2001) </w:t>
            </w:r>
            <w:proofErr w:type="spellStart"/>
            <w:r w:rsidRPr="00BB5F7D">
              <w:rPr>
                <w:lang w:val="es-ES"/>
              </w:rPr>
              <w:t>IACrtHR</w:t>
            </w:r>
            <w:proofErr w:type="spellEnd"/>
            <w:r w:rsidRPr="00BB5F7D">
              <w:rPr>
                <w:lang w:val="es-ES"/>
              </w:rPr>
              <w:t xml:space="preserve"> Series C No. 79 </w:t>
            </w:r>
            <w:r w:rsidR="007E05F5" w:rsidRPr="00BB5F7D">
              <w:rPr>
                <w:lang w:val="es-ES"/>
              </w:rPr>
              <w:t>(“</w:t>
            </w:r>
            <w:proofErr w:type="spellStart"/>
            <w:r w:rsidRPr="00BB5F7D">
              <w:rPr>
                <w:i/>
                <w:lang w:val="es-ES"/>
              </w:rPr>
              <w:t>Awas</w:t>
            </w:r>
            <w:proofErr w:type="spellEnd"/>
            <w:r w:rsidRPr="00BB5F7D">
              <w:rPr>
                <w:i/>
                <w:lang w:val="es-ES"/>
              </w:rPr>
              <w:t xml:space="preserve"> </w:t>
            </w:r>
            <w:proofErr w:type="spellStart"/>
            <w:r w:rsidRPr="00BB5F7D">
              <w:rPr>
                <w:i/>
                <w:lang w:val="es-ES"/>
              </w:rPr>
              <w:t>Tingni</w:t>
            </w:r>
            <w:proofErr w:type="spellEnd"/>
            <w:r w:rsidRPr="00BB5F7D">
              <w:rPr>
                <w:i/>
                <w:lang w:val="es-ES"/>
              </w:rPr>
              <w:t xml:space="preserve"> v Nicaragua</w:t>
            </w:r>
            <w:r w:rsidR="007E05F5" w:rsidRPr="00BB5F7D">
              <w:rPr>
                <w:lang w:val="es-ES"/>
              </w:rPr>
              <w:t>”)</w:t>
            </w:r>
          </w:p>
        </w:tc>
        <w:tc>
          <w:tcPr>
            <w:tcW w:w="1242" w:type="dxa"/>
          </w:tcPr>
          <w:p w14:paraId="7BB1B543" w14:textId="318A0FB0" w:rsidR="00AB03B6" w:rsidRDefault="00895A18" w:rsidP="001571E8">
            <w:pPr>
              <w:jc w:val="center"/>
            </w:pPr>
            <w:r>
              <w:t>47</w:t>
            </w:r>
          </w:p>
        </w:tc>
      </w:tr>
      <w:tr w:rsidR="00AB03B6" w14:paraId="2EBC3339" w14:textId="77777777" w:rsidTr="009371CB">
        <w:tc>
          <w:tcPr>
            <w:tcW w:w="8364" w:type="dxa"/>
          </w:tcPr>
          <w:p w14:paraId="0944E769" w14:textId="324F89E1" w:rsidR="00AB03B6" w:rsidRPr="00311DE3" w:rsidRDefault="00AB03B6" w:rsidP="00AB03B6">
            <w:pPr>
              <w:spacing w:line="240" w:lineRule="auto"/>
              <w:ind w:left="567" w:hanging="567"/>
            </w:pPr>
            <w:r w:rsidRPr="00AB03B6">
              <w:rPr>
                <w:i/>
              </w:rPr>
              <w:t xml:space="preserve">Metropolitan Church of Bessarabia v Moldova </w:t>
            </w:r>
            <w:r w:rsidRPr="00AB03B6">
              <w:t xml:space="preserve">(45701/99)  Grand Chamber, ECHR 12 December 2001 </w:t>
            </w:r>
            <w:r w:rsidR="007E05F5">
              <w:t>(“</w:t>
            </w:r>
            <w:r w:rsidRPr="00AB03B6">
              <w:rPr>
                <w:i/>
              </w:rPr>
              <w:t>Metropolitan Church of Bessarabia</w:t>
            </w:r>
            <w:r w:rsidR="007E05F5" w:rsidRPr="00AA250B">
              <w:t>”)</w:t>
            </w:r>
          </w:p>
        </w:tc>
        <w:tc>
          <w:tcPr>
            <w:tcW w:w="1242" w:type="dxa"/>
          </w:tcPr>
          <w:p w14:paraId="336E6F9A" w14:textId="337E295E" w:rsidR="00AB03B6" w:rsidRDefault="00895A18" w:rsidP="001571E8">
            <w:pPr>
              <w:jc w:val="center"/>
            </w:pPr>
            <w:r>
              <w:t>46</w:t>
            </w:r>
          </w:p>
        </w:tc>
      </w:tr>
      <w:tr w:rsidR="00AB03B6" w14:paraId="4F2DD2D3" w14:textId="77777777" w:rsidTr="009371CB">
        <w:tc>
          <w:tcPr>
            <w:tcW w:w="8364" w:type="dxa"/>
          </w:tcPr>
          <w:p w14:paraId="0505E81A" w14:textId="4FAA914C" w:rsidR="00AB03B6" w:rsidRPr="00311DE3" w:rsidRDefault="00AB03B6" w:rsidP="00AB03B6">
            <w:pPr>
              <w:spacing w:line="240" w:lineRule="auto"/>
              <w:ind w:left="567" w:hanging="567"/>
            </w:pPr>
            <w:proofErr w:type="spellStart"/>
            <w:r w:rsidRPr="00AB03B6">
              <w:rPr>
                <w:i/>
              </w:rPr>
              <w:t>Mondev</w:t>
            </w:r>
            <w:proofErr w:type="spellEnd"/>
            <w:r w:rsidRPr="00AB03B6">
              <w:rPr>
                <w:i/>
              </w:rPr>
              <w:t xml:space="preserve"> International Ltd. v United States of America </w:t>
            </w:r>
            <w:r w:rsidRPr="00AB03B6">
              <w:t xml:space="preserve">ICSID, ARB(AF)/99/2, 11 October 2002 </w:t>
            </w:r>
            <w:r w:rsidR="007E05F5">
              <w:t>(“</w:t>
            </w:r>
            <w:proofErr w:type="spellStart"/>
            <w:r w:rsidRPr="00AB03B6">
              <w:rPr>
                <w:i/>
              </w:rPr>
              <w:t>Mondev</w:t>
            </w:r>
            <w:proofErr w:type="spellEnd"/>
            <w:r w:rsidRPr="00AB03B6">
              <w:rPr>
                <w:i/>
              </w:rPr>
              <w:t xml:space="preserve"> International</w:t>
            </w:r>
            <w:r w:rsidR="007E05F5" w:rsidRPr="00AA250B">
              <w:t>”)</w:t>
            </w:r>
          </w:p>
        </w:tc>
        <w:tc>
          <w:tcPr>
            <w:tcW w:w="1242" w:type="dxa"/>
          </w:tcPr>
          <w:p w14:paraId="4EA5F17B" w14:textId="4DBE5980" w:rsidR="00AB03B6" w:rsidRDefault="00895A18" w:rsidP="001571E8">
            <w:pPr>
              <w:jc w:val="center"/>
            </w:pPr>
            <w:r>
              <w:t>50</w:t>
            </w:r>
          </w:p>
        </w:tc>
      </w:tr>
      <w:tr w:rsidR="00AB03B6" w14:paraId="7F99CFEA" w14:textId="77777777" w:rsidTr="009371CB">
        <w:tc>
          <w:tcPr>
            <w:tcW w:w="8364" w:type="dxa"/>
          </w:tcPr>
          <w:p w14:paraId="2BFDCC02" w14:textId="39F9B49E" w:rsidR="00AB03B6" w:rsidRPr="00311DE3" w:rsidRDefault="00AB03B6" w:rsidP="00AB03B6">
            <w:pPr>
              <w:spacing w:line="240" w:lineRule="auto"/>
              <w:ind w:left="567" w:hanging="567"/>
            </w:pPr>
            <w:r w:rsidRPr="00AB03B6">
              <w:rPr>
                <w:i/>
              </w:rPr>
              <w:t>Norwegian Shipowners’ Claims</w:t>
            </w:r>
            <w:r w:rsidRPr="00AB03B6">
              <w:t xml:space="preserve"> </w:t>
            </w:r>
            <w:r w:rsidRPr="00AB03B6">
              <w:rPr>
                <w:i/>
              </w:rPr>
              <w:t xml:space="preserve">(Norway v USA) </w:t>
            </w:r>
            <w:r w:rsidRPr="00AB03B6">
              <w:t xml:space="preserve">[1922] 1 RIAA 309 </w:t>
            </w:r>
            <w:r w:rsidR="006F1F3F">
              <w:t>(“</w:t>
            </w:r>
            <w:r w:rsidR="006F1F3F" w:rsidRPr="00AB03B6">
              <w:rPr>
                <w:i/>
              </w:rPr>
              <w:t>Norwegian Shipowners’ Claims</w:t>
            </w:r>
            <w:r w:rsidR="006F1F3F">
              <w:t>”)</w:t>
            </w:r>
          </w:p>
        </w:tc>
        <w:tc>
          <w:tcPr>
            <w:tcW w:w="1242" w:type="dxa"/>
          </w:tcPr>
          <w:p w14:paraId="42883D05" w14:textId="72DC6BC3" w:rsidR="00AB03B6" w:rsidRDefault="00A63A89" w:rsidP="001571E8">
            <w:pPr>
              <w:jc w:val="center"/>
            </w:pPr>
            <w:r>
              <w:t>54</w:t>
            </w:r>
          </w:p>
        </w:tc>
      </w:tr>
      <w:tr w:rsidR="00AB03B6" w14:paraId="0C7F9CA5" w14:textId="77777777" w:rsidTr="009371CB">
        <w:tc>
          <w:tcPr>
            <w:tcW w:w="8364" w:type="dxa"/>
          </w:tcPr>
          <w:p w14:paraId="4ACA41D0" w14:textId="3551EB2F" w:rsidR="00AB03B6" w:rsidRPr="00311DE3" w:rsidRDefault="00AB03B6" w:rsidP="00AB03B6">
            <w:pPr>
              <w:spacing w:line="240" w:lineRule="auto"/>
              <w:ind w:left="567" w:hanging="567"/>
            </w:pPr>
            <w:proofErr w:type="spellStart"/>
            <w:r w:rsidRPr="00AB03B6">
              <w:rPr>
                <w:i/>
              </w:rPr>
              <w:t>Poltoratskiy</w:t>
            </w:r>
            <w:proofErr w:type="spellEnd"/>
            <w:r w:rsidRPr="00AB03B6">
              <w:rPr>
                <w:i/>
              </w:rPr>
              <w:t xml:space="preserve"> v Ukraine </w:t>
            </w:r>
            <w:r w:rsidRPr="00AB03B6">
              <w:t xml:space="preserve">(38812/97) Grand Chamber, ECHR 29 April 2003 </w:t>
            </w:r>
            <w:r w:rsidR="007E05F5">
              <w:t>(“</w:t>
            </w:r>
            <w:proofErr w:type="spellStart"/>
            <w:r w:rsidRPr="00AB03B6">
              <w:rPr>
                <w:i/>
              </w:rPr>
              <w:t>Poltoratskiy</w:t>
            </w:r>
            <w:proofErr w:type="spellEnd"/>
            <w:r w:rsidR="007E05F5">
              <w:t>”)</w:t>
            </w:r>
          </w:p>
        </w:tc>
        <w:tc>
          <w:tcPr>
            <w:tcW w:w="1242" w:type="dxa"/>
          </w:tcPr>
          <w:p w14:paraId="4C4BA181" w14:textId="5F4CDF40" w:rsidR="00AB03B6" w:rsidRDefault="001A4DFF" w:rsidP="001571E8">
            <w:pPr>
              <w:jc w:val="center"/>
            </w:pPr>
            <w:r>
              <w:t>44</w:t>
            </w:r>
          </w:p>
        </w:tc>
      </w:tr>
      <w:tr w:rsidR="00AB03B6" w14:paraId="4904A638" w14:textId="77777777" w:rsidTr="009371CB">
        <w:tc>
          <w:tcPr>
            <w:tcW w:w="8364" w:type="dxa"/>
          </w:tcPr>
          <w:p w14:paraId="4632F5AE" w14:textId="0EDEFE8A" w:rsidR="00AB03B6" w:rsidRPr="00AB03B6" w:rsidRDefault="00AB03B6" w:rsidP="00AB03B6">
            <w:pPr>
              <w:spacing w:line="240" w:lineRule="auto"/>
              <w:ind w:left="567" w:hanging="567"/>
              <w:rPr>
                <w:bCs/>
              </w:rPr>
            </w:pPr>
            <w:r w:rsidRPr="00AB03B6">
              <w:rPr>
                <w:i/>
              </w:rPr>
              <w:t xml:space="preserve">Prosecutor v </w:t>
            </w:r>
            <w:proofErr w:type="spellStart"/>
            <w:r w:rsidRPr="00AB03B6">
              <w:rPr>
                <w:bCs/>
                <w:i/>
              </w:rPr>
              <w:t>Blaškić</w:t>
            </w:r>
            <w:proofErr w:type="spellEnd"/>
            <w:r w:rsidRPr="00AB03B6">
              <w:rPr>
                <w:bCs/>
                <w:i/>
              </w:rPr>
              <w:t xml:space="preserve"> (Judgment) </w:t>
            </w:r>
            <w:r w:rsidRPr="00AB03B6">
              <w:rPr>
                <w:bCs/>
              </w:rPr>
              <w:t xml:space="preserve">ICTY Appeals Chamber IT-95-14, 29 October 1997 </w:t>
            </w:r>
            <w:r w:rsidR="007E05F5">
              <w:rPr>
                <w:bCs/>
              </w:rPr>
              <w:t>(“</w:t>
            </w:r>
            <w:proofErr w:type="spellStart"/>
            <w:r w:rsidRPr="00AB03B6">
              <w:rPr>
                <w:bCs/>
                <w:i/>
              </w:rPr>
              <w:t>Blaškić</w:t>
            </w:r>
            <w:proofErr w:type="spellEnd"/>
            <w:r w:rsidR="007E05F5">
              <w:rPr>
                <w:bCs/>
              </w:rPr>
              <w:t>”)</w:t>
            </w:r>
          </w:p>
        </w:tc>
        <w:tc>
          <w:tcPr>
            <w:tcW w:w="1242" w:type="dxa"/>
          </w:tcPr>
          <w:p w14:paraId="2C07F9BE" w14:textId="670A697C" w:rsidR="00AB03B6" w:rsidRDefault="001A4DFF" w:rsidP="001571E8">
            <w:pPr>
              <w:jc w:val="center"/>
            </w:pPr>
            <w:r>
              <w:t>42</w:t>
            </w:r>
          </w:p>
        </w:tc>
      </w:tr>
      <w:tr w:rsidR="00062C1E" w14:paraId="66144DA8" w14:textId="77777777" w:rsidTr="009371CB">
        <w:tc>
          <w:tcPr>
            <w:tcW w:w="8364" w:type="dxa"/>
          </w:tcPr>
          <w:p w14:paraId="4BA99CB4" w14:textId="041DA4B2" w:rsidR="00062C1E" w:rsidRPr="00AB03B6" w:rsidRDefault="00062C1E" w:rsidP="00AB03B6">
            <w:pPr>
              <w:spacing w:line="240" w:lineRule="auto"/>
              <w:ind w:left="567" w:hanging="567"/>
              <w:rPr>
                <w:i/>
              </w:rPr>
            </w:pPr>
            <w:r w:rsidRPr="00684732">
              <w:rPr>
                <w:i/>
                <w:iCs/>
                <w:color w:val="000000"/>
                <w:lang w:val="en-GB"/>
              </w:rPr>
              <w:t xml:space="preserve">Prosecutor v </w:t>
            </w:r>
            <w:proofErr w:type="spellStart"/>
            <w:r w:rsidRPr="00684732">
              <w:rPr>
                <w:i/>
                <w:iCs/>
                <w:color w:val="000000"/>
                <w:lang w:val="en-GB"/>
              </w:rPr>
              <w:t>Duško</w:t>
            </w:r>
            <w:proofErr w:type="spellEnd"/>
            <w:r w:rsidRPr="00684732">
              <w:rPr>
                <w:i/>
                <w:iCs/>
                <w:color w:val="000000"/>
                <w:lang w:val="en-GB"/>
              </w:rPr>
              <w:t xml:space="preserve"> </w:t>
            </w:r>
            <w:proofErr w:type="spellStart"/>
            <w:r w:rsidRPr="00684732">
              <w:rPr>
                <w:i/>
                <w:iCs/>
                <w:color w:val="000000"/>
                <w:lang w:val="en-GB"/>
              </w:rPr>
              <w:t>Tadic</w:t>
            </w:r>
            <w:proofErr w:type="spellEnd"/>
            <w:r w:rsidRPr="00684732">
              <w:rPr>
                <w:i/>
                <w:iCs/>
                <w:color w:val="000000"/>
                <w:lang w:val="en-GB"/>
              </w:rPr>
              <w:t>́</w:t>
            </w:r>
            <w:r w:rsidRPr="00684732">
              <w:rPr>
                <w:iCs/>
                <w:color w:val="000000"/>
                <w:lang w:val="en-GB"/>
              </w:rPr>
              <w:t xml:space="preserve"> </w:t>
            </w:r>
            <w:r>
              <w:rPr>
                <w:i/>
                <w:iCs/>
                <w:color w:val="000000"/>
                <w:lang w:val="en-GB"/>
              </w:rPr>
              <w:t xml:space="preserve">(Judgment) </w:t>
            </w:r>
            <w:r>
              <w:rPr>
                <w:iCs/>
                <w:color w:val="000000"/>
                <w:lang w:val="en-GB"/>
              </w:rPr>
              <w:t>ICTY</w:t>
            </w:r>
            <w:r w:rsidRPr="00684732">
              <w:rPr>
                <w:i/>
                <w:iCs/>
                <w:color w:val="000000"/>
                <w:lang w:val="en-GB"/>
              </w:rPr>
              <w:t xml:space="preserve"> </w:t>
            </w:r>
            <w:r w:rsidRPr="00684732">
              <w:rPr>
                <w:iCs/>
                <w:color w:val="000000"/>
                <w:lang w:val="en-GB"/>
              </w:rPr>
              <w:t>Appeals Chamber, IT-94-1A 1999 (“</w:t>
            </w:r>
            <w:proofErr w:type="spellStart"/>
            <w:r w:rsidRPr="00684732">
              <w:rPr>
                <w:i/>
                <w:iCs/>
                <w:color w:val="000000"/>
                <w:lang w:val="en-GB"/>
              </w:rPr>
              <w:t>Tadić</w:t>
            </w:r>
            <w:proofErr w:type="spellEnd"/>
            <w:r w:rsidRPr="00684732">
              <w:rPr>
                <w:iCs/>
                <w:color w:val="000000"/>
                <w:lang w:val="en-GB"/>
              </w:rPr>
              <w:t>”)</w:t>
            </w:r>
          </w:p>
        </w:tc>
        <w:tc>
          <w:tcPr>
            <w:tcW w:w="1242" w:type="dxa"/>
          </w:tcPr>
          <w:p w14:paraId="44ED7E55" w14:textId="7F85B0F5" w:rsidR="00062C1E" w:rsidRDefault="001A4DFF" w:rsidP="001571E8">
            <w:pPr>
              <w:jc w:val="center"/>
            </w:pPr>
            <w:r>
              <w:t>30, 31</w:t>
            </w:r>
          </w:p>
        </w:tc>
      </w:tr>
      <w:tr w:rsidR="00AB03B6" w14:paraId="4DB81FE0" w14:textId="77777777" w:rsidTr="009371CB">
        <w:tc>
          <w:tcPr>
            <w:tcW w:w="8364" w:type="dxa"/>
          </w:tcPr>
          <w:p w14:paraId="52699506" w14:textId="3EBE1562" w:rsidR="00AB03B6" w:rsidRPr="00311DE3" w:rsidRDefault="00AB03B6" w:rsidP="00AB03B6">
            <w:pPr>
              <w:spacing w:line="240" w:lineRule="auto"/>
              <w:ind w:left="567" w:hanging="567"/>
            </w:pPr>
            <w:r w:rsidRPr="00AB03B6">
              <w:rPr>
                <w:i/>
              </w:rPr>
              <w:t>Rainbow Warrior (New Zealand v France)</w:t>
            </w:r>
            <w:r w:rsidRPr="00AB03B6">
              <w:t xml:space="preserve"> (1990) France-New Zealand Arbitration Tribunal 82 ILR 500 </w:t>
            </w:r>
            <w:r w:rsidR="007E05F5">
              <w:t>(“</w:t>
            </w:r>
            <w:r w:rsidRPr="00AB03B6">
              <w:rPr>
                <w:i/>
              </w:rPr>
              <w:t>Rainbow Warrior</w:t>
            </w:r>
            <w:r w:rsidR="007E05F5" w:rsidRPr="00AA250B">
              <w:t>”)</w:t>
            </w:r>
          </w:p>
        </w:tc>
        <w:tc>
          <w:tcPr>
            <w:tcW w:w="1242" w:type="dxa"/>
          </w:tcPr>
          <w:p w14:paraId="3786E97D" w14:textId="2A2EF4EF" w:rsidR="00AB03B6" w:rsidRDefault="00115322" w:rsidP="001571E8">
            <w:pPr>
              <w:jc w:val="center"/>
            </w:pPr>
            <w:r>
              <w:t>53, 56</w:t>
            </w:r>
          </w:p>
        </w:tc>
      </w:tr>
      <w:tr w:rsidR="00362D31" w14:paraId="6EEF7813" w14:textId="77777777" w:rsidTr="009371CB">
        <w:tc>
          <w:tcPr>
            <w:tcW w:w="8364" w:type="dxa"/>
          </w:tcPr>
          <w:p w14:paraId="298D9A02" w14:textId="30B8F060" w:rsidR="00362D31" w:rsidRPr="00AB03B6" w:rsidRDefault="00362D31" w:rsidP="00AB03B6">
            <w:pPr>
              <w:spacing w:line="240" w:lineRule="auto"/>
              <w:ind w:left="567" w:hanging="567"/>
              <w:rPr>
                <w:i/>
              </w:rPr>
            </w:pPr>
            <w:r w:rsidRPr="00684732">
              <w:rPr>
                <w:i/>
                <w:lang w:val="en-GB"/>
              </w:rPr>
              <w:t>Respect to Activities in the Area (Advisory Opinion)</w:t>
            </w:r>
            <w:r w:rsidRPr="00684732">
              <w:rPr>
                <w:lang w:val="en-GB"/>
              </w:rPr>
              <w:t xml:space="preserve"> [2011] Seabed Disputes Chamber </w:t>
            </w:r>
            <w:r>
              <w:rPr>
                <w:lang w:val="en-GB"/>
              </w:rPr>
              <w:t>ITLOS</w:t>
            </w:r>
            <w:r w:rsidRPr="00684732">
              <w:rPr>
                <w:lang w:val="en-GB"/>
              </w:rPr>
              <w:t xml:space="preserve"> (“</w:t>
            </w:r>
            <w:r w:rsidRPr="00684732">
              <w:rPr>
                <w:i/>
                <w:lang w:val="en-GB"/>
              </w:rPr>
              <w:t>Seabed Mining (Opinion)</w:t>
            </w:r>
            <w:r w:rsidRPr="00684732">
              <w:rPr>
                <w:lang w:val="en-GB"/>
              </w:rPr>
              <w:t>”)</w:t>
            </w:r>
          </w:p>
        </w:tc>
        <w:tc>
          <w:tcPr>
            <w:tcW w:w="1242" w:type="dxa"/>
          </w:tcPr>
          <w:p w14:paraId="3859FA98" w14:textId="7621A234" w:rsidR="00362D31" w:rsidRDefault="00A94500" w:rsidP="001571E8">
            <w:pPr>
              <w:jc w:val="center"/>
            </w:pPr>
            <w:r>
              <w:t>31, 38</w:t>
            </w:r>
          </w:p>
        </w:tc>
      </w:tr>
      <w:tr w:rsidR="00AB03B6" w14:paraId="3A60AC75" w14:textId="77777777" w:rsidTr="009371CB">
        <w:tc>
          <w:tcPr>
            <w:tcW w:w="8364" w:type="dxa"/>
          </w:tcPr>
          <w:p w14:paraId="21C1E65F" w14:textId="4D06304D" w:rsidR="00AB03B6" w:rsidRPr="00311DE3" w:rsidRDefault="00AB03B6" w:rsidP="00AB03B6">
            <w:pPr>
              <w:spacing w:line="240" w:lineRule="auto"/>
              <w:ind w:left="567" w:hanging="567"/>
            </w:pPr>
            <w:proofErr w:type="spellStart"/>
            <w:r w:rsidRPr="00AB03B6">
              <w:rPr>
                <w:i/>
              </w:rPr>
              <w:t>Saramaka</w:t>
            </w:r>
            <w:proofErr w:type="spellEnd"/>
            <w:r w:rsidRPr="00AB03B6">
              <w:rPr>
                <w:i/>
              </w:rPr>
              <w:t xml:space="preserve"> People v Suriname </w:t>
            </w:r>
            <w:r w:rsidRPr="00AB03B6">
              <w:t xml:space="preserve">(2007) </w:t>
            </w:r>
            <w:proofErr w:type="spellStart"/>
            <w:r w:rsidRPr="00AB03B6">
              <w:t>IACrtHR</w:t>
            </w:r>
            <w:proofErr w:type="spellEnd"/>
            <w:r w:rsidRPr="00AB03B6">
              <w:t xml:space="preserve"> Series C No. 185 </w:t>
            </w:r>
            <w:r w:rsidR="007E05F5">
              <w:t>(“</w:t>
            </w:r>
            <w:proofErr w:type="spellStart"/>
            <w:r w:rsidRPr="00AB03B6">
              <w:rPr>
                <w:i/>
              </w:rPr>
              <w:t>Saramaka</w:t>
            </w:r>
            <w:proofErr w:type="spellEnd"/>
            <w:r w:rsidRPr="00AB03B6">
              <w:rPr>
                <w:i/>
              </w:rPr>
              <w:t xml:space="preserve"> People v Suriname</w:t>
            </w:r>
            <w:r w:rsidR="007E05F5">
              <w:t>”)</w:t>
            </w:r>
          </w:p>
        </w:tc>
        <w:tc>
          <w:tcPr>
            <w:tcW w:w="1242" w:type="dxa"/>
          </w:tcPr>
          <w:p w14:paraId="26AF9E82" w14:textId="10803AEF" w:rsidR="00AB03B6" w:rsidRDefault="00A6490E" w:rsidP="001571E8">
            <w:pPr>
              <w:jc w:val="center"/>
            </w:pPr>
            <w:r>
              <w:t>51</w:t>
            </w:r>
          </w:p>
        </w:tc>
      </w:tr>
      <w:tr w:rsidR="00AB03B6" w14:paraId="04181366" w14:textId="77777777" w:rsidTr="009371CB">
        <w:tc>
          <w:tcPr>
            <w:tcW w:w="8364" w:type="dxa"/>
          </w:tcPr>
          <w:p w14:paraId="29C4C611" w14:textId="2CDF15AD" w:rsidR="00AB03B6" w:rsidRPr="00062C1E" w:rsidRDefault="00AB03B6" w:rsidP="00062C1E">
            <w:pPr>
              <w:spacing w:line="240" w:lineRule="auto"/>
              <w:ind w:left="567" w:hanging="567"/>
            </w:pPr>
            <w:r w:rsidRPr="00AB03B6">
              <w:rPr>
                <w:i/>
              </w:rPr>
              <w:t>Southern Bluefin Tuna (New Zealand v Japan; Australia v Japan)</w:t>
            </w:r>
            <w:r w:rsidR="00362D31">
              <w:rPr>
                <w:i/>
              </w:rPr>
              <w:t xml:space="preserve"> (Order)</w:t>
            </w:r>
            <w:r w:rsidRPr="00AB03B6">
              <w:rPr>
                <w:i/>
              </w:rPr>
              <w:t xml:space="preserve"> </w:t>
            </w:r>
            <w:r w:rsidR="00362D31">
              <w:t>[1999</w:t>
            </w:r>
            <w:r w:rsidR="00A6490E">
              <w:t>]</w:t>
            </w:r>
            <w:r w:rsidR="00362D31">
              <w:t xml:space="preserve"> </w:t>
            </w:r>
            <w:r w:rsidRPr="00AB03B6">
              <w:t xml:space="preserve">ITLOS </w:t>
            </w:r>
            <w:r w:rsidR="007E05F5">
              <w:t>(“</w:t>
            </w:r>
            <w:r w:rsidRPr="00AB03B6">
              <w:rPr>
                <w:i/>
              </w:rPr>
              <w:t>Southern Bluefin Tuna</w:t>
            </w:r>
            <w:r w:rsidR="007E05F5" w:rsidRPr="00AA250B">
              <w:t>”)</w:t>
            </w:r>
            <w:r w:rsidRPr="00AA250B">
              <w:t xml:space="preserve"> </w:t>
            </w:r>
          </w:p>
        </w:tc>
        <w:tc>
          <w:tcPr>
            <w:tcW w:w="1242" w:type="dxa"/>
          </w:tcPr>
          <w:p w14:paraId="7CEF518A" w14:textId="4F14F184" w:rsidR="00AB03B6" w:rsidRDefault="00A6490E" w:rsidP="001571E8">
            <w:pPr>
              <w:jc w:val="center"/>
            </w:pPr>
            <w:r>
              <w:t>33, 53</w:t>
            </w:r>
          </w:p>
        </w:tc>
      </w:tr>
      <w:tr w:rsidR="00062C1E" w14:paraId="0BFFCF0A" w14:textId="77777777" w:rsidTr="009371CB">
        <w:tc>
          <w:tcPr>
            <w:tcW w:w="8364" w:type="dxa"/>
          </w:tcPr>
          <w:p w14:paraId="220AA0BE" w14:textId="1345D5FC" w:rsidR="00062C1E" w:rsidRPr="00AB03B6" w:rsidRDefault="00062C1E" w:rsidP="00AB03B6">
            <w:pPr>
              <w:spacing w:line="240" w:lineRule="auto"/>
              <w:ind w:left="567" w:hanging="567"/>
              <w:rPr>
                <w:i/>
              </w:rPr>
            </w:pPr>
            <w:r w:rsidRPr="00AB03B6">
              <w:rPr>
                <w:i/>
              </w:rPr>
              <w:t>Title to the Chamizal Tract (United States v  Mexico)</w:t>
            </w:r>
            <w:r w:rsidRPr="00AB03B6">
              <w:t xml:space="preserve"> (International Boundary Commission International) 5 AJIL 785 (1911) </w:t>
            </w:r>
            <w:r w:rsidR="007E05F5">
              <w:t>(“</w:t>
            </w:r>
            <w:r w:rsidRPr="00AB03B6">
              <w:rPr>
                <w:i/>
              </w:rPr>
              <w:t>Chamizal Tract</w:t>
            </w:r>
            <w:r w:rsidR="007E05F5" w:rsidRPr="00AA250B">
              <w:t>”)</w:t>
            </w:r>
          </w:p>
        </w:tc>
        <w:tc>
          <w:tcPr>
            <w:tcW w:w="1242" w:type="dxa"/>
          </w:tcPr>
          <w:p w14:paraId="0CC566A7" w14:textId="464CB776" w:rsidR="00062C1E" w:rsidRDefault="000E1CA5" w:rsidP="001571E8">
            <w:pPr>
              <w:jc w:val="center"/>
            </w:pPr>
            <w:r>
              <w:t>51</w:t>
            </w:r>
          </w:p>
        </w:tc>
      </w:tr>
      <w:tr w:rsidR="00362D31" w14:paraId="0E395773" w14:textId="77777777" w:rsidTr="009371CB">
        <w:tc>
          <w:tcPr>
            <w:tcW w:w="8364" w:type="dxa"/>
          </w:tcPr>
          <w:p w14:paraId="31D1E0E0" w14:textId="48DC957E" w:rsidR="00362D31" w:rsidRPr="00AB03B6" w:rsidRDefault="00362D31" w:rsidP="00AB03B6">
            <w:pPr>
              <w:spacing w:line="240" w:lineRule="auto"/>
              <w:ind w:left="567" w:hanging="567"/>
              <w:rPr>
                <w:i/>
              </w:rPr>
            </w:pPr>
            <w:r w:rsidRPr="00684732">
              <w:rPr>
                <w:i/>
                <w:iCs/>
                <w:color w:val="000000"/>
                <w:lang w:val="en-GB"/>
              </w:rPr>
              <w:t>Trail Smelter Arbitration</w:t>
            </w:r>
            <w:r w:rsidRPr="00684732">
              <w:rPr>
                <w:color w:val="000000"/>
                <w:lang w:val="en-GB"/>
              </w:rPr>
              <w:t xml:space="preserve"> (</w:t>
            </w:r>
            <w:r w:rsidRPr="00684732">
              <w:rPr>
                <w:i/>
                <w:iCs/>
                <w:color w:val="000000"/>
                <w:lang w:val="en-GB"/>
              </w:rPr>
              <w:t xml:space="preserve">United States of America v Canada) </w:t>
            </w:r>
            <w:r w:rsidRPr="00684732">
              <w:rPr>
                <w:iCs/>
                <w:color w:val="000000"/>
                <w:lang w:val="en-GB"/>
              </w:rPr>
              <w:t>(1941) 3 UN Rep Int'l Arb Awards 1905 (“</w:t>
            </w:r>
            <w:r w:rsidRPr="00684732">
              <w:rPr>
                <w:i/>
                <w:iCs/>
                <w:color w:val="000000"/>
                <w:lang w:val="en-GB"/>
              </w:rPr>
              <w:t>Trail Smelter</w:t>
            </w:r>
            <w:r w:rsidRPr="00684732">
              <w:rPr>
                <w:iCs/>
                <w:color w:val="000000"/>
                <w:lang w:val="en-GB"/>
              </w:rPr>
              <w:t>”)</w:t>
            </w:r>
          </w:p>
        </w:tc>
        <w:tc>
          <w:tcPr>
            <w:tcW w:w="1242" w:type="dxa"/>
          </w:tcPr>
          <w:p w14:paraId="5BACC61E" w14:textId="546F5534" w:rsidR="00362D31" w:rsidRDefault="000E1CA5" w:rsidP="001571E8">
            <w:pPr>
              <w:jc w:val="center"/>
            </w:pPr>
            <w:r>
              <w:t>31, 37, 38</w:t>
            </w:r>
          </w:p>
        </w:tc>
      </w:tr>
      <w:tr w:rsidR="00362D31" w14:paraId="0EB8852F" w14:textId="77777777" w:rsidTr="009371CB">
        <w:tc>
          <w:tcPr>
            <w:tcW w:w="8364" w:type="dxa"/>
          </w:tcPr>
          <w:p w14:paraId="37A1CFA2" w14:textId="57DA1518" w:rsidR="00362D31" w:rsidRPr="00684732" w:rsidRDefault="00362D31" w:rsidP="00AB03B6">
            <w:pPr>
              <w:spacing w:line="240" w:lineRule="auto"/>
              <w:ind w:left="567" w:hanging="567"/>
              <w:rPr>
                <w:i/>
                <w:iCs/>
                <w:color w:val="000000"/>
                <w:lang w:val="en-GB"/>
              </w:rPr>
            </w:pPr>
            <w:r w:rsidRPr="00684732">
              <w:rPr>
                <w:i/>
                <w:iCs/>
                <w:color w:val="000000"/>
                <w:lang w:val="en-GB"/>
              </w:rPr>
              <w:lastRenderedPageBreak/>
              <w:t>United Parcels Service of America Inc v Canada</w:t>
            </w:r>
            <w:r w:rsidRPr="00684732">
              <w:rPr>
                <w:iCs/>
                <w:color w:val="000000"/>
                <w:lang w:val="en-GB"/>
              </w:rPr>
              <w:t xml:space="preserve"> (2007) Award on the Merits (“</w:t>
            </w:r>
            <w:r w:rsidRPr="00684732">
              <w:rPr>
                <w:i/>
                <w:iCs/>
                <w:color w:val="000000"/>
                <w:lang w:val="en-GB"/>
              </w:rPr>
              <w:t>United Parcels Service Inc v Canada</w:t>
            </w:r>
            <w:r w:rsidRPr="00684732">
              <w:rPr>
                <w:iCs/>
                <w:color w:val="000000"/>
                <w:lang w:val="en-GB"/>
              </w:rPr>
              <w:t>”)</w:t>
            </w:r>
          </w:p>
        </w:tc>
        <w:tc>
          <w:tcPr>
            <w:tcW w:w="1242" w:type="dxa"/>
          </w:tcPr>
          <w:p w14:paraId="55A75018" w14:textId="760A805B" w:rsidR="00362D31" w:rsidRDefault="000E1CA5" w:rsidP="001571E8">
            <w:pPr>
              <w:jc w:val="center"/>
            </w:pPr>
            <w:r>
              <w:t>29</w:t>
            </w:r>
          </w:p>
        </w:tc>
      </w:tr>
      <w:tr w:rsidR="00AB03B6" w14:paraId="609028AD" w14:textId="77777777" w:rsidTr="009371CB">
        <w:tc>
          <w:tcPr>
            <w:tcW w:w="8364" w:type="dxa"/>
          </w:tcPr>
          <w:p w14:paraId="2AACD1B3" w14:textId="154D4DEA" w:rsidR="00AB03B6" w:rsidRPr="00BB5F7D" w:rsidRDefault="00A52483" w:rsidP="00A52483">
            <w:pPr>
              <w:spacing w:line="240" w:lineRule="auto"/>
              <w:ind w:left="567" w:hanging="567"/>
              <w:rPr>
                <w:lang w:val="es-ES"/>
              </w:rPr>
            </w:pPr>
            <w:r w:rsidRPr="00BB5F7D">
              <w:rPr>
                <w:i/>
                <w:lang w:val="es-ES"/>
              </w:rPr>
              <w:t xml:space="preserve">Veládquez Rodríguez v Honduras (Reparations and Costs) </w:t>
            </w:r>
            <w:r w:rsidRPr="00BB5F7D">
              <w:rPr>
                <w:lang w:val="es-ES"/>
              </w:rPr>
              <w:t xml:space="preserve">(1989) IACrtHR Series C No 7 </w:t>
            </w:r>
            <w:r w:rsidR="007E05F5" w:rsidRPr="00BB5F7D">
              <w:rPr>
                <w:lang w:val="es-ES"/>
              </w:rPr>
              <w:t>(“</w:t>
            </w:r>
            <w:r w:rsidRPr="00BB5F7D">
              <w:rPr>
                <w:i/>
                <w:lang w:val="es-ES"/>
              </w:rPr>
              <w:t>Veládquez Rodríguez v Honduras</w:t>
            </w:r>
            <w:r w:rsidR="007E05F5" w:rsidRPr="00BB5F7D">
              <w:rPr>
                <w:lang w:val="es-ES"/>
              </w:rPr>
              <w:t>”)</w:t>
            </w:r>
          </w:p>
        </w:tc>
        <w:tc>
          <w:tcPr>
            <w:tcW w:w="1242" w:type="dxa"/>
          </w:tcPr>
          <w:p w14:paraId="42F588DC" w14:textId="57F7C37E" w:rsidR="00AB03B6" w:rsidRDefault="00AF1405" w:rsidP="001571E8">
            <w:pPr>
              <w:jc w:val="center"/>
            </w:pPr>
            <w:r>
              <w:t xml:space="preserve">31, </w:t>
            </w:r>
            <w:r w:rsidR="00214B33">
              <w:t>55, 56</w:t>
            </w:r>
          </w:p>
        </w:tc>
      </w:tr>
    </w:tbl>
    <w:p w14:paraId="6BA0F0B7" w14:textId="0043E169" w:rsidR="00382E90" w:rsidRDefault="00382E90" w:rsidP="00D92114"/>
    <w:p w14:paraId="472B3B15" w14:textId="77777777" w:rsidR="00C925B0" w:rsidRPr="00311DE3" w:rsidRDefault="00C925B0" w:rsidP="00D92114"/>
    <w:p w14:paraId="15092256" w14:textId="77777777" w:rsidR="001A26AC" w:rsidRDefault="001A26AC" w:rsidP="001A26AC">
      <w:pPr>
        <w:pStyle w:val="Heading2"/>
      </w:pPr>
      <w:bookmarkStart w:id="98" w:name="_Toc534993297"/>
      <w:bookmarkStart w:id="99" w:name="_Toc534995361"/>
      <w:bookmarkStart w:id="100" w:name="_Toc534995751"/>
      <w:bookmarkStart w:id="101" w:name="_Toc534995826"/>
      <w:bookmarkStart w:id="102" w:name="_Toc534995980"/>
      <w:bookmarkStart w:id="103" w:name="_Toc534998398"/>
      <w:bookmarkStart w:id="104" w:name="_Toc535037152"/>
      <w:r>
        <w:t>Decisions of National Courts</w:t>
      </w:r>
      <w:bookmarkEnd w:id="98"/>
      <w:bookmarkEnd w:id="99"/>
      <w:bookmarkEnd w:id="100"/>
      <w:bookmarkEnd w:id="101"/>
      <w:bookmarkEnd w:id="102"/>
      <w:bookmarkEnd w:id="103"/>
      <w:bookmarkEnd w:id="104"/>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242"/>
      </w:tblGrid>
      <w:tr w:rsidR="001A26AC" w14:paraId="3F473912" w14:textId="77777777" w:rsidTr="009371CB">
        <w:tc>
          <w:tcPr>
            <w:tcW w:w="8364" w:type="dxa"/>
          </w:tcPr>
          <w:p w14:paraId="1A77015B" w14:textId="5349B6A1" w:rsidR="001A26AC" w:rsidRPr="00311DE3" w:rsidRDefault="005758F8" w:rsidP="005758F8">
            <w:pPr>
              <w:spacing w:line="240" w:lineRule="auto"/>
              <w:ind w:left="567" w:hanging="567"/>
            </w:pPr>
            <w:r w:rsidRPr="005758F8">
              <w:rPr>
                <w:i/>
              </w:rPr>
              <w:t>Aurelio Cal v Attorney-General of Belize</w:t>
            </w:r>
            <w:r w:rsidRPr="005758F8">
              <w:t>, Claim 121/2007 (Supreme Court, Belize, 18 October 2017)</w:t>
            </w:r>
            <w:r>
              <w:t xml:space="preserve"> </w:t>
            </w:r>
            <w:r w:rsidR="007E05F5">
              <w:t>(“</w:t>
            </w:r>
            <w:r w:rsidRPr="00343D6C">
              <w:rPr>
                <w:i/>
              </w:rPr>
              <w:t>Aurelio Cal v Attorney-General of Belize</w:t>
            </w:r>
            <w:r w:rsidR="007E05F5">
              <w:t>”)</w:t>
            </w:r>
          </w:p>
        </w:tc>
        <w:tc>
          <w:tcPr>
            <w:tcW w:w="1242" w:type="dxa"/>
          </w:tcPr>
          <w:p w14:paraId="627BB7CE" w14:textId="5A5CFC56" w:rsidR="001A26AC" w:rsidRDefault="001054CE" w:rsidP="00661C8E">
            <w:pPr>
              <w:jc w:val="center"/>
            </w:pPr>
            <w:r>
              <w:t>47</w:t>
            </w:r>
          </w:p>
        </w:tc>
      </w:tr>
      <w:tr w:rsidR="001A26AC" w14:paraId="53FDF494" w14:textId="77777777" w:rsidTr="009371CB">
        <w:tc>
          <w:tcPr>
            <w:tcW w:w="8364" w:type="dxa"/>
          </w:tcPr>
          <w:p w14:paraId="2A653C36" w14:textId="06759CE1" w:rsidR="001A26AC" w:rsidRPr="00311DE3" w:rsidRDefault="005758F8" w:rsidP="00F95D91">
            <w:pPr>
              <w:spacing w:line="240" w:lineRule="auto"/>
              <w:ind w:left="567" w:hanging="567"/>
            </w:pPr>
            <w:r w:rsidRPr="005758F8">
              <w:rPr>
                <w:i/>
              </w:rPr>
              <w:t xml:space="preserve">Mendelssohn v Attorney-General, </w:t>
            </w:r>
            <w:r w:rsidRPr="005758F8">
              <w:t>4 May 199</w:t>
            </w:r>
            <w:r w:rsidR="00C925B0">
              <w:t>9</w:t>
            </w:r>
            <w:r w:rsidRPr="005758F8">
              <w:t>, CA125/98</w:t>
            </w:r>
            <w:r w:rsidR="00C925B0">
              <w:t xml:space="preserve"> (New Zealand Court of Appeal</w:t>
            </w:r>
            <w:r w:rsidRPr="005758F8">
              <w:t xml:space="preserve"> </w:t>
            </w:r>
            <w:r w:rsidR="007E05F5">
              <w:t>(“</w:t>
            </w:r>
            <w:r w:rsidRPr="005758F8">
              <w:rPr>
                <w:i/>
              </w:rPr>
              <w:t>Mendelssohn v A-G</w:t>
            </w:r>
            <w:r w:rsidR="007E05F5">
              <w:rPr>
                <w:i/>
              </w:rPr>
              <w:t>”)</w:t>
            </w:r>
          </w:p>
        </w:tc>
        <w:tc>
          <w:tcPr>
            <w:tcW w:w="1242" w:type="dxa"/>
          </w:tcPr>
          <w:p w14:paraId="08C3A0D6" w14:textId="453B8425" w:rsidR="001A26AC" w:rsidRDefault="001054CE" w:rsidP="00661C8E">
            <w:pPr>
              <w:jc w:val="center"/>
            </w:pPr>
            <w:r>
              <w:t>44</w:t>
            </w:r>
          </w:p>
        </w:tc>
      </w:tr>
    </w:tbl>
    <w:p w14:paraId="03381EE3" w14:textId="77777777" w:rsidR="007405B8" w:rsidRPr="00063103" w:rsidRDefault="007405B8" w:rsidP="001A26AC"/>
    <w:p w14:paraId="2592A96E" w14:textId="77777777" w:rsidR="001A26AC" w:rsidRDefault="001A26AC" w:rsidP="001A26AC">
      <w:pPr>
        <w:pStyle w:val="Heading2"/>
      </w:pPr>
      <w:bookmarkStart w:id="105" w:name="_Toc534993298"/>
      <w:bookmarkStart w:id="106" w:name="_Toc534995362"/>
      <w:bookmarkStart w:id="107" w:name="_Toc534995752"/>
      <w:bookmarkStart w:id="108" w:name="_Toc534995827"/>
      <w:bookmarkStart w:id="109" w:name="_Toc534995981"/>
      <w:bookmarkStart w:id="110" w:name="_Toc534998399"/>
      <w:bookmarkStart w:id="111" w:name="_Toc535037153"/>
      <w:r>
        <w:t>united nations documents</w:t>
      </w:r>
      <w:bookmarkEnd w:id="105"/>
      <w:bookmarkEnd w:id="106"/>
      <w:bookmarkEnd w:id="107"/>
      <w:bookmarkEnd w:id="108"/>
      <w:bookmarkEnd w:id="109"/>
      <w:bookmarkEnd w:id="110"/>
      <w:bookmarkEnd w:id="111"/>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242"/>
      </w:tblGrid>
      <w:tr w:rsidR="005758F8" w14:paraId="11B1DDAC" w14:textId="77777777" w:rsidTr="009371CB">
        <w:tc>
          <w:tcPr>
            <w:tcW w:w="8364" w:type="dxa"/>
          </w:tcPr>
          <w:p w14:paraId="067AAF44" w14:textId="03FF5E72" w:rsidR="005758F8" w:rsidRPr="00311DE3" w:rsidRDefault="007C73E9" w:rsidP="007405B8">
            <w:pPr>
              <w:spacing w:line="240" w:lineRule="auto"/>
              <w:ind w:left="567" w:hanging="567"/>
            </w:pPr>
            <w:r w:rsidRPr="007C73E9">
              <w:rPr>
                <w:i/>
              </w:rPr>
              <w:t xml:space="preserve">Charter of Economic Rights and Duties of States </w:t>
            </w:r>
            <w:r w:rsidRPr="007C73E9">
              <w:t xml:space="preserve">A/Res/29/3281 (1974) </w:t>
            </w:r>
            <w:r w:rsidR="007E05F5">
              <w:t>(“</w:t>
            </w:r>
            <w:r w:rsidRPr="007C73E9">
              <w:rPr>
                <w:i/>
              </w:rPr>
              <w:t>Charter of Economic Rights and Duties</w:t>
            </w:r>
            <w:r w:rsidR="007E05F5" w:rsidRPr="00AA250B">
              <w:t>”)</w:t>
            </w:r>
          </w:p>
        </w:tc>
        <w:tc>
          <w:tcPr>
            <w:tcW w:w="1242" w:type="dxa"/>
          </w:tcPr>
          <w:p w14:paraId="2BA27010" w14:textId="43F15AEF" w:rsidR="005758F8" w:rsidRDefault="006B03CA" w:rsidP="00661C8E">
            <w:pPr>
              <w:jc w:val="center"/>
            </w:pPr>
            <w:r>
              <w:t>43</w:t>
            </w:r>
          </w:p>
        </w:tc>
      </w:tr>
      <w:tr w:rsidR="007405B8" w14:paraId="0709A210" w14:textId="77777777" w:rsidTr="009371CB">
        <w:tc>
          <w:tcPr>
            <w:tcW w:w="8364" w:type="dxa"/>
          </w:tcPr>
          <w:p w14:paraId="24D5F84F" w14:textId="5AADDDB9" w:rsidR="007405B8" w:rsidRPr="007C73E9" w:rsidRDefault="007405B8" w:rsidP="007C73E9">
            <w:pPr>
              <w:spacing w:line="240" w:lineRule="auto"/>
              <w:ind w:left="567" w:hanging="567"/>
              <w:rPr>
                <w:i/>
              </w:rPr>
            </w:pPr>
            <w:r w:rsidRPr="00684732">
              <w:rPr>
                <w:color w:val="000000"/>
                <w:lang w:val="en-GB"/>
              </w:rPr>
              <w:t xml:space="preserve">Commission on Human Rights </w:t>
            </w:r>
            <w:r w:rsidRPr="00684732">
              <w:rPr>
                <w:i/>
                <w:color w:val="000000"/>
                <w:lang w:val="en-GB"/>
              </w:rPr>
              <w:t xml:space="preserve">Norms on the Responsibilities of Transnational Corporations and Other Business Enterprises </w:t>
            </w:r>
            <w:proofErr w:type="gramStart"/>
            <w:r w:rsidRPr="00684732">
              <w:rPr>
                <w:i/>
                <w:color w:val="000000"/>
                <w:lang w:val="en-GB"/>
              </w:rPr>
              <w:t>With</w:t>
            </w:r>
            <w:proofErr w:type="gramEnd"/>
            <w:r w:rsidRPr="00684732">
              <w:rPr>
                <w:i/>
                <w:color w:val="000000"/>
                <w:lang w:val="en-GB"/>
              </w:rPr>
              <w:t xml:space="preserve"> Regard to Human Rights</w:t>
            </w:r>
            <w:r w:rsidRPr="00684732">
              <w:rPr>
                <w:color w:val="000000"/>
                <w:lang w:val="en-GB"/>
              </w:rPr>
              <w:t xml:space="preserve"> (2003) E/CN.4/Sub.2/2003/12/Rev.2 (“</w:t>
            </w:r>
            <w:r w:rsidRPr="00684732">
              <w:rPr>
                <w:i/>
                <w:color w:val="000000"/>
                <w:lang w:val="en-GB"/>
              </w:rPr>
              <w:t>Responsibilities of Transnational Corporations</w:t>
            </w:r>
            <w:r w:rsidRPr="00684732">
              <w:rPr>
                <w:color w:val="000000"/>
                <w:lang w:val="en-GB"/>
              </w:rPr>
              <w:t>”)</w:t>
            </w:r>
          </w:p>
        </w:tc>
        <w:tc>
          <w:tcPr>
            <w:tcW w:w="1242" w:type="dxa"/>
          </w:tcPr>
          <w:p w14:paraId="3FA3B954" w14:textId="48F681D0" w:rsidR="007405B8" w:rsidRDefault="006B03CA" w:rsidP="00661C8E">
            <w:pPr>
              <w:jc w:val="center"/>
            </w:pPr>
            <w:r>
              <w:t>32</w:t>
            </w:r>
          </w:p>
        </w:tc>
      </w:tr>
      <w:tr w:rsidR="005758F8" w14:paraId="74FB3145" w14:textId="77777777" w:rsidTr="009371CB">
        <w:tc>
          <w:tcPr>
            <w:tcW w:w="8364" w:type="dxa"/>
          </w:tcPr>
          <w:p w14:paraId="6F91CA60" w14:textId="7FF23A2C" w:rsidR="005758F8" w:rsidRPr="00311DE3" w:rsidRDefault="007C73E9" w:rsidP="007C73E9">
            <w:pPr>
              <w:spacing w:line="240" w:lineRule="auto"/>
              <w:ind w:left="567" w:hanging="567"/>
            </w:pPr>
            <w:r w:rsidRPr="007C73E9">
              <w:t xml:space="preserve">Committee on Economic, Social and Cultural Rights </w:t>
            </w:r>
            <w:r w:rsidRPr="007C73E9">
              <w:rPr>
                <w:i/>
              </w:rPr>
              <w:t>An Evaluation of the Obligations to Take Steps to the ‘Maximum of Available Resources’ Under An Optional Protocol to the Covenant</w:t>
            </w:r>
            <w:r w:rsidRPr="007C73E9">
              <w:t xml:space="preserve"> E/C.12/2007/1 (2007) </w:t>
            </w:r>
            <w:r w:rsidR="007E05F5">
              <w:t>(“</w:t>
            </w:r>
            <w:r w:rsidRPr="007C73E9">
              <w:rPr>
                <w:i/>
              </w:rPr>
              <w:t>Evaluation of the Obligation to Take Steps to the Maximum of Available Resources</w:t>
            </w:r>
            <w:r w:rsidR="007E05F5" w:rsidRPr="00D36785">
              <w:t>”)</w:t>
            </w:r>
            <w:r w:rsidRPr="007C73E9">
              <w:t xml:space="preserve"> </w:t>
            </w:r>
          </w:p>
        </w:tc>
        <w:tc>
          <w:tcPr>
            <w:tcW w:w="1242" w:type="dxa"/>
          </w:tcPr>
          <w:p w14:paraId="470DBC3C" w14:textId="08512D5B" w:rsidR="005758F8" w:rsidRDefault="00EB7FDE" w:rsidP="00661C8E">
            <w:pPr>
              <w:jc w:val="center"/>
            </w:pPr>
            <w:r>
              <w:t xml:space="preserve">32, </w:t>
            </w:r>
            <w:r w:rsidR="00202474">
              <w:t>45</w:t>
            </w:r>
          </w:p>
        </w:tc>
      </w:tr>
      <w:tr w:rsidR="005758F8" w14:paraId="1AB0B8D0" w14:textId="77777777" w:rsidTr="009371CB">
        <w:tc>
          <w:tcPr>
            <w:tcW w:w="8364" w:type="dxa"/>
          </w:tcPr>
          <w:p w14:paraId="28642E66" w14:textId="75D96404" w:rsidR="005758F8" w:rsidRPr="00311DE3" w:rsidRDefault="007C73E9" w:rsidP="007C73E9">
            <w:pPr>
              <w:spacing w:line="240" w:lineRule="auto"/>
              <w:ind w:left="567" w:hanging="567"/>
            </w:pPr>
            <w:r w:rsidRPr="007C73E9">
              <w:t xml:space="preserve">Committee on Economic, Social and Cultural Rights, </w:t>
            </w:r>
            <w:r w:rsidR="005626C2">
              <w:t>General Comment</w:t>
            </w:r>
            <w:r w:rsidRPr="007C73E9">
              <w:t xml:space="preserve"> </w:t>
            </w:r>
            <w:r w:rsidR="00B56B1A">
              <w:t xml:space="preserve">No. </w:t>
            </w:r>
            <w:r w:rsidRPr="007C73E9">
              <w:t xml:space="preserve">3 </w:t>
            </w:r>
            <w:r w:rsidRPr="007C73E9">
              <w:rPr>
                <w:i/>
              </w:rPr>
              <w:t xml:space="preserve">The Nature of States Parties’ Obligations (Art. 2, Para. 1, of the Covenant) </w:t>
            </w:r>
            <w:r w:rsidRPr="007C73E9">
              <w:t xml:space="preserve">E/1991/23 (1991) </w:t>
            </w:r>
            <w:r w:rsidR="007E05F5">
              <w:t>(“</w:t>
            </w:r>
            <w:r w:rsidRPr="007C73E9">
              <w:t xml:space="preserve">CESCR </w:t>
            </w:r>
            <w:r w:rsidR="005626C2">
              <w:t>General Comment</w:t>
            </w:r>
            <w:r w:rsidRPr="007C73E9">
              <w:t xml:space="preserve"> 3</w:t>
            </w:r>
            <w:r w:rsidR="007E05F5">
              <w:t>”)</w:t>
            </w:r>
          </w:p>
        </w:tc>
        <w:tc>
          <w:tcPr>
            <w:tcW w:w="1242" w:type="dxa"/>
          </w:tcPr>
          <w:p w14:paraId="2654B501" w14:textId="2B95718A" w:rsidR="005758F8" w:rsidRDefault="00202474" w:rsidP="00661C8E">
            <w:pPr>
              <w:jc w:val="center"/>
            </w:pPr>
            <w:r>
              <w:t>45</w:t>
            </w:r>
          </w:p>
        </w:tc>
      </w:tr>
      <w:tr w:rsidR="005758F8" w14:paraId="2F0A8AE8" w14:textId="77777777" w:rsidTr="009371CB">
        <w:tc>
          <w:tcPr>
            <w:tcW w:w="8364" w:type="dxa"/>
          </w:tcPr>
          <w:p w14:paraId="08AEC80D" w14:textId="7BA52B7E" w:rsidR="005758F8" w:rsidRPr="00311DE3" w:rsidRDefault="007C73E9" w:rsidP="007C73E9">
            <w:pPr>
              <w:spacing w:line="240" w:lineRule="auto"/>
              <w:ind w:left="567" w:hanging="567"/>
            </w:pPr>
            <w:r w:rsidRPr="007C73E9">
              <w:t xml:space="preserve">Committee on Economic, Social and Cultural Rights, </w:t>
            </w:r>
            <w:r w:rsidR="005626C2">
              <w:t>General Comment</w:t>
            </w:r>
            <w:r w:rsidRPr="007C73E9">
              <w:t xml:space="preserve"> </w:t>
            </w:r>
            <w:r w:rsidR="00B56B1A">
              <w:t xml:space="preserve">No. </w:t>
            </w:r>
            <w:r w:rsidRPr="007C73E9">
              <w:t xml:space="preserve">14 </w:t>
            </w:r>
            <w:r w:rsidRPr="007C73E9">
              <w:rPr>
                <w:i/>
              </w:rPr>
              <w:t xml:space="preserve">The Right to the Highest Attainable Standard of Health </w:t>
            </w:r>
            <w:r w:rsidRPr="007C73E9">
              <w:t xml:space="preserve">E/C.12/2000/4 (2000) </w:t>
            </w:r>
            <w:r w:rsidR="007E05F5">
              <w:t>(“</w:t>
            </w:r>
            <w:r w:rsidRPr="007C73E9">
              <w:t xml:space="preserve">CESCR </w:t>
            </w:r>
            <w:r w:rsidR="005626C2">
              <w:t>General Comment</w:t>
            </w:r>
            <w:r w:rsidRPr="007C73E9">
              <w:t xml:space="preserve"> 14</w:t>
            </w:r>
            <w:r w:rsidR="007E05F5">
              <w:t>”)</w:t>
            </w:r>
          </w:p>
        </w:tc>
        <w:tc>
          <w:tcPr>
            <w:tcW w:w="1242" w:type="dxa"/>
          </w:tcPr>
          <w:p w14:paraId="343D4EF3" w14:textId="2D50569E" w:rsidR="005758F8" w:rsidRDefault="00202474" w:rsidP="00661C8E">
            <w:pPr>
              <w:jc w:val="center"/>
            </w:pPr>
            <w:r>
              <w:t>35, 43, 45</w:t>
            </w:r>
          </w:p>
        </w:tc>
      </w:tr>
      <w:tr w:rsidR="005758F8" w14:paraId="3BDE521B" w14:textId="77777777" w:rsidTr="009371CB">
        <w:tc>
          <w:tcPr>
            <w:tcW w:w="8364" w:type="dxa"/>
          </w:tcPr>
          <w:p w14:paraId="737D0829" w14:textId="69101E8E" w:rsidR="005758F8" w:rsidRPr="00311DE3" w:rsidRDefault="007C73E9" w:rsidP="007C73E9">
            <w:pPr>
              <w:spacing w:line="240" w:lineRule="auto"/>
              <w:ind w:left="567" w:hanging="567"/>
            </w:pPr>
            <w:r w:rsidRPr="007C73E9">
              <w:t xml:space="preserve">Committee on Economic, Social and Cultural Rights, </w:t>
            </w:r>
            <w:r w:rsidR="005626C2">
              <w:t>General Comment</w:t>
            </w:r>
            <w:r w:rsidRPr="007C73E9">
              <w:t xml:space="preserve"> </w:t>
            </w:r>
            <w:r w:rsidR="00B56B1A">
              <w:t xml:space="preserve">No. </w:t>
            </w:r>
            <w:r w:rsidRPr="007C73E9">
              <w:t xml:space="preserve">19 </w:t>
            </w:r>
            <w:r w:rsidRPr="007C73E9">
              <w:rPr>
                <w:i/>
              </w:rPr>
              <w:t xml:space="preserve">The right to social security </w:t>
            </w:r>
            <w:r w:rsidRPr="007C73E9">
              <w:t xml:space="preserve">E/C.12/GC/19 (2018) </w:t>
            </w:r>
            <w:r w:rsidR="007E05F5">
              <w:t>(“</w:t>
            </w:r>
            <w:r w:rsidRPr="007C73E9">
              <w:t xml:space="preserve">CESCR </w:t>
            </w:r>
            <w:r w:rsidR="005626C2">
              <w:t>General Comment</w:t>
            </w:r>
            <w:r w:rsidRPr="007C73E9">
              <w:t xml:space="preserve"> 19</w:t>
            </w:r>
            <w:r w:rsidR="007E05F5">
              <w:t>”)</w:t>
            </w:r>
          </w:p>
        </w:tc>
        <w:tc>
          <w:tcPr>
            <w:tcW w:w="1242" w:type="dxa"/>
          </w:tcPr>
          <w:p w14:paraId="1EAF084E" w14:textId="4D3B3D98" w:rsidR="005758F8" w:rsidRDefault="00202474" w:rsidP="00661C8E">
            <w:pPr>
              <w:jc w:val="center"/>
            </w:pPr>
            <w:r>
              <w:t>43</w:t>
            </w:r>
          </w:p>
        </w:tc>
      </w:tr>
      <w:tr w:rsidR="005758F8" w14:paraId="7E3987B1" w14:textId="77777777" w:rsidTr="009371CB">
        <w:tc>
          <w:tcPr>
            <w:tcW w:w="8364" w:type="dxa"/>
          </w:tcPr>
          <w:p w14:paraId="5B00B15F" w14:textId="7ADD7E3C" w:rsidR="005758F8" w:rsidRPr="00311DE3" w:rsidRDefault="007C73E9" w:rsidP="007C73E9">
            <w:pPr>
              <w:spacing w:line="240" w:lineRule="auto"/>
              <w:ind w:left="567" w:hanging="567"/>
            </w:pPr>
            <w:r w:rsidRPr="007C73E9">
              <w:t xml:space="preserve">Committee on Economic, Social and Cultural Rights, </w:t>
            </w:r>
            <w:r w:rsidR="005626C2">
              <w:t>General Comment</w:t>
            </w:r>
            <w:r w:rsidRPr="007C73E9">
              <w:t xml:space="preserve"> </w:t>
            </w:r>
            <w:r w:rsidR="00B56B1A">
              <w:t xml:space="preserve">No. </w:t>
            </w:r>
            <w:r w:rsidRPr="007C73E9">
              <w:t xml:space="preserve">20 </w:t>
            </w:r>
            <w:r w:rsidRPr="007C73E9">
              <w:rPr>
                <w:i/>
              </w:rPr>
              <w:t xml:space="preserve">Non-discrimination in economic, social and cultural rights </w:t>
            </w:r>
            <w:r w:rsidRPr="007C73E9">
              <w:t xml:space="preserve">E/C.12/GC/20 (2009) </w:t>
            </w:r>
            <w:r w:rsidR="007E05F5">
              <w:t>(“</w:t>
            </w:r>
            <w:r w:rsidRPr="007C73E9">
              <w:t xml:space="preserve">CESCR </w:t>
            </w:r>
            <w:r w:rsidR="005626C2">
              <w:t>General Comment</w:t>
            </w:r>
            <w:r w:rsidRPr="007C73E9">
              <w:t xml:space="preserve"> 20</w:t>
            </w:r>
            <w:r w:rsidR="007E05F5">
              <w:t>”)</w:t>
            </w:r>
          </w:p>
        </w:tc>
        <w:tc>
          <w:tcPr>
            <w:tcW w:w="1242" w:type="dxa"/>
          </w:tcPr>
          <w:p w14:paraId="44A16201" w14:textId="1CC123E1" w:rsidR="005758F8" w:rsidRDefault="00202474" w:rsidP="00661C8E">
            <w:pPr>
              <w:jc w:val="center"/>
            </w:pPr>
            <w:r>
              <w:t>43</w:t>
            </w:r>
          </w:p>
        </w:tc>
      </w:tr>
      <w:tr w:rsidR="005758F8" w14:paraId="28035C68" w14:textId="77777777" w:rsidTr="009371CB">
        <w:tc>
          <w:tcPr>
            <w:tcW w:w="8364" w:type="dxa"/>
          </w:tcPr>
          <w:p w14:paraId="00178E83" w14:textId="5AB3CA41" w:rsidR="005758F8" w:rsidRPr="00311DE3" w:rsidRDefault="007C73E9" w:rsidP="007C73E9">
            <w:pPr>
              <w:spacing w:line="240" w:lineRule="auto"/>
              <w:ind w:left="567" w:hanging="567"/>
            </w:pPr>
            <w:r w:rsidRPr="007C73E9">
              <w:t xml:space="preserve">Committee on Economic, Social and Cultural Rights, </w:t>
            </w:r>
            <w:r w:rsidR="005626C2">
              <w:t>General Comment</w:t>
            </w:r>
            <w:r w:rsidRPr="007C73E9">
              <w:t xml:space="preserve"> </w:t>
            </w:r>
            <w:r w:rsidR="00B56B1A">
              <w:t xml:space="preserve">No. </w:t>
            </w:r>
            <w:r w:rsidRPr="007C73E9">
              <w:t xml:space="preserve">21 </w:t>
            </w:r>
            <w:r w:rsidRPr="007C73E9">
              <w:rPr>
                <w:i/>
              </w:rPr>
              <w:t xml:space="preserve">Right of everyone to take part in cultural life (art. 15, para 1(a), of the International </w:t>
            </w:r>
            <w:r w:rsidRPr="007C73E9">
              <w:rPr>
                <w:i/>
              </w:rPr>
              <w:lastRenderedPageBreak/>
              <w:t xml:space="preserve">Covenant on Economic, Social and Cultural Rights) </w:t>
            </w:r>
            <w:r w:rsidRPr="007C73E9">
              <w:t xml:space="preserve">E/C.12/GC/21 (2009) </w:t>
            </w:r>
            <w:r w:rsidR="007E05F5">
              <w:t>(“</w:t>
            </w:r>
            <w:r w:rsidRPr="007C73E9">
              <w:t xml:space="preserve">CESCR </w:t>
            </w:r>
            <w:r w:rsidR="005626C2">
              <w:t>General Comment</w:t>
            </w:r>
            <w:r w:rsidRPr="007C73E9">
              <w:t xml:space="preserve"> 21</w:t>
            </w:r>
            <w:r w:rsidR="007E05F5">
              <w:t>”)</w:t>
            </w:r>
          </w:p>
        </w:tc>
        <w:tc>
          <w:tcPr>
            <w:tcW w:w="1242" w:type="dxa"/>
          </w:tcPr>
          <w:p w14:paraId="22C2D8C9" w14:textId="33E611E0" w:rsidR="005758F8" w:rsidRDefault="00202474" w:rsidP="00661C8E">
            <w:pPr>
              <w:jc w:val="center"/>
            </w:pPr>
            <w:r>
              <w:lastRenderedPageBreak/>
              <w:t>32, 45, 46</w:t>
            </w:r>
          </w:p>
        </w:tc>
      </w:tr>
      <w:tr w:rsidR="005758F8" w14:paraId="056C10A5" w14:textId="77777777" w:rsidTr="009371CB">
        <w:tc>
          <w:tcPr>
            <w:tcW w:w="8364" w:type="dxa"/>
          </w:tcPr>
          <w:p w14:paraId="23FCCA8A" w14:textId="16245C54" w:rsidR="005758F8" w:rsidRPr="00311DE3" w:rsidRDefault="007C73E9" w:rsidP="007C73E9">
            <w:pPr>
              <w:spacing w:line="240" w:lineRule="auto"/>
              <w:ind w:left="567" w:hanging="567"/>
            </w:pPr>
            <w:r w:rsidRPr="007C73E9">
              <w:t xml:space="preserve">Committee on Economic, Social and Cultural Rights, </w:t>
            </w:r>
            <w:r w:rsidR="005626C2">
              <w:t>General Comment</w:t>
            </w:r>
            <w:r w:rsidRPr="007C73E9">
              <w:t xml:space="preserve"> </w:t>
            </w:r>
            <w:r w:rsidR="00B56B1A">
              <w:t xml:space="preserve">No. </w:t>
            </w:r>
            <w:r w:rsidRPr="007C73E9">
              <w:t xml:space="preserve">23 </w:t>
            </w:r>
            <w:r w:rsidRPr="007C73E9">
              <w:rPr>
                <w:i/>
              </w:rPr>
              <w:t xml:space="preserve">On the Right to Just and Favourable Conditions of Work </w:t>
            </w:r>
            <w:r w:rsidRPr="007C73E9">
              <w:t xml:space="preserve">E/C.12/GC/23 (2016) </w:t>
            </w:r>
            <w:r w:rsidR="007E05F5">
              <w:t>(“</w:t>
            </w:r>
            <w:r w:rsidRPr="007C73E9">
              <w:t xml:space="preserve">CESCR </w:t>
            </w:r>
            <w:r w:rsidR="005626C2">
              <w:t>General Comment</w:t>
            </w:r>
            <w:r w:rsidRPr="007C73E9">
              <w:t xml:space="preserve"> 23</w:t>
            </w:r>
            <w:r w:rsidR="007E05F5">
              <w:t>”)</w:t>
            </w:r>
          </w:p>
        </w:tc>
        <w:tc>
          <w:tcPr>
            <w:tcW w:w="1242" w:type="dxa"/>
          </w:tcPr>
          <w:p w14:paraId="33F2D1EC" w14:textId="5E20992C" w:rsidR="005758F8" w:rsidRDefault="00202474" w:rsidP="00661C8E">
            <w:pPr>
              <w:jc w:val="center"/>
            </w:pPr>
            <w:r>
              <w:t>43</w:t>
            </w:r>
          </w:p>
        </w:tc>
      </w:tr>
      <w:tr w:rsidR="005758F8" w14:paraId="0E0D6956" w14:textId="77777777" w:rsidTr="009371CB">
        <w:tc>
          <w:tcPr>
            <w:tcW w:w="8364" w:type="dxa"/>
          </w:tcPr>
          <w:p w14:paraId="1F52F295" w14:textId="11117B0B" w:rsidR="005758F8" w:rsidRPr="00311DE3" w:rsidRDefault="007C73E9" w:rsidP="005758F8">
            <w:pPr>
              <w:spacing w:line="240" w:lineRule="auto"/>
              <w:ind w:left="567" w:hanging="567"/>
            </w:pPr>
            <w:r w:rsidRPr="00684732">
              <w:rPr>
                <w:color w:val="000000"/>
                <w:lang w:val="en-GB"/>
              </w:rPr>
              <w:t>Committee on Economic, Social and Cultural Rights</w:t>
            </w:r>
            <w:r>
              <w:rPr>
                <w:color w:val="000000"/>
                <w:lang w:val="en-GB"/>
              </w:rPr>
              <w:t>,</w:t>
            </w:r>
            <w:r w:rsidRPr="00684732">
              <w:rPr>
                <w:color w:val="000000"/>
                <w:lang w:val="en-GB"/>
              </w:rPr>
              <w:t xml:space="preserve"> </w:t>
            </w:r>
            <w:r w:rsidR="005626C2">
              <w:rPr>
                <w:color w:val="000000"/>
                <w:lang w:val="en-GB"/>
              </w:rPr>
              <w:t>General Comment</w:t>
            </w:r>
            <w:r w:rsidR="00B56B1A">
              <w:rPr>
                <w:color w:val="000000"/>
                <w:lang w:val="en-GB"/>
              </w:rPr>
              <w:t xml:space="preserve"> No.</w:t>
            </w:r>
            <w:r w:rsidRPr="007C73E9">
              <w:rPr>
                <w:color w:val="000000"/>
                <w:lang w:val="en-GB"/>
              </w:rPr>
              <w:t xml:space="preserve"> 24</w:t>
            </w:r>
            <w:r w:rsidRPr="00684732">
              <w:rPr>
                <w:i/>
                <w:color w:val="000000"/>
                <w:lang w:val="en-GB"/>
              </w:rPr>
              <w:t xml:space="preserve"> State Obligations Under the International Covenant on Economic, Social and Cultural Rights in the Context of Business Activities</w:t>
            </w:r>
            <w:r w:rsidRPr="00684732">
              <w:rPr>
                <w:color w:val="000000"/>
                <w:lang w:val="en-GB"/>
              </w:rPr>
              <w:t xml:space="preserve"> E/C.12/GC/24</w:t>
            </w:r>
            <w:r>
              <w:rPr>
                <w:color w:val="000000"/>
                <w:lang w:val="en-GB"/>
              </w:rPr>
              <w:t xml:space="preserve"> </w:t>
            </w:r>
            <w:r w:rsidRPr="00684732">
              <w:rPr>
                <w:color w:val="000000"/>
                <w:lang w:val="en-GB"/>
              </w:rPr>
              <w:t xml:space="preserve">(2017) (“CESCR </w:t>
            </w:r>
            <w:r w:rsidR="005626C2">
              <w:rPr>
                <w:color w:val="000000"/>
                <w:lang w:val="en-GB"/>
              </w:rPr>
              <w:t>General Comment</w:t>
            </w:r>
            <w:r w:rsidRPr="00684732">
              <w:rPr>
                <w:color w:val="000000"/>
                <w:lang w:val="en-GB"/>
              </w:rPr>
              <w:t xml:space="preserve"> 24”)</w:t>
            </w:r>
          </w:p>
        </w:tc>
        <w:tc>
          <w:tcPr>
            <w:tcW w:w="1242" w:type="dxa"/>
          </w:tcPr>
          <w:p w14:paraId="4C30FAAC" w14:textId="03D01087" w:rsidR="005758F8" w:rsidRDefault="00202474" w:rsidP="00661C8E">
            <w:pPr>
              <w:jc w:val="center"/>
            </w:pPr>
            <w:r>
              <w:t>32</w:t>
            </w:r>
          </w:p>
        </w:tc>
      </w:tr>
      <w:tr w:rsidR="005758F8" w14:paraId="3064B6E4" w14:textId="77777777" w:rsidTr="009371CB">
        <w:tc>
          <w:tcPr>
            <w:tcW w:w="8364" w:type="dxa"/>
          </w:tcPr>
          <w:p w14:paraId="338EBB58" w14:textId="51D1EB4F" w:rsidR="005758F8" w:rsidRPr="00914D5B" w:rsidRDefault="007C73E9" w:rsidP="007C73E9">
            <w:pPr>
              <w:spacing w:line="240" w:lineRule="auto"/>
              <w:ind w:left="567" w:hanging="567"/>
            </w:pPr>
            <w:r w:rsidRPr="00914D5B">
              <w:t>Committee on the Elimination of Racial Discrimination, General Recommendation No. 21</w:t>
            </w:r>
            <w:r w:rsidRPr="00914D5B">
              <w:rPr>
                <w:i/>
              </w:rPr>
              <w:t xml:space="preserve"> On the right to self-determination </w:t>
            </w:r>
            <w:r w:rsidRPr="00914D5B">
              <w:t xml:space="preserve">15 March 1996 </w:t>
            </w:r>
            <w:r w:rsidR="007E05F5" w:rsidRPr="00914D5B">
              <w:t>(“</w:t>
            </w:r>
            <w:r w:rsidRPr="00914D5B">
              <w:t>CERD General Recommendation 21</w:t>
            </w:r>
            <w:r w:rsidR="007E05F5" w:rsidRPr="00914D5B">
              <w:t>”)</w:t>
            </w:r>
          </w:p>
        </w:tc>
        <w:tc>
          <w:tcPr>
            <w:tcW w:w="1242" w:type="dxa"/>
          </w:tcPr>
          <w:p w14:paraId="05B5F42B" w14:textId="5C5D7278" w:rsidR="005758F8" w:rsidRDefault="00914D5B" w:rsidP="00661C8E">
            <w:pPr>
              <w:jc w:val="center"/>
            </w:pPr>
            <w:r>
              <w:t>46</w:t>
            </w:r>
          </w:p>
        </w:tc>
      </w:tr>
      <w:tr w:rsidR="005758F8" w14:paraId="5A59963A" w14:textId="77777777" w:rsidTr="009371CB">
        <w:tc>
          <w:tcPr>
            <w:tcW w:w="8364" w:type="dxa"/>
          </w:tcPr>
          <w:p w14:paraId="6C791C71" w14:textId="1E00633D" w:rsidR="005758F8" w:rsidRPr="007C73E9" w:rsidRDefault="007C73E9" w:rsidP="007C73E9">
            <w:pPr>
              <w:spacing w:line="240" w:lineRule="auto"/>
              <w:ind w:left="567" w:hanging="567"/>
              <w:rPr>
                <w:i/>
              </w:rPr>
            </w:pPr>
            <w:r w:rsidRPr="007C73E9">
              <w:rPr>
                <w:i/>
              </w:rPr>
              <w:t xml:space="preserve">Concluding Observations of the Committee on Economic, Social and Cultural Rights: Israel </w:t>
            </w:r>
            <w:r w:rsidRPr="007C73E9">
              <w:t xml:space="preserve">E/C.12/1/Add.90 (2003) </w:t>
            </w:r>
            <w:r w:rsidR="007E05F5">
              <w:t>(“</w:t>
            </w:r>
            <w:r w:rsidR="00D36785" w:rsidRPr="00D36785">
              <w:rPr>
                <w:i/>
              </w:rPr>
              <w:t>CESCR</w:t>
            </w:r>
            <w:r w:rsidR="00D36785">
              <w:t xml:space="preserve"> </w:t>
            </w:r>
            <w:r w:rsidRPr="007C73E9">
              <w:rPr>
                <w:i/>
              </w:rPr>
              <w:t>Concluding Observations</w:t>
            </w:r>
            <w:r w:rsidRPr="007C73E9">
              <w:t xml:space="preserve">: </w:t>
            </w:r>
            <w:r w:rsidRPr="007C73E9">
              <w:rPr>
                <w:i/>
              </w:rPr>
              <w:t>Israel (2003)</w:t>
            </w:r>
            <w:r w:rsidR="007E05F5">
              <w:t>”)</w:t>
            </w:r>
          </w:p>
        </w:tc>
        <w:tc>
          <w:tcPr>
            <w:tcW w:w="1242" w:type="dxa"/>
          </w:tcPr>
          <w:p w14:paraId="7D44FAE1" w14:textId="31A94A3D" w:rsidR="005758F8" w:rsidRDefault="00E93B5F" w:rsidP="00661C8E">
            <w:pPr>
              <w:jc w:val="center"/>
            </w:pPr>
            <w:r>
              <w:t>43</w:t>
            </w:r>
          </w:p>
        </w:tc>
      </w:tr>
      <w:tr w:rsidR="005758F8" w14:paraId="7ACA8675" w14:textId="77777777" w:rsidTr="009371CB">
        <w:tc>
          <w:tcPr>
            <w:tcW w:w="8364" w:type="dxa"/>
          </w:tcPr>
          <w:p w14:paraId="66BF0D4C" w14:textId="6706967E" w:rsidR="005758F8" w:rsidRPr="00311DE3" w:rsidRDefault="007C73E9" w:rsidP="00436242">
            <w:pPr>
              <w:spacing w:line="240" w:lineRule="auto"/>
              <w:ind w:left="567" w:hanging="567"/>
            </w:pPr>
            <w:r w:rsidRPr="007C73E9">
              <w:t xml:space="preserve">Conference of the Parties to the Convention on Biological Diversity </w:t>
            </w:r>
            <w:r w:rsidRPr="007C73E9">
              <w:rPr>
                <w:i/>
              </w:rPr>
              <w:t xml:space="preserve">Decision VII/19: Access and benefit-sharing as related to genetic resources (Article 15) </w:t>
            </w:r>
            <w:r w:rsidRPr="007C73E9">
              <w:t>UNEP/CBD/COP/DEC/VII/19</w:t>
            </w:r>
            <w:r w:rsidRPr="007C73E9">
              <w:rPr>
                <w:i/>
              </w:rPr>
              <w:t xml:space="preserve"> </w:t>
            </w:r>
            <w:r w:rsidRPr="007C73E9">
              <w:t xml:space="preserve">(13 April 2004) </w:t>
            </w:r>
            <w:r w:rsidR="007E05F5">
              <w:t>(“</w:t>
            </w:r>
            <w:r w:rsidRPr="007C73E9">
              <w:rPr>
                <w:i/>
              </w:rPr>
              <w:t>Decision VII/19</w:t>
            </w:r>
            <w:r w:rsidR="007E05F5" w:rsidRPr="00D36785">
              <w:t>”)</w:t>
            </w:r>
          </w:p>
        </w:tc>
        <w:tc>
          <w:tcPr>
            <w:tcW w:w="1242" w:type="dxa"/>
          </w:tcPr>
          <w:p w14:paraId="4A6E0BE1" w14:textId="0FFCDFA9" w:rsidR="005758F8" w:rsidRDefault="00E93B5F" w:rsidP="00661C8E">
            <w:pPr>
              <w:jc w:val="center"/>
            </w:pPr>
            <w:r>
              <w:t>51</w:t>
            </w:r>
          </w:p>
        </w:tc>
      </w:tr>
      <w:tr w:rsidR="005758F8" w14:paraId="59D642FD" w14:textId="77777777" w:rsidTr="009371CB">
        <w:tc>
          <w:tcPr>
            <w:tcW w:w="8364" w:type="dxa"/>
          </w:tcPr>
          <w:p w14:paraId="469540E5" w14:textId="02C8562A" w:rsidR="005758F8" w:rsidRPr="00311DE3" w:rsidRDefault="00436242" w:rsidP="00436242">
            <w:pPr>
              <w:spacing w:line="240" w:lineRule="auto"/>
              <w:ind w:left="567" w:hanging="567"/>
            </w:pPr>
            <w:r w:rsidRPr="00436242">
              <w:rPr>
                <w:i/>
              </w:rPr>
              <w:t>Decisions Adopted by the Conference of the Parties to the Convention on Biological Diversity at its Sixth Meeting</w:t>
            </w:r>
            <w:r w:rsidRPr="00436242">
              <w:t xml:space="preserve">, Decision VI/24, UNEP/CBD/COP/6/20 </w:t>
            </w:r>
            <w:r w:rsidR="007E05F5">
              <w:t>(“</w:t>
            </w:r>
            <w:r w:rsidRPr="00436242">
              <w:t>Bonn Guidelines</w:t>
            </w:r>
            <w:r w:rsidR="007E05F5">
              <w:t>”)</w:t>
            </w:r>
          </w:p>
        </w:tc>
        <w:tc>
          <w:tcPr>
            <w:tcW w:w="1242" w:type="dxa"/>
          </w:tcPr>
          <w:p w14:paraId="66E77DE9" w14:textId="0546CF9D" w:rsidR="005758F8" w:rsidRDefault="00E93B5F" w:rsidP="00661C8E">
            <w:pPr>
              <w:jc w:val="center"/>
            </w:pPr>
            <w:r>
              <w:t>55</w:t>
            </w:r>
          </w:p>
        </w:tc>
      </w:tr>
      <w:tr w:rsidR="005758F8" w14:paraId="6AA6E937" w14:textId="77777777" w:rsidTr="009371CB">
        <w:tc>
          <w:tcPr>
            <w:tcW w:w="8364" w:type="dxa"/>
          </w:tcPr>
          <w:p w14:paraId="0BD4BA9B" w14:textId="61FC2D07" w:rsidR="005758F8" w:rsidRPr="00311DE3" w:rsidRDefault="00436242" w:rsidP="00436242">
            <w:pPr>
              <w:spacing w:line="240" w:lineRule="auto"/>
              <w:ind w:left="567" w:hanging="567"/>
            </w:pPr>
            <w:r w:rsidRPr="00436242">
              <w:rPr>
                <w:i/>
              </w:rPr>
              <w:t xml:space="preserve">Declaration on Principles of International Law concerning Friendly Relations and Co-operation among States in accordance with the Charter of the United Nations </w:t>
            </w:r>
            <w:r w:rsidRPr="00436242">
              <w:t xml:space="preserve">A/Res/25/2625 (1970) </w:t>
            </w:r>
            <w:r w:rsidR="007E05F5">
              <w:t>(“</w:t>
            </w:r>
            <w:r w:rsidRPr="00436242">
              <w:rPr>
                <w:i/>
              </w:rPr>
              <w:t>Friendly Relations Declaration</w:t>
            </w:r>
            <w:r w:rsidR="007E05F5" w:rsidRPr="00D36785">
              <w:t>”)</w:t>
            </w:r>
          </w:p>
        </w:tc>
        <w:tc>
          <w:tcPr>
            <w:tcW w:w="1242" w:type="dxa"/>
          </w:tcPr>
          <w:p w14:paraId="7B0785DA" w14:textId="7A4C1381" w:rsidR="005758F8" w:rsidRDefault="00E93B5F" w:rsidP="00661C8E">
            <w:pPr>
              <w:jc w:val="center"/>
            </w:pPr>
            <w:r>
              <w:t>43</w:t>
            </w:r>
          </w:p>
        </w:tc>
      </w:tr>
      <w:tr w:rsidR="005758F8" w14:paraId="52A80F93" w14:textId="77777777" w:rsidTr="009371CB">
        <w:tc>
          <w:tcPr>
            <w:tcW w:w="8364" w:type="dxa"/>
          </w:tcPr>
          <w:p w14:paraId="204DC7E9" w14:textId="30AC4B72" w:rsidR="005758F8" w:rsidRPr="00436242" w:rsidRDefault="00436242" w:rsidP="00436242">
            <w:pPr>
              <w:spacing w:line="240" w:lineRule="auto"/>
              <w:ind w:left="567" w:hanging="567"/>
              <w:rPr>
                <w:i/>
              </w:rPr>
            </w:pPr>
            <w:r w:rsidRPr="00436242">
              <w:rPr>
                <w:i/>
              </w:rPr>
              <w:t xml:space="preserve">Declaration on the Elimination of all Forms of Intolerance and of Discrimination Based on Religion or Belief </w:t>
            </w:r>
            <w:r w:rsidRPr="00436242">
              <w:t xml:space="preserve">A/Res/36/55 (1981) </w:t>
            </w:r>
            <w:r w:rsidR="007E05F5">
              <w:t>(“</w:t>
            </w:r>
            <w:r w:rsidRPr="00436242">
              <w:rPr>
                <w:i/>
              </w:rPr>
              <w:t>Declaration on the Elimination of Religious Discrimination</w:t>
            </w:r>
            <w:r w:rsidR="007E05F5" w:rsidRPr="00D36785">
              <w:t>”)</w:t>
            </w:r>
          </w:p>
        </w:tc>
        <w:tc>
          <w:tcPr>
            <w:tcW w:w="1242" w:type="dxa"/>
          </w:tcPr>
          <w:p w14:paraId="62FB02D2" w14:textId="705A868A" w:rsidR="005758F8" w:rsidRDefault="00F73EB2" w:rsidP="00661C8E">
            <w:pPr>
              <w:jc w:val="center"/>
            </w:pPr>
            <w:r>
              <w:t>45</w:t>
            </w:r>
          </w:p>
        </w:tc>
      </w:tr>
      <w:tr w:rsidR="005758F8" w14:paraId="5FD8A992" w14:textId="77777777" w:rsidTr="009371CB">
        <w:tc>
          <w:tcPr>
            <w:tcW w:w="8364" w:type="dxa"/>
          </w:tcPr>
          <w:p w14:paraId="146A59B7" w14:textId="3955AC6A" w:rsidR="005758F8" w:rsidRPr="00311DE3" w:rsidRDefault="00436242" w:rsidP="007C73E9">
            <w:pPr>
              <w:spacing w:line="240" w:lineRule="auto"/>
              <w:ind w:left="567" w:hanging="567"/>
            </w:pPr>
            <w:r w:rsidRPr="00684732">
              <w:rPr>
                <w:color w:val="000000"/>
                <w:lang w:val="en-GB"/>
              </w:rPr>
              <w:t>Declaration of the United Nations Conference on the Human Environment (1972) 11 ILM 1416 (“</w:t>
            </w:r>
            <w:r w:rsidRPr="00684732">
              <w:rPr>
                <w:iCs/>
                <w:color w:val="000000"/>
                <w:lang w:val="en-GB"/>
              </w:rPr>
              <w:t>Stockholm Declaration”</w:t>
            </w:r>
            <w:r w:rsidRPr="00684732">
              <w:rPr>
                <w:color w:val="000000"/>
                <w:lang w:val="en-GB"/>
              </w:rPr>
              <w:t>)</w:t>
            </w:r>
          </w:p>
        </w:tc>
        <w:tc>
          <w:tcPr>
            <w:tcW w:w="1242" w:type="dxa"/>
          </w:tcPr>
          <w:p w14:paraId="4F0076C1" w14:textId="5C1D2548" w:rsidR="005758F8" w:rsidRDefault="00F73EB2" w:rsidP="00661C8E">
            <w:pPr>
              <w:jc w:val="center"/>
            </w:pPr>
            <w:r>
              <w:t>31, 37</w:t>
            </w:r>
          </w:p>
        </w:tc>
      </w:tr>
      <w:tr w:rsidR="005758F8" w14:paraId="7EF68E92" w14:textId="77777777" w:rsidTr="009371CB">
        <w:tc>
          <w:tcPr>
            <w:tcW w:w="8364" w:type="dxa"/>
          </w:tcPr>
          <w:p w14:paraId="15EE2F9E" w14:textId="426D2F72" w:rsidR="005758F8" w:rsidRPr="00311DE3" w:rsidRDefault="00436242" w:rsidP="00436242">
            <w:pPr>
              <w:spacing w:line="240" w:lineRule="auto"/>
              <w:ind w:left="567" w:hanging="567"/>
            </w:pPr>
            <w:r w:rsidRPr="00436242">
              <w:t xml:space="preserve">Human Rights Committee Communication No. 1207/2003 </w:t>
            </w:r>
            <w:r w:rsidRPr="00436242">
              <w:rPr>
                <w:i/>
              </w:rPr>
              <w:t xml:space="preserve">Sergei </w:t>
            </w:r>
            <w:proofErr w:type="spellStart"/>
            <w:r w:rsidRPr="00436242">
              <w:rPr>
                <w:i/>
              </w:rPr>
              <w:t>Malakhovsky</w:t>
            </w:r>
            <w:proofErr w:type="spellEnd"/>
            <w:r w:rsidRPr="00436242">
              <w:rPr>
                <w:i/>
              </w:rPr>
              <w:t xml:space="preserve"> and Alexander </w:t>
            </w:r>
            <w:proofErr w:type="spellStart"/>
            <w:r w:rsidRPr="00436242">
              <w:rPr>
                <w:i/>
              </w:rPr>
              <w:t>Pikul</w:t>
            </w:r>
            <w:proofErr w:type="spellEnd"/>
            <w:r w:rsidRPr="00436242">
              <w:rPr>
                <w:i/>
              </w:rPr>
              <w:t xml:space="preserve"> v Belarus </w:t>
            </w:r>
            <w:r w:rsidRPr="00436242">
              <w:t xml:space="preserve">CCPR/C/84/D/1207/2003 (2005) </w:t>
            </w:r>
            <w:r w:rsidR="007E05F5">
              <w:t>(“</w:t>
            </w:r>
            <w:proofErr w:type="spellStart"/>
            <w:r w:rsidRPr="00436242">
              <w:rPr>
                <w:i/>
              </w:rPr>
              <w:t>Malakhovsky</w:t>
            </w:r>
            <w:proofErr w:type="spellEnd"/>
            <w:r w:rsidRPr="00436242">
              <w:rPr>
                <w:i/>
              </w:rPr>
              <w:t xml:space="preserve"> v Belarus</w:t>
            </w:r>
            <w:r w:rsidR="007E05F5" w:rsidRPr="00D36785">
              <w:t>”)</w:t>
            </w:r>
          </w:p>
        </w:tc>
        <w:tc>
          <w:tcPr>
            <w:tcW w:w="1242" w:type="dxa"/>
          </w:tcPr>
          <w:p w14:paraId="6DA57140" w14:textId="1FF63D3B" w:rsidR="005758F8" w:rsidRDefault="00F73EB2" w:rsidP="00661C8E">
            <w:pPr>
              <w:jc w:val="center"/>
            </w:pPr>
            <w:r>
              <w:t>44</w:t>
            </w:r>
          </w:p>
        </w:tc>
      </w:tr>
      <w:tr w:rsidR="005758F8" w14:paraId="2852E06C" w14:textId="77777777" w:rsidTr="009371CB">
        <w:tc>
          <w:tcPr>
            <w:tcW w:w="8364" w:type="dxa"/>
          </w:tcPr>
          <w:p w14:paraId="53C86DA6" w14:textId="3AE8C8C5" w:rsidR="005758F8" w:rsidRPr="00311DE3" w:rsidRDefault="00436242" w:rsidP="00436242">
            <w:pPr>
              <w:spacing w:line="240" w:lineRule="auto"/>
              <w:ind w:left="567" w:hanging="567"/>
            </w:pPr>
            <w:r w:rsidRPr="00436242">
              <w:t xml:space="preserve">Human Rights Committee Communication No. 1474/2006 </w:t>
            </w:r>
            <w:r w:rsidRPr="00436242">
              <w:rPr>
                <w:i/>
              </w:rPr>
              <w:t xml:space="preserve">Mr. Gareth </w:t>
            </w:r>
            <w:proofErr w:type="spellStart"/>
            <w:r w:rsidRPr="00436242">
              <w:rPr>
                <w:i/>
              </w:rPr>
              <w:t>Anver</w:t>
            </w:r>
            <w:proofErr w:type="spellEnd"/>
            <w:r w:rsidRPr="00436242">
              <w:rPr>
                <w:i/>
              </w:rPr>
              <w:t xml:space="preserve"> Prince v South Africa </w:t>
            </w:r>
            <w:r w:rsidRPr="00436242">
              <w:t xml:space="preserve">CCPR/C/91/D/1474/2006 (2007) </w:t>
            </w:r>
            <w:r w:rsidR="007E05F5">
              <w:t>(“</w:t>
            </w:r>
            <w:r w:rsidRPr="00436242">
              <w:rPr>
                <w:i/>
              </w:rPr>
              <w:t>Prince v South Africa</w:t>
            </w:r>
            <w:r w:rsidR="007E05F5">
              <w:t>”)</w:t>
            </w:r>
          </w:p>
        </w:tc>
        <w:tc>
          <w:tcPr>
            <w:tcW w:w="1242" w:type="dxa"/>
          </w:tcPr>
          <w:p w14:paraId="4B2367D3" w14:textId="55CAACAE" w:rsidR="005758F8" w:rsidRDefault="00F73EB2" w:rsidP="00661C8E">
            <w:pPr>
              <w:jc w:val="center"/>
            </w:pPr>
            <w:r>
              <w:t>44, 46</w:t>
            </w:r>
          </w:p>
        </w:tc>
      </w:tr>
      <w:tr w:rsidR="005758F8" w14:paraId="432744BF" w14:textId="77777777" w:rsidTr="009371CB">
        <w:tc>
          <w:tcPr>
            <w:tcW w:w="8364" w:type="dxa"/>
          </w:tcPr>
          <w:p w14:paraId="0E784FC0" w14:textId="15840F6D" w:rsidR="005758F8" w:rsidRPr="00311DE3" w:rsidRDefault="00436242" w:rsidP="00436242">
            <w:pPr>
              <w:spacing w:line="240" w:lineRule="auto"/>
              <w:ind w:left="567" w:hanging="567"/>
            </w:pPr>
            <w:r w:rsidRPr="00436242">
              <w:t xml:space="preserve">Human Rights Committee Communication No. 2131/2012 </w:t>
            </w:r>
            <w:r w:rsidRPr="00436242">
              <w:rPr>
                <w:i/>
              </w:rPr>
              <w:t xml:space="preserve">Viktor Leven v Kazakhstan </w:t>
            </w:r>
            <w:r w:rsidRPr="00436242">
              <w:t xml:space="preserve">CCPR/C/112/D/2131/2012 (2015) </w:t>
            </w:r>
            <w:r w:rsidR="007E05F5">
              <w:t>(“</w:t>
            </w:r>
            <w:r w:rsidRPr="00436242">
              <w:rPr>
                <w:i/>
              </w:rPr>
              <w:t>Leven v Kazakhstan</w:t>
            </w:r>
            <w:r w:rsidR="007E05F5" w:rsidRPr="00D36785">
              <w:t>”)</w:t>
            </w:r>
          </w:p>
        </w:tc>
        <w:tc>
          <w:tcPr>
            <w:tcW w:w="1242" w:type="dxa"/>
          </w:tcPr>
          <w:p w14:paraId="38983B49" w14:textId="2452C522" w:rsidR="005758F8" w:rsidRDefault="00F73EB2" w:rsidP="00661C8E">
            <w:pPr>
              <w:jc w:val="center"/>
            </w:pPr>
            <w:r>
              <w:t>44</w:t>
            </w:r>
          </w:p>
        </w:tc>
      </w:tr>
      <w:tr w:rsidR="005758F8" w14:paraId="56E4D937" w14:textId="77777777" w:rsidTr="009371CB">
        <w:tc>
          <w:tcPr>
            <w:tcW w:w="8364" w:type="dxa"/>
          </w:tcPr>
          <w:p w14:paraId="54853C6F" w14:textId="58FF7336" w:rsidR="005758F8" w:rsidRPr="00311DE3" w:rsidRDefault="00436242" w:rsidP="00436242">
            <w:pPr>
              <w:spacing w:line="240" w:lineRule="auto"/>
              <w:ind w:left="567" w:hanging="567"/>
            </w:pPr>
            <w:r w:rsidRPr="00436242">
              <w:t xml:space="preserve">Human Rights Committee Communication No. 52/1979 </w:t>
            </w:r>
            <w:r w:rsidRPr="00436242">
              <w:rPr>
                <w:i/>
              </w:rPr>
              <w:t xml:space="preserve">Delia </w:t>
            </w:r>
            <w:proofErr w:type="spellStart"/>
            <w:r w:rsidRPr="00436242">
              <w:rPr>
                <w:i/>
              </w:rPr>
              <w:t>Saldias</w:t>
            </w:r>
            <w:proofErr w:type="spellEnd"/>
            <w:r w:rsidRPr="00436242">
              <w:rPr>
                <w:i/>
              </w:rPr>
              <w:t xml:space="preserve"> de Lopez v Uruguay </w:t>
            </w:r>
            <w:r w:rsidRPr="00436242">
              <w:t xml:space="preserve">CCPR/C/OP/1 at 88 (1984) </w:t>
            </w:r>
            <w:r w:rsidR="007E05F5">
              <w:t>(“</w:t>
            </w:r>
            <w:r w:rsidRPr="00436242">
              <w:rPr>
                <w:i/>
              </w:rPr>
              <w:t>Lopez v Uruguay</w:t>
            </w:r>
            <w:r w:rsidR="007E05F5" w:rsidRPr="00D36785">
              <w:t>”)</w:t>
            </w:r>
          </w:p>
        </w:tc>
        <w:tc>
          <w:tcPr>
            <w:tcW w:w="1242" w:type="dxa"/>
          </w:tcPr>
          <w:p w14:paraId="166C617E" w14:textId="467E5AC8" w:rsidR="005758F8" w:rsidRDefault="00F73EB2" w:rsidP="00661C8E">
            <w:pPr>
              <w:jc w:val="center"/>
            </w:pPr>
            <w:r>
              <w:t>43</w:t>
            </w:r>
          </w:p>
        </w:tc>
      </w:tr>
      <w:tr w:rsidR="005758F8" w14:paraId="4A6079B5" w14:textId="77777777" w:rsidTr="009371CB">
        <w:tc>
          <w:tcPr>
            <w:tcW w:w="8364" w:type="dxa"/>
          </w:tcPr>
          <w:p w14:paraId="246E06E6" w14:textId="5417A53E" w:rsidR="005758F8" w:rsidRPr="00311DE3" w:rsidRDefault="00436242" w:rsidP="00436242">
            <w:pPr>
              <w:spacing w:line="240" w:lineRule="auto"/>
              <w:ind w:left="567" w:hanging="567"/>
            </w:pPr>
            <w:r w:rsidRPr="00436242">
              <w:t xml:space="preserve">Human Rights Committee Communication No. 547/1993 </w:t>
            </w:r>
            <w:proofErr w:type="spellStart"/>
            <w:r w:rsidRPr="00436242">
              <w:rPr>
                <w:i/>
              </w:rPr>
              <w:t>Apirana</w:t>
            </w:r>
            <w:proofErr w:type="spellEnd"/>
            <w:r w:rsidRPr="00436242">
              <w:rPr>
                <w:i/>
              </w:rPr>
              <w:t xml:space="preserve"> </w:t>
            </w:r>
            <w:proofErr w:type="spellStart"/>
            <w:r w:rsidRPr="00436242">
              <w:rPr>
                <w:i/>
              </w:rPr>
              <w:t>Mahuika</w:t>
            </w:r>
            <w:proofErr w:type="spellEnd"/>
            <w:r w:rsidRPr="00436242">
              <w:rPr>
                <w:i/>
              </w:rPr>
              <w:t xml:space="preserve"> et al. v New Zealand </w:t>
            </w:r>
            <w:r w:rsidRPr="00436242">
              <w:t xml:space="preserve">CCPR/C/70/D/546/1993 (1993) </w:t>
            </w:r>
            <w:r w:rsidR="007E05F5">
              <w:t>(“</w:t>
            </w:r>
            <w:proofErr w:type="spellStart"/>
            <w:r w:rsidRPr="00436242">
              <w:rPr>
                <w:i/>
              </w:rPr>
              <w:t>Apirana</w:t>
            </w:r>
            <w:proofErr w:type="spellEnd"/>
            <w:r w:rsidRPr="00436242">
              <w:rPr>
                <w:i/>
              </w:rPr>
              <w:t xml:space="preserve"> </w:t>
            </w:r>
            <w:proofErr w:type="spellStart"/>
            <w:r w:rsidRPr="00436242">
              <w:rPr>
                <w:i/>
              </w:rPr>
              <w:t>Mahuika</w:t>
            </w:r>
            <w:proofErr w:type="spellEnd"/>
            <w:r w:rsidR="007E05F5">
              <w:t>”)</w:t>
            </w:r>
          </w:p>
        </w:tc>
        <w:tc>
          <w:tcPr>
            <w:tcW w:w="1242" w:type="dxa"/>
          </w:tcPr>
          <w:p w14:paraId="2C0B58F5" w14:textId="40AC76E4" w:rsidR="005758F8" w:rsidRDefault="00F73EB2" w:rsidP="00661C8E">
            <w:pPr>
              <w:jc w:val="center"/>
            </w:pPr>
            <w:r>
              <w:t>46</w:t>
            </w:r>
          </w:p>
        </w:tc>
      </w:tr>
      <w:tr w:rsidR="005758F8" w14:paraId="04C95EF0" w14:textId="77777777" w:rsidTr="009371CB">
        <w:tc>
          <w:tcPr>
            <w:tcW w:w="8364" w:type="dxa"/>
          </w:tcPr>
          <w:p w14:paraId="7229F243" w14:textId="53499229" w:rsidR="005758F8" w:rsidRPr="00311DE3" w:rsidRDefault="00436242" w:rsidP="00436242">
            <w:pPr>
              <w:spacing w:line="240" w:lineRule="auto"/>
              <w:ind w:left="567" w:hanging="567"/>
            </w:pPr>
            <w:r w:rsidRPr="00436242">
              <w:lastRenderedPageBreak/>
              <w:t xml:space="preserve">Human Rights Committee Communication No. 56/1979 </w:t>
            </w:r>
            <w:r w:rsidRPr="00436242">
              <w:rPr>
                <w:i/>
              </w:rPr>
              <w:t xml:space="preserve">Lilian </w:t>
            </w:r>
            <w:proofErr w:type="spellStart"/>
            <w:r w:rsidRPr="00436242">
              <w:rPr>
                <w:i/>
              </w:rPr>
              <w:t>Celiberti</w:t>
            </w:r>
            <w:proofErr w:type="spellEnd"/>
            <w:r w:rsidRPr="00436242">
              <w:rPr>
                <w:i/>
              </w:rPr>
              <w:t xml:space="preserve"> de </w:t>
            </w:r>
            <w:proofErr w:type="spellStart"/>
            <w:r w:rsidRPr="00436242">
              <w:rPr>
                <w:i/>
              </w:rPr>
              <w:t>Casariego</w:t>
            </w:r>
            <w:proofErr w:type="spellEnd"/>
            <w:r w:rsidRPr="00436242">
              <w:rPr>
                <w:i/>
              </w:rPr>
              <w:t xml:space="preserve"> v Uruguay </w:t>
            </w:r>
            <w:r w:rsidRPr="00436242">
              <w:t xml:space="preserve">CCPR/C/OP/1 (1981) </w:t>
            </w:r>
            <w:r w:rsidR="007E05F5">
              <w:t>(“</w:t>
            </w:r>
            <w:proofErr w:type="spellStart"/>
            <w:r w:rsidRPr="00436242">
              <w:rPr>
                <w:i/>
              </w:rPr>
              <w:t>Casariego</w:t>
            </w:r>
            <w:proofErr w:type="spellEnd"/>
            <w:r w:rsidRPr="00436242">
              <w:rPr>
                <w:i/>
              </w:rPr>
              <w:t xml:space="preserve"> v Uruguay</w:t>
            </w:r>
            <w:r w:rsidR="007E05F5" w:rsidRPr="00D36785">
              <w:t>”)</w:t>
            </w:r>
          </w:p>
        </w:tc>
        <w:tc>
          <w:tcPr>
            <w:tcW w:w="1242" w:type="dxa"/>
          </w:tcPr>
          <w:p w14:paraId="4E3FE88E" w14:textId="42E430AF" w:rsidR="005758F8" w:rsidRDefault="003215BA" w:rsidP="00661C8E">
            <w:pPr>
              <w:jc w:val="center"/>
            </w:pPr>
            <w:r>
              <w:t>43</w:t>
            </w:r>
          </w:p>
        </w:tc>
      </w:tr>
      <w:tr w:rsidR="005758F8" w14:paraId="7B949657" w14:textId="77777777" w:rsidTr="009371CB">
        <w:tc>
          <w:tcPr>
            <w:tcW w:w="8364" w:type="dxa"/>
          </w:tcPr>
          <w:p w14:paraId="3C4BDE60" w14:textId="68EBC7F7" w:rsidR="005758F8" w:rsidRPr="00311DE3" w:rsidRDefault="00436242" w:rsidP="00436242">
            <w:pPr>
              <w:spacing w:line="240" w:lineRule="auto"/>
              <w:ind w:left="567" w:hanging="567"/>
            </w:pPr>
            <w:r w:rsidRPr="00436242">
              <w:t xml:space="preserve">Human Rights Committee Communication No. 721/1996 </w:t>
            </w:r>
            <w:r w:rsidRPr="00436242">
              <w:rPr>
                <w:i/>
              </w:rPr>
              <w:t xml:space="preserve">Mr. Clement </w:t>
            </w:r>
            <w:proofErr w:type="spellStart"/>
            <w:r w:rsidRPr="00436242">
              <w:rPr>
                <w:i/>
              </w:rPr>
              <w:t>Boodoo</w:t>
            </w:r>
            <w:proofErr w:type="spellEnd"/>
            <w:r w:rsidRPr="00436242">
              <w:rPr>
                <w:i/>
              </w:rPr>
              <w:t xml:space="preserve"> v Trinidad and Tobago </w:t>
            </w:r>
            <w:r w:rsidRPr="00436242">
              <w:t xml:space="preserve">CCPR/C/74/D/721/1996 (2002) </w:t>
            </w:r>
            <w:r w:rsidR="007E05F5">
              <w:t>(“</w:t>
            </w:r>
            <w:proofErr w:type="spellStart"/>
            <w:r w:rsidRPr="00436242">
              <w:rPr>
                <w:i/>
              </w:rPr>
              <w:t>Boodoo</w:t>
            </w:r>
            <w:proofErr w:type="spellEnd"/>
            <w:r w:rsidRPr="00436242">
              <w:rPr>
                <w:i/>
              </w:rPr>
              <w:t xml:space="preserve"> v Trinidad and Tobago</w:t>
            </w:r>
            <w:r w:rsidR="007E05F5" w:rsidRPr="00D36785">
              <w:t>”)</w:t>
            </w:r>
          </w:p>
        </w:tc>
        <w:tc>
          <w:tcPr>
            <w:tcW w:w="1242" w:type="dxa"/>
          </w:tcPr>
          <w:p w14:paraId="459EE3C3" w14:textId="3BBA588F" w:rsidR="005758F8" w:rsidRDefault="003215BA" w:rsidP="00661C8E">
            <w:pPr>
              <w:jc w:val="center"/>
            </w:pPr>
            <w:r>
              <w:t>44</w:t>
            </w:r>
          </w:p>
        </w:tc>
      </w:tr>
      <w:tr w:rsidR="00705540" w14:paraId="4B42A03D" w14:textId="77777777" w:rsidTr="009371CB">
        <w:tc>
          <w:tcPr>
            <w:tcW w:w="8364" w:type="dxa"/>
          </w:tcPr>
          <w:p w14:paraId="3943E6A8" w14:textId="39AB8651" w:rsidR="00705540" w:rsidRPr="00311DE3" w:rsidRDefault="00436242" w:rsidP="00436242">
            <w:pPr>
              <w:spacing w:line="240" w:lineRule="auto"/>
              <w:ind w:left="567" w:hanging="567"/>
            </w:pPr>
            <w:r w:rsidRPr="00436242">
              <w:t xml:space="preserve">Human Rights Committee, </w:t>
            </w:r>
            <w:r w:rsidR="005626C2">
              <w:t>General Comment</w:t>
            </w:r>
            <w:r w:rsidR="00B56B1A">
              <w:t xml:space="preserve"> No.</w:t>
            </w:r>
            <w:r w:rsidRPr="00436242">
              <w:t xml:space="preserve"> 22 </w:t>
            </w:r>
            <w:r w:rsidRPr="00436242">
              <w:rPr>
                <w:i/>
              </w:rPr>
              <w:t xml:space="preserve">Article 18 (Freedom of Thought, Conscience or Religion) </w:t>
            </w:r>
            <w:r w:rsidRPr="00436242">
              <w:t xml:space="preserve">CCPR/C/21/Rev.1/Add.4 (1993) </w:t>
            </w:r>
            <w:r w:rsidR="007E05F5">
              <w:t>(“</w:t>
            </w:r>
            <w:r w:rsidRPr="00436242">
              <w:t xml:space="preserve">HRC </w:t>
            </w:r>
            <w:r w:rsidR="005626C2">
              <w:t>General Comment</w:t>
            </w:r>
            <w:r w:rsidRPr="00436242">
              <w:t xml:space="preserve"> 22</w:t>
            </w:r>
            <w:r w:rsidR="007E05F5">
              <w:t>”)</w:t>
            </w:r>
          </w:p>
        </w:tc>
        <w:tc>
          <w:tcPr>
            <w:tcW w:w="1242" w:type="dxa"/>
          </w:tcPr>
          <w:p w14:paraId="7CF48296" w14:textId="60C3C10A" w:rsidR="00705540" w:rsidRDefault="003215BA" w:rsidP="00661C8E">
            <w:pPr>
              <w:jc w:val="center"/>
            </w:pPr>
            <w:r>
              <w:t>44, 46</w:t>
            </w:r>
          </w:p>
        </w:tc>
      </w:tr>
      <w:tr w:rsidR="00705540" w14:paraId="0A871F82" w14:textId="77777777" w:rsidTr="009371CB">
        <w:tc>
          <w:tcPr>
            <w:tcW w:w="8364" w:type="dxa"/>
          </w:tcPr>
          <w:p w14:paraId="560A25CA" w14:textId="4C1A5095" w:rsidR="00705540" w:rsidRPr="00311DE3" w:rsidRDefault="00436242" w:rsidP="00436242">
            <w:pPr>
              <w:spacing w:line="240" w:lineRule="auto"/>
              <w:ind w:left="567" w:hanging="567"/>
            </w:pPr>
            <w:r w:rsidRPr="00436242">
              <w:t xml:space="preserve">Human Rights Committee, </w:t>
            </w:r>
            <w:r w:rsidR="005626C2">
              <w:t>General Comment</w:t>
            </w:r>
            <w:r w:rsidRPr="00436242">
              <w:t xml:space="preserve"> </w:t>
            </w:r>
            <w:r w:rsidR="00B56B1A">
              <w:t xml:space="preserve">No. </w:t>
            </w:r>
            <w:r w:rsidRPr="00436242">
              <w:t xml:space="preserve">24 </w:t>
            </w:r>
            <w:r w:rsidRPr="00436242">
              <w:rPr>
                <w:i/>
              </w:rPr>
              <w:t xml:space="preserve">Issues relating to reservations made upon ratification or accession to the Covenant or the Optional Protocols thereto, or in relation to declarations under article 41 of the Covenant </w:t>
            </w:r>
            <w:r w:rsidRPr="00436242">
              <w:t xml:space="preserve">CCPR/C/21/Rev.1/Add.6 (1994) </w:t>
            </w:r>
            <w:r w:rsidR="007E05F5">
              <w:t>(“</w:t>
            </w:r>
            <w:r w:rsidRPr="00436242">
              <w:t xml:space="preserve">HRC </w:t>
            </w:r>
            <w:r w:rsidR="005626C2">
              <w:t>General Comment</w:t>
            </w:r>
            <w:r w:rsidRPr="00436242">
              <w:t xml:space="preserve"> 24</w:t>
            </w:r>
            <w:r w:rsidR="007E05F5">
              <w:t>”)</w:t>
            </w:r>
          </w:p>
        </w:tc>
        <w:tc>
          <w:tcPr>
            <w:tcW w:w="1242" w:type="dxa"/>
          </w:tcPr>
          <w:p w14:paraId="5E58AA38" w14:textId="3E9C48B4" w:rsidR="00705540" w:rsidRDefault="003215BA" w:rsidP="00661C8E">
            <w:pPr>
              <w:jc w:val="center"/>
            </w:pPr>
            <w:r>
              <w:t>42</w:t>
            </w:r>
          </w:p>
        </w:tc>
      </w:tr>
      <w:tr w:rsidR="00705540" w14:paraId="404CE95A" w14:textId="77777777" w:rsidTr="009371CB">
        <w:tc>
          <w:tcPr>
            <w:tcW w:w="8364" w:type="dxa"/>
          </w:tcPr>
          <w:p w14:paraId="7CD066AF" w14:textId="78970818" w:rsidR="00705540" w:rsidRPr="00311DE3" w:rsidRDefault="00436242" w:rsidP="00436242">
            <w:pPr>
              <w:spacing w:line="240" w:lineRule="auto"/>
              <w:ind w:left="567" w:hanging="567"/>
            </w:pPr>
            <w:r w:rsidRPr="00436242">
              <w:t xml:space="preserve">Human Rights Committee, </w:t>
            </w:r>
            <w:r w:rsidR="005626C2">
              <w:t>General Comment</w:t>
            </w:r>
            <w:r w:rsidRPr="00436242">
              <w:t xml:space="preserve"> </w:t>
            </w:r>
            <w:r w:rsidR="00B56B1A">
              <w:t xml:space="preserve">No. </w:t>
            </w:r>
            <w:r w:rsidRPr="00436242">
              <w:t xml:space="preserve">31 </w:t>
            </w:r>
            <w:r w:rsidRPr="00436242">
              <w:rPr>
                <w:i/>
              </w:rPr>
              <w:t xml:space="preserve">The Nature of the General Legal Obligation Imposed on State Parties to the Covenant </w:t>
            </w:r>
            <w:r w:rsidRPr="00436242">
              <w:t xml:space="preserve">CCPR/C/21/Rev.1/Add.13 (2004) </w:t>
            </w:r>
            <w:r w:rsidR="007E05F5">
              <w:t>(“</w:t>
            </w:r>
            <w:r w:rsidRPr="00436242">
              <w:t xml:space="preserve">HRC </w:t>
            </w:r>
            <w:r w:rsidR="005626C2">
              <w:t>General Comment</w:t>
            </w:r>
            <w:r w:rsidRPr="00436242">
              <w:t xml:space="preserve"> 31</w:t>
            </w:r>
            <w:r w:rsidR="007E05F5">
              <w:t>”)</w:t>
            </w:r>
          </w:p>
        </w:tc>
        <w:tc>
          <w:tcPr>
            <w:tcW w:w="1242" w:type="dxa"/>
          </w:tcPr>
          <w:p w14:paraId="62004B12" w14:textId="36903175" w:rsidR="00705540" w:rsidRDefault="003215BA" w:rsidP="00661C8E">
            <w:pPr>
              <w:jc w:val="center"/>
            </w:pPr>
            <w:r>
              <w:t>3</w:t>
            </w:r>
            <w:r w:rsidR="009371CB">
              <w:t>3</w:t>
            </w:r>
            <w:r>
              <w:t>, 42, 43, 46</w:t>
            </w:r>
          </w:p>
        </w:tc>
      </w:tr>
      <w:tr w:rsidR="00A3290E" w14:paraId="5978E3AE" w14:textId="77777777" w:rsidTr="009371CB">
        <w:tc>
          <w:tcPr>
            <w:tcW w:w="8364" w:type="dxa"/>
          </w:tcPr>
          <w:p w14:paraId="079EB8A0" w14:textId="7C3A3438" w:rsidR="00A3290E" w:rsidRPr="00436242" w:rsidRDefault="00A3290E" w:rsidP="00A3290E">
            <w:pPr>
              <w:spacing w:line="240" w:lineRule="auto"/>
              <w:ind w:left="567" w:hanging="567"/>
            </w:pPr>
            <w:r w:rsidRPr="00A3290E">
              <w:t xml:space="preserve">Human Rights Council </w:t>
            </w:r>
            <w:r w:rsidRPr="00A3290E">
              <w:rPr>
                <w:i/>
              </w:rPr>
              <w:t xml:space="preserve">Analytical study on the relationship between human rights and the environment </w:t>
            </w:r>
            <w:r w:rsidRPr="00A3290E">
              <w:t>A/HRC/19/34 (2011) (‘</w:t>
            </w:r>
            <w:r w:rsidRPr="00A3290E">
              <w:rPr>
                <w:i/>
              </w:rPr>
              <w:t>The relationship between human rights and the environment’</w:t>
            </w:r>
            <w:r w:rsidRPr="00A3290E">
              <w:t>)</w:t>
            </w:r>
          </w:p>
        </w:tc>
        <w:tc>
          <w:tcPr>
            <w:tcW w:w="1242" w:type="dxa"/>
          </w:tcPr>
          <w:p w14:paraId="6F1D7E08" w14:textId="4A2EA51D" w:rsidR="00A3290E" w:rsidRDefault="00A3290E" w:rsidP="00661C8E">
            <w:pPr>
              <w:jc w:val="center"/>
            </w:pPr>
            <w:r>
              <w:t>4</w:t>
            </w:r>
            <w:r w:rsidR="009371CB">
              <w:t>3</w:t>
            </w:r>
          </w:p>
        </w:tc>
      </w:tr>
      <w:tr w:rsidR="00226678" w14:paraId="74A48378" w14:textId="77777777" w:rsidTr="009371CB">
        <w:tc>
          <w:tcPr>
            <w:tcW w:w="8364" w:type="dxa"/>
          </w:tcPr>
          <w:p w14:paraId="6E0DB371" w14:textId="7E7A97FA" w:rsidR="00226678" w:rsidRPr="00226678" w:rsidRDefault="00226678" w:rsidP="007C73E9">
            <w:pPr>
              <w:spacing w:line="240" w:lineRule="auto"/>
              <w:ind w:left="567" w:hanging="567"/>
              <w:rPr>
                <w:color w:val="000000"/>
                <w:lang w:val="en-GB"/>
              </w:rPr>
            </w:pPr>
            <w:r>
              <w:rPr>
                <w:color w:val="000000"/>
                <w:lang w:val="en-GB"/>
              </w:rPr>
              <w:t xml:space="preserve">International Law Commission </w:t>
            </w:r>
            <w:r>
              <w:rPr>
                <w:i/>
                <w:color w:val="000000"/>
                <w:lang w:val="en-GB"/>
              </w:rPr>
              <w:t>Draft Articles on Prevention of Transboundary Harm from Hazardous Activities</w:t>
            </w:r>
            <w:r>
              <w:rPr>
                <w:color w:val="000000"/>
                <w:lang w:val="en-GB"/>
              </w:rPr>
              <w:t xml:space="preserve"> (2001) (“</w:t>
            </w:r>
            <w:r>
              <w:rPr>
                <w:i/>
                <w:color w:val="000000"/>
                <w:lang w:val="en-GB"/>
              </w:rPr>
              <w:t>Prevention Articles</w:t>
            </w:r>
            <w:r>
              <w:rPr>
                <w:color w:val="000000"/>
                <w:lang w:val="en-GB"/>
              </w:rPr>
              <w:t>”)</w:t>
            </w:r>
          </w:p>
        </w:tc>
        <w:tc>
          <w:tcPr>
            <w:tcW w:w="1242" w:type="dxa"/>
          </w:tcPr>
          <w:p w14:paraId="1EA9D6DC" w14:textId="58D3202C" w:rsidR="00226678" w:rsidRDefault="003215BA" w:rsidP="00661C8E">
            <w:pPr>
              <w:jc w:val="center"/>
            </w:pPr>
            <w:r>
              <w:t>37</w:t>
            </w:r>
          </w:p>
        </w:tc>
      </w:tr>
      <w:tr w:rsidR="00705540" w14:paraId="6AC14D99" w14:textId="77777777" w:rsidTr="009371CB">
        <w:tc>
          <w:tcPr>
            <w:tcW w:w="8364" w:type="dxa"/>
          </w:tcPr>
          <w:p w14:paraId="61A0E62E" w14:textId="413E02B6" w:rsidR="00705540" w:rsidRPr="00311DE3" w:rsidRDefault="00436242" w:rsidP="007C73E9">
            <w:pPr>
              <w:spacing w:line="240" w:lineRule="auto"/>
              <w:ind w:left="567" w:hanging="567"/>
            </w:pPr>
            <w:r w:rsidRPr="00684732">
              <w:rPr>
                <w:color w:val="000000"/>
                <w:lang w:val="en-GB"/>
              </w:rPr>
              <w:t xml:space="preserve">International Law Commission </w:t>
            </w:r>
            <w:r w:rsidRPr="00B63DA9">
              <w:rPr>
                <w:i/>
                <w:color w:val="000000"/>
                <w:lang w:val="en-GB"/>
              </w:rPr>
              <w:t>Draft Articles on Responsibility of States for Internationally Wrongful Acts</w:t>
            </w:r>
            <w:r w:rsidRPr="00684732">
              <w:rPr>
                <w:color w:val="000000"/>
                <w:lang w:val="en-GB"/>
              </w:rPr>
              <w:t xml:space="preserve"> 53 UN GAOR </w:t>
            </w:r>
            <w:proofErr w:type="spellStart"/>
            <w:r w:rsidRPr="00684732">
              <w:rPr>
                <w:color w:val="000000"/>
                <w:lang w:val="en-GB"/>
              </w:rPr>
              <w:t>Supp</w:t>
            </w:r>
            <w:proofErr w:type="spellEnd"/>
            <w:r w:rsidRPr="00684732">
              <w:rPr>
                <w:color w:val="000000"/>
                <w:lang w:val="en-GB"/>
              </w:rPr>
              <w:t xml:space="preserve"> (No 10) at 43, A/56/83 (2001) (“ASR”)</w:t>
            </w:r>
          </w:p>
        </w:tc>
        <w:tc>
          <w:tcPr>
            <w:tcW w:w="1242" w:type="dxa"/>
          </w:tcPr>
          <w:p w14:paraId="74AB4D4C" w14:textId="6D279549" w:rsidR="00705540" w:rsidRDefault="00B719FF" w:rsidP="00661C8E">
            <w:pPr>
              <w:jc w:val="center"/>
            </w:pPr>
            <w:r>
              <w:t>27, 42, 50, 53, 54, 55, 56</w:t>
            </w:r>
          </w:p>
        </w:tc>
      </w:tr>
      <w:tr w:rsidR="00705540" w14:paraId="1E62F281" w14:textId="77777777" w:rsidTr="009371CB">
        <w:tc>
          <w:tcPr>
            <w:tcW w:w="8364" w:type="dxa"/>
          </w:tcPr>
          <w:p w14:paraId="14CAE37E" w14:textId="660DFA08" w:rsidR="00705540" w:rsidRPr="00311DE3" w:rsidRDefault="00436242" w:rsidP="007C73E9">
            <w:pPr>
              <w:spacing w:line="240" w:lineRule="auto"/>
              <w:ind w:left="567" w:hanging="567"/>
            </w:pPr>
            <w:r w:rsidRPr="00684732">
              <w:rPr>
                <w:color w:val="000000"/>
                <w:lang w:val="en-GB"/>
              </w:rPr>
              <w:t xml:space="preserve">International Law Commission </w:t>
            </w:r>
            <w:r w:rsidRPr="00B63DA9">
              <w:rPr>
                <w:i/>
                <w:color w:val="000000"/>
                <w:lang w:val="en-GB"/>
              </w:rPr>
              <w:t>Draft Articles on Responsibility of States for Internationally Wrongful Acts with Commentaries</w:t>
            </w:r>
            <w:r w:rsidRPr="00684732">
              <w:rPr>
                <w:color w:val="000000"/>
                <w:lang w:val="en-GB"/>
              </w:rPr>
              <w:t xml:space="preserve"> 31 A/56/10 (“ASR Commentary”)</w:t>
            </w:r>
          </w:p>
        </w:tc>
        <w:tc>
          <w:tcPr>
            <w:tcW w:w="1242" w:type="dxa"/>
          </w:tcPr>
          <w:p w14:paraId="46860462" w14:textId="47801BF8" w:rsidR="00705540" w:rsidRDefault="00B719FF" w:rsidP="00661C8E">
            <w:pPr>
              <w:jc w:val="center"/>
            </w:pPr>
            <w:r>
              <w:t>27, 28, 29, 30, 54, 55, 56</w:t>
            </w:r>
          </w:p>
        </w:tc>
      </w:tr>
      <w:tr w:rsidR="00705540" w14:paraId="12B9B935" w14:textId="77777777" w:rsidTr="009371CB">
        <w:tc>
          <w:tcPr>
            <w:tcW w:w="8364" w:type="dxa"/>
          </w:tcPr>
          <w:p w14:paraId="54FDFC9A" w14:textId="5A9E3C6F" w:rsidR="00705540" w:rsidRPr="00311DE3" w:rsidRDefault="00436242" w:rsidP="00436242">
            <w:pPr>
              <w:spacing w:line="240" w:lineRule="auto"/>
              <w:ind w:left="567" w:hanging="567"/>
            </w:pPr>
            <w:r w:rsidRPr="00436242">
              <w:t xml:space="preserve">International Law Commission </w:t>
            </w:r>
            <w:r w:rsidRPr="00436242">
              <w:rPr>
                <w:i/>
              </w:rPr>
              <w:t>Draft Articles on the Law of Treaties with Commentaries</w:t>
            </w:r>
            <w:r w:rsidRPr="00436242">
              <w:t xml:space="preserve"> (1966) 2 Yearbook of the International Law Commission 187 </w:t>
            </w:r>
            <w:r w:rsidR="007E05F5">
              <w:t>(“</w:t>
            </w:r>
            <w:r w:rsidRPr="00436242">
              <w:t>ILC Commentary on the Law of Treaties</w:t>
            </w:r>
            <w:r w:rsidR="007E05F5">
              <w:t>”)</w:t>
            </w:r>
          </w:p>
        </w:tc>
        <w:tc>
          <w:tcPr>
            <w:tcW w:w="1242" w:type="dxa"/>
          </w:tcPr>
          <w:p w14:paraId="2ED09390" w14:textId="3C540A4E" w:rsidR="00705540" w:rsidRDefault="00A467BF" w:rsidP="00661C8E">
            <w:pPr>
              <w:jc w:val="center"/>
            </w:pPr>
            <w:r>
              <w:t>50, 51</w:t>
            </w:r>
          </w:p>
        </w:tc>
      </w:tr>
      <w:tr w:rsidR="00705540" w14:paraId="174901BC" w14:textId="77777777" w:rsidTr="009371CB">
        <w:tc>
          <w:tcPr>
            <w:tcW w:w="8364" w:type="dxa"/>
          </w:tcPr>
          <w:p w14:paraId="7A02DB13" w14:textId="566E71BB" w:rsidR="00705540" w:rsidRPr="00311DE3" w:rsidRDefault="00436242" w:rsidP="007C73E9">
            <w:pPr>
              <w:spacing w:line="240" w:lineRule="auto"/>
              <w:ind w:left="567" w:hanging="567"/>
            </w:pPr>
            <w:r w:rsidRPr="00684732">
              <w:rPr>
                <w:color w:val="000000"/>
                <w:lang w:val="en-GB"/>
              </w:rPr>
              <w:t>International Law Commission</w:t>
            </w:r>
            <w:r w:rsidRPr="00684732">
              <w:rPr>
                <w:i/>
                <w:color w:val="000000"/>
                <w:lang w:val="en-GB"/>
              </w:rPr>
              <w:t xml:space="preserve"> State Responsibility: Comments and Observations Received from Governments</w:t>
            </w:r>
            <w:r w:rsidRPr="00684732">
              <w:rPr>
                <w:color w:val="000000"/>
                <w:lang w:val="en-GB"/>
              </w:rPr>
              <w:t xml:space="preserve"> A/CN.4/515 and Add.1–3 (“</w:t>
            </w:r>
            <w:r w:rsidRPr="00684732">
              <w:rPr>
                <w:i/>
                <w:color w:val="000000"/>
                <w:lang w:val="en-GB"/>
              </w:rPr>
              <w:t>State Responsibility: Comments and Observations from Governments</w:t>
            </w:r>
            <w:r w:rsidRPr="00684732">
              <w:rPr>
                <w:color w:val="000000"/>
                <w:lang w:val="en-GB"/>
              </w:rPr>
              <w:t>”)</w:t>
            </w:r>
          </w:p>
        </w:tc>
        <w:tc>
          <w:tcPr>
            <w:tcW w:w="1242" w:type="dxa"/>
          </w:tcPr>
          <w:p w14:paraId="5A9B6A47" w14:textId="05E69489" w:rsidR="00705540" w:rsidRDefault="00A467BF" w:rsidP="00661C8E">
            <w:pPr>
              <w:jc w:val="center"/>
            </w:pPr>
            <w:r>
              <w:t>27, 28</w:t>
            </w:r>
          </w:p>
        </w:tc>
      </w:tr>
      <w:tr w:rsidR="00705540" w14:paraId="792F8F70" w14:textId="77777777" w:rsidTr="009371CB">
        <w:tc>
          <w:tcPr>
            <w:tcW w:w="8364" w:type="dxa"/>
          </w:tcPr>
          <w:p w14:paraId="66D437E6" w14:textId="541500E3" w:rsidR="00705540" w:rsidRPr="00311DE3" w:rsidRDefault="00436242" w:rsidP="007C73E9">
            <w:pPr>
              <w:spacing w:line="240" w:lineRule="auto"/>
              <w:ind w:left="567" w:hanging="567"/>
            </w:pPr>
            <w:r w:rsidRPr="00684732">
              <w:rPr>
                <w:color w:val="000000"/>
                <w:lang w:val="en-GB"/>
              </w:rPr>
              <w:t xml:space="preserve">International Law Commission </w:t>
            </w:r>
            <w:r w:rsidRPr="00684732">
              <w:rPr>
                <w:i/>
                <w:color w:val="000000"/>
                <w:lang w:val="en-GB"/>
              </w:rPr>
              <w:t xml:space="preserve">Topical Summary of the Discussion Held in the Sixth Committee of the General Assembly during its Fifty-Fifth Session </w:t>
            </w:r>
            <w:r w:rsidRPr="00684732">
              <w:rPr>
                <w:color w:val="000000"/>
                <w:lang w:val="en-GB"/>
              </w:rPr>
              <w:t>A/CN.4/513 (2001) (“</w:t>
            </w:r>
            <w:r w:rsidR="00A467BF">
              <w:rPr>
                <w:i/>
                <w:color w:val="000000"/>
                <w:lang w:val="en-GB"/>
              </w:rPr>
              <w:t>Fifty-Fifth</w:t>
            </w:r>
            <w:r w:rsidRPr="00684732">
              <w:rPr>
                <w:i/>
                <w:color w:val="000000"/>
                <w:lang w:val="en-GB"/>
              </w:rPr>
              <w:t xml:space="preserve"> Session Topical Summary</w:t>
            </w:r>
            <w:r w:rsidRPr="00684732">
              <w:rPr>
                <w:color w:val="000000"/>
                <w:lang w:val="en-GB"/>
              </w:rPr>
              <w:t>”)</w:t>
            </w:r>
          </w:p>
        </w:tc>
        <w:tc>
          <w:tcPr>
            <w:tcW w:w="1242" w:type="dxa"/>
          </w:tcPr>
          <w:p w14:paraId="76717201" w14:textId="484168D3" w:rsidR="00705540" w:rsidRDefault="00A467BF" w:rsidP="00661C8E">
            <w:pPr>
              <w:jc w:val="center"/>
            </w:pPr>
            <w:r>
              <w:t>28</w:t>
            </w:r>
          </w:p>
        </w:tc>
      </w:tr>
      <w:tr w:rsidR="00705540" w14:paraId="1F198344" w14:textId="77777777" w:rsidTr="009371CB">
        <w:tc>
          <w:tcPr>
            <w:tcW w:w="8364" w:type="dxa"/>
          </w:tcPr>
          <w:p w14:paraId="309EBE4A" w14:textId="5EAD259E" w:rsidR="00705540" w:rsidRPr="00311DE3" w:rsidRDefault="00436242" w:rsidP="007C73E9">
            <w:pPr>
              <w:spacing w:line="240" w:lineRule="auto"/>
              <w:ind w:left="567" w:hanging="567"/>
            </w:pPr>
            <w:r w:rsidRPr="00684732">
              <w:rPr>
                <w:color w:val="000000"/>
                <w:lang w:val="en-GB"/>
              </w:rPr>
              <w:t>Manila Declaration on Sustainable Development and Migratory Species (2017) UNEP/CMS/Resolution 12.3 (“Manila Declaration”)</w:t>
            </w:r>
          </w:p>
        </w:tc>
        <w:tc>
          <w:tcPr>
            <w:tcW w:w="1242" w:type="dxa"/>
          </w:tcPr>
          <w:p w14:paraId="54F6E76F" w14:textId="4C9D4355" w:rsidR="00705540" w:rsidRDefault="00A4697B" w:rsidP="00661C8E">
            <w:pPr>
              <w:jc w:val="center"/>
            </w:pPr>
            <w:r>
              <w:t>35</w:t>
            </w:r>
          </w:p>
        </w:tc>
      </w:tr>
      <w:tr w:rsidR="00705540" w14:paraId="1EAC8B76" w14:textId="77777777" w:rsidTr="009371CB">
        <w:tc>
          <w:tcPr>
            <w:tcW w:w="8364" w:type="dxa"/>
          </w:tcPr>
          <w:p w14:paraId="30CD776F" w14:textId="2167CD71" w:rsidR="00705540" w:rsidRPr="00175D02" w:rsidRDefault="00436242" w:rsidP="007C73E9">
            <w:pPr>
              <w:spacing w:line="240" w:lineRule="auto"/>
              <w:ind w:left="567" w:hanging="567"/>
              <w:rPr>
                <w:highlight w:val="yellow"/>
              </w:rPr>
            </w:pPr>
            <w:r w:rsidRPr="00CC1D73">
              <w:rPr>
                <w:i/>
                <w:iCs/>
                <w:color w:val="000000"/>
                <w:lang w:val="en-GB"/>
              </w:rPr>
              <w:lastRenderedPageBreak/>
              <w:t>Permanent Sovereignty Over Natural Resources</w:t>
            </w:r>
            <w:r w:rsidRPr="00CC1D73">
              <w:rPr>
                <w:iCs/>
                <w:color w:val="000000"/>
                <w:lang w:val="en-GB"/>
              </w:rPr>
              <w:t xml:space="preserve"> UNGA Res 1803 (XVII) (14 December 1962)</w:t>
            </w:r>
            <w:r w:rsidR="009727BD" w:rsidRPr="00CC1D73">
              <w:rPr>
                <w:iCs/>
                <w:color w:val="000000"/>
                <w:lang w:val="en-GB"/>
              </w:rPr>
              <w:t xml:space="preserve"> (“</w:t>
            </w:r>
            <w:r w:rsidR="009727BD" w:rsidRPr="00CC1D73">
              <w:rPr>
                <w:i/>
                <w:iCs/>
                <w:color w:val="000000"/>
                <w:lang w:val="en-GB"/>
              </w:rPr>
              <w:t>Sovereignty Over Natural Resources</w:t>
            </w:r>
            <w:r w:rsidR="009727BD" w:rsidRPr="00CC1D73">
              <w:rPr>
                <w:iCs/>
                <w:color w:val="000000"/>
                <w:lang w:val="en-GB"/>
              </w:rPr>
              <w:t>”)</w:t>
            </w:r>
          </w:p>
        </w:tc>
        <w:tc>
          <w:tcPr>
            <w:tcW w:w="1242" w:type="dxa"/>
          </w:tcPr>
          <w:p w14:paraId="556BABD9" w14:textId="327D644A" w:rsidR="00705540" w:rsidRPr="00175D02" w:rsidRDefault="00A4697B" w:rsidP="00661C8E">
            <w:pPr>
              <w:jc w:val="center"/>
              <w:rPr>
                <w:highlight w:val="yellow"/>
              </w:rPr>
            </w:pPr>
            <w:r w:rsidRPr="00A4697B">
              <w:t>37</w:t>
            </w:r>
          </w:p>
        </w:tc>
      </w:tr>
      <w:tr w:rsidR="00705540" w14:paraId="3557B545" w14:textId="77777777" w:rsidTr="009371CB">
        <w:tc>
          <w:tcPr>
            <w:tcW w:w="8364" w:type="dxa"/>
          </w:tcPr>
          <w:p w14:paraId="5C6EE95C" w14:textId="07971323" w:rsidR="00705540" w:rsidRPr="00436242" w:rsidRDefault="00436242" w:rsidP="00436242">
            <w:pPr>
              <w:spacing w:line="240" w:lineRule="auto"/>
              <w:ind w:left="567" w:hanging="567"/>
              <w:rPr>
                <w:i/>
              </w:rPr>
            </w:pPr>
            <w:r w:rsidRPr="00436242">
              <w:rPr>
                <w:i/>
              </w:rPr>
              <w:t xml:space="preserve">Report of the Special Rapporteur on Freedom of Religion or Belief, </w:t>
            </w:r>
            <w:proofErr w:type="spellStart"/>
            <w:r w:rsidRPr="00436242">
              <w:rPr>
                <w:i/>
              </w:rPr>
              <w:t>Asma</w:t>
            </w:r>
            <w:proofErr w:type="spellEnd"/>
            <w:r w:rsidRPr="00436242">
              <w:rPr>
                <w:i/>
              </w:rPr>
              <w:t xml:space="preserve"> Jahangir </w:t>
            </w:r>
            <w:r w:rsidRPr="00436242">
              <w:t xml:space="preserve">A/HRC/6/5 (2007) </w:t>
            </w:r>
            <w:r w:rsidR="007E05F5">
              <w:t>(“</w:t>
            </w:r>
            <w:r w:rsidRPr="00436242">
              <w:t>Special Rapporteur on Freedom of Religion Report (2007)</w:t>
            </w:r>
            <w:r w:rsidR="007E05F5" w:rsidRPr="00175D02">
              <w:t>”)</w:t>
            </w:r>
          </w:p>
        </w:tc>
        <w:tc>
          <w:tcPr>
            <w:tcW w:w="1242" w:type="dxa"/>
          </w:tcPr>
          <w:p w14:paraId="25FB50CE" w14:textId="207DA0D6" w:rsidR="00705540" w:rsidRDefault="00A4697B" w:rsidP="00661C8E">
            <w:pPr>
              <w:jc w:val="center"/>
            </w:pPr>
            <w:r>
              <w:t>44</w:t>
            </w:r>
          </w:p>
        </w:tc>
      </w:tr>
      <w:tr w:rsidR="00705540" w14:paraId="220D2A77" w14:textId="77777777" w:rsidTr="009371CB">
        <w:tc>
          <w:tcPr>
            <w:tcW w:w="8364" w:type="dxa"/>
          </w:tcPr>
          <w:p w14:paraId="00D1E805" w14:textId="633925B4" w:rsidR="00705540" w:rsidRPr="00436242" w:rsidRDefault="00436242" w:rsidP="00436242">
            <w:pPr>
              <w:spacing w:line="240" w:lineRule="auto"/>
              <w:ind w:left="567" w:hanging="567"/>
              <w:rPr>
                <w:i/>
              </w:rPr>
            </w:pPr>
            <w:r w:rsidRPr="00436242">
              <w:rPr>
                <w:i/>
              </w:rPr>
              <w:t xml:space="preserve">Report of the Special Rapporteur on the right of everyone to the enjoyment of the highest attainable standard of physical and mental health </w:t>
            </w:r>
            <w:r w:rsidRPr="00436242">
              <w:t xml:space="preserve">A/61/338 (2006) </w:t>
            </w:r>
            <w:r w:rsidR="007E05F5">
              <w:t>(“</w:t>
            </w:r>
            <w:r w:rsidRPr="00436242">
              <w:rPr>
                <w:i/>
              </w:rPr>
              <w:t>Special Rapporteur Report on highest attainable standard of health</w:t>
            </w:r>
            <w:r w:rsidR="007E05F5" w:rsidRPr="00175D02">
              <w:t>”)</w:t>
            </w:r>
          </w:p>
        </w:tc>
        <w:tc>
          <w:tcPr>
            <w:tcW w:w="1242" w:type="dxa"/>
          </w:tcPr>
          <w:p w14:paraId="0FBEB407" w14:textId="7D1FBAA6" w:rsidR="00705540" w:rsidRDefault="00A4697B" w:rsidP="00661C8E">
            <w:pPr>
              <w:jc w:val="center"/>
            </w:pPr>
            <w:r>
              <w:t>45</w:t>
            </w:r>
          </w:p>
        </w:tc>
      </w:tr>
      <w:tr w:rsidR="00705540" w14:paraId="417390FE" w14:textId="77777777" w:rsidTr="009371CB">
        <w:tc>
          <w:tcPr>
            <w:tcW w:w="8364" w:type="dxa"/>
          </w:tcPr>
          <w:p w14:paraId="140EFFEF" w14:textId="71761696" w:rsidR="00705540" w:rsidRPr="00311DE3" w:rsidRDefault="00436242" w:rsidP="00436242">
            <w:pPr>
              <w:spacing w:line="240" w:lineRule="auto"/>
              <w:ind w:left="567" w:hanging="567"/>
            </w:pPr>
            <w:r w:rsidRPr="00436242">
              <w:rPr>
                <w:i/>
              </w:rPr>
              <w:t xml:space="preserve">Report of the Special Rapporteur on the Rights of Indigenous Peoples </w:t>
            </w:r>
            <w:r w:rsidRPr="00436242">
              <w:t xml:space="preserve">A/HRC/36/46 (2017) </w:t>
            </w:r>
            <w:r w:rsidR="007E05F5">
              <w:t>(“</w:t>
            </w:r>
            <w:r w:rsidRPr="00436242">
              <w:rPr>
                <w:i/>
                <w:lang w:val="en-US"/>
              </w:rPr>
              <w:t>Special Rapporteur Report (2017)</w:t>
            </w:r>
            <w:r w:rsidR="007E05F5" w:rsidRPr="00175D02">
              <w:rPr>
                <w:lang w:val="en-US"/>
              </w:rPr>
              <w:t>”)</w:t>
            </w:r>
          </w:p>
        </w:tc>
        <w:tc>
          <w:tcPr>
            <w:tcW w:w="1242" w:type="dxa"/>
          </w:tcPr>
          <w:p w14:paraId="1E7D214F" w14:textId="3EAF1D90" w:rsidR="00705540" w:rsidRDefault="00A4697B" w:rsidP="00661C8E">
            <w:pPr>
              <w:jc w:val="center"/>
            </w:pPr>
            <w:r>
              <w:t>48</w:t>
            </w:r>
          </w:p>
        </w:tc>
      </w:tr>
      <w:tr w:rsidR="00705540" w14:paraId="152E120B" w14:textId="77777777" w:rsidTr="009371CB">
        <w:tc>
          <w:tcPr>
            <w:tcW w:w="8364" w:type="dxa"/>
          </w:tcPr>
          <w:p w14:paraId="098E2A15" w14:textId="2268668D" w:rsidR="00705540" w:rsidRPr="00311DE3" w:rsidRDefault="00436242" w:rsidP="00436242">
            <w:pPr>
              <w:spacing w:line="240" w:lineRule="auto"/>
              <w:ind w:left="567" w:hanging="567"/>
            </w:pPr>
            <w:r w:rsidRPr="00436242">
              <w:rPr>
                <w:i/>
              </w:rPr>
              <w:t xml:space="preserve">Report of the Special Rapporteur on the situation of human rights and fundamental freedoms of indigenous people, James Anaya </w:t>
            </w:r>
            <w:r w:rsidRPr="00436242">
              <w:t xml:space="preserve">A/HRC/12/34 (2009) </w:t>
            </w:r>
            <w:r w:rsidR="007E05F5">
              <w:t>(“</w:t>
            </w:r>
            <w:r w:rsidRPr="00436242">
              <w:rPr>
                <w:i/>
              </w:rPr>
              <w:t>Report of the Special Rapporteur (2009)</w:t>
            </w:r>
            <w:r w:rsidR="007E05F5" w:rsidRPr="00175D02">
              <w:t>”)</w:t>
            </w:r>
          </w:p>
        </w:tc>
        <w:tc>
          <w:tcPr>
            <w:tcW w:w="1242" w:type="dxa"/>
          </w:tcPr>
          <w:p w14:paraId="2DF117E2" w14:textId="25FDB71C" w:rsidR="00705540" w:rsidRDefault="00A4697B" w:rsidP="00661C8E">
            <w:pPr>
              <w:jc w:val="center"/>
            </w:pPr>
            <w:r>
              <w:t>48</w:t>
            </w:r>
          </w:p>
        </w:tc>
      </w:tr>
      <w:tr w:rsidR="00705540" w14:paraId="7FEF1FDF" w14:textId="77777777" w:rsidTr="009371CB">
        <w:tc>
          <w:tcPr>
            <w:tcW w:w="8364" w:type="dxa"/>
          </w:tcPr>
          <w:p w14:paraId="2376FAC7" w14:textId="44191A6F" w:rsidR="00705540" w:rsidRPr="00436242" w:rsidRDefault="00436242" w:rsidP="00436242">
            <w:pPr>
              <w:spacing w:line="240" w:lineRule="auto"/>
              <w:ind w:left="567" w:hanging="567"/>
              <w:rPr>
                <w:i/>
              </w:rPr>
            </w:pPr>
            <w:r w:rsidRPr="00436242">
              <w:t xml:space="preserve">Special Rapporteur of the Sub-Commission on Prevention of Discrimination and Protection of Minorities, </w:t>
            </w:r>
            <w:proofErr w:type="spellStart"/>
            <w:r w:rsidRPr="00436242">
              <w:t>Arcot</w:t>
            </w:r>
            <w:proofErr w:type="spellEnd"/>
            <w:r w:rsidRPr="00436242">
              <w:t xml:space="preserve"> </w:t>
            </w:r>
            <w:proofErr w:type="spellStart"/>
            <w:r w:rsidRPr="00436242">
              <w:t>Krishnaswami</w:t>
            </w:r>
            <w:proofErr w:type="spellEnd"/>
            <w:r w:rsidRPr="00436242">
              <w:t xml:space="preserve"> </w:t>
            </w:r>
            <w:r w:rsidRPr="00436242">
              <w:rPr>
                <w:i/>
              </w:rPr>
              <w:t xml:space="preserve">Study of Discrimination in the Matter of Religious Rights and Practices </w:t>
            </w:r>
            <w:r w:rsidRPr="00436242">
              <w:t xml:space="preserve">E/CN.4/Sub.2/200/Rev.1 (1960) </w:t>
            </w:r>
            <w:r w:rsidR="007E05F5">
              <w:t>(“</w:t>
            </w:r>
            <w:r w:rsidRPr="00436242">
              <w:rPr>
                <w:i/>
              </w:rPr>
              <w:t>Special Rapporteur’s Study on Religious Discrimination</w:t>
            </w:r>
            <w:r w:rsidR="007E05F5" w:rsidRPr="00175D02">
              <w:t>”)</w:t>
            </w:r>
          </w:p>
        </w:tc>
        <w:tc>
          <w:tcPr>
            <w:tcW w:w="1242" w:type="dxa"/>
          </w:tcPr>
          <w:p w14:paraId="267F6269" w14:textId="19CA956D" w:rsidR="00705540" w:rsidRDefault="00A4697B" w:rsidP="00661C8E">
            <w:pPr>
              <w:jc w:val="center"/>
            </w:pPr>
            <w:r>
              <w:t>45</w:t>
            </w:r>
          </w:p>
        </w:tc>
      </w:tr>
      <w:tr w:rsidR="00705540" w14:paraId="4AF58FCC" w14:textId="77777777" w:rsidTr="009371CB">
        <w:tc>
          <w:tcPr>
            <w:tcW w:w="8364" w:type="dxa"/>
          </w:tcPr>
          <w:p w14:paraId="13A6A407" w14:textId="2D102020" w:rsidR="00705540" w:rsidRPr="00311DE3" w:rsidRDefault="00436242" w:rsidP="007C73E9">
            <w:pPr>
              <w:spacing w:line="240" w:lineRule="auto"/>
              <w:ind w:left="567" w:hanging="567"/>
            </w:pPr>
            <w:r>
              <w:rPr>
                <w:iCs/>
                <w:color w:val="000000"/>
                <w:lang w:val="en-GB"/>
              </w:rPr>
              <w:t xml:space="preserve">Report of the World Commission on Environment and Development </w:t>
            </w:r>
            <w:r>
              <w:rPr>
                <w:i/>
                <w:iCs/>
                <w:color w:val="000000"/>
                <w:lang w:val="en-GB"/>
              </w:rPr>
              <w:t>Our Common Future</w:t>
            </w:r>
            <w:r>
              <w:rPr>
                <w:iCs/>
                <w:color w:val="000000"/>
                <w:lang w:val="en-GB"/>
              </w:rPr>
              <w:t xml:space="preserve"> A/42/427 (1987) (“WCED Final Report”)</w:t>
            </w:r>
          </w:p>
        </w:tc>
        <w:tc>
          <w:tcPr>
            <w:tcW w:w="1242" w:type="dxa"/>
          </w:tcPr>
          <w:p w14:paraId="7AEF5750" w14:textId="7B4EC32F" w:rsidR="00705540" w:rsidRDefault="00A4697B" w:rsidP="00661C8E">
            <w:pPr>
              <w:jc w:val="center"/>
            </w:pPr>
            <w:r>
              <w:t>40</w:t>
            </w:r>
          </w:p>
        </w:tc>
      </w:tr>
      <w:tr w:rsidR="00436242" w14:paraId="43D7C1CC" w14:textId="77777777" w:rsidTr="009371CB">
        <w:tc>
          <w:tcPr>
            <w:tcW w:w="8364" w:type="dxa"/>
          </w:tcPr>
          <w:p w14:paraId="499A6923" w14:textId="7828A914" w:rsidR="00436242" w:rsidRPr="00311DE3" w:rsidRDefault="00436242" w:rsidP="00436242">
            <w:pPr>
              <w:spacing w:line="240" w:lineRule="auto"/>
              <w:ind w:left="567" w:hanging="567"/>
            </w:pPr>
            <w:r w:rsidRPr="00684732">
              <w:rPr>
                <w:iCs/>
                <w:color w:val="000000"/>
                <w:lang w:val="en-GB"/>
              </w:rPr>
              <w:t>Rio Declaration on Environment and Development</w:t>
            </w:r>
            <w:r w:rsidRPr="00684732">
              <w:rPr>
                <w:i/>
                <w:iCs/>
                <w:color w:val="000000"/>
                <w:lang w:val="en-GB"/>
              </w:rPr>
              <w:t> </w:t>
            </w:r>
            <w:r w:rsidRPr="00684732">
              <w:rPr>
                <w:color w:val="000000"/>
                <w:lang w:val="en-GB"/>
              </w:rPr>
              <w:t>(1992) 31 ILM 874</w:t>
            </w:r>
            <w:r w:rsidRPr="00684732">
              <w:rPr>
                <w:i/>
                <w:iCs/>
                <w:color w:val="000000"/>
                <w:lang w:val="en-GB"/>
              </w:rPr>
              <w:t xml:space="preserve"> </w:t>
            </w:r>
            <w:r w:rsidRPr="00684732">
              <w:rPr>
                <w:color w:val="000000"/>
                <w:lang w:val="en-GB"/>
              </w:rPr>
              <w:t>(“</w:t>
            </w:r>
            <w:r w:rsidRPr="00684732">
              <w:rPr>
                <w:iCs/>
                <w:color w:val="000000"/>
                <w:lang w:val="en-GB"/>
              </w:rPr>
              <w:t>Rio Declaration”</w:t>
            </w:r>
            <w:r w:rsidRPr="00684732">
              <w:rPr>
                <w:color w:val="000000"/>
                <w:lang w:val="en-GB"/>
              </w:rPr>
              <w:t>)</w:t>
            </w:r>
          </w:p>
        </w:tc>
        <w:tc>
          <w:tcPr>
            <w:tcW w:w="1242" w:type="dxa"/>
          </w:tcPr>
          <w:p w14:paraId="43C0505C" w14:textId="5C63D4CE" w:rsidR="00436242" w:rsidRDefault="00A4697B" w:rsidP="00661C8E">
            <w:pPr>
              <w:jc w:val="center"/>
            </w:pPr>
            <w:r>
              <w:t>31, 32, 37, 38, 40</w:t>
            </w:r>
          </w:p>
        </w:tc>
      </w:tr>
      <w:tr w:rsidR="00436242" w14:paraId="117DDB40" w14:textId="77777777" w:rsidTr="009371CB">
        <w:tc>
          <w:tcPr>
            <w:tcW w:w="8364" w:type="dxa"/>
          </w:tcPr>
          <w:p w14:paraId="473289EC" w14:textId="5569E9D4" w:rsidR="00436242" w:rsidRPr="00311DE3" w:rsidRDefault="00436242" w:rsidP="00436242">
            <w:pPr>
              <w:spacing w:line="240" w:lineRule="auto"/>
              <w:ind w:left="567" w:hanging="567"/>
            </w:pPr>
            <w:r w:rsidRPr="00684732">
              <w:rPr>
                <w:i/>
                <w:iCs/>
                <w:color w:val="000000"/>
                <w:lang w:val="en-GB"/>
              </w:rPr>
              <w:t xml:space="preserve">Shared Natural Resources: Comments and observations by Governments on the draft articles on the law of transboundary aquifers </w:t>
            </w:r>
            <w:r w:rsidRPr="00684732">
              <w:rPr>
                <w:iCs/>
                <w:color w:val="000000"/>
                <w:lang w:val="en-GB"/>
              </w:rPr>
              <w:t>A/CN.4/595 and Add.1 (2008) (“</w:t>
            </w:r>
            <w:r w:rsidRPr="00684732">
              <w:rPr>
                <w:i/>
                <w:iCs/>
                <w:color w:val="000000"/>
                <w:lang w:val="en-GB"/>
              </w:rPr>
              <w:t>Shared Natural Resources Comments: Aquifers</w:t>
            </w:r>
            <w:r w:rsidRPr="00684732">
              <w:rPr>
                <w:iCs/>
                <w:color w:val="000000"/>
                <w:lang w:val="en-GB"/>
              </w:rPr>
              <w:t>”)</w:t>
            </w:r>
          </w:p>
        </w:tc>
        <w:tc>
          <w:tcPr>
            <w:tcW w:w="1242" w:type="dxa"/>
          </w:tcPr>
          <w:p w14:paraId="78E20244" w14:textId="28BF1A8E" w:rsidR="00436242" w:rsidRDefault="006F27D5" w:rsidP="00661C8E">
            <w:pPr>
              <w:jc w:val="center"/>
            </w:pPr>
            <w:r>
              <w:t>40</w:t>
            </w:r>
          </w:p>
        </w:tc>
      </w:tr>
      <w:tr w:rsidR="00436242" w14:paraId="359F6B89" w14:textId="77777777" w:rsidTr="009371CB">
        <w:tc>
          <w:tcPr>
            <w:tcW w:w="8364" w:type="dxa"/>
          </w:tcPr>
          <w:p w14:paraId="2450D322" w14:textId="6C62FF5B" w:rsidR="00436242" w:rsidRPr="00311DE3" w:rsidRDefault="00436242" w:rsidP="00436242">
            <w:pPr>
              <w:spacing w:line="240" w:lineRule="auto"/>
              <w:ind w:left="567" w:hanging="567"/>
            </w:pPr>
            <w:r w:rsidRPr="00436242">
              <w:rPr>
                <w:iCs/>
              </w:rPr>
              <w:t>Special Rapporteur of the (Commission for Human Rights</w:t>
            </w:r>
            <w:r w:rsidR="007E05F5">
              <w:rPr>
                <w:iCs/>
              </w:rPr>
              <w:t>”)</w:t>
            </w:r>
            <w:r w:rsidRPr="00436242">
              <w:rPr>
                <w:iCs/>
              </w:rPr>
              <w:t xml:space="preserve"> Sub-Commission on Prevention of Discrimination and Protection of Minorities </w:t>
            </w:r>
            <w:r w:rsidRPr="00436242">
              <w:rPr>
                <w:i/>
                <w:iCs/>
              </w:rPr>
              <w:t xml:space="preserve">Study on the Problem of Discrimination against Indigenous Populations, </w:t>
            </w:r>
            <w:r w:rsidRPr="00436242">
              <w:rPr>
                <w:iCs/>
              </w:rPr>
              <w:t xml:space="preserve">E/CN.4/Sub.2/1986/7 and Add1-4 (1986) </w:t>
            </w:r>
            <w:r w:rsidR="007E05F5">
              <w:rPr>
                <w:iCs/>
              </w:rPr>
              <w:t>(“</w:t>
            </w:r>
            <w:proofErr w:type="spellStart"/>
            <w:r w:rsidRPr="00436242">
              <w:rPr>
                <w:i/>
                <w:iCs/>
              </w:rPr>
              <w:t>Cobo</w:t>
            </w:r>
            <w:proofErr w:type="spellEnd"/>
            <w:r w:rsidRPr="00436242">
              <w:rPr>
                <w:i/>
                <w:iCs/>
              </w:rPr>
              <w:t xml:space="preserve"> Report</w:t>
            </w:r>
            <w:r w:rsidR="007E05F5" w:rsidRPr="00175D02">
              <w:rPr>
                <w:iCs/>
              </w:rPr>
              <w:t>”)</w:t>
            </w:r>
          </w:p>
        </w:tc>
        <w:tc>
          <w:tcPr>
            <w:tcW w:w="1242" w:type="dxa"/>
          </w:tcPr>
          <w:p w14:paraId="4BC0919F" w14:textId="5303B079" w:rsidR="00436242" w:rsidRDefault="006F27D5" w:rsidP="00661C8E">
            <w:pPr>
              <w:jc w:val="center"/>
            </w:pPr>
            <w:r>
              <w:t>47</w:t>
            </w:r>
          </w:p>
        </w:tc>
      </w:tr>
      <w:tr w:rsidR="00436242" w14:paraId="2F5F1E6F" w14:textId="77777777" w:rsidTr="009371CB">
        <w:tc>
          <w:tcPr>
            <w:tcW w:w="8364" w:type="dxa"/>
          </w:tcPr>
          <w:p w14:paraId="3FED3A64" w14:textId="2CEB2EAA" w:rsidR="00436242" w:rsidRPr="00311DE3" w:rsidRDefault="00436242" w:rsidP="00436242">
            <w:pPr>
              <w:spacing w:line="240" w:lineRule="auto"/>
              <w:ind w:left="567" w:hanging="567"/>
            </w:pPr>
            <w:r w:rsidRPr="00436242">
              <w:t xml:space="preserve">The United Nations Declaration on the Rights of Indigenous Peoples: A Manual for National Human Rights Institutions HR/PUB/13/2 (2013) </w:t>
            </w:r>
            <w:r w:rsidR="007E05F5">
              <w:t>(“</w:t>
            </w:r>
            <w:r w:rsidRPr="00436242">
              <w:t>UNDRIP Manual</w:t>
            </w:r>
            <w:r w:rsidR="007E05F5">
              <w:t>”)</w:t>
            </w:r>
          </w:p>
        </w:tc>
        <w:tc>
          <w:tcPr>
            <w:tcW w:w="1242" w:type="dxa"/>
          </w:tcPr>
          <w:p w14:paraId="0AE5DD15" w14:textId="7CB9757E" w:rsidR="00436242" w:rsidRDefault="00357E85" w:rsidP="00661C8E">
            <w:pPr>
              <w:jc w:val="center"/>
            </w:pPr>
            <w:r>
              <w:t>47</w:t>
            </w:r>
          </w:p>
        </w:tc>
      </w:tr>
      <w:tr w:rsidR="00436242" w14:paraId="5453A431" w14:textId="77777777" w:rsidTr="009371CB">
        <w:tc>
          <w:tcPr>
            <w:tcW w:w="8364" w:type="dxa"/>
          </w:tcPr>
          <w:p w14:paraId="6F1F5DD1" w14:textId="3929F256" w:rsidR="00436242" w:rsidRPr="00311DE3" w:rsidRDefault="00436242" w:rsidP="00436242">
            <w:pPr>
              <w:spacing w:line="240" w:lineRule="auto"/>
              <w:ind w:left="567" w:hanging="567"/>
            </w:pPr>
            <w:r w:rsidRPr="00436242">
              <w:rPr>
                <w:i/>
              </w:rPr>
              <w:t xml:space="preserve">Third report on State responsibility, by Mr. James Crawford, Special Rapporteur </w:t>
            </w:r>
            <w:r w:rsidRPr="00436242">
              <w:t xml:space="preserve">A/CN.4/507 (2000) </w:t>
            </w:r>
            <w:r w:rsidR="007E05F5">
              <w:t>(“</w:t>
            </w:r>
            <w:r w:rsidRPr="00436242">
              <w:t>Crawford: Third Report on State Responsibility</w:t>
            </w:r>
            <w:r w:rsidR="007E05F5">
              <w:t>”)</w:t>
            </w:r>
          </w:p>
        </w:tc>
        <w:tc>
          <w:tcPr>
            <w:tcW w:w="1242" w:type="dxa"/>
          </w:tcPr>
          <w:p w14:paraId="215EFE6F" w14:textId="6025E645" w:rsidR="00436242" w:rsidRDefault="00357E85" w:rsidP="00661C8E">
            <w:pPr>
              <w:jc w:val="center"/>
            </w:pPr>
            <w:r>
              <w:t>42</w:t>
            </w:r>
          </w:p>
        </w:tc>
      </w:tr>
      <w:tr w:rsidR="00436242" w14:paraId="44E18550" w14:textId="77777777" w:rsidTr="009371CB">
        <w:tc>
          <w:tcPr>
            <w:tcW w:w="8364" w:type="dxa"/>
          </w:tcPr>
          <w:p w14:paraId="27CECAA9" w14:textId="057066B3" w:rsidR="00436242" w:rsidRPr="00311DE3" w:rsidRDefault="00436242" w:rsidP="00436242">
            <w:pPr>
              <w:spacing w:line="240" w:lineRule="auto"/>
              <w:ind w:left="567" w:hanging="567"/>
            </w:pPr>
            <w:r w:rsidRPr="00684732">
              <w:rPr>
                <w:iCs/>
                <w:color w:val="000000"/>
                <w:lang w:val="en-GB"/>
              </w:rPr>
              <w:t xml:space="preserve">UNEP </w:t>
            </w:r>
            <w:r w:rsidRPr="00684732">
              <w:rPr>
                <w:i/>
                <w:iCs/>
                <w:color w:val="000000"/>
                <w:lang w:val="en-GB"/>
              </w:rPr>
              <w:t>Goals and Principles of Environmental Impact Assessment (Preliminary Note)</w:t>
            </w:r>
            <w:r w:rsidRPr="00684732">
              <w:rPr>
                <w:iCs/>
                <w:color w:val="000000"/>
                <w:lang w:val="en-GB"/>
              </w:rPr>
              <w:t xml:space="preserve"> (2011) (“UNEP EIA Principles”)</w:t>
            </w:r>
          </w:p>
        </w:tc>
        <w:tc>
          <w:tcPr>
            <w:tcW w:w="1242" w:type="dxa"/>
          </w:tcPr>
          <w:p w14:paraId="43418D96" w14:textId="3BBC3648" w:rsidR="00436242" w:rsidRDefault="00357E85" w:rsidP="00661C8E">
            <w:pPr>
              <w:jc w:val="center"/>
            </w:pPr>
            <w:r>
              <w:t>39</w:t>
            </w:r>
          </w:p>
        </w:tc>
      </w:tr>
      <w:tr w:rsidR="00436242" w14:paraId="7D28E090" w14:textId="77777777" w:rsidTr="009371CB">
        <w:tc>
          <w:tcPr>
            <w:tcW w:w="8364" w:type="dxa"/>
          </w:tcPr>
          <w:p w14:paraId="1AC43564" w14:textId="5010A65A" w:rsidR="00436242" w:rsidRPr="00311DE3" w:rsidRDefault="00436242" w:rsidP="00436242">
            <w:pPr>
              <w:spacing w:line="240" w:lineRule="auto"/>
              <w:ind w:left="567" w:hanging="567"/>
            </w:pPr>
            <w:r w:rsidRPr="00684732">
              <w:rPr>
                <w:iCs/>
                <w:color w:val="000000"/>
                <w:lang w:val="en-GB"/>
              </w:rPr>
              <w:t xml:space="preserve">UNEP Governing Council </w:t>
            </w:r>
            <w:r w:rsidRPr="00684732">
              <w:rPr>
                <w:i/>
                <w:iCs/>
                <w:color w:val="000000"/>
                <w:lang w:val="en-GB"/>
              </w:rPr>
              <w:t>Principles of</w:t>
            </w:r>
            <w:r w:rsidRPr="00684732">
              <w:rPr>
                <w:iCs/>
                <w:color w:val="000000"/>
                <w:lang w:val="en-GB"/>
              </w:rPr>
              <w:t xml:space="preserve"> </w:t>
            </w:r>
            <w:r w:rsidRPr="00684732">
              <w:rPr>
                <w:i/>
                <w:iCs/>
                <w:color w:val="000000"/>
                <w:lang w:val="en-GB"/>
              </w:rPr>
              <w:t>Conduct in the Conservation and Harmonious Utilisation of Natural Resources Shared by Two or More States</w:t>
            </w:r>
            <w:r w:rsidRPr="00684732">
              <w:rPr>
                <w:iCs/>
                <w:color w:val="000000"/>
                <w:lang w:val="en-GB"/>
              </w:rPr>
              <w:t xml:space="preserve"> (1978) (“UNEP Principles on Shared Natural Resources”)</w:t>
            </w:r>
          </w:p>
        </w:tc>
        <w:tc>
          <w:tcPr>
            <w:tcW w:w="1242" w:type="dxa"/>
          </w:tcPr>
          <w:p w14:paraId="7441034F" w14:textId="1D1BB553" w:rsidR="00436242" w:rsidRDefault="00357E85" w:rsidP="00661C8E">
            <w:pPr>
              <w:jc w:val="center"/>
            </w:pPr>
            <w:r>
              <w:t>40</w:t>
            </w:r>
          </w:p>
        </w:tc>
      </w:tr>
      <w:tr w:rsidR="00436242" w14:paraId="4E74DEC8" w14:textId="77777777" w:rsidTr="009371CB">
        <w:tc>
          <w:tcPr>
            <w:tcW w:w="8364" w:type="dxa"/>
          </w:tcPr>
          <w:p w14:paraId="243BDFB0" w14:textId="5B3C3B16" w:rsidR="00436242" w:rsidRPr="00311DE3" w:rsidRDefault="00436242" w:rsidP="00436242">
            <w:pPr>
              <w:spacing w:line="240" w:lineRule="auto"/>
              <w:ind w:left="567" w:hanging="567"/>
            </w:pPr>
            <w:r w:rsidRPr="00436242">
              <w:t xml:space="preserve">United Nations Conference on Trade and Development </w:t>
            </w:r>
            <w:r w:rsidRPr="00436242">
              <w:rPr>
                <w:i/>
              </w:rPr>
              <w:t xml:space="preserve">The Convention on Biological Diversity and the Nagoya Protocol: Intellectual Property Implications: A </w:t>
            </w:r>
            <w:r w:rsidRPr="00436242">
              <w:rPr>
                <w:i/>
              </w:rPr>
              <w:lastRenderedPageBreak/>
              <w:t>Handbook on the Interface between Global Access and Benefit Sharing Rules and Intellectual Property</w:t>
            </w:r>
            <w:r w:rsidRPr="00436242">
              <w:t xml:space="preserve"> UNCTAD/DIAE/PCB/2014/3 </w:t>
            </w:r>
            <w:r w:rsidR="007E05F5">
              <w:t>(“</w:t>
            </w:r>
            <w:r w:rsidRPr="00436242">
              <w:t>UN Handbook</w:t>
            </w:r>
            <w:r w:rsidR="007E05F5">
              <w:t>”)</w:t>
            </w:r>
          </w:p>
        </w:tc>
        <w:tc>
          <w:tcPr>
            <w:tcW w:w="1242" w:type="dxa"/>
          </w:tcPr>
          <w:p w14:paraId="280121A7" w14:textId="482E86F7" w:rsidR="00436242" w:rsidRDefault="00357E85" w:rsidP="00661C8E">
            <w:pPr>
              <w:jc w:val="center"/>
            </w:pPr>
            <w:r>
              <w:lastRenderedPageBreak/>
              <w:t>55</w:t>
            </w:r>
          </w:p>
        </w:tc>
      </w:tr>
      <w:tr w:rsidR="00436242" w14:paraId="71E10E99" w14:textId="77777777" w:rsidTr="009371CB">
        <w:tc>
          <w:tcPr>
            <w:tcW w:w="8364" w:type="dxa"/>
          </w:tcPr>
          <w:p w14:paraId="082B31EB" w14:textId="30B3A95D" w:rsidR="00436242" w:rsidRPr="00311DE3" w:rsidRDefault="00436242" w:rsidP="00436242">
            <w:pPr>
              <w:spacing w:line="240" w:lineRule="auto"/>
              <w:ind w:left="567" w:hanging="567"/>
            </w:pPr>
            <w:r w:rsidRPr="00436242">
              <w:rPr>
                <w:i/>
              </w:rPr>
              <w:t xml:space="preserve">United Nations Declaration on the Rights of Indigenous Peoples </w:t>
            </w:r>
            <w:r w:rsidRPr="00436242">
              <w:t xml:space="preserve">A/Res/61/295 (2007) </w:t>
            </w:r>
            <w:r w:rsidR="007E05F5">
              <w:t>(“</w:t>
            </w:r>
            <w:r w:rsidRPr="00436242">
              <w:t>UNDRIP</w:t>
            </w:r>
            <w:r w:rsidR="007E05F5">
              <w:t>”)</w:t>
            </w:r>
          </w:p>
        </w:tc>
        <w:tc>
          <w:tcPr>
            <w:tcW w:w="1242" w:type="dxa"/>
          </w:tcPr>
          <w:p w14:paraId="7C26A6FC" w14:textId="1FD33BC7" w:rsidR="00436242" w:rsidRDefault="00357E85" w:rsidP="00661C8E">
            <w:pPr>
              <w:jc w:val="center"/>
            </w:pPr>
            <w:r>
              <w:t>46</w:t>
            </w:r>
          </w:p>
        </w:tc>
      </w:tr>
      <w:tr w:rsidR="00436242" w14:paraId="6A74B598" w14:textId="77777777" w:rsidTr="009371CB">
        <w:tc>
          <w:tcPr>
            <w:tcW w:w="8364" w:type="dxa"/>
          </w:tcPr>
          <w:p w14:paraId="61FA09ED" w14:textId="479B7AED" w:rsidR="00436242" w:rsidRPr="00436242" w:rsidRDefault="00436242" w:rsidP="00436242">
            <w:pPr>
              <w:spacing w:line="240" w:lineRule="auto"/>
              <w:ind w:left="567" w:hanging="567"/>
              <w:rPr>
                <w:i/>
              </w:rPr>
            </w:pPr>
            <w:r w:rsidRPr="00436242">
              <w:rPr>
                <w:i/>
              </w:rPr>
              <w:t xml:space="preserve">Working Paper by the Chairperson-Rapporteur, Mrs. Erica-Irene A. </w:t>
            </w:r>
            <w:proofErr w:type="spellStart"/>
            <w:r w:rsidRPr="00436242">
              <w:rPr>
                <w:i/>
              </w:rPr>
              <w:t>Daes</w:t>
            </w:r>
            <w:proofErr w:type="spellEnd"/>
            <w:r w:rsidRPr="00436242">
              <w:rPr>
                <w:i/>
              </w:rPr>
              <w:t xml:space="preserve">, on the concept of "indigenous people" </w:t>
            </w:r>
            <w:r w:rsidRPr="00436242">
              <w:t xml:space="preserve">E/CN.4/Sub.2/AC.4/1996/2 (1996) </w:t>
            </w:r>
            <w:r w:rsidR="007E05F5">
              <w:t>(“</w:t>
            </w:r>
            <w:proofErr w:type="spellStart"/>
            <w:r w:rsidRPr="00436242">
              <w:rPr>
                <w:i/>
              </w:rPr>
              <w:t>Daes</w:t>
            </w:r>
            <w:proofErr w:type="spellEnd"/>
            <w:r w:rsidRPr="00436242">
              <w:rPr>
                <w:i/>
              </w:rPr>
              <w:t xml:space="preserve"> Report</w:t>
            </w:r>
            <w:r w:rsidR="007E05F5">
              <w:rPr>
                <w:i/>
              </w:rPr>
              <w:t>”)</w:t>
            </w:r>
          </w:p>
        </w:tc>
        <w:tc>
          <w:tcPr>
            <w:tcW w:w="1242" w:type="dxa"/>
          </w:tcPr>
          <w:p w14:paraId="505BBD29" w14:textId="4A4C58D9" w:rsidR="00436242" w:rsidRDefault="00357E85" w:rsidP="00661C8E">
            <w:pPr>
              <w:jc w:val="center"/>
            </w:pPr>
            <w:r>
              <w:t>47</w:t>
            </w:r>
          </w:p>
        </w:tc>
      </w:tr>
      <w:tr w:rsidR="00436242" w14:paraId="7F9957C8" w14:textId="77777777" w:rsidTr="009371CB">
        <w:tc>
          <w:tcPr>
            <w:tcW w:w="8364" w:type="dxa"/>
          </w:tcPr>
          <w:p w14:paraId="1A67710C" w14:textId="2AC4CB41" w:rsidR="00436242" w:rsidRPr="00311DE3" w:rsidRDefault="00436242" w:rsidP="00436242">
            <w:pPr>
              <w:spacing w:line="240" w:lineRule="auto"/>
              <w:ind w:left="567" w:hanging="567"/>
            </w:pPr>
            <w:r w:rsidRPr="00684732">
              <w:rPr>
                <w:iCs/>
                <w:color w:val="000000"/>
                <w:lang w:val="en-GB"/>
              </w:rPr>
              <w:t xml:space="preserve">World Health Organisation </w:t>
            </w:r>
            <w:r w:rsidRPr="00684732">
              <w:rPr>
                <w:i/>
                <w:iCs/>
                <w:color w:val="000000"/>
                <w:lang w:val="en-GB"/>
              </w:rPr>
              <w:t>Public-Private Roles in the Pharmaceutical Sector: Implications for Equitable Access and Rational Drug Use</w:t>
            </w:r>
            <w:r w:rsidRPr="00684732">
              <w:rPr>
                <w:iCs/>
                <w:color w:val="000000"/>
                <w:lang w:val="en-GB"/>
              </w:rPr>
              <w:t xml:space="preserve"> WHO/DAP/97.12 (“WHO </w:t>
            </w:r>
            <w:r w:rsidRPr="00684732">
              <w:rPr>
                <w:i/>
                <w:iCs/>
                <w:color w:val="000000"/>
                <w:lang w:val="en-GB"/>
              </w:rPr>
              <w:t>Public-Private Roles in the Pharmaceutical Sector</w:t>
            </w:r>
            <w:r w:rsidRPr="00684732">
              <w:rPr>
                <w:iCs/>
                <w:color w:val="000000"/>
                <w:lang w:val="en-GB"/>
              </w:rPr>
              <w:t>”)</w:t>
            </w:r>
          </w:p>
        </w:tc>
        <w:tc>
          <w:tcPr>
            <w:tcW w:w="1242" w:type="dxa"/>
          </w:tcPr>
          <w:p w14:paraId="0D689142" w14:textId="4D93E8A4" w:rsidR="00436242" w:rsidRDefault="00357E85" w:rsidP="00661C8E">
            <w:pPr>
              <w:jc w:val="center"/>
            </w:pPr>
            <w:r>
              <w:t>28, 29</w:t>
            </w:r>
          </w:p>
        </w:tc>
      </w:tr>
    </w:tbl>
    <w:p w14:paraId="639E1E59" w14:textId="77777777" w:rsidR="001A26AC" w:rsidRPr="00063103" w:rsidRDefault="001A26AC" w:rsidP="001A26AC"/>
    <w:p w14:paraId="43FF26F4" w14:textId="77777777" w:rsidR="001A26AC" w:rsidRDefault="001A26AC" w:rsidP="001A26AC">
      <w:pPr>
        <w:pStyle w:val="Heading2"/>
      </w:pPr>
      <w:bookmarkStart w:id="112" w:name="_Toc534993299"/>
      <w:bookmarkStart w:id="113" w:name="_Toc534995363"/>
      <w:bookmarkStart w:id="114" w:name="_Toc534995753"/>
      <w:bookmarkStart w:id="115" w:name="_Toc534995828"/>
      <w:bookmarkStart w:id="116" w:name="_Toc534995982"/>
      <w:bookmarkStart w:id="117" w:name="_Toc534998400"/>
      <w:bookmarkStart w:id="118" w:name="_Toc535037154"/>
      <w:r>
        <w:t>Books and articles</w:t>
      </w:r>
      <w:bookmarkEnd w:id="112"/>
      <w:bookmarkEnd w:id="113"/>
      <w:bookmarkEnd w:id="114"/>
      <w:bookmarkEnd w:id="115"/>
      <w:bookmarkEnd w:id="116"/>
      <w:bookmarkEnd w:id="117"/>
      <w:bookmarkEnd w:id="118"/>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242"/>
      </w:tblGrid>
      <w:tr w:rsidR="001A26AC" w14:paraId="2C8537E1" w14:textId="77777777" w:rsidTr="009371CB">
        <w:tc>
          <w:tcPr>
            <w:tcW w:w="8364" w:type="dxa"/>
          </w:tcPr>
          <w:p w14:paraId="2E864AB0" w14:textId="4A818C12" w:rsidR="001A26AC" w:rsidRPr="00311DE3" w:rsidRDefault="00A42870" w:rsidP="00F95D91">
            <w:pPr>
              <w:spacing w:line="240" w:lineRule="auto"/>
              <w:ind w:left="567" w:hanging="567"/>
            </w:pPr>
            <w:r w:rsidRPr="00684732">
              <w:rPr>
                <w:lang w:val="en-GB"/>
              </w:rPr>
              <w:t xml:space="preserve">Anastasia </w:t>
            </w:r>
            <w:proofErr w:type="spellStart"/>
            <w:r w:rsidRPr="00684732">
              <w:rPr>
                <w:lang w:val="en-GB"/>
              </w:rPr>
              <w:t>Telesetsky</w:t>
            </w:r>
            <w:proofErr w:type="spellEnd"/>
            <w:r w:rsidRPr="00684732">
              <w:rPr>
                <w:lang w:val="en-GB"/>
              </w:rPr>
              <w:t xml:space="preserve">, Donald K Anton and Timo </w:t>
            </w:r>
            <w:proofErr w:type="spellStart"/>
            <w:r w:rsidRPr="00684732">
              <w:rPr>
                <w:lang w:val="en-GB"/>
              </w:rPr>
              <w:t>Koivurova</w:t>
            </w:r>
            <w:proofErr w:type="spellEnd"/>
            <w:r w:rsidRPr="00684732">
              <w:rPr>
                <w:lang w:val="en-GB"/>
              </w:rPr>
              <w:t xml:space="preserve"> “ICJ’s Decision in </w:t>
            </w:r>
            <w:r w:rsidRPr="00684732">
              <w:rPr>
                <w:i/>
                <w:lang w:val="en-GB"/>
              </w:rPr>
              <w:t>Australia v Japan</w:t>
            </w:r>
            <w:r w:rsidRPr="00684732">
              <w:rPr>
                <w:lang w:val="en-GB"/>
              </w:rPr>
              <w:t>: Giving up the Spear or Refining the Scientific Design?” (2014) 45 Ocean Development &amp; International Law 328 (“</w:t>
            </w:r>
            <w:proofErr w:type="spellStart"/>
            <w:r w:rsidRPr="00684732">
              <w:rPr>
                <w:lang w:val="en-GB"/>
              </w:rPr>
              <w:t>Telesetsky</w:t>
            </w:r>
            <w:proofErr w:type="spellEnd"/>
            <w:r w:rsidRPr="00684732">
              <w:rPr>
                <w:lang w:val="en-GB"/>
              </w:rPr>
              <w:t xml:space="preserve">, Anton and </w:t>
            </w:r>
            <w:proofErr w:type="spellStart"/>
            <w:r w:rsidRPr="00684732">
              <w:rPr>
                <w:lang w:val="en-GB"/>
              </w:rPr>
              <w:t>Koivurova</w:t>
            </w:r>
            <w:proofErr w:type="spellEnd"/>
            <w:r w:rsidRPr="00684732">
              <w:rPr>
                <w:lang w:val="en-GB"/>
              </w:rPr>
              <w:t xml:space="preserve"> (2014)”)</w:t>
            </w:r>
          </w:p>
        </w:tc>
        <w:tc>
          <w:tcPr>
            <w:tcW w:w="1242" w:type="dxa"/>
          </w:tcPr>
          <w:p w14:paraId="70EC18ED" w14:textId="26EC3E77" w:rsidR="001A26AC" w:rsidRDefault="0080359D" w:rsidP="00661C8E">
            <w:pPr>
              <w:jc w:val="center"/>
            </w:pPr>
            <w:r>
              <w:t>34</w:t>
            </w:r>
          </w:p>
        </w:tc>
      </w:tr>
      <w:tr w:rsidR="001A26AC" w14:paraId="58C41524" w14:textId="77777777" w:rsidTr="009371CB">
        <w:tc>
          <w:tcPr>
            <w:tcW w:w="8364" w:type="dxa"/>
          </w:tcPr>
          <w:p w14:paraId="0DBD8F47" w14:textId="3A9294DA" w:rsidR="001A26AC" w:rsidRPr="00311DE3" w:rsidRDefault="00A42870" w:rsidP="00F95D91">
            <w:pPr>
              <w:spacing w:line="240" w:lineRule="auto"/>
              <w:ind w:left="567" w:hanging="567"/>
            </w:pPr>
            <w:proofErr w:type="spellStart"/>
            <w:r w:rsidRPr="00684732">
              <w:rPr>
                <w:lang w:val="en-GB"/>
              </w:rPr>
              <w:t>Arie</w:t>
            </w:r>
            <w:proofErr w:type="spellEnd"/>
            <w:r w:rsidRPr="00684732">
              <w:rPr>
                <w:lang w:val="en-GB"/>
              </w:rPr>
              <w:t xml:space="preserve"> </w:t>
            </w:r>
            <w:proofErr w:type="spellStart"/>
            <w:r w:rsidRPr="00684732">
              <w:rPr>
                <w:lang w:val="en-GB"/>
              </w:rPr>
              <w:t>Trouwborst</w:t>
            </w:r>
            <w:proofErr w:type="spellEnd"/>
            <w:r w:rsidRPr="00684732">
              <w:rPr>
                <w:lang w:val="en-GB"/>
              </w:rPr>
              <w:t xml:space="preserve"> “Aussie Jaws and International Laws: The Australian Shark Cull and the Convention on Migratory Species” (2014) 2 Cornell Int’l Law Journal Online 41 (“</w:t>
            </w:r>
            <w:proofErr w:type="spellStart"/>
            <w:r w:rsidRPr="00684732">
              <w:rPr>
                <w:lang w:val="en-GB"/>
              </w:rPr>
              <w:t>Trouwborst</w:t>
            </w:r>
            <w:proofErr w:type="spellEnd"/>
            <w:r w:rsidRPr="00684732">
              <w:rPr>
                <w:lang w:val="en-GB"/>
              </w:rPr>
              <w:t xml:space="preserve"> (2014)”)</w:t>
            </w:r>
          </w:p>
        </w:tc>
        <w:tc>
          <w:tcPr>
            <w:tcW w:w="1242" w:type="dxa"/>
          </w:tcPr>
          <w:p w14:paraId="3C2E56C8" w14:textId="5C45A2AA" w:rsidR="001A26AC" w:rsidRDefault="0080359D" w:rsidP="00661C8E">
            <w:pPr>
              <w:jc w:val="center"/>
            </w:pPr>
            <w:r>
              <w:t>35</w:t>
            </w:r>
          </w:p>
        </w:tc>
      </w:tr>
      <w:tr w:rsidR="00A42870" w14:paraId="3F5B7F61" w14:textId="77777777" w:rsidTr="009371CB">
        <w:tc>
          <w:tcPr>
            <w:tcW w:w="8364" w:type="dxa"/>
          </w:tcPr>
          <w:p w14:paraId="35802778" w14:textId="32171777" w:rsidR="00A42870" w:rsidRPr="00A42870" w:rsidRDefault="00A42870" w:rsidP="00A42870">
            <w:pPr>
              <w:spacing w:line="240" w:lineRule="auto"/>
              <w:ind w:left="567" w:hanging="567"/>
              <w:rPr>
                <w:bCs/>
              </w:rPr>
            </w:pPr>
            <w:r w:rsidRPr="00A42870">
              <w:rPr>
                <w:bCs/>
              </w:rPr>
              <w:t xml:space="preserve">Charles </w:t>
            </w:r>
            <w:proofErr w:type="spellStart"/>
            <w:r w:rsidRPr="00A42870">
              <w:rPr>
                <w:bCs/>
              </w:rPr>
              <w:t>Sampford</w:t>
            </w:r>
            <w:proofErr w:type="spellEnd"/>
            <w:r w:rsidRPr="00A42870">
              <w:rPr>
                <w:bCs/>
              </w:rPr>
              <w:t xml:space="preserve"> </w:t>
            </w:r>
            <w:r w:rsidRPr="00A42870">
              <w:rPr>
                <w:bCs/>
                <w:i/>
              </w:rPr>
              <w:t xml:space="preserve">Retrospectivity and the Rule of Law </w:t>
            </w:r>
            <w:r w:rsidRPr="00A42870">
              <w:rPr>
                <w:bCs/>
              </w:rPr>
              <w:t xml:space="preserve">(Oxford University Press, Oxford, 2006) </w:t>
            </w:r>
            <w:r w:rsidR="007E05F5">
              <w:rPr>
                <w:bCs/>
              </w:rPr>
              <w:t>(“</w:t>
            </w:r>
            <w:proofErr w:type="spellStart"/>
            <w:r w:rsidRPr="00A42870">
              <w:rPr>
                <w:bCs/>
              </w:rPr>
              <w:t>Sampford</w:t>
            </w:r>
            <w:proofErr w:type="spellEnd"/>
            <w:r w:rsidRPr="00A42870">
              <w:rPr>
                <w:bCs/>
              </w:rPr>
              <w:t xml:space="preserve"> (2006)</w:t>
            </w:r>
            <w:r w:rsidR="007E05F5">
              <w:rPr>
                <w:bCs/>
              </w:rPr>
              <w:t>”)</w:t>
            </w:r>
          </w:p>
        </w:tc>
        <w:tc>
          <w:tcPr>
            <w:tcW w:w="1242" w:type="dxa"/>
          </w:tcPr>
          <w:p w14:paraId="1076F9D8" w14:textId="59EED322" w:rsidR="00A42870" w:rsidRDefault="00E37BAF" w:rsidP="00661C8E">
            <w:pPr>
              <w:jc w:val="center"/>
            </w:pPr>
            <w:r>
              <w:t>51</w:t>
            </w:r>
          </w:p>
        </w:tc>
      </w:tr>
      <w:tr w:rsidR="00A42870" w14:paraId="58BE49D9" w14:textId="77777777" w:rsidTr="009371CB">
        <w:tc>
          <w:tcPr>
            <w:tcW w:w="8364" w:type="dxa"/>
          </w:tcPr>
          <w:p w14:paraId="343270A6" w14:textId="7D65780D" w:rsidR="00A42870" w:rsidRPr="00A42870" w:rsidRDefault="00C925B0" w:rsidP="00A42870">
            <w:pPr>
              <w:spacing w:line="240" w:lineRule="auto"/>
              <w:ind w:left="567" w:hanging="567"/>
              <w:rPr>
                <w:bCs/>
              </w:rPr>
            </w:pPr>
            <w:r w:rsidRPr="00A42870">
              <w:t xml:space="preserve">Charles T </w:t>
            </w:r>
            <w:proofErr w:type="spellStart"/>
            <w:r w:rsidRPr="00A42870">
              <w:t>Kotuby</w:t>
            </w:r>
            <w:proofErr w:type="spellEnd"/>
            <w:r w:rsidRPr="00A42870">
              <w:t xml:space="preserve"> and Luke A </w:t>
            </w:r>
            <w:proofErr w:type="spellStart"/>
            <w:r w:rsidRPr="00A42870">
              <w:t>Sobota</w:t>
            </w:r>
            <w:proofErr w:type="spellEnd"/>
            <w:r w:rsidRPr="00A42870">
              <w:t xml:space="preserve"> </w:t>
            </w:r>
            <w:r w:rsidRPr="00A42870">
              <w:rPr>
                <w:bCs/>
                <w:i/>
              </w:rPr>
              <w:t xml:space="preserve">General Principles of Law and International Due Process: Principles and Norms Applicable in Transnational Disputes </w:t>
            </w:r>
            <w:r w:rsidRPr="00A42870">
              <w:rPr>
                <w:bCs/>
              </w:rPr>
              <w:t xml:space="preserve">(Oxford University Press, New York, 2017) </w:t>
            </w:r>
            <w:r>
              <w:rPr>
                <w:bCs/>
              </w:rPr>
              <w:t>(“</w:t>
            </w:r>
            <w:proofErr w:type="spellStart"/>
            <w:r w:rsidRPr="00A42870">
              <w:rPr>
                <w:bCs/>
              </w:rPr>
              <w:t>Kotuby</w:t>
            </w:r>
            <w:proofErr w:type="spellEnd"/>
            <w:r w:rsidRPr="00A42870">
              <w:rPr>
                <w:bCs/>
              </w:rPr>
              <w:t xml:space="preserve"> and </w:t>
            </w:r>
            <w:proofErr w:type="spellStart"/>
            <w:r w:rsidRPr="00A42870">
              <w:rPr>
                <w:bCs/>
              </w:rPr>
              <w:t>Sobota</w:t>
            </w:r>
            <w:proofErr w:type="spellEnd"/>
            <w:r w:rsidRPr="00A42870">
              <w:rPr>
                <w:bCs/>
              </w:rPr>
              <w:t xml:space="preserve"> (2017)</w:t>
            </w:r>
            <w:r>
              <w:rPr>
                <w:bCs/>
              </w:rPr>
              <w:t>”)</w:t>
            </w:r>
          </w:p>
        </w:tc>
        <w:tc>
          <w:tcPr>
            <w:tcW w:w="1242" w:type="dxa"/>
          </w:tcPr>
          <w:p w14:paraId="0E1863EE" w14:textId="58627FEC" w:rsidR="00A42870" w:rsidRDefault="00E37BAF" w:rsidP="00661C8E">
            <w:pPr>
              <w:jc w:val="center"/>
            </w:pPr>
            <w:r>
              <w:t>42, 44, 55</w:t>
            </w:r>
          </w:p>
        </w:tc>
      </w:tr>
      <w:tr w:rsidR="00A42870" w14:paraId="1DF20648" w14:textId="77777777" w:rsidTr="009371CB">
        <w:tc>
          <w:tcPr>
            <w:tcW w:w="8364" w:type="dxa"/>
          </w:tcPr>
          <w:p w14:paraId="1723E001" w14:textId="2822F903" w:rsidR="00A42870" w:rsidRPr="00A42870" w:rsidRDefault="00A42870" w:rsidP="00A42870">
            <w:pPr>
              <w:spacing w:line="240" w:lineRule="auto"/>
              <w:ind w:left="567" w:hanging="567"/>
              <w:rPr>
                <w:bCs/>
              </w:rPr>
            </w:pPr>
            <w:r w:rsidRPr="00A42870">
              <w:rPr>
                <w:bCs/>
              </w:rPr>
              <w:t xml:space="preserve">Chidi </w:t>
            </w:r>
            <w:proofErr w:type="spellStart"/>
            <w:r w:rsidRPr="00A42870">
              <w:rPr>
                <w:bCs/>
              </w:rPr>
              <w:t>Oguamanam</w:t>
            </w:r>
            <w:proofErr w:type="spellEnd"/>
            <w:r w:rsidRPr="00A42870">
              <w:rPr>
                <w:bCs/>
              </w:rPr>
              <w:t xml:space="preserve"> </w:t>
            </w:r>
            <w:r w:rsidRPr="00A42870">
              <w:rPr>
                <w:bCs/>
                <w:i/>
              </w:rPr>
              <w:t xml:space="preserve">International Law and Indigenous Knowledge: Intellectual Property, Plant Biodiversity, and Traditional Medicine </w:t>
            </w:r>
            <w:r w:rsidRPr="00A42870">
              <w:rPr>
                <w:bCs/>
              </w:rPr>
              <w:t xml:space="preserve">(University of Toronto Press, Toronto, 2006) </w:t>
            </w:r>
            <w:r w:rsidR="007E05F5">
              <w:rPr>
                <w:bCs/>
              </w:rPr>
              <w:t>(“</w:t>
            </w:r>
            <w:proofErr w:type="spellStart"/>
            <w:r w:rsidRPr="00A42870">
              <w:rPr>
                <w:bCs/>
              </w:rPr>
              <w:t>Oguamanam</w:t>
            </w:r>
            <w:proofErr w:type="spellEnd"/>
            <w:r w:rsidRPr="00A42870">
              <w:rPr>
                <w:bCs/>
              </w:rPr>
              <w:t xml:space="preserve"> (2006)</w:t>
            </w:r>
            <w:r w:rsidR="007E05F5">
              <w:rPr>
                <w:bCs/>
              </w:rPr>
              <w:t>”)</w:t>
            </w:r>
          </w:p>
        </w:tc>
        <w:tc>
          <w:tcPr>
            <w:tcW w:w="1242" w:type="dxa"/>
          </w:tcPr>
          <w:p w14:paraId="5655357E" w14:textId="04C45207" w:rsidR="00A42870" w:rsidRDefault="00E37BAF" w:rsidP="00661C8E">
            <w:pPr>
              <w:jc w:val="center"/>
            </w:pPr>
            <w:r>
              <w:t>49</w:t>
            </w:r>
          </w:p>
        </w:tc>
      </w:tr>
      <w:tr w:rsidR="00A42870" w14:paraId="341D3CD3" w14:textId="77777777" w:rsidTr="009371CB">
        <w:tc>
          <w:tcPr>
            <w:tcW w:w="8364" w:type="dxa"/>
          </w:tcPr>
          <w:p w14:paraId="68E7B406" w14:textId="03B1A37C" w:rsidR="00A42870" w:rsidRPr="00A42870" w:rsidRDefault="00A42870" w:rsidP="00A42870">
            <w:pPr>
              <w:spacing w:line="240" w:lineRule="auto"/>
              <w:ind w:left="567" w:hanging="567"/>
              <w:rPr>
                <w:bCs/>
              </w:rPr>
            </w:pPr>
            <w:r w:rsidRPr="00A42870">
              <w:rPr>
                <w:bCs/>
              </w:rPr>
              <w:t xml:space="preserve">Christian J Tams </w:t>
            </w:r>
            <w:r w:rsidRPr="00A42870">
              <w:rPr>
                <w:bCs/>
                <w:i/>
              </w:rPr>
              <w:t xml:space="preserve">Enforcing Obligations </w:t>
            </w:r>
            <w:proofErr w:type="spellStart"/>
            <w:r w:rsidRPr="00A42870">
              <w:rPr>
                <w:bCs/>
                <w:i/>
              </w:rPr>
              <w:t>Erga</w:t>
            </w:r>
            <w:proofErr w:type="spellEnd"/>
            <w:r w:rsidRPr="00A42870">
              <w:rPr>
                <w:bCs/>
                <w:i/>
              </w:rPr>
              <w:t xml:space="preserve"> </w:t>
            </w:r>
            <w:proofErr w:type="spellStart"/>
            <w:r w:rsidRPr="00A42870">
              <w:rPr>
                <w:bCs/>
                <w:i/>
              </w:rPr>
              <w:t>Omnes</w:t>
            </w:r>
            <w:proofErr w:type="spellEnd"/>
            <w:r w:rsidRPr="00A42870">
              <w:rPr>
                <w:bCs/>
                <w:i/>
              </w:rPr>
              <w:t xml:space="preserve"> in International Law </w:t>
            </w:r>
            <w:r w:rsidRPr="00A42870">
              <w:rPr>
                <w:bCs/>
              </w:rPr>
              <w:t xml:space="preserve">(Cambridge University Press, Cambridge, 2005) </w:t>
            </w:r>
            <w:r w:rsidR="007E05F5">
              <w:rPr>
                <w:bCs/>
              </w:rPr>
              <w:t>(“</w:t>
            </w:r>
            <w:r w:rsidRPr="00A42870">
              <w:rPr>
                <w:bCs/>
              </w:rPr>
              <w:t>Tams (2005)</w:t>
            </w:r>
            <w:r w:rsidR="007E05F5">
              <w:rPr>
                <w:bCs/>
              </w:rPr>
              <w:t>”)</w:t>
            </w:r>
          </w:p>
        </w:tc>
        <w:tc>
          <w:tcPr>
            <w:tcW w:w="1242" w:type="dxa"/>
          </w:tcPr>
          <w:p w14:paraId="1BF2290B" w14:textId="08E322E6" w:rsidR="00A42870" w:rsidRDefault="00E37BAF" w:rsidP="00661C8E">
            <w:pPr>
              <w:jc w:val="center"/>
            </w:pPr>
            <w:r>
              <w:t>42</w:t>
            </w:r>
          </w:p>
        </w:tc>
      </w:tr>
      <w:tr w:rsidR="00A42870" w14:paraId="14BA1781" w14:textId="77777777" w:rsidTr="009371CB">
        <w:tc>
          <w:tcPr>
            <w:tcW w:w="8364" w:type="dxa"/>
          </w:tcPr>
          <w:p w14:paraId="60B33C79" w14:textId="79598600" w:rsidR="00A42870" w:rsidRPr="00311DE3" w:rsidRDefault="00A42870" w:rsidP="007C73E9">
            <w:pPr>
              <w:spacing w:line="240" w:lineRule="auto"/>
              <w:ind w:left="567" w:hanging="567"/>
            </w:pPr>
            <w:r w:rsidRPr="00684732">
              <w:rPr>
                <w:lang w:val="en-GB"/>
              </w:rPr>
              <w:t>Cyril de Klemm “Migratory Species in International Law” (1989) 29 Nat Resources J 935 (“De Klemm (1989)”)</w:t>
            </w:r>
          </w:p>
        </w:tc>
        <w:tc>
          <w:tcPr>
            <w:tcW w:w="1242" w:type="dxa"/>
          </w:tcPr>
          <w:p w14:paraId="5723D548" w14:textId="4EB4CBE5" w:rsidR="00A42870" w:rsidRDefault="00E37BAF" w:rsidP="00661C8E">
            <w:pPr>
              <w:jc w:val="center"/>
            </w:pPr>
            <w:r>
              <w:t>40</w:t>
            </w:r>
            <w:r w:rsidR="000E491F">
              <w:t>, 41</w:t>
            </w:r>
          </w:p>
        </w:tc>
      </w:tr>
      <w:tr w:rsidR="00A42870" w14:paraId="5284EEAA" w14:textId="77777777" w:rsidTr="009371CB">
        <w:tc>
          <w:tcPr>
            <w:tcW w:w="8364" w:type="dxa"/>
          </w:tcPr>
          <w:p w14:paraId="42247C5E" w14:textId="4096E507" w:rsidR="00A42870" w:rsidRPr="00311DE3" w:rsidRDefault="00A42870" w:rsidP="00A42870">
            <w:pPr>
              <w:spacing w:line="240" w:lineRule="auto"/>
              <w:ind w:left="567" w:hanging="567"/>
            </w:pPr>
            <w:r w:rsidRPr="006B3069">
              <w:rPr>
                <w:bCs/>
              </w:rPr>
              <w:t xml:space="preserve">Elisa </w:t>
            </w:r>
            <w:proofErr w:type="spellStart"/>
            <w:r w:rsidRPr="006B3069">
              <w:rPr>
                <w:bCs/>
              </w:rPr>
              <w:t>Morgera</w:t>
            </w:r>
            <w:proofErr w:type="spellEnd"/>
            <w:r w:rsidRPr="006B3069">
              <w:rPr>
                <w:bCs/>
              </w:rPr>
              <w:t xml:space="preserve">, Elsa </w:t>
            </w:r>
            <w:proofErr w:type="spellStart"/>
            <w:r w:rsidRPr="006B3069">
              <w:rPr>
                <w:bCs/>
              </w:rPr>
              <w:t>Tsioumani</w:t>
            </w:r>
            <w:proofErr w:type="spellEnd"/>
            <w:r w:rsidRPr="006B3069">
              <w:rPr>
                <w:bCs/>
              </w:rPr>
              <w:t xml:space="preserve"> and Matthias Buck </w:t>
            </w:r>
            <w:r w:rsidRPr="006B3069">
              <w:rPr>
                <w:bCs/>
                <w:i/>
              </w:rPr>
              <w:t xml:space="preserve">Unravelling the Nagoya Protocol: </w:t>
            </w:r>
            <w:r w:rsidRPr="006B3069">
              <w:rPr>
                <w:bCs/>
                <w:i/>
                <w:iCs/>
              </w:rPr>
              <w:t xml:space="preserve">A Commentary on the Nagoya Protocol on Access and Benefit-sharing to the Convention on Biological Diversity </w:t>
            </w:r>
            <w:r w:rsidRPr="006B3069">
              <w:rPr>
                <w:bCs/>
                <w:iCs/>
              </w:rPr>
              <w:t xml:space="preserve">(Brill, Leiden, 2014) </w:t>
            </w:r>
            <w:r w:rsidR="007E05F5">
              <w:rPr>
                <w:bCs/>
                <w:iCs/>
              </w:rPr>
              <w:t>(“</w:t>
            </w:r>
            <w:proofErr w:type="spellStart"/>
            <w:r w:rsidRPr="006B3069">
              <w:rPr>
                <w:bCs/>
                <w:iCs/>
              </w:rPr>
              <w:t>Morgera</w:t>
            </w:r>
            <w:proofErr w:type="spellEnd"/>
            <w:r w:rsidRPr="006B3069">
              <w:rPr>
                <w:bCs/>
                <w:iCs/>
              </w:rPr>
              <w:t xml:space="preserve">, </w:t>
            </w:r>
            <w:proofErr w:type="spellStart"/>
            <w:r w:rsidRPr="006B3069">
              <w:rPr>
                <w:bCs/>
              </w:rPr>
              <w:t>Tsioumani</w:t>
            </w:r>
            <w:proofErr w:type="spellEnd"/>
            <w:r w:rsidRPr="006B3069">
              <w:rPr>
                <w:bCs/>
              </w:rPr>
              <w:t xml:space="preserve"> and Buck (2014)</w:t>
            </w:r>
            <w:r w:rsidR="007E05F5">
              <w:rPr>
                <w:bCs/>
              </w:rPr>
              <w:t>”)</w:t>
            </w:r>
          </w:p>
        </w:tc>
        <w:tc>
          <w:tcPr>
            <w:tcW w:w="1242" w:type="dxa"/>
          </w:tcPr>
          <w:p w14:paraId="0CC3E716" w14:textId="13E73ECF" w:rsidR="00A42870" w:rsidRDefault="00E37BAF" w:rsidP="00661C8E">
            <w:pPr>
              <w:jc w:val="center"/>
            </w:pPr>
            <w:r>
              <w:t>49, 52, 53, 55</w:t>
            </w:r>
          </w:p>
        </w:tc>
      </w:tr>
      <w:tr w:rsidR="00A42870" w14:paraId="638D1B4C" w14:textId="77777777" w:rsidTr="009371CB">
        <w:tc>
          <w:tcPr>
            <w:tcW w:w="8364" w:type="dxa"/>
          </w:tcPr>
          <w:p w14:paraId="50C4C806" w14:textId="77B45DD2" w:rsidR="00A42870" w:rsidRPr="00311DE3" w:rsidRDefault="00A42870" w:rsidP="007C73E9">
            <w:pPr>
              <w:spacing w:line="240" w:lineRule="auto"/>
              <w:ind w:left="567" w:hanging="567"/>
            </w:pPr>
            <w:proofErr w:type="spellStart"/>
            <w:r w:rsidRPr="00A42870">
              <w:t>Evanson</w:t>
            </w:r>
            <w:proofErr w:type="spellEnd"/>
            <w:r w:rsidRPr="00A42870">
              <w:t xml:space="preserve"> </w:t>
            </w:r>
            <w:proofErr w:type="spellStart"/>
            <w:r w:rsidRPr="00A42870">
              <w:t>Chege</w:t>
            </w:r>
            <w:proofErr w:type="spellEnd"/>
            <w:r w:rsidRPr="00A42870">
              <w:t xml:space="preserve"> Kamau, </w:t>
            </w:r>
            <w:proofErr w:type="spellStart"/>
            <w:r w:rsidRPr="00A42870">
              <w:t>Becis</w:t>
            </w:r>
            <w:proofErr w:type="spellEnd"/>
            <w:r w:rsidRPr="00A42870">
              <w:t xml:space="preserve"> </w:t>
            </w:r>
            <w:proofErr w:type="spellStart"/>
            <w:r w:rsidRPr="00A42870">
              <w:t>Fedder</w:t>
            </w:r>
            <w:proofErr w:type="spellEnd"/>
            <w:r w:rsidRPr="00A42870">
              <w:t xml:space="preserve"> and Gerd Winter “The Nagoya Protocol on Access to Genetic Resources and Benefit Sharing: What is New and What are the Implications for Provider and User Countries and the Scientific </w:t>
            </w:r>
            <w:r w:rsidRPr="00A42870">
              <w:lastRenderedPageBreak/>
              <w:t xml:space="preserve">Community?” (2010) 6 Law Environment and Development Journal 248 </w:t>
            </w:r>
            <w:r w:rsidR="007E05F5">
              <w:t>(“</w:t>
            </w:r>
            <w:r w:rsidRPr="00A42870">
              <w:t xml:space="preserve">Kamau, </w:t>
            </w:r>
            <w:proofErr w:type="spellStart"/>
            <w:r w:rsidRPr="00A42870">
              <w:t>Fedder</w:t>
            </w:r>
            <w:proofErr w:type="spellEnd"/>
            <w:r w:rsidRPr="00A42870">
              <w:t xml:space="preserve"> and Winter (2010)</w:t>
            </w:r>
            <w:r w:rsidR="007E05F5">
              <w:t>”)</w:t>
            </w:r>
          </w:p>
        </w:tc>
        <w:tc>
          <w:tcPr>
            <w:tcW w:w="1242" w:type="dxa"/>
          </w:tcPr>
          <w:p w14:paraId="283A66F9" w14:textId="6408DB8B" w:rsidR="00A42870" w:rsidRDefault="00E37BAF" w:rsidP="00661C8E">
            <w:pPr>
              <w:jc w:val="center"/>
            </w:pPr>
            <w:r>
              <w:lastRenderedPageBreak/>
              <w:t>50, 52, 53</w:t>
            </w:r>
          </w:p>
        </w:tc>
      </w:tr>
      <w:tr w:rsidR="00A42870" w14:paraId="1631769E" w14:textId="77777777" w:rsidTr="009371CB">
        <w:tc>
          <w:tcPr>
            <w:tcW w:w="8364" w:type="dxa"/>
          </w:tcPr>
          <w:p w14:paraId="375D1F55" w14:textId="1DFB3DE6" w:rsidR="00A42870" w:rsidRPr="00311DE3" w:rsidRDefault="00A42870" w:rsidP="00A42870">
            <w:pPr>
              <w:spacing w:line="240" w:lineRule="auto"/>
              <w:ind w:left="567" w:hanging="567"/>
            </w:pPr>
            <w:r w:rsidRPr="00A42870">
              <w:t xml:space="preserve">Francesco </w:t>
            </w:r>
            <w:proofErr w:type="spellStart"/>
            <w:r w:rsidRPr="00A42870">
              <w:t>Francioni</w:t>
            </w:r>
            <w:proofErr w:type="spellEnd"/>
            <w:r w:rsidRPr="00A42870">
              <w:t xml:space="preserve"> </w:t>
            </w:r>
            <w:r w:rsidRPr="00A42870">
              <w:rPr>
                <w:i/>
              </w:rPr>
              <w:t xml:space="preserve">Biotechnologies and International Human Rights </w:t>
            </w:r>
            <w:r w:rsidRPr="00A42870">
              <w:t xml:space="preserve">(Hart Publishing, Oxford, 2007) </w:t>
            </w:r>
            <w:r w:rsidR="007E05F5">
              <w:t>(“</w:t>
            </w:r>
            <w:proofErr w:type="spellStart"/>
            <w:r w:rsidRPr="00A42870">
              <w:t>Francioni</w:t>
            </w:r>
            <w:proofErr w:type="spellEnd"/>
            <w:r w:rsidRPr="00A42870">
              <w:t xml:space="preserve"> (2007)</w:t>
            </w:r>
            <w:r w:rsidR="007E05F5">
              <w:t>”)</w:t>
            </w:r>
          </w:p>
        </w:tc>
        <w:tc>
          <w:tcPr>
            <w:tcW w:w="1242" w:type="dxa"/>
          </w:tcPr>
          <w:p w14:paraId="0A87C8DD" w14:textId="6287EC24" w:rsidR="00A42870" w:rsidRDefault="00E37BAF" w:rsidP="00661C8E">
            <w:pPr>
              <w:jc w:val="center"/>
            </w:pPr>
            <w:r>
              <w:t>49</w:t>
            </w:r>
          </w:p>
        </w:tc>
      </w:tr>
      <w:tr w:rsidR="00A42870" w14:paraId="6178CBE5" w14:textId="77777777" w:rsidTr="009371CB">
        <w:tc>
          <w:tcPr>
            <w:tcW w:w="8364" w:type="dxa"/>
          </w:tcPr>
          <w:p w14:paraId="02A044F3" w14:textId="13AAF492" w:rsidR="00A42870" w:rsidRPr="00A42870" w:rsidRDefault="00A42870" w:rsidP="00A42870">
            <w:pPr>
              <w:spacing w:line="240" w:lineRule="auto"/>
              <w:ind w:left="567" w:hanging="567"/>
              <w:rPr>
                <w:bCs/>
              </w:rPr>
            </w:pPr>
            <w:r w:rsidRPr="00A42870">
              <w:rPr>
                <w:bCs/>
              </w:rPr>
              <w:t xml:space="preserve">Hans V </w:t>
            </w:r>
            <w:proofErr w:type="spellStart"/>
            <w:r w:rsidRPr="00A42870">
              <w:rPr>
                <w:bCs/>
              </w:rPr>
              <w:t>Hogerzeil</w:t>
            </w:r>
            <w:proofErr w:type="spellEnd"/>
            <w:r w:rsidRPr="00A42870">
              <w:rPr>
                <w:bCs/>
              </w:rPr>
              <w:t xml:space="preserve">, Melanie Samson, </w:t>
            </w:r>
            <w:proofErr w:type="spellStart"/>
            <w:r w:rsidRPr="00A42870">
              <w:rPr>
                <w:bCs/>
              </w:rPr>
              <w:t>Jaume</w:t>
            </w:r>
            <w:proofErr w:type="spellEnd"/>
            <w:r w:rsidRPr="00A42870">
              <w:rPr>
                <w:bCs/>
              </w:rPr>
              <w:t xml:space="preserve"> Vidal Casanovas, </w:t>
            </w:r>
            <w:proofErr w:type="spellStart"/>
            <w:r w:rsidRPr="00A42870">
              <w:rPr>
                <w:bCs/>
              </w:rPr>
              <w:t>Ladan</w:t>
            </w:r>
            <w:proofErr w:type="spellEnd"/>
            <w:r w:rsidRPr="00A42870">
              <w:rPr>
                <w:bCs/>
              </w:rPr>
              <w:t xml:space="preserve"> </w:t>
            </w:r>
            <w:proofErr w:type="spellStart"/>
            <w:r w:rsidRPr="00A42870">
              <w:rPr>
                <w:bCs/>
              </w:rPr>
              <w:t>Rahmani-Ocora</w:t>
            </w:r>
            <w:proofErr w:type="spellEnd"/>
            <w:r w:rsidRPr="00A42870">
              <w:rPr>
                <w:bCs/>
              </w:rPr>
              <w:t xml:space="preserve"> ‘Is access to essential medicines as part of the fulfilment of the right to health enforceable through the courts?’ (2006) 368 Lancet 305 </w:t>
            </w:r>
            <w:r w:rsidR="007E05F5">
              <w:rPr>
                <w:bCs/>
              </w:rPr>
              <w:t>(“</w:t>
            </w:r>
            <w:proofErr w:type="spellStart"/>
            <w:r w:rsidRPr="00A42870">
              <w:rPr>
                <w:bCs/>
              </w:rPr>
              <w:t>Hogerzeil</w:t>
            </w:r>
            <w:proofErr w:type="spellEnd"/>
            <w:r w:rsidRPr="00A42870">
              <w:rPr>
                <w:bCs/>
              </w:rPr>
              <w:t xml:space="preserve"> </w:t>
            </w:r>
            <w:r w:rsidR="00843CF3">
              <w:rPr>
                <w:bCs/>
              </w:rPr>
              <w:t>and others</w:t>
            </w:r>
            <w:r w:rsidRPr="00A42870">
              <w:rPr>
                <w:bCs/>
              </w:rPr>
              <w:t xml:space="preserve"> (2006)</w:t>
            </w:r>
            <w:r w:rsidR="007E05F5">
              <w:rPr>
                <w:bCs/>
              </w:rPr>
              <w:t>”)</w:t>
            </w:r>
          </w:p>
        </w:tc>
        <w:tc>
          <w:tcPr>
            <w:tcW w:w="1242" w:type="dxa"/>
          </w:tcPr>
          <w:p w14:paraId="5981BE92" w14:textId="0D67CA16" w:rsidR="00A42870" w:rsidRDefault="00843CF3" w:rsidP="00661C8E">
            <w:pPr>
              <w:jc w:val="center"/>
            </w:pPr>
            <w:r>
              <w:t>45</w:t>
            </w:r>
          </w:p>
        </w:tc>
      </w:tr>
      <w:tr w:rsidR="00A42870" w14:paraId="3CEED24F" w14:textId="77777777" w:rsidTr="009371CB">
        <w:tc>
          <w:tcPr>
            <w:tcW w:w="8364" w:type="dxa"/>
          </w:tcPr>
          <w:p w14:paraId="7232ED66" w14:textId="1CA7E96C" w:rsidR="00A42870" w:rsidRPr="00351EE4" w:rsidRDefault="00A42870" w:rsidP="00351EE4">
            <w:pPr>
              <w:spacing w:line="240" w:lineRule="auto"/>
              <w:ind w:left="567" w:hanging="567"/>
              <w:rPr>
                <w:bCs/>
                <w:iCs/>
              </w:rPr>
            </w:pPr>
            <w:r w:rsidRPr="00A42870">
              <w:rPr>
                <w:bCs/>
                <w:iCs/>
              </w:rPr>
              <w:t xml:space="preserve">Heiner </w:t>
            </w:r>
            <w:proofErr w:type="spellStart"/>
            <w:r w:rsidRPr="00A42870">
              <w:rPr>
                <w:bCs/>
                <w:iCs/>
              </w:rPr>
              <w:t>Bielefeldt</w:t>
            </w:r>
            <w:proofErr w:type="spellEnd"/>
            <w:r w:rsidRPr="00A42870">
              <w:rPr>
                <w:bCs/>
                <w:iCs/>
              </w:rPr>
              <w:t xml:space="preserve">, </w:t>
            </w:r>
            <w:proofErr w:type="spellStart"/>
            <w:r w:rsidRPr="00A42870">
              <w:rPr>
                <w:bCs/>
                <w:iCs/>
              </w:rPr>
              <w:t>Nazila</w:t>
            </w:r>
            <w:proofErr w:type="spellEnd"/>
            <w:r w:rsidRPr="00A42870">
              <w:rPr>
                <w:bCs/>
                <w:iCs/>
              </w:rPr>
              <w:t xml:space="preserve"> </w:t>
            </w:r>
            <w:proofErr w:type="spellStart"/>
            <w:r w:rsidRPr="00A42870">
              <w:rPr>
                <w:bCs/>
                <w:iCs/>
              </w:rPr>
              <w:t>Ghanea-Hercock</w:t>
            </w:r>
            <w:proofErr w:type="spellEnd"/>
            <w:r w:rsidRPr="00A42870">
              <w:rPr>
                <w:bCs/>
                <w:iCs/>
              </w:rPr>
              <w:t xml:space="preserve"> and Michael Wiener </w:t>
            </w:r>
            <w:r w:rsidRPr="00A42870">
              <w:rPr>
                <w:bCs/>
                <w:i/>
                <w:iCs/>
              </w:rPr>
              <w:t xml:space="preserve">Freedom of Religion or Belief: An International Law Commentary </w:t>
            </w:r>
            <w:r w:rsidRPr="00A42870">
              <w:rPr>
                <w:bCs/>
                <w:iCs/>
              </w:rPr>
              <w:t xml:space="preserve">(Oxford, United Kingdom, 2016) </w:t>
            </w:r>
            <w:r w:rsidR="007E05F5">
              <w:rPr>
                <w:bCs/>
                <w:iCs/>
              </w:rPr>
              <w:t>(“</w:t>
            </w:r>
            <w:proofErr w:type="spellStart"/>
            <w:r w:rsidRPr="00A42870">
              <w:rPr>
                <w:bCs/>
                <w:iCs/>
              </w:rPr>
              <w:t>Bielefeldt</w:t>
            </w:r>
            <w:proofErr w:type="spellEnd"/>
            <w:r w:rsidRPr="00A42870">
              <w:rPr>
                <w:bCs/>
                <w:iCs/>
              </w:rPr>
              <w:t xml:space="preserve">, </w:t>
            </w:r>
            <w:proofErr w:type="spellStart"/>
            <w:r w:rsidRPr="00A42870">
              <w:rPr>
                <w:bCs/>
                <w:iCs/>
              </w:rPr>
              <w:t>Ghanea-Hercock</w:t>
            </w:r>
            <w:proofErr w:type="spellEnd"/>
            <w:r w:rsidRPr="00A42870">
              <w:rPr>
                <w:bCs/>
                <w:iCs/>
              </w:rPr>
              <w:t xml:space="preserve"> and Wiener (2016)</w:t>
            </w:r>
            <w:r w:rsidR="007E05F5">
              <w:rPr>
                <w:bCs/>
                <w:iCs/>
              </w:rPr>
              <w:t>”)</w:t>
            </w:r>
          </w:p>
        </w:tc>
        <w:tc>
          <w:tcPr>
            <w:tcW w:w="1242" w:type="dxa"/>
          </w:tcPr>
          <w:p w14:paraId="26CA60C3" w14:textId="48201EED" w:rsidR="00A42870" w:rsidRDefault="00843CF3" w:rsidP="00661C8E">
            <w:pPr>
              <w:jc w:val="center"/>
            </w:pPr>
            <w:r>
              <w:t>44</w:t>
            </w:r>
          </w:p>
        </w:tc>
      </w:tr>
      <w:tr w:rsidR="00A42870" w14:paraId="79F31642" w14:textId="77777777" w:rsidTr="009371CB">
        <w:tc>
          <w:tcPr>
            <w:tcW w:w="8364" w:type="dxa"/>
          </w:tcPr>
          <w:p w14:paraId="20F9F8E7" w14:textId="7BCD23BC" w:rsidR="00A42870" w:rsidRPr="00311DE3" w:rsidRDefault="00A42870" w:rsidP="00175D02">
            <w:pPr>
              <w:spacing w:line="240" w:lineRule="auto"/>
              <w:ind w:left="567" w:hanging="567"/>
            </w:pPr>
            <w:r w:rsidRPr="00A42870">
              <w:t xml:space="preserve">Hugh </w:t>
            </w:r>
            <w:proofErr w:type="spellStart"/>
            <w:r w:rsidRPr="00A42870">
              <w:t>Thirlway</w:t>
            </w:r>
            <w:proofErr w:type="spellEnd"/>
            <w:r w:rsidRPr="00A42870">
              <w:t xml:space="preserve"> </w:t>
            </w:r>
            <w:r w:rsidRPr="00A42870">
              <w:rPr>
                <w:i/>
              </w:rPr>
              <w:t>The Sources of International Law</w:t>
            </w:r>
            <w:r w:rsidRPr="00A42870">
              <w:t xml:space="preserve"> (Oxford University Press, Oxford, 2014) </w:t>
            </w:r>
            <w:r w:rsidR="007E05F5">
              <w:t>(“</w:t>
            </w:r>
            <w:proofErr w:type="spellStart"/>
            <w:r w:rsidRPr="00A42870">
              <w:t>Thirlway</w:t>
            </w:r>
            <w:proofErr w:type="spellEnd"/>
            <w:r w:rsidRPr="00A42870">
              <w:t xml:space="preserve"> (2014)</w:t>
            </w:r>
            <w:r w:rsidR="007E05F5">
              <w:t>”)</w:t>
            </w:r>
          </w:p>
        </w:tc>
        <w:tc>
          <w:tcPr>
            <w:tcW w:w="1242" w:type="dxa"/>
          </w:tcPr>
          <w:p w14:paraId="30CE6B31" w14:textId="4698F774" w:rsidR="00A42870" w:rsidRDefault="00743480" w:rsidP="00661C8E">
            <w:pPr>
              <w:jc w:val="center"/>
            </w:pPr>
            <w:r>
              <w:t>43</w:t>
            </w:r>
          </w:p>
        </w:tc>
      </w:tr>
      <w:tr w:rsidR="00175D02" w14:paraId="7E693073" w14:textId="77777777" w:rsidTr="009371CB">
        <w:tc>
          <w:tcPr>
            <w:tcW w:w="8364" w:type="dxa"/>
          </w:tcPr>
          <w:p w14:paraId="45326365" w14:textId="79704DE4" w:rsidR="00175D02" w:rsidRPr="00A42870" w:rsidRDefault="00175D02" w:rsidP="00A42870">
            <w:pPr>
              <w:spacing w:line="240" w:lineRule="auto"/>
              <w:ind w:left="567" w:hanging="567"/>
            </w:pPr>
            <w:r w:rsidRPr="00A42870">
              <w:t xml:space="preserve">Ian Brownlie </w:t>
            </w:r>
            <w:r w:rsidRPr="00A42870">
              <w:rPr>
                <w:i/>
              </w:rPr>
              <w:t>System of the Law of Nations: State Responsibility Part I</w:t>
            </w:r>
            <w:r w:rsidRPr="00A42870">
              <w:t xml:space="preserve"> (Clarendon Press, Oxford, 1983) </w:t>
            </w:r>
            <w:r>
              <w:t>(“</w:t>
            </w:r>
            <w:r w:rsidRPr="00A42870">
              <w:t>Brownlie (1983)</w:t>
            </w:r>
            <w:r>
              <w:t>”)</w:t>
            </w:r>
          </w:p>
        </w:tc>
        <w:tc>
          <w:tcPr>
            <w:tcW w:w="1242" w:type="dxa"/>
          </w:tcPr>
          <w:p w14:paraId="391BE692" w14:textId="6F7168F8" w:rsidR="00175D02" w:rsidRDefault="00743480" w:rsidP="00661C8E">
            <w:pPr>
              <w:jc w:val="center"/>
            </w:pPr>
            <w:r>
              <w:t>55</w:t>
            </w:r>
          </w:p>
        </w:tc>
      </w:tr>
      <w:tr w:rsidR="00A42870" w14:paraId="7B770DF4" w14:textId="77777777" w:rsidTr="009371CB">
        <w:tc>
          <w:tcPr>
            <w:tcW w:w="8364" w:type="dxa"/>
          </w:tcPr>
          <w:p w14:paraId="7DA9CB8C" w14:textId="28862B75" w:rsidR="00A42870" w:rsidRPr="00A42870" w:rsidRDefault="00A42870" w:rsidP="00A42870">
            <w:pPr>
              <w:spacing w:line="240" w:lineRule="auto"/>
              <w:ind w:left="567" w:hanging="567"/>
              <w:rPr>
                <w:iCs/>
              </w:rPr>
            </w:pPr>
            <w:r w:rsidRPr="00A42870">
              <w:rPr>
                <w:iCs/>
              </w:rPr>
              <w:t xml:space="preserve">James Anaya “Indigenous Peoples’ Participatory Rights in Relation to Decisions about Natural Resource Extraction: The More Fundamental Issue of what Rights Indigenous Peoples Have in Lands and Resources” (2005) 22 Arizona Journal of International &amp; Comparative Law 7 </w:t>
            </w:r>
            <w:r w:rsidR="007E05F5">
              <w:rPr>
                <w:iCs/>
              </w:rPr>
              <w:t>(“</w:t>
            </w:r>
            <w:r w:rsidRPr="00A42870">
              <w:rPr>
                <w:iCs/>
              </w:rPr>
              <w:t>Anaya (2005)</w:t>
            </w:r>
            <w:r w:rsidR="007E05F5">
              <w:rPr>
                <w:iCs/>
              </w:rPr>
              <w:t>”)</w:t>
            </w:r>
          </w:p>
        </w:tc>
        <w:tc>
          <w:tcPr>
            <w:tcW w:w="1242" w:type="dxa"/>
          </w:tcPr>
          <w:p w14:paraId="75F2B783" w14:textId="34BB03B0" w:rsidR="00A42870" w:rsidRDefault="00743480" w:rsidP="00661C8E">
            <w:pPr>
              <w:jc w:val="center"/>
            </w:pPr>
            <w:r>
              <w:t>47</w:t>
            </w:r>
          </w:p>
        </w:tc>
      </w:tr>
      <w:tr w:rsidR="00A42870" w14:paraId="6E93A52D" w14:textId="77777777" w:rsidTr="009371CB">
        <w:tc>
          <w:tcPr>
            <w:tcW w:w="8364" w:type="dxa"/>
          </w:tcPr>
          <w:p w14:paraId="215F431A" w14:textId="6BFA1C4F" w:rsidR="00A42870" w:rsidRPr="00311DE3" w:rsidRDefault="00A92581" w:rsidP="007C73E9">
            <w:pPr>
              <w:spacing w:line="240" w:lineRule="auto"/>
              <w:ind w:left="567" w:hanging="567"/>
            </w:pPr>
            <w:r w:rsidRPr="004A3EDF">
              <w:rPr>
                <w:iCs/>
              </w:rPr>
              <w:t xml:space="preserve">James Anaya </w:t>
            </w:r>
            <w:r w:rsidRPr="004A3EDF">
              <w:rPr>
                <w:i/>
                <w:iCs/>
              </w:rPr>
              <w:t xml:space="preserve">Indigenous Peoples in International Law </w:t>
            </w:r>
            <w:r w:rsidRPr="004A3EDF">
              <w:rPr>
                <w:iCs/>
              </w:rPr>
              <w:t xml:space="preserve">(Oxford University Press, New York, 2004) </w:t>
            </w:r>
            <w:r w:rsidR="007E05F5" w:rsidRPr="004A3EDF">
              <w:rPr>
                <w:iCs/>
              </w:rPr>
              <w:t>(“</w:t>
            </w:r>
            <w:r w:rsidRPr="004A3EDF">
              <w:rPr>
                <w:iCs/>
              </w:rPr>
              <w:t>Anaya (2004)</w:t>
            </w:r>
            <w:r w:rsidR="007E05F5" w:rsidRPr="004A3EDF">
              <w:rPr>
                <w:iCs/>
              </w:rPr>
              <w:t>”)</w:t>
            </w:r>
          </w:p>
        </w:tc>
        <w:tc>
          <w:tcPr>
            <w:tcW w:w="1242" w:type="dxa"/>
          </w:tcPr>
          <w:p w14:paraId="5E9E00DA" w14:textId="30731F62" w:rsidR="00A42870" w:rsidRDefault="004A3EDF" w:rsidP="00661C8E">
            <w:pPr>
              <w:jc w:val="center"/>
            </w:pPr>
            <w:r>
              <w:t>47</w:t>
            </w:r>
          </w:p>
        </w:tc>
      </w:tr>
      <w:tr w:rsidR="00A42870" w14:paraId="584E23A2" w14:textId="77777777" w:rsidTr="009371CB">
        <w:tc>
          <w:tcPr>
            <w:tcW w:w="8364" w:type="dxa"/>
          </w:tcPr>
          <w:p w14:paraId="3134A476" w14:textId="1AA35AA5" w:rsidR="00A42870" w:rsidRPr="00311DE3" w:rsidRDefault="00315763" w:rsidP="007C73E9">
            <w:pPr>
              <w:spacing w:line="240" w:lineRule="auto"/>
              <w:ind w:left="567" w:hanging="567"/>
            </w:pPr>
            <w:r>
              <w:t xml:space="preserve">James Crawford </w:t>
            </w:r>
            <w:r w:rsidRPr="006B3069">
              <w:rPr>
                <w:i/>
              </w:rPr>
              <w:t xml:space="preserve">State Responsibility: The General Part </w:t>
            </w:r>
            <w:r>
              <w:t xml:space="preserve">(Cambridge University Press, Cambridge, 2013) </w:t>
            </w:r>
            <w:r w:rsidR="007E05F5">
              <w:t>(“</w:t>
            </w:r>
            <w:r>
              <w:t>Crawford (2013)</w:t>
            </w:r>
            <w:r w:rsidR="007E05F5">
              <w:t>”)</w:t>
            </w:r>
          </w:p>
        </w:tc>
        <w:tc>
          <w:tcPr>
            <w:tcW w:w="1242" w:type="dxa"/>
          </w:tcPr>
          <w:p w14:paraId="4B96191C" w14:textId="520B680B" w:rsidR="00A42870" w:rsidRDefault="007A68CF" w:rsidP="00661C8E">
            <w:pPr>
              <w:jc w:val="center"/>
            </w:pPr>
            <w:r>
              <w:t>28, 54</w:t>
            </w:r>
          </w:p>
        </w:tc>
      </w:tr>
      <w:tr w:rsidR="00A42870" w14:paraId="66662FC1" w14:textId="77777777" w:rsidTr="009371CB">
        <w:tc>
          <w:tcPr>
            <w:tcW w:w="8364" w:type="dxa"/>
          </w:tcPr>
          <w:p w14:paraId="48B9DD3C" w14:textId="4D09D1A0" w:rsidR="00A42870" w:rsidRPr="00311DE3" w:rsidRDefault="00315763" w:rsidP="00315763">
            <w:pPr>
              <w:spacing w:line="240" w:lineRule="auto"/>
              <w:ind w:left="567" w:hanging="567"/>
            </w:pPr>
            <w:r w:rsidRPr="00315763">
              <w:t xml:space="preserve">James Crawford, Alain Pellet and Simon </w:t>
            </w:r>
            <w:proofErr w:type="spellStart"/>
            <w:r w:rsidRPr="00315763">
              <w:t>Olleson</w:t>
            </w:r>
            <w:proofErr w:type="spellEnd"/>
            <w:r w:rsidRPr="00315763">
              <w:t xml:space="preserve"> (</w:t>
            </w:r>
            <w:proofErr w:type="spellStart"/>
            <w:r w:rsidRPr="00315763">
              <w:t>eds</w:t>
            </w:r>
            <w:proofErr w:type="spellEnd"/>
            <w:r w:rsidRPr="00315763">
              <w:t xml:space="preserve">) </w:t>
            </w:r>
            <w:r w:rsidRPr="00315763">
              <w:rPr>
                <w:i/>
              </w:rPr>
              <w:t xml:space="preserve">The Law of International Responsibility </w:t>
            </w:r>
            <w:r w:rsidRPr="00315763">
              <w:t xml:space="preserve">(Oxford University Press, Oxford, 2010) </w:t>
            </w:r>
            <w:r w:rsidR="007E05F5">
              <w:t>(“</w:t>
            </w:r>
            <w:r w:rsidRPr="00315763">
              <w:t xml:space="preserve">Crawford, Pellet and </w:t>
            </w:r>
            <w:proofErr w:type="spellStart"/>
            <w:r w:rsidRPr="00315763">
              <w:t>Olleson</w:t>
            </w:r>
            <w:proofErr w:type="spellEnd"/>
            <w:r w:rsidRPr="00315763">
              <w:t xml:space="preserve"> (2010)</w:t>
            </w:r>
            <w:r w:rsidR="007E05F5">
              <w:t>”)</w:t>
            </w:r>
          </w:p>
        </w:tc>
        <w:tc>
          <w:tcPr>
            <w:tcW w:w="1242" w:type="dxa"/>
          </w:tcPr>
          <w:p w14:paraId="1D692968" w14:textId="2F97DBA3" w:rsidR="00A42870" w:rsidRDefault="00536192" w:rsidP="00661C8E">
            <w:pPr>
              <w:jc w:val="center"/>
            </w:pPr>
            <w:r>
              <w:t>42, 55, 56</w:t>
            </w:r>
          </w:p>
        </w:tc>
      </w:tr>
      <w:tr w:rsidR="00A42870" w14:paraId="24ABF705" w14:textId="77777777" w:rsidTr="009371CB">
        <w:tc>
          <w:tcPr>
            <w:tcW w:w="8364" w:type="dxa"/>
          </w:tcPr>
          <w:p w14:paraId="7942E90F" w14:textId="1AC10B93" w:rsidR="00A42870" w:rsidRPr="00311DE3" w:rsidRDefault="00315763" w:rsidP="00315763">
            <w:pPr>
              <w:spacing w:line="240" w:lineRule="auto"/>
              <w:ind w:left="567" w:hanging="567"/>
            </w:pPr>
            <w:r w:rsidRPr="00315763">
              <w:t xml:space="preserve">Juliane </w:t>
            </w:r>
            <w:proofErr w:type="spellStart"/>
            <w:r w:rsidRPr="00315763">
              <w:t>Kokott</w:t>
            </w:r>
            <w:proofErr w:type="spellEnd"/>
            <w:r w:rsidRPr="00315763">
              <w:t xml:space="preserve"> </w:t>
            </w:r>
            <w:r w:rsidRPr="00315763">
              <w:rPr>
                <w:i/>
              </w:rPr>
              <w:t xml:space="preserve">The Burden of Proof in Comparative and International Human Rights Law </w:t>
            </w:r>
            <w:r w:rsidRPr="00315763">
              <w:t xml:space="preserve">(Kluwer Law International, the Hague, 1998) </w:t>
            </w:r>
            <w:r w:rsidR="007E05F5">
              <w:t>(“</w:t>
            </w:r>
            <w:proofErr w:type="spellStart"/>
            <w:r w:rsidRPr="00315763">
              <w:t>Kokott</w:t>
            </w:r>
            <w:proofErr w:type="spellEnd"/>
            <w:r w:rsidRPr="00315763">
              <w:t xml:space="preserve"> (1998)</w:t>
            </w:r>
            <w:r w:rsidR="007E05F5">
              <w:t>”)</w:t>
            </w:r>
          </w:p>
        </w:tc>
        <w:tc>
          <w:tcPr>
            <w:tcW w:w="1242" w:type="dxa"/>
          </w:tcPr>
          <w:p w14:paraId="16F3DE83" w14:textId="5A012F2E" w:rsidR="00A42870" w:rsidRDefault="00536192" w:rsidP="00661C8E">
            <w:pPr>
              <w:jc w:val="center"/>
            </w:pPr>
            <w:r>
              <w:t>39</w:t>
            </w:r>
          </w:p>
        </w:tc>
      </w:tr>
      <w:tr w:rsidR="00A42870" w14:paraId="7298800E" w14:textId="77777777" w:rsidTr="009371CB">
        <w:tc>
          <w:tcPr>
            <w:tcW w:w="8364" w:type="dxa"/>
          </w:tcPr>
          <w:p w14:paraId="743053D4" w14:textId="51599A35" w:rsidR="00A42870" w:rsidRPr="00311DE3" w:rsidRDefault="00315763" w:rsidP="007C73E9">
            <w:pPr>
              <w:spacing w:line="240" w:lineRule="auto"/>
              <w:ind w:left="567" w:hanging="567"/>
            </w:pPr>
            <w:r w:rsidRPr="00315763">
              <w:rPr>
                <w:lang w:val="en-GB"/>
              </w:rPr>
              <w:t xml:space="preserve">Laurence </w:t>
            </w:r>
            <w:proofErr w:type="spellStart"/>
            <w:r w:rsidRPr="00315763">
              <w:rPr>
                <w:lang w:val="en-GB"/>
              </w:rPr>
              <w:t>Boisson</w:t>
            </w:r>
            <w:proofErr w:type="spellEnd"/>
            <w:r w:rsidRPr="00315763">
              <w:rPr>
                <w:lang w:val="en-GB"/>
              </w:rPr>
              <w:t xml:space="preserve"> de </w:t>
            </w:r>
            <w:proofErr w:type="spellStart"/>
            <w:r w:rsidRPr="00315763">
              <w:rPr>
                <w:lang w:val="en-GB"/>
              </w:rPr>
              <w:t>Chazournes</w:t>
            </w:r>
            <w:proofErr w:type="spellEnd"/>
            <w:r w:rsidRPr="00315763">
              <w:rPr>
                <w:lang w:val="en-GB"/>
              </w:rPr>
              <w:t xml:space="preserve"> and </w:t>
            </w:r>
            <w:proofErr w:type="spellStart"/>
            <w:r w:rsidRPr="00315763">
              <w:rPr>
                <w:lang w:val="en-GB"/>
              </w:rPr>
              <w:t>Komlan</w:t>
            </w:r>
            <w:proofErr w:type="spellEnd"/>
            <w:r w:rsidRPr="00315763">
              <w:rPr>
                <w:lang w:val="en-GB"/>
              </w:rPr>
              <w:t xml:space="preserve"> </w:t>
            </w:r>
            <w:proofErr w:type="spellStart"/>
            <w:r w:rsidRPr="00315763">
              <w:rPr>
                <w:lang w:val="en-GB"/>
              </w:rPr>
              <w:t>Sangbana</w:t>
            </w:r>
            <w:proofErr w:type="spellEnd"/>
            <w:r w:rsidRPr="00315763">
              <w:rPr>
                <w:lang w:val="en-GB"/>
              </w:rPr>
              <w:t xml:space="preserve"> “Principle 19” in Jorge E Viñuales </w:t>
            </w:r>
            <w:r w:rsidRPr="00315763">
              <w:rPr>
                <w:i/>
                <w:lang w:val="en-GB"/>
              </w:rPr>
              <w:t>The Rio Declaration on Environment and Development: Commentary</w:t>
            </w:r>
            <w:r w:rsidRPr="00315763">
              <w:rPr>
                <w:lang w:val="en-GB"/>
              </w:rPr>
              <w:t xml:space="preserve"> (Oxford University Press, 2015) 493 (“</w:t>
            </w:r>
            <w:proofErr w:type="spellStart"/>
            <w:r w:rsidRPr="00315763">
              <w:rPr>
                <w:lang w:val="en-GB"/>
              </w:rPr>
              <w:t>Boisson</w:t>
            </w:r>
            <w:proofErr w:type="spellEnd"/>
            <w:r w:rsidRPr="00315763">
              <w:rPr>
                <w:lang w:val="en-GB"/>
              </w:rPr>
              <w:t xml:space="preserve"> de </w:t>
            </w:r>
            <w:proofErr w:type="spellStart"/>
            <w:r w:rsidRPr="00315763">
              <w:rPr>
                <w:lang w:val="en-GB"/>
              </w:rPr>
              <w:t>Chazournes</w:t>
            </w:r>
            <w:proofErr w:type="spellEnd"/>
            <w:r w:rsidRPr="00315763">
              <w:rPr>
                <w:lang w:val="en-GB"/>
              </w:rPr>
              <w:t xml:space="preserve"> and </w:t>
            </w:r>
            <w:proofErr w:type="spellStart"/>
            <w:r w:rsidRPr="00315763">
              <w:rPr>
                <w:lang w:val="en-GB"/>
              </w:rPr>
              <w:t>Sangbana</w:t>
            </w:r>
            <w:proofErr w:type="spellEnd"/>
            <w:r w:rsidRPr="00315763">
              <w:rPr>
                <w:lang w:val="en-GB"/>
              </w:rPr>
              <w:t xml:space="preserve"> (2015)”)</w:t>
            </w:r>
          </w:p>
        </w:tc>
        <w:tc>
          <w:tcPr>
            <w:tcW w:w="1242" w:type="dxa"/>
          </w:tcPr>
          <w:p w14:paraId="7D0CE41F" w14:textId="6B95D49B" w:rsidR="00A42870" w:rsidRDefault="00536192" w:rsidP="00661C8E">
            <w:pPr>
              <w:jc w:val="center"/>
            </w:pPr>
            <w:r>
              <w:t>39</w:t>
            </w:r>
          </w:p>
        </w:tc>
      </w:tr>
      <w:tr w:rsidR="00A42870" w14:paraId="73A66E87" w14:textId="77777777" w:rsidTr="009371CB">
        <w:tc>
          <w:tcPr>
            <w:tcW w:w="8364" w:type="dxa"/>
          </w:tcPr>
          <w:p w14:paraId="5F759098" w14:textId="15F44BC2" w:rsidR="00A42870" w:rsidRPr="00311DE3" w:rsidRDefault="00315763" w:rsidP="007C73E9">
            <w:pPr>
              <w:spacing w:line="240" w:lineRule="auto"/>
              <w:ind w:left="567" w:hanging="567"/>
            </w:pPr>
            <w:r w:rsidRPr="00684732">
              <w:rPr>
                <w:lang w:val="en-GB"/>
              </w:rPr>
              <w:t xml:space="preserve">Leslie-Anne </w:t>
            </w:r>
            <w:proofErr w:type="spellStart"/>
            <w:r w:rsidRPr="00684732">
              <w:rPr>
                <w:lang w:val="en-GB"/>
              </w:rPr>
              <w:t>Duvic</w:t>
            </w:r>
            <w:proofErr w:type="spellEnd"/>
            <w:r w:rsidRPr="00684732">
              <w:rPr>
                <w:lang w:val="en-GB"/>
              </w:rPr>
              <w:t xml:space="preserve">-Paoli and Jorge E Viñuales “Principle 2” in Jorge E Viñuales </w:t>
            </w:r>
            <w:r w:rsidRPr="00684732">
              <w:rPr>
                <w:i/>
                <w:lang w:val="en-GB"/>
              </w:rPr>
              <w:t>The Rio Declaration on Environment and Development: Commentary</w:t>
            </w:r>
            <w:r w:rsidRPr="00684732">
              <w:rPr>
                <w:lang w:val="en-GB"/>
              </w:rPr>
              <w:t xml:space="preserve"> (Oxford University Press, 2015) 107 (“</w:t>
            </w:r>
            <w:proofErr w:type="spellStart"/>
            <w:r w:rsidRPr="00684732">
              <w:rPr>
                <w:lang w:val="en-GB"/>
              </w:rPr>
              <w:t>Duvic</w:t>
            </w:r>
            <w:proofErr w:type="spellEnd"/>
            <w:r w:rsidRPr="00684732">
              <w:rPr>
                <w:lang w:val="en-GB"/>
              </w:rPr>
              <w:t>-Paoli and Viñuales (2015)”)</w:t>
            </w:r>
          </w:p>
        </w:tc>
        <w:tc>
          <w:tcPr>
            <w:tcW w:w="1242" w:type="dxa"/>
          </w:tcPr>
          <w:p w14:paraId="3C390CA2" w14:textId="1EBDCE9F" w:rsidR="00A42870" w:rsidRDefault="00536192" w:rsidP="00661C8E">
            <w:pPr>
              <w:jc w:val="center"/>
            </w:pPr>
            <w:r>
              <w:t>37</w:t>
            </w:r>
          </w:p>
        </w:tc>
      </w:tr>
      <w:tr w:rsidR="00A42870" w14:paraId="4C669C9B" w14:textId="77777777" w:rsidTr="009371CB">
        <w:tc>
          <w:tcPr>
            <w:tcW w:w="8364" w:type="dxa"/>
          </w:tcPr>
          <w:p w14:paraId="52EB1C6A" w14:textId="5AB4063F" w:rsidR="00A42870" w:rsidRPr="00311DE3" w:rsidRDefault="00315763" w:rsidP="007C73E9">
            <w:pPr>
              <w:spacing w:line="240" w:lineRule="auto"/>
              <w:ind w:left="567" w:hanging="567"/>
            </w:pPr>
            <w:r w:rsidRPr="00684732">
              <w:rPr>
                <w:lang w:val="en-GB"/>
              </w:rPr>
              <w:t xml:space="preserve">Lilian del </w:t>
            </w:r>
            <w:proofErr w:type="spellStart"/>
            <w:r w:rsidRPr="00684732">
              <w:rPr>
                <w:lang w:val="en-GB"/>
              </w:rPr>
              <w:t>Castillo­Laborde</w:t>
            </w:r>
            <w:proofErr w:type="spellEnd"/>
            <w:r w:rsidRPr="00684732">
              <w:rPr>
                <w:lang w:val="en-GB"/>
              </w:rPr>
              <w:t xml:space="preserve"> </w:t>
            </w:r>
            <w:r w:rsidRPr="00684732">
              <w:rPr>
                <w:i/>
                <w:lang w:val="en-GB"/>
              </w:rPr>
              <w:t xml:space="preserve">Equitable Utilisation of Shared </w:t>
            </w:r>
            <w:r>
              <w:rPr>
                <w:i/>
                <w:lang w:val="en-GB"/>
              </w:rPr>
              <w:t>Resources</w:t>
            </w:r>
            <w:r>
              <w:rPr>
                <w:lang w:val="en-GB"/>
              </w:rPr>
              <w:t xml:space="preserve"> (2010) MPEPIL (“</w:t>
            </w:r>
            <w:proofErr w:type="spellStart"/>
            <w:r w:rsidRPr="00684732">
              <w:rPr>
                <w:lang w:val="en-GB"/>
              </w:rPr>
              <w:t>Castillo­Laborde</w:t>
            </w:r>
            <w:proofErr w:type="spellEnd"/>
            <w:r>
              <w:rPr>
                <w:lang w:val="en-GB"/>
              </w:rPr>
              <w:t xml:space="preserve"> (2010)”)</w:t>
            </w:r>
          </w:p>
        </w:tc>
        <w:tc>
          <w:tcPr>
            <w:tcW w:w="1242" w:type="dxa"/>
          </w:tcPr>
          <w:p w14:paraId="20ADF397" w14:textId="1BA513B5" w:rsidR="00A42870" w:rsidRDefault="00536192" w:rsidP="00661C8E">
            <w:pPr>
              <w:jc w:val="center"/>
            </w:pPr>
            <w:r>
              <w:t>40, 41</w:t>
            </w:r>
          </w:p>
        </w:tc>
      </w:tr>
      <w:tr w:rsidR="00A42870" w14:paraId="38A8FFB5" w14:textId="77777777" w:rsidTr="009371CB">
        <w:tc>
          <w:tcPr>
            <w:tcW w:w="8364" w:type="dxa"/>
          </w:tcPr>
          <w:p w14:paraId="1792BB5B" w14:textId="286F0C82" w:rsidR="00A42870" w:rsidRPr="00311DE3" w:rsidRDefault="00315763" w:rsidP="007C73E9">
            <w:pPr>
              <w:spacing w:line="240" w:lineRule="auto"/>
              <w:ind w:left="567" w:hanging="567"/>
            </w:pPr>
            <w:r w:rsidRPr="00684732">
              <w:rPr>
                <w:lang w:val="en-GB"/>
              </w:rPr>
              <w:t xml:space="preserve">Malcolm Shaw </w:t>
            </w:r>
            <w:r w:rsidRPr="00684732">
              <w:rPr>
                <w:i/>
                <w:lang w:val="en-GB"/>
              </w:rPr>
              <w:t>International Law</w:t>
            </w:r>
            <w:r w:rsidRPr="00684732">
              <w:rPr>
                <w:lang w:val="en-GB"/>
              </w:rPr>
              <w:t xml:space="preserve"> (8th </w:t>
            </w:r>
            <w:proofErr w:type="spellStart"/>
            <w:r w:rsidRPr="00684732">
              <w:rPr>
                <w:lang w:val="en-GB"/>
              </w:rPr>
              <w:t>ed</w:t>
            </w:r>
            <w:proofErr w:type="spellEnd"/>
            <w:r w:rsidRPr="00684732">
              <w:rPr>
                <w:lang w:val="en-GB"/>
              </w:rPr>
              <w:t>, Cambridge University Press, 2017) (“Shaw (2017)”)</w:t>
            </w:r>
          </w:p>
        </w:tc>
        <w:tc>
          <w:tcPr>
            <w:tcW w:w="1242" w:type="dxa"/>
          </w:tcPr>
          <w:p w14:paraId="732A4BC0" w14:textId="46C039BE" w:rsidR="00A42870" w:rsidRDefault="00536192" w:rsidP="00661C8E">
            <w:pPr>
              <w:jc w:val="center"/>
            </w:pPr>
            <w:r>
              <w:t>28, 40</w:t>
            </w:r>
          </w:p>
        </w:tc>
      </w:tr>
      <w:tr w:rsidR="00A42870" w14:paraId="09DD7011" w14:textId="77777777" w:rsidTr="009371CB">
        <w:tc>
          <w:tcPr>
            <w:tcW w:w="8364" w:type="dxa"/>
          </w:tcPr>
          <w:p w14:paraId="46669F71" w14:textId="6AEC182D" w:rsidR="00A42870" w:rsidRPr="00311DE3" w:rsidRDefault="00315763" w:rsidP="007C73E9">
            <w:pPr>
              <w:spacing w:line="240" w:lineRule="auto"/>
              <w:ind w:left="567" w:hanging="567"/>
            </w:pPr>
            <w:r w:rsidRPr="00315763">
              <w:rPr>
                <w:bCs/>
              </w:rPr>
              <w:lastRenderedPageBreak/>
              <w:t xml:space="preserve">Manfred Nowak  </w:t>
            </w:r>
            <w:r w:rsidRPr="00315763">
              <w:rPr>
                <w:bCs/>
                <w:i/>
              </w:rPr>
              <w:t xml:space="preserve">UN Covenant on Civil and Political Rights: CCPR Commentary </w:t>
            </w:r>
            <w:r w:rsidRPr="00315763">
              <w:rPr>
                <w:bCs/>
              </w:rPr>
              <w:t>(</w:t>
            </w:r>
            <w:proofErr w:type="spellStart"/>
            <w:r w:rsidRPr="00315763">
              <w:rPr>
                <w:bCs/>
              </w:rPr>
              <w:t>Kehl</w:t>
            </w:r>
            <w:proofErr w:type="spellEnd"/>
            <w:r w:rsidRPr="00315763">
              <w:rPr>
                <w:bCs/>
              </w:rPr>
              <w:t xml:space="preserve">, Germany, 2005) </w:t>
            </w:r>
            <w:r w:rsidR="007E05F5">
              <w:rPr>
                <w:bCs/>
              </w:rPr>
              <w:t>(“</w:t>
            </w:r>
            <w:r w:rsidRPr="00315763">
              <w:rPr>
                <w:bCs/>
              </w:rPr>
              <w:t>Nowak (2005)</w:t>
            </w:r>
            <w:r w:rsidR="00536192">
              <w:rPr>
                <w:bCs/>
              </w:rPr>
              <w:t>”)</w:t>
            </w:r>
          </w:p>
        </w:tc>
        <w:tc>
          <w:tcPr>
            <w:tcW w:w="1242" w:type="dxa"/>
          </w:tcPr>
          <w:p w14:paraId="69FF7FF9" w14:textId="3BBE2A90" w:rsidR="00A42870" w:rsidRDefault="00536192" w:rsidP="00661C8E">
            <w:pPr>
              <w:jc w:val="center"/>
            </w:pPr>
            <w:r>
              <w:t>44, 46</w:t>
            </w:r>
          </w:p>
        </w:tc>
      </w:tr>
      <w:tr w:rsidR="00A42870" w14:paraId="2BD87C2B" w14:textId="77777777" w:rsidTr="009371CB">
        <w:tc>
          <w:tcPr>
            <w:tcW w:w="8364" w:type="dxa"/>
          </w:tcPr>
          <w:p w14:paraId="0F20F247" w14:textId="135E77D1" w:rsidR="00A42870" w:rsidRPr="00311DE3" w:rsidRDefault="00315763" w:rsidP="007C73E9">
            <w:pPr>
              <w:spacing w:line="240" w:lineRule="auto"/>
              <w:ind w:left="567" w:hanging="567"/>
            </w:pPr>
            <w:r w:rsidRPr="00684732">
              <w:rPr>
                <w:lang w:val="en-GB"/>
              </w:rPr>
              <w:t xml:space="preserve">Marko </w:t>
            </w:r>
            <w:proofErr w:type="spellStart"/>
            <w:r w:rsidRPr="00684732">
              <w:rPr>
                <w:lang w:val="en-GB"/>
              </w:rPr>
              <w:t>Milanović</w:t>
            </w:r>
            <w:proofErr w:type="spellEnd"/>
            <w:r w:rsidRPr="00684732">
              <w:rPr>
                <w:lang w:val="en-GB"/>
              </w:rPr>
              <w:t xml:space="preserve"> “State Responsibility for Acts of Non-State Actors: A Comment on </w:t>
            </w:r>
            <w:proofErr w:type="spellStart"/>
            <w:r w:rsidRPr="00684732">
              <w:rPr>
                <w:lang w:val="en-GB"/>
              </w:rPr>
              <w:t>Griebel</w:t>
            </w:r>
            <w:proofErr w:type="spellEnd"/>
            <w:r w:rsidRPr="00684732">
              <w:rPr>
                <w:lang w:val="en-GB"/>
              </w:rPr>
              <w:t xml:space="preserve"> and </w:t>
            </w:r>
            <w:proofErr w:type="spellStart"/>
            <w:r w:rsidRPr="00684732">
              <w:rPr>
                <w:lang w:val="en-GB"/>
              </w:rPr>
              <w:t>Plücken</w:t>
            </w:r>
            <w:proofErr w:type="spellEnd"/>
            <w:r w:rsidRPr="00684732">
              <w:rPr>
                <w:lang w:val="en-GB"/>
              </w:rPr>
              <w:t>” (2009) 22 LJIL 307 (“</w:t>
            </w:r>
            <w:proofErr w:type="spellStart"/>
            <w:r w:rsidRPr="00684732">
              <w:rPr>
                <w:lang w:val="en-GB"/>
              </w:rPr>
              <w:t>Milanović</w:t>
            </w:r>
            <w:proofErr w:type="spellEnd"/>
            <w:r w:rsidRPr="00684732">
              <w:rPr>
                <w:lang w:val="en-GB"/>
              </w:rPr>
              <w:t xml:space="preserve"> (2009)”)</w:t>
            </w:r>
          </w:p>
        </w:tc>
        <w:tc>
          <w:tcPr>
            <w:tcW w:w="1242" w:type="dxa"/>
          </w:tcPr>
          <w:p w14:paraId="7DFB46CF" w14:textId="56E81238" w:rsidR="00A42870" w:rsidRDefault="003B5169" w:rsidP="00661C8E">
            <w:pPr>
              <w:jc w:val="center"/>
            </w:pPr>
            <w:r>
              <w:t>30</w:t>
            </w:r>
          </w:p>
        </w:tc>
      </w:tr>
      <w:tr w:rsidR="00A42870" w14:paraId="3F559C56" w14:textId="77777777" w:rsidTr="009371CB">
        <w:tc>
          <w:tcPr>
            <w:tcW w:w="8364" w:type="dxa"/>
          </w:tcPr>
          <w:p w14:paraId="2B2058F6" w14:textId="5ED5C7D5" w:rsidR="00A42870" w:rsidRPr="00311DE3" w:rsidRDefault="00315763" w:rsidP="00315763">
            <w:pPr>
              <w:spacing w:line="240" w:lineRule="auto"/>
              <w:ind w:left="567" w:hanging="567"/>
            </w:pPr>
            <w:r w:rsidRPr="00315763">
              <w:t xml:space="preserve">Matthew </w:t>
            </w:r>
            <w:proofErr w:type="spellStart"/>
            <w:r w:rsidRPr="00315763">
              <w:t>Rimmer</w:t>
            </w:r>
            <w:proofErr w:type="spellEnd"/>
            <w:r w:rsidRPr="00315763">
              <w:t xml:space="preserve"> </w:t>
            </w:r>
            <w:r w:rsidRPr="00315763">
              <w:rPr>
                <w:i/>
              </w:rPr>
              <w:t xml:space="preserve">Indigenous Intellectual Property: A Handbook of Contemporary Research </w:t>
            </w:r>
            <w:r w:rsidRPr="00315763">
              <w:t xml:space="preserve">(Edward Elgar Publishing, Cheltenham, 2015) </w:t>
            </w:r>
            <w:r w:rsidR="007E05F5">
              <w:t>(“</w:t>
            </w:r>
            <w:proofErr w:type="spellStart"/>
            <w:r w:rsidRPr="00315763">
              <w:t>Rimmer</w:t>
            </w:r>
            <w:proofErr w:type="spellEnd"/>
            <w:r w:rsidRPr="00315763">
              <w:t xml:space="preserve"> (2015)</w:t>
            </w:r>
            <w:r w:rsidR="007E05F5">
              <w:t>”)</w:t>
            </w:r>
          </w:p>
        </w:tc>
        <w:tc>
          <w:tcPr>
            <w:tcW w:w="1242" w:type="dxa"/>
          </w:tcPr>
          <w:p w14:paraId="130198F5" w14:textId="4E7AD072" w:rsidR="00A42870" w:rsidRDefault="003B5169" w:rsidP="00661C8E">
            <w:pPr>
              <w:jc w:val="center"/>
            </w:pPr>
            <w:r>
              <w:t>52</w:t>
            </w:r>
          </w:p>
        </w:tc>
      </w:tr>
      <w:tr w:rsidR="00A42870" w14:paraId="1AB8CF61" w14:textId="77777777" w:rsidTr="009371CB">
        <w:tc>
          <w:tcPr>
            <w:tcW w:w="8364" w:type="dxa"/>
          </w:tcPr>
          <w:p w14:paraId="525B64F6" w14:textId="29D6E37A" w:rsidR="00A42870" w:rsidRPr="00315763" w:rsidRDefault="00315763" w:rsidP="00315763">
            <w:pPr>
              <w:spacing w:line="240" w:lineRule="auto"/>
              <w:ind w:left="567" w:hanging="567"/>
              <w:rPr>
                <w:bCs/>
                <w:iCs/>
              </w:rPr>
            </w:pPr>
            <w:r w:rsidRPr="00315763">
              <w:rPr>
                <w:bCs/>
                <w:iCs/>
              </w:rPr>
              <w:t xml:space="preserve">Michael Bowman and Catherine </w:t>
            </w:r>
            <w:proofErr w:type="spellStart"/>
            <w:r w:rsidRPr="00315763">
              <w:rPr>
                <w:bCs/>
                <w:iCs/>
              </w:rPr>
              <w:t>Redgwell</w:t>
            </w:r>
            <w:proofErr w:type="spellEnd"/>
            <w:r w:rsidRPr="00315763">
              <w:rPr>
                <w:bCs/>
                <w:iCs/>
              </w:rPr>
              <w:t xml:space="preserve"> (</w:t>
            </w:r>
            <w:proofErr w:type="spellStart"/>
            <w:r w:rsidRPr="00315763">
              <w:rPr>
                <w:bCs/>
                <w:iCs/>
              </w:rPr>
              <w:t>eds</w:t>
            </w:r>
            <w:proofErr w:type="spellEnd"/>
            <w:r w:rsidRPr="00315763">
              <w:rPr>
                <w:bCs/>
                <w:iCs/>
              </w:rPr>
              <w:t xml:space="preserve">) </w:t>
            </w:r>
            <w:r w:rsidRPr="00315763">
              <w:rPr>
                <w:bCs/>
                <w:i/>
                <w:iCs/>
              </w:rPr>
              <w:t xml:space="preserve">International Law and the Conservation of Biological Diversity </w:t>
            </w:r>
            <w:r w:rsidRPr="00315763">
              <w:rPr>
                <w:bCs/>
                <w:iCs/>
              </w:rPr>
              <w:t xml:space="preserve">(Kluwer Law International, London, 1996) </w:t>
            </w:r>
            <w:r w:rsidR="007E05F5">
              <w:rPr>
                <w:bCs/>
                <w:iCs/>
              </w:rPr>
              <w:t>(“</w:t>
            </w:r>
            <w:r w:rsidRPr="00315763">
              <w:rPr>
                <w:bCs/>
                <w:iCs/>
              </w:rPr>
              <w:t xml:space="preserve">Bowman and </w:t>
            </w:r>
            <w:proofErr w:type="spellStart"/>
            <w:r w:rsidRPr="00315763">
              <w:rPr>
                <w:bCs/>
                <w:iCs/>
              </w:rPr>
              <w:t>Redgwell</w:t>
            </w:r>
            <w:proofErr w:type="spellEnd"/>
            <w:r w:rsidRPr="00315763">
              <w:rPr>
                <w:bCs/>
                <w:iCs/>
              </w:rPr>
              <w:t xml:space="preserve"> (1996)</w:t>
            </w:r>
            <w:r w:rsidR="007E05F5">
              <w:rPr>
                <w:bCs/>
                <w:iCs/>
              </w:rPr>
              <w:t>”)</w:t>
            </w:r>
          </w:p>
        </w:tc>
        <w:tc>
          <w:tcPr>
            <w:tcW w:w="1242" w:type="dxa"/>
          </w:tcPr>
          <w:p w14:paraId="173D036B" w14:textId="32056381" w:rsidR="00A42870" w:rsidRDefault="003B5169" w:rsidP="00661C8E">
            <w:pPr>
              <w:jc w:val="center"/>
            </w:pPr>
            <w:r>
              <w:t>49</w:t>
            </w:r>
          </w:p>
        </w:tc>
      </w:tr>
      <w:tr w:rsidR="0029252B" w14:paraId="07474EE5" w14:textId="77777777" w:rsidTr="009371CB">
        <w:tc>
          <w:tcPr>
            <w:tcW w:w="8364" w:type="dxa"/>
          </w:tcPr>
          <w:p w14:paraId="3FC7AAAC" w14:textId="75BD509A" w:rsidR="0029252B" w:rsidRPr="0029252B" w:rsidRDefault="0029252B" w:rsidP="00315763">
            <w:pPr>
              <w:spacing w:line="240" w:lineRule="auto"/>
              <w:ind w:left="567" w:hanging="567"/>
              <w:rPr>
                <w:bCs/>
                <w:iCs/>
              </w:rPr>
            </w:pPr>
            <w:r>
              <w:rPr>
                <w:bCs/>
                <w:iCs/>
              </w:rPr>
              <w:t xml:space="preserve">Michael Bowman, Peter Davies and Catherine </w:t>
            </w:r>
            <w:proofErr w:type="spellStart"/>
            <w:r>
              <w:rPr>
                <w:bCs/>
                <w:iCs/>
              </w:rPr>
              <w:t>Redgwell</w:t>
            </w:r>
            <w:proofErr w:type="spellEnd"/>
            <w:r>
              <w:rPr>
                <w:bCs/>
                <w:iCs/>
              </w:rPr>
              <w:t xml:space="preserve"> (</w:t>
            </w:r>
            <w:proofErr w:type="spellStart"/>
            <w:r>
              <w:rPr>
                <w:bCs/>
                <w:iCs/>
              </w:rPr>
              <w:t>eds</w:t>
            </w:r>
            <w:proofErr w:type="spellEnd"/>
            <w:r>
              <w:rPr>
                <w:bCs/>
                <w:iCs/>
              </w:rPr>
              <w:t xml:space="preserve">) </w:t>
            </w:r>
            <w:proofErr w:type="spellStart"/>
            <w:r w:rsidRPr="0029252B">
              <w:rPr>
                <w:bCs/>
                <w:i/>
                <w:iCs/>
              </w:rPr>
              <w:t>Lyster’s</w:t>
            </w:r>
            <w:proofErr w:type="spellEnd"/>
            <w:r>
              <w:rPr>
                <w:bCs/>
                <w:i/>
                <w:iCs/>
              </w:rPr>
              <w:t xml:space="preserve"> International Wildlife Law</w:t>
            </w:r>
            <w:r>
              <w:rPr>
                <w:bCs/>
                <w:iCs/>
              </w:rPr>
              <w:t xml:space="preserve"> (2nd </w:t>
            </w:r>
            <w:proofErr w:type="spellStart"/>
            <w:r>
              <w:rPr>
                <w:bCs/>
                <w:iCs/>
              </w:rPr>
              <w:t>ed</w:t>
            </w:r>
            <w:proofErr w:type="spellEnd"/>
            <w:r>
              <w:rPr>
                <w:bCs/>
                <w:iCs/>
              </w:rPr>
              <w:t>, Cambridge University Press, 2010) (“</w:t>
            </w:r>
            <w:proofErr w:type="spellStart"/>
            <w:r>
              <w:rPr>
                <w:bCs/>
                <w:iCs/>
              </w:rPr>
              <w:t>Lyster</w:t>
            </w:r>
            <w:proofErr w:type="spellEnd"/>
            <w:r>
              <w:rPr>
                <w:bCs/>
                <w:iCs/>
              </w:rPr>
              <w:t xml:space="preserve"> (2010)”)</w:t>
            </w:r>
          </w:p>
        </w:tc>
        <w:tc>
          <w:tcPr>
            <w:tcW w:w="1242" w:type="dxa"/>
          </w:tcPr>
          <w:p w14:paraId="69EB69D0" w14:textId="41BA786E" w:rsidR="0029252B" w:rsidRDefault="003B5169" w:rsidP="00661C8E">
            <w:pPr>
              <w:jc w:val="center"/>
            </w:pPr>
            <w:r>
              <w:t>37</w:t>
            </w:r>
          </w:p>
        </w:tc>
      </w:tr>
      <w:tr w:rsidR="00A42870" w14:paraId="318EF37E" w14:textId="77777777" w:rsidTr="009371CB">
        <w:tc>
          <w:tcPr>
            <w:tcW w:w="8364" w:type="dxa"/>
          </w:tcPr>
          <w:p w14:paraId="5E9512CD" w14:textId="33E19663" w:rsidR="00A42870" w:rsidRPr="00315763" w:rsidRDefault="00315763" w:rsidP="00315763">
            <w:pPr>
              <w:spacing w:line="240" w:lineRule="auto"/>
              <w:ind w:left="567" w:hanging="567"/>
              <w:rPr>
                <w:bCs/>
              </w:rPr>
            </w:pPr>
            <w:r w:rsidRPr="00315763">
              <w:rPr>
                <w:bCs/>
              </w:rPr>
              <w:t xml:space="preserve">Michelle F Rourke “Who are ‘Indigenous and Local Communities’ and What Is ‘Traditional Knowledge’ for Virus Access and Benefit-sharing? A Textual Analysis of the Convention on Biological Diversity and Its Nagoya Protocol” (2018) 25 JLM 707 </w:t>
            </w:r>
            <w:r w:rsidR="007E05F5">
              <w:rPr>
                <w:bCs/>
              </w:rPr>
              <w:t>(“</w:t>
            </w:r>
            <w:r w:rsidRPr="00315763">
              <w:rPr>
                <w:bCs/>
              </w:rPr>
              <w:t>Rourke (2018)</w:t>
            </w:r>
            <w:r w:rsidR="007E05F5">
              <w:rPr>
                <w:bCs/>
              </w:rPr>
              <w:t>”)</w:t>
            </w:r>
          </w:p>
        </w:tc>
        <w:tc>
          <w:tcPr>
            <w:tcW w:w="1242" w:type="dxa"/>
          </w:tcPr>
          <w:p w14:paraId="17FF2083" w14:textId="60D85A64" w:rsidR="00A42870" w:rsidRDefault="003B5169" w:rsidP="00661C8E">
            <w:pPr>
              <w:jc w:val="center"/>
            </w:pPr>
            <w:r>
              <w:t>49</w:t>
            </w:r>
          </w:p>
        </w:tc>
      </w:tr>
      <w:tr w:rsidR="00A42870" w14:paraId="012DB8AE" w14:textId="77777777" w:rsidTr="009371CB">
        <w:tc>
          <w:tcPr>
            <w:tcW w:w="8364" w:type="dxa"/>
          </w:tcPr>
          <w:p w14:paraId="54200190" w14:textId="70533059" w:rsidR="00A42870" w:rsidRPr="00315763" w:rsidRDefault="00315763" w:rsidP="00315763">
            <w:pPr>
              <w:spacing w:line="240" w:lineRule="auto"/>
              <w:ind w:left="567" w:hanging="567"/>
              <w:rPr>
                <w:bCs/>
              </w:rPr>
            </w:pPr>
            <w:r w:rsidRPr="00315763">
              <w:rPr>
                <w:bCs/>
              </w:rPr>
              <w:t xml:space="preserve">Nicolas </w:t>
            </w:r>
            <w:proofErr w:type="spellStart"/>
            <w:r w:rsidRPr="00315763">
              <w:rPr>
                <w:bCs/>
              </w:rPr>
              <w:t>Pauchard</w:t>
            </w:r>
            <w:proofErr w:type="spellEnd"/>
            <w:r w:rsidRPr="00315763">
              <w:rPr>
                <w:bCs/>
              </w:rPr>
              <w:t xml:space="preserve"> “Access and Benefit Sharing under the Convention on Biological Diversity and Its Protocol: What Can Some Numbers Tell Us about the Effectiveness of the Regulatory Regime?” (2017) MDPI </w:t>
            </w:r>
            <w:r w:rsidR="007E05F5">
              <w:rPr>
                <w:bCs/>
              </w:rPr>
              <w:t>(“</w:t>
            </w:r>
            <w:proofErr w:type="spellStart"/>
            <w:r w:rsidRPr="00315763">
              <w:rPr>
                <w:bCs/>
              </w:rPr>
              <w:t>Pauchard</w:t>
            </w:r>
            <w:proofErr w:type="spellEnd"/>
            <w:r w:rsidRPr="00315763">
              <w:rPr>
                <w:bCs/>
              </w:rPr>
              <w:t xml:space="preserve"> (2017)</w:t>
            </w:r>
            <w:r w:rsidR="007E05F5">
              <w:rPr>
                <w:bCs/>
              </w:rPr>
              <w:t>”)</w:t>
            </w:r>
          </w:p>
        </w:tc>
        <w:tc>
          <w:tcPr>
            <w:tcW w:w="1242" w:type="dxa"/>
          </w:tcPr>
          <w:p w14:paraId="6AE8D484" w14:textId="74A71497" w:rsidR="00A42870" w:rsidRDefault="003B5169" w:rsidP="00661C8E">
            <w:pPr>
              <w:jc w:val="center"/>
            </w:pPr>
            <w:r>
              <w:t>33, 50, 52</w:t>
            </w:r>
          </w:p>
        </w:tc>
      </w:tr>
      <w:tr w:rsidR="00A42870" w14:paraId="5D4E7904" w14:textId="77777777" w:rsidTr="009371CB">
        <w:tc>
          <w:tcPr>
            <w:tcW w:w="8364" w:type="dxa"/>
          </w:tcPr>
          <w:p w14:paraId="52128DE7" w14:textId="3165C02A" w:rsidR="00A42870" w:rsidRPr="00311DE3" w:rsidRDefault="00315763" w:rsidP="00315763">
            <w:pPr>
              <w:spacing w:line="240" w:lineRule="auto"/>
              <w:ind w:left="567" w:hanging="567"/>
            </w:pPr>
            <w:r w:rsidRPr="00315763">
              <w:t xml:space="preserve">Olivier Corten and P Klein </w:t>
            </w:r>
            <w:r w:rsidRPr="00315763">
              <w:rPr>
                <w:i/>
              </w:rPr>
              <w:t>The Vienna Conventions on the Law of Treaties: A Commentary</w:t>
            </w:r>
            <w:r w:rsidRPr="00315763">
              <w:t xml:space="preserve"> (Oxford University Press, Oxford, 2011) </w:t>
            </w:r>
            <w:r w:rsidR="007E05F5">
              <w:t>(“</w:t>
            </w:r>
            <w:r w:rsidRPr="00315763">
              <w:t>Corten and Klein (2011)</w:t>
            </w:r>
            <w:r w:rsidR="007E05F5">
              <w:t>”)</w:t>
            </w:r>
          </w:p>
        </w:tc>
        <w:tc>
          <w:tcPr>
            <w:tcW w:w="1242" w:type="dxa"/>
          </w:tcPr>
          <w:p w14:paraId="2CDAB495" w14:textId="0EE8D3DD" w:rsidR="00A42870" w:rsidRDefault="003B5169" w:rsidP="00661C8E">
            <w:pPr>
              <w:jc w:val="center"/>
            </w:pPr>
            <w:r>
              <w:t>49, 51</w:t>
            </w:r>
          </w:p>
        </w:tc>
      </w:tr>
      <w:tr w:rsidR="00A42870" w14:paraId="2FE381ED" w14:textId="77777777" w:rsidTr="009371CB">
        <w:tc>
          <w:tcPr>
            <w:tcW w:w="8364" w:type="dxa"/>
          </w:tcPr>
          <w:p w14:paraId="268573D5" w14:textId="4502CF1B" w:rsidR="00A42870" w:rsidRPr="00311DE3" w:rsidRDefault="00315763" w:rsidP="00315763">
            <w:pPr>
              <w:spacing w:line="240" w:lineRule="auto"/>
              <w:ind w:left="567" w:hanging="567"/>
            </w:pPr>
            <w:r w:rsidRPr="00315763">
              <w:t xml:space="preserve">Olivier De </w:t>
            </w:r>
            <w:proofErr w:type="spellStart"/>
            <w:r w:rsidRPr="00315763">
              <w:t>Schutter</w:t>
            </w:r>
            <w:proofErr w:type="spellEnd"/>
            <w:r w:rsidRPr="00315763">
              <w:t xml:space="preserve"> </w:t>
            </w:r>
            <w:r w:rsidRPr="00315763">
              <w:rPr>
                <w:i/>
              </w:rPr>
              <w:t xml:space="preserve">International Human Rights Law </w:t>
            </w:r>
            <w:r w:rsidRPr="00315763">
              <w:t>(</w:t>
            </w:r>
            <w:r w:rsidR="003B5169">
              <w:t>2nd</w:t>
            </w:r>
            <w:r w:rsidRPr="00315763">
              <w:t xml:space="preserve"> </w:t>
            </w:r>
            <w:proofErr w:type="spellStart"/>
            <w:r w:rsidRPr="00315763">
              <w:t>ed</w:t>
            </w:r>
            <w:proofErr w:type="spellEnd"/>
            <w:r w:rsidRPr="00315763">
              <w:t xml:space="preserve">, Cambridge University Press, United Kingdom, 2014) </w:t>
            </w:r>
            <w:r w:rsidR="007E05F5">
              <w:t>(“</w:t>
            </w:r>
            <w:r w:rsidRPr="00315763">
              <w:t>De Shutter (2014)</w:t>
            </w:r>
            <w:r w:rsidR="007E05F5">
              <w:t>”)</w:t>
            </w:r>
          </w:p>
        </w:tc>
        <w:tc>
          <w:tcPr>
            <w:tcW w:w="1242" w:type="dxa"/>
          </w:tcPr>
          <w:p w14:paraId="68B98300" w14:textId="620FFCC2" w:rsidR="00A42870" w:rsidRDefault="003B5169" w:rsidP="00661C8E">
            <w:pPr>
              <w:jc w:val="center"/>
            </w:pPr>
            <w:r>
              <w:t>46</w:t>
            </w:r>
          </w:p>
        </w:tc>
      </w:tr>
      <w:tr w:rsidR="00A42870" w14:paraId="7AF2D607" w14:textId="77777777" w:rsidTr="009371CB">
        <w:tc>
          <w:tcPr>
            <w:tcW w:w="8364" w:type="dxa"/>
          </w:tcPr>
          <w:p w14:paraId="45FC1C4A" w14:textId="692791C5" w:rsidR="00A42870" w:rsidRPr="00311DE3" w:rsidRDefault="00315763" w:rsidP="007C73E9">
            <w:pPr>
              <w:spacing w:line="240" w:lineRule="auto"/>
              <w:ind w:left="567" w:hanging="567"/>
            </w:pPr>
            <w:r w:rsidRPr="00684732">
              <w:rPr>
                <w:color w:val="000000" w:themeColor="text1"/>
                <w:lang w:val="en-GB"/>
              </w:rPr>
              <w:t>P</w:t>
            </w:r>
            <w:r w:rsidR="00930168">
              <w:rPr>
                <w:color w:val="000000" w:themeColor="text1"/>
                <w:lang w:val="en-GB"/>
              </w:rPr>
              <w:t>atricia</w:t>
            </w:r>
            <w:r w:rsidRPr="00684732">
              <w:rPr>
                <w:color w:val="000000" w:themeColor="text1"/>
                <w:lang w:val="en-GB"/>
              </w:rPr>
              <w:t xml:space="preserve"> </w:t>
            </w:r>
            <w:proofErr w:type="spellStart"/>
            <w:r w:rsidRPr="00684732">
              <w:rPr>
                <w:color w:val="000000" w:themeColor="text1"/>
                <w:lang w:val="en-GB"/>
              </w:rPr>
              <w:t>Birnie</w:t>
            </w:r>
            <w:proofErr w:type="spellEnd"/>
            <w:r w:rsidRPr="00684732">
              <w:rPr>
                <w:color w:val="000000" w:themeColor="text1"/>
                <w:lang w:val="en-GB"/>
              </w:rPr>
              <w:t>, A</w:t>
            </w:r>
            <w:r w:rsidR="00930168">
              <w:rPr>
                <w:color w:val="000000" w:themeColor="text1"/>
                <w:lang w:val="en-GB"/>
              </w:rPr>
              <w:t>lan</w:t>
            </w:r>
            <w:r w:rsidRPr="00684732">
              <w:rPr>
                <w:color w:val="000000" w:themeColor="text1"/>
                <w:lang w:val="en-GB"/>
              </w:rPr>
              <w:t xml:space="preserve"> Boyle and C</w:t>
            </w:r>
            <w:r w:rsidR="00930168">
              <w:rPr>
                <w:color w:val="000000" w:themeColor="text1"/>
                <w:lang w:val="en-GB"/>
              </w:rPr>
              <w:t>atherine</w:t>
            </w:r>
            <w:r w:rsidRPr="00684732">
              <w:rPr>
                <w:color w:val="000000" w:themeColor="text1"/>
                <w:lang w:val="en-GB"/>
              </w:rPr>
              <w:t xml:space="preserve"> </w:t>
            </w:r>
            <w:proofErr w:type="spellStart"/>
            <w:r w:rsidRPr="00684732">
              <w:rPr>
                <w:color w:val="000000" w:themeColor="text1"/>
                <w:lang w:val="en-GB"/>
              </w:rPr>
              <w:t>Redgwell</w:t>
            </w:r>
            <w:proofErr w:type="spellEnd"/>
            <w:r w:rsidRPr="00684732">
              <w:rPr>
                <w:color w:val="000000" w:themeColor="text1"/>
                <w:lang w:val="en-GB"/>
              </w:rPr>
              <w:t xml:space="preserve"> </w:t>
            </w:r>
            <w:r w:rsidRPr="00684732">
              <w:rPr>
                <w:i/>
                <w:color w:val="000000" w:themeColor="text1"/>
                <w:lang w:val="en-GB"/>
              </w:rPr>
              <w:t>International Law and the Environment</w:t>
            </w:r>
            <w:r w:rsidRPr="00684732">
              <w:rPr>
                <w:color w:val="000000" w:themeColor="text1"/>
                <w:lang w:val="en-GB"/>
              </w:rPr>
              <w:t xml:space="preserve"> (3rd </w:t>
            </w:r>
            <w:proofErr w:type="spellStart"/>
            <w:r w:rsidRPr="00684732">
              <w:rPr>
                <w:color w:val="000000" w:themeColor="text1"/>
                <w:lang w:val="en-GB"/>
              </w:rPr>
              <w:t>ed</w:t>
            </w:r>
            <w:proofErr w:type="spellEnd"/>
            <w:r w:rsidRPr="00684732">
              <w:rPr>
                <w:color w:val="000000" w:themeColor="text1"/>
                <w:lang w:val="en-GB"/>
              </w:rPr>
              <w:t>, Oxford Press, Oxford, 2009) (“</w:t>
            </w:r>
            <w:proofErr w:type="spellStart"/>
            <w:r w:rsidRPr="00684732">
              <w:rPr>
                <w:color w:val="000000" w:themeColor="text1"/>
                <w:lang w:val="en-GB"/>
              </w:rPr>
              <w:t>Birnie</w:t>
            </w:r>
            <w:proofErr w:type="spellEnd"/>
            <w:r w:rsidRPr="00684732">
              <w:rPr>
                <w:color w:val="000000" w:themeColor="text1"/>
                <w:lang w:val="en-GB"/>
              </w:rPr>
              <w:t xml:space="preserve">, Boyle and </w:t>
            </w:r>
            <w:proofErr w:type="spellStart"/>
            <w:r w:rsidRPr="00684732">
              <w:rPr>
                <w:color w:val="000000" w:themeColor="text1"/>
                <w:lang w:val="en-GB"/>
              </w:rPr>
              <w:t>Redgwell</w:t>
            </w:r>
            <w:proofErr w:type="spellEnd"/>
            <w:r w:rsidRPr="00684732">
              <w:rPr>
                <w:color w:val="000000" w:themeColor="text1"/>
                <w:lang w:val="en-GB"/>
              </w:rPr>
              <w:t xml:space="preserve"> (2009)”)</w:t>
            </w:r>
          </w:p>
        </w:tc>
        <w:tc>
          <w:tcPr>
            <w:tcW w:w="1242" w:type="dxa"/>
          </w:tcPr>
          <w:p w14:paraId="73D62FC0" w14:textId="1953A36B" w:rsidR="00A42870" w:rsidRDefault="003B5169" w:rsidP="00661C8E">
            <w:pPr>
              <w:jc w:val="center"/>
            </w:pPr>
            <w:r>
              <w:t>31, 37, 38, 40, 41, 49</w:t>
            </w:r>
          </w:p>
        </w:tc>
      </w:tr>
      <w:tr w:rsidR="00A3290E" w14:paraId="38D8FA39" w14:textId="77777777" w:rsidTr="009371CB">
        <w:tc>
          <w:tcPr>
            <w:tcW w:w="8364" w:type="dxa"/>
          </w:tcPr>
          <w:p w14:paraId="789B94C3" w14:textId="1A7E6BE6" w:rsidR="00A3290E" w:rsidRPr="00A3290E" w:rsidRDefault="00A3290E" w:rsidP="007C73E9">
            <w:pPr>
              <w:spacing w:line="240" w:lineRule="auto"/>
              <w:ind w:left="567" w:hanging="567"/>
              <w:rPr>
                <w:color w:val="000000" w:themeColor="text1"/>
                <w:lang w:val="en-GB"/>
              </w:rPr>
            </w:pPr>
            <w:r>
              <w:rPr>
                <w:color w:val="000000" w:themeColor="text1"/>
                <w:lang w:val="en-GB"/>
              </w:rPr>
              <w:t xml:space="preserve">René </w:t>
            </w:r>
            <w:proofErr w:type="spellStart"/>
            <w:r>
              <w:rPr>
                <w:color w:val="000000" w:themeColor="text1"/>
                <w:lang w:val="en-GB"/>
              </w:rPr>
              <w:t>Lefeber</w:t>
            </w:r>
            <w:proofErr w:type="spellEnd"/>
            <w:r>
              <w:rPr>
                <w:color w:val="000000" w:themeColor="text1"/>
                <w:lang w:val="en-GB"/>
              </w:rPr>
              <w:t xml:space="preserve"> </w:t>
            </w:r>
            <w:r>
              <w:rPr>
                <w:i/>
                <w:color w:val="000000" w:themeColor="text1"/>
                <w:lang w:val="en-GB"/>
              </w:rPr>
              <w:t xml:space="preserve">Transboundary Environmental Interference and the Origin of State Liability </w:t>
            </w:r>
            <w:r>
              <w:rPr>
                <w:color w:val="000000" w:themeColor="text1"/>
                <w:lang w:val="en-GB"/>
              </w:rPr>
              <w:t>(Kluwer International Law, The Hague, 1996) (“</w:t>
            </w:r>
            <w:proofErr w:type="spellStart"/>
            <w:r w:rsidRPr="00BD4C80">
              <w:rPr>
                <w:lang w:val="en-AU"/>
              </w:rPr>
              <w:t>Lefeber</w:t>
            </w:r>
            <w:proofErr w:type="spellEnd"/>
            <w:r w:rsidRPr="00BD4C80">
              <w:rPr>
                <w:lang w:val="en-AU"/>
              </w:rPr>
              <w:t xml:space="preserve"> (1996)</w:t>
            </w:r>
            <w:r>
              <w:rPr>
                <w:color w:val="000000" w:themeColor="text1"/>
                <w:lang w:val="en-GB"/>
              </w:rPr>
              <w:t>”)</w:t>
            </w:r>
          </w:p>
        </w:tc>
        <w:tc>
          <w:tcPr>
            <w:tcW w:w="1242" w:type="dxa"/>
          </w:tcPr>
          <w:p w14:paraId="03A700DE" w14:textId="075E75E0" w:rsidR="00A3290E" w:rsidRDefault="00A3290E" w:rsidP="00661C8E">
            <w:pPr>
              <w:jc w:val="center"/>
            </w:pPr>
            <w:r>
              <w:t>40</w:t>
            </w:r>
          </w:p>
        </w:tc>
      </w:tr>
      <w:tr w:rsidR="00A42870" w14:paraId="4798DD33" w14:textId="77777777" w:rsidTr="009371CB">
        <w:tc>
          <w:tcPr>
            <w:tcW w:w="8364" w:type="dxa"/>
          </w:tcPr>
          <w:p w14:paraId="1A27348E" w14:textId="0DEE67D3" w:rsidR="00A42870" w:rsidRPr="00311DE3" w:rsidRDefault="00315763" w:rsidP="007C73E9">
            <w:pPr>
              <w:spacing w:line="240" w:lineRule="auto"/>
              <w:ind w:left="567" w:hanging="567"/>
            </w:pPr>
            <w:r w:rsidRPr="00315763">
              <w:rPr>
                <w:lang w:val="en-GB"/>
              </w:rPr>
              <w:t xml:space="preserve">Riccardo </w:t>
            </w:r>
            <w:proofErr w:type="spellStart"/>
            <w:r w:rsidRPr="00315763">
              <w:rPr>
                <w:lang w:val="en-GB"/>
              </w:rPr>
              <w:t>Pisillo-Mazzeschi</w:t>
            </w:r>
            <w:proofErr w:type="spellEnd"/>
            <w:r w:rsidRPr="00315763">
              <w:rPr>
                <w:lang w:val="en-GB"/>
              </w:rPr>
              <w:t xml:space="preserve"> “The Due Diligence Rule and the Nature of the International Responsibility of States” (1992) 35 German YB Int’l L 9 (“</w:t>
            </w:r>
            <w:proofErr w:type="spellStart"/>
            <w:r w:rsidRPr="00315763">
              <w:rPr>
                <w:lang w:val="en-GB"/>
              </w:rPr>
              <w:t>Pisillo-Mazzeschi</w:t>
            </w:r>
            <w:proofErr w:type="spellEnd"/>
            <w:r w:rsidRPr="00315763">
              <w:rPr>
                <w:lang w:val="en-GB"/>
              </w:rPr>
              <w:t xml:space="preserve"> (1992)”)</w:t>
            </w:r>
          </w:p>
        </w:tc>
        <w:tc>
          <w:tcPr>
            <w:tcW w:w="1242" w:type="dxa"/>
          </w:tcPr>
          <w:p w14:paraId="6D17DD7C" w14:textId="65E6813D" w:rsidR="00A42870" w:rsidRDefault="00654C68" w:rsidP="00661C8E">
            <w:pPr>
              <w:jc w:val="center"/>
            </w:pPr>
            <w:r>
              <w:t>31, 32</w:t>
            </w:r>
          </w:p>
        </w:tc>
      </w:tr>
      <w:tr w:rsidR="00D9435D" w14:paraId="391BE4A9" w14:textId="77777777" w:rsidTr="009371CB">
        <w:tc>
          <w:tcPr>
            <w:tcW w:w="8364" w:type="dxa"/>
          </w:tcPr>
          <w:p w14:paraId="59BAF469" w14:textId="18BAF41D" w:rsidR="00D9435D" w:rsidRPr="00D9435D" w:rsidRDefault="00D9435D" w:rsidP="00D9435D">
            <w:pPr>
              <w:spacing w:line="240" w:lineRule="auto"/>
              <w:ind w:left="567" w:hanging="567"/>
            </w:pPr>
            <w:r w:rsidRPr="00D9435D">
              <w:t xml:space="preserve">Robert Kolb </w:t>
            </w:r>
            <w:r w:rsidRPr="00D9435D">
              <w:rPr>
                <w:i/>
              </w:rPr>
              <w:t>The International Court of Justice</w:t>
            </w:r>
            <w:r w:rsidRPr="00D9435D">
              <w:t xml:space="preserve"> (Hart Publishing, Oxford, 2013)</w:t>
            </w:r>
            <w:r>
              <w:t xml:space="preserve"> (“Kolb (2013)”)</w:t>
            </w:r>
          </w:p>
        </w:tc>
        <w:tc>
          <w:tcPr>
            <w:tcW w:w="1242" w:type="dxa"/>
          </w:tcPr>
          <w:p w14:paraId="743F3D34" w14:textId="4BAA8BC2" w:rsidR="00D9435D" w:rsidRDefault="00390075" w:rsidP="00661C8E">
            <w:pPr>
              <w:jc w:val="center"/>
            </w:pPr>
            <w:r>
              <w:t>28, 39</w:t>
            </w:r>
          </w:p>
        </w:tc>
      </w:tr>
      <w:tr w:rsidR="007C73E9" w14:paraId="29313D5E" w14:textId="77777777" w:rsidTr="009371CB">
        <w:tc>
          <w:tcPr>
            <w:tcW w:w="8364" w:type="dxa"/>
          </w:tcPr>
          <w:p w14:paraId="3DB36573" w14:textId="60B41794" w:rsidR="007C73E9" w:rsidRPr="00315763" w:rsidRDefault="007C73E9" w:rsidP="007C73E9">
            <w:pPr>
              <w:spacing w:line="240" w:lineRule="auto"/>
              <w:ind w:left="567" w:hanging="567"/>
              <w:rPr>
                <w:lang w:val="en-GB"/>
              </w:rPr>
            </w:pPr>
            <w:r w:rsidRPr="007C73E9">
              <w:rPr>
                <w:lang w:val="en-GB"/>
              </w:rPr>
              <w:t xml:space="preserve">Robert L </w:t>
            </w:r>
            <w:proofErr w:type="spellStart"/>
            <w:r w:rsidRPr="007C73E9">
              <w:rPr>
                <w:lang w:val="en-GB"/>
              </w:rPr>
              <w:t>Fischman</w:t>
            </w:r>
            <w:proofErr w:type="spellEnd"/>
            <w:r w:rsidRPr="007C73E9">
              <w:rPr>
                <w:lang w:val="en-GB"/>
              </w:rPr>
              <w:t xml:space="preserve"> and Jeffrey B Hyman “The Legal Challenge of Protecting Animal Migrations as Phenomena of Abundance” (2010) 28 </w:t>
            </w:r>
            <w:proofErr w:type="spellStart"/>
            <w:r w:rsidRPr="007C73E9">
              <w:rPr>
                <w:lang w:val="en-GB"/>
              </w:rPr>
              <w:t>Va</w:t>
            </w:r>
            <w:proofErr w:type="spellEnd"/>
            <w:r w:rsidRPr="007C73E9">
              <w:rPr>
                <w:lang w:val="en-GB"/>
              </w:rPr>
              <w:t xml:space="preserve"> </w:t>
            </w:r>
            <w:proofErr w:type="spellStart"/>
            <w:r w:rsidRPr="007C73E9">
              <w:rPr>
                <w:lang w:val="en-GB"/>
              </w:rPr>
              <w:t>Envtl</w:t>
            </w:r>
            <w:proofErr w:type="spellEnd"/>
            <w:r w:rsidRPr="007C73E9">
              <w:rPr>
                <w:lang w:val="en-GB"/>
              </w:rPr>
              <w:t xml:space="preserve"> LJ 173 (“</w:t>
            </w:r>
            <w:proofErr w:type="spellStart"/>
            <w:r w:rsidRPr="007C73E9">
              <w:rPr>
                <w:lang w:val="en-GB"/>
              </w:rPr>
              <w:t>Fischman</w:t>
            </w:r>
            <w:proofErr w:type="spellEnd"/>
            <w:r w:rsidRPr="007C73E9">
              <w:rPr>
                <w:lang w:val="en-GB"/>
              </w:rPr>
              <w:t xml:space="preserve"> and Hyman (2010)”)</w:t>
            </w:r>
          </w:p>
        </w:tc>
        <w:tc>
          <w:tcPr>
            <w:tcW w:w="1242" w:type="dxa"/>
          </w:tcPr>
          <w:p w14:paraId="2647BD2D" w14:textId="69C403D9" w:rsidR="007C73E9" w:rsidRDefault="00390075" w:rsidP="00661C8E">
            <w:pPr>
              <w:jc w:val="center"/>
            </w:pPr>
            <w:r>
              <w:t>36</w:t>
            </w:r>
          </w:p>
        </w:tc>
      </w:tr>
      <w:tr w:rsidR="00A42870" w14:paraId="18A599E8" w14:textId="77777777" w:rsidTr="009371CB">
        <w:tc>
          <w:tcPr>
            <w:tcW w:w="8364" w:type="dxa"/>
          </w:tcPr>
          <w:p w14:paraId="4E6AD0CF" w14:textId="1DDB30BF" w:rsidR="00A42870" w:rsidRPr="00311DE3" w:rsidRDefault="00315763" w:rsidP="007C73E9">
            <w:pPr>
              <w:spacing w:line="240" w:lineRule="auto"/>
              <w:ind w:left="567" w:hanging="567"/>
            </w:pPr>
            <w:r>
              <w:t xml:space="preserve">Roger </w:t>
            </w:r>
            <w:proofErr w:type="spellStart"/>
            <w:r>
              <w:t>Chennells</w:t>
            </w:r>
            <w:proofErr w:type="spellEnd"/>
            <w:r>
              <w:t xml:space="preserve"> “Traditional Knowledge and Benefit Sharing after the Nagoya Protocol: Three Cases from South Africa” (2013) 9 Law Env’t &amp; Dev. J. 163 </w:t>
            </w:r>
            <w:r w:rsidR="007E05F5">
              <w:t>(“</w:t>
            </w:r>
            <w:proofErr w:type="spellStart"/>
            <w:r>
              <w:t>Chennells</w:t>
            </w:r>
            <w:proofErr w:type="spellEnd"/>
            <w:r>
              <w:t xml:space="preserve"> (2013)</w:t>
            </w:r>
            <w:r w:rsidR="007E05F5">
              <w:t>”)</w:t>
            </w:r>
          </w:p>
        </w:tc>
        <w:tc>
          <w:tcPr>
            <w:tcW w:w="1242" w:type="dxa"/>
          </w:tcPr>
          <w:p w14:paraId="72D96286" w14:textId="49274B82" w:rsidR="00A42870" w:rsidRDefault="00091765" w:rsidP="00661C8E">
            <w:pPr>
              <w:jc w:val="center"/>
            </w:pPr>
            <w:r>
              <w:t>55</w:t>
            </w:r>
          </w:p>
        </w:tc>
      </w:tr>
      <w:tr w:rsidR="007C73E9" w14:paraId="511EE721" w14:textId="77777777" w:rsidTr="009371CB">
        <w:tc>
          <w:tcPr>
            <w:tcW w:w="8364" w:type="dxa"/>
          </w:tcPr>
          <w:p w14:paraId="240E0A10" w14:textId="11F2601D" w:rsidR="007C73E9" w:rsidRPr="00311DE3" w:rsidRDefault="007C73E9" w:rsidP="007C73E9">
            <w:pPr>
              <w:spacing w:line="240" w:lineRule="auto"/>
              <w:ind w:left="567" w:hanging="567"/>
            </w:pPr>
            <w:r w:rsidRPr="00684732">
              <w:rPr>
                <w:lang w:val="en-GB"/>
              </w:rPr>
              <w:lastRenderedPageBreak/>
              <w:t xml:space="preserve">Sarah Heathcote “State Omissions and Due Diligence: Aspects of Fault, Damage and Contribution to Injury in the Law of State Responsibility” in </w:t>
            </w:r>
            <w:proofErr w:type="spellStart"/>
            <w:r w:rsidRPr="00684732">
              <w:rPr>
                <w:lang w:val="en-GB"/>
              </w:rPr>
              <w:t>Karine</w:t>
            </w:r>
            <w:proofErr w:type="spellEnd"/>
            <w:r w:rsidRPr="00684732">
              <w:rPr>
                <w:lang w:val="en-GB"/>
              </w:rPr>
              <w:t xml:space="preserve"> </w:t>
            </w:r>
            <w:proofErr w:type="spellStart"/>
            <w:r w:rsidRPr="00684732">
              <w:rPr>
                <w:lang w:val="en-GB"/>
              </w:rPr>
              <w:t>Bannelier</w:t>
            </w:r>
            <w:proofErr w:type="spellEnd"/>
            <w:r w:rsidRPr="00684732">
              <w:rPr>
                <w:lang w:val="en-GB"/>
              </w:rPr>
              <w:t>, Théodore Christakis, Sarah Heathcote (</w:t>
            </w:r>
            <w:proofErr w:type="spellStart"/>
            <w:r w:rsidRPr="00684732">
              <w:rPr>
                <w:lang w:val="en-GB"/>
              </w:rPr>
              <w:t>eds</w:t>
            </w:r>
            <w:proofErr w:type="spellEnd"/>
            <w:r w:rsidRPr="00684732">
              <w:rPr>
                <w:lang w:val="en-GB"/>
              </w:rPr>
              <w:t xml:space="preserve">) </w:t>
            </w:r>
            <w:r w:rsidRPr="00684732">
              <w:rPr>
                <w:i/>
                <w:lang w:val="en-GB"/>
              </w:rPr>
              <w:t xml:space="preserve">The ICJ and the Evolution of International Law </w:t>
            </w:r>
            <w:r w:rsidRPr="00684732">
              <w:rPr>
                <w:lang w:val="en-GB"/>
              </w:rPr>
              <w:t>(Routledge, London, 2012) 295 (“Heathcote (2012)”)</w:t>
            </w:r>
          </w:p>
        </w:tc>
        <w:tc>
          <w:tcPr>
            <w:tcW w:w="1242" w:type="dxa"/>
          </w:tcPr>
          <w:p w14:paraId="49A4C4CE" w14:textId="2F615B61" w:rsidR="007C73E9" w:rsidRDefault="009C6DAC" w:rsidP="00661C8E">
            <w:pPr>
              <w:jc w:val="center"/>
            </w:pPr>
            <w:r>
              <w:t>31</w:t>
            </w:r>
          </w:p>
        </w:tc>
      </w:tr>
      <w:tr w:rsidR="007C73E9" w14:paraId="4F36D3F9" w14:textId="77777777" w:rsidTr="009371CB">
        <w:tc>
          <w:tcPr>
            <w:tcW w:w="8364" w:type="dxa"/>
          </w:tcPr>
          <w:p w14:paraId="2995C417" w14:textId="33DED0AB" w:rsidR="007C73E9" w:rsidRPr="00311DE3" w:rsidRDefault="007C73E9" w:rsidP="007C73E9">
            <w:pPr>
              <w:spacing w:line="240" w:lineRule="auto"/>
              <w:ind w:left="567" w:hanging="567"/>
            </w:pPr>
            <w:r w:rsidRPr="007C73E9">
              <w:t xml:space="preserve">Siegfried </w:t>
            </w:r>
            <w:proofErr w:type="spellStart"/>
            <w:r w:rsidRPr="007C73E9">
              <w:t>Wiessner</w:t>
            </w:r>
            <w:proofErr w:type="spellEnd"/>
            <w:r w:rsidRPr="007C73E9">
              <w:t xml:space="preserve"> “Indigenous Sovereignty: A Reassessment in Light of the UN Declaration on the Rights of Indigenous Peoples” (2008) 41 Vanderbilt Journal of Transnational Law 1141 </w:t>
            </w:r>
            <w:r w:rsidR="007E05F5">
              <w:t>(“</w:t>
            </w:r>
            <w:proofErr w:type="spellStart"/>
            <w:r w:rsidRPr="007C73E9">
              <w:t>Wiessner</w:t>
            </w:r>
            <w:proofErr w:type="spellEnd"/>
            <w:r w:rsidRPr="007C73E9">
              <w:t xml:space="preserve"> (2008)</w:t>
            </w:r>
            <w:r w:rsidR="007E05F5">
              <w:t>”)</w:t>
            </w:r>
          </w:p>
        </w:tc>
        <w:tc>
          <w:tcPr>
            <w:tcW w:w="1242" w:type="dxa"/>
          </w:tcPr>
          <w:p w14:paraId="71907DCB" w14:textId="1CAA7E7E" w:rsidR="007C73E9" w:rsidRDefault="009C6DAC" w:rsidP="00661C8E">
            <w:pPr>
              <w:jc w:val="center"/>
            </w:pPr>
            <w:r>
              <w:t>47</w:t>
            </w:r>
          </w:p>
        </w:tc>
      </w:tr>
      <w:tr w:rsidR="007C73E9" w14:paraId="5292FD7E" w14:textId="77777777" w:rsidTr="009371CB">
        <w:tc>
          <w:tcPr>
            <w:tcW w:w="8364" w:type="dxa"/>
          </w:tcPr>
          <w:p w14:paraId="056EE1C9" w14:textId="3BB88EB8" w:rsidR="007C73E9" w:rsidRPr="00311DE3" w:rsidRDefault="007C73E9" w:rsidP="007C73E9">
            <w:pPr>
              <w:spacing w:line="240" w:lineRule="auto"/>
              <w:ind w:left="567" w:hanging="567"/>
            </w:pPr>
            <w:r w:rsidRPr="007C73E9">
              <w:t xml:space="preserve">Silke von Lewinski </w:t>
            </w:r>
            <w:r w:rsidRPr="007C73E9">
              <w:rPr>
                <w:i/>
              </w:rPr>
              <w:t xml:space="preserve">Indigenous Heritage and Intellectual Property: Genetic Resources, Traditional Knowledge and Folklore </w:t>
            </w:r>
            <w:r w:rsidRPr="007C73E9">
              <w:t>(</w:t>
            </w:r>
            <w:r w:rsidRPr="009C6DAC">
              <w:t>2nd</w:t>
            </w:r>
            <w:r w:rsidRPr="007C73E9">
              <w:t xml:space="preserve"> ed., Kluwer Law International, the Netherlands, 2008) </w:t>
            </w:r>
            <w:r w:rsidR="007E05F5">
              <w:t>(“</w:t>
            </w:r>
            <w:r w:rsidRPr="007C73E9">
              <w:t>von Lewinski (2008)</w:t>
            </w:r>
            <w:r w:rsidR="007E05F5">
              <w:t>”)</w:t>
            </w:r>
          </w:p>
        </w:tc>
        <w:tc>
          <w:tcPr>
            <w:tcW w:w="1242" w:type="dxa"/>
          </w:tcPr>
          <w:p w14:paraId="09D885D5" w14:textId="7F80B6E3" w:rsidR="007C73E9" w:rsidRDefault="009C6DAC" w:rsidP="00661C8E">
            <w:pPr>
              <w:jc w:val="center"/>
            </w:pPr>
            <w:r>
              <w:t>49</w:t>
            </w:r>
          </w:p>
        </w:tc>
      </w:tr>
      <w:tr w:rsidR="007C73E9" w14:paraId="0C3107DC" w14:textId="77777777" w:rsidTr="009371CB">
        <w:tc>
          <w:tcPr>
            <w:tcW w:w="8364" w:type="dxa"/>
          </w:tcPr>
          <w:p w14:paraId="6C139EB1" w14:textId="2A43297C" w:rsidR="007C73E9" w:rsidRPr="00311DE3" w:rsidRDefault="007C73E9" w:rsidP="007C73E9">
            <w:pPr>
              <w:spacing w:line="240" w:lineRule="auto"/>
              <w:ind w:left="567" w:hanging="567"/>
            </w:pPr>
            <w:r>
              <w:rPr>
                <w:lang w:val="en-GB"/>
              </w:rPr>
              <w:t xml:space="preserve">Timo </w:t>
            </w:r>
            <w:proofErr w:type="spellStart"/>
            <w:r>
              <w:rPr>
                <w:lang w:val="en-GB"/>
              </w:rPr>
              <w:t>Koivurova</w:t>
            </w:r>
            <w:proofErr w:type="spellEnd"/>
            <w:r>
              <w:rPr>
                <w:lang w:val="en-GB"/>
              </w:rPr>
              <w:t xml:space="preserve"> </w:t>
            </w:r>
            <w:r>
              <w:rPr>
                <w:i/>
                <w:lang w:val="en-GB"/>
              </w:rPr>
              <w:t>Due Diligence</w:t>
            </w:r>
            <w:r>
              <w:rPr>
                <w:lang w:val="en-GB"/>
              </w:rPr>
              <w:t xml:space="preserve"> (2013) MPEPIL (“</w:t>
            </w:r>
            <w:proofErr w:type="spellStart"/>
            <w:r>
              <w:rPr>
                <w:lang w:val="en-GB"/>
              </w:rPr>
              <w:t>Koivurova</w:t>
            </w:r>
            <w:proofErr w:type="spellEnd"/>
            <w:r>
              <w:rPr>
                <w:lang w:val="en-GB"/>
              </w:rPr>
              <w:t xml:space="preserve"> (2013)”)</w:t>
            </w:r>
          </w:p>
        </w:tc>
        <w:tc>
          <w:tcPr>
            <w:tcW w:w="1242" w:type="dxa"/>
          </w:tcPr>
          <w:p w14:paraId="47BBD6EC" w14:textId="24975F49" w:rsidR="007C73E9" w:rsidRDefault="009C6DAC" w:rsidP="00661C8E">
            <w:pPr>
              <w:jc w:val="center"/>
            </w:pPr>
            <w:r>
              <w:t>31</w:t>
            </w:r>
          </w:p>
        </w:tc>
      </w:tr>
      <w:tr w:rsidR="007C73E9" w14:paraId="43E250F2" w14:textId="77777777" w:rsidTr="009371CB">
        <w:tc>
          <w:tcPr>
            <w:tcW w:w="8364" w:type="dxa"/>
          </w:tcPr>
          <w:p w14:paraId="50073A85" w14:textId="32480FF2" w:rsidR="007C73E9" w:rsidRPr="007C73E9" w:rsidRDefault="007C73E9" w:rsidP="007C73E9">
            <w:pPr>
              <w:spacing w:line="240" w:lineRule="auto"/>
              <w:ind w:left="567" w:hanging="567"/>
              <w:rPr>
                <w:lang w:val="en-US"/>
              </w:rPr>
            </w:pPr>
            <w:r w:rsidRPr="007C73E9">
              <w:rPr>
                <w:lang w:val="en-US"/>
              </w:rPr>
              <w:t xml:space="preserve">Usha Tandon, Mohan </w:t>
            </w:r>
            <w:proofErr w:type="spellStart"/>
            <w:r w:rsidRPr="007C73E9">
              <w:rPr>
                <w:lang w:val="en-US"/>
              </w:rPr>
              <w:t>Parasaran</w:t>
            </w:r>
            <w:proofErr w:type="spellEnd"/>
            <w:r w:rsidRPr="007C73E9">
              <w:rPr>
                <w:lang w:val="en-US"/>
              </w:rPr>
              <w:t xml:space="preserve"> and Sidharth Luthra, </w:t>
            </w:r>
            <w:proofErr w:type="spellStart"/>
            <w:r w:rsidRPr="007C73E9">
              <w:rPr>
                <w:lang w:val="en-US"/>
              </w:rPr>
              <w:t>eds</w:t>
            </w:r>
            <w:proofErr w:type="spellEnd"/>
            <w:r w:rsidRPr="007C73E9">
              <w:rPr>
                <w:lang w:val="en-US"/>
              </w:rPr>
              <w:t xml:space="preserve">, </w:t>
            </w:r>
            <w:r w:rsidRPr="007C73E9">
              <w:rPr>
                <w:i/>
                <w:lang w:val="en-US"/>
              </w:rPr>
              <w:t xml:space="preserve">Biodiversity: Law, Policy and Governance </w:t>
            </w:r>
            <w:r w:rsidRPr="007C73E9">
              <w:rPr>
                <w:lang w:val="en-US"/>
              </w:rPr>
              <w:t xml:space="preserve">(Routledge, London, 2018) </w:t>
            </w:r>
            <w:r w:rsidR="007E05F5">
              <w:rPr>
                <w:lang w:val="en-US"/>
              </w:rPr>
              <w:t>(“</w:t>
            </w:r>
            <w:r w:rsidRPr="007C73E9">
              <w:rPr>
                <w:lang w:val="en-US"/>
              </w:rPr>
              <w:t xml:space="preserve">Tandon, </w:t>
            </w:r>
            <w:proofErr w:type="spellStart"/>
            <w:r w:rsidRPr="007C73E9">
              <w:rPr>
                <w:lang w:val="en-US"/>
              </w:rPr>
              <w:t>Parasaran</w:t>
            </w:r>
            <w:proofErr w:type="spellEnd"/>
            <w:r w:rsidRPr="007C73E9">
              <w:rPr>
                <w:lang w:val="en-US"/>
              </w:rPr>
              <w:t>, and Luthra (2018)</w:t>
            </w:r>
            <w:r w:rsidR="007E05F5">
              <w:rPr>
                <w:lang w:val="en-US"/>
              </w:rPr>
              <w:t>”)</w:t>
            </w:r>
          </w:p>
        </w:tc>
        <w:tc>
          <w:tcPr>
            <w:tcW w:w="1242" w:type="dxa"/>
          </w:tcPr>
          <w:p w14:paraId="405CD19D" w14:textId="1DF156FA" w:rsidR="007C73E9" w:rsidRDefault="009C6DAC" w:rsidP="00661C8E">
            <w:pPr>
              <w:jc w:val="center"/>
            </w:pPr>
            <w:r>
              <w:t>33, 52</w:t>
            </w:r>
          </w:p>
        </w:tc>
      </w:tr>
      <w:tr w:rsidR="007C73E9" w14:paraId="2D48994A" w14:textId="77777777" w:rsidTr="009371CB">
        <w:tc>
          <w:tcPr>
            <w:tcW w:w="8364" w:type="dxa"/>
          </w:tcPr>
          <w:p w14:paraId="5C4836BE" w14:textId="43667D6B" w:rsidR="007C73E9" w:rsidRPr="00311DE3" w:rsidRDefault="007C73E9" w:rsidP="007C73E9">
            <w:pPr>
              <w:spacing w:line="240" w:lineRule="auto"/>
              <w:ind w:left="567" w:hanging="567"/>
            </w:pPr>
            <w:r w:rsidRPr="00684732">
              <w:rPr>
                <w:lang w:val="en-GB"/>
              </w:rPr>
              <w:t xml:space="preserve">Vanessa Ballesteros Moya “The Privatization on the Use of Force Meets the Law of </w:t>
            </w:r>
            <w:proofErr w:type="gramStart"/>
            <w:r w:rsidRPr="00684732">
              <w:rPr>
                <w:lang w:val="en-GB"/>
              </w:rPr>
              <w:t>State  Responsibility</w:t>
            </w:r>
            <w:proofErr w:type="gramEnd"/>
            <w:r w:rsidRPr="00684732">
              <w:rPr>
                <w:lang w:val="en-GB"/>
              </w:rPr>
              <w:t>” (2015) 30 Am U Intl L Rev 795 (“Moya (2015)”)</w:t>
            </w:r>
          </w:p>
        </w:tc>
        <w:tc>
          <w:tcPr>
            <w:tcW w:w="1242" w:type="dxa"/>
          </w:tcPr>
          <w:p w14:paraId="59690744" w14:textId="075DCED0" w:rsidR="007C73E9" w:rsidRDefault="009C6DAC" w:rsidP="00661C8E">
            <w:pPr>
              <w:jc w:val="center"/>
            </w:pPr>
            <w:r>
              <w:t>28</w:t>
            </w:r>
          </w:p>
        </w:tc>
      </w:tr>
      <w:tr w:rsidR="007C73E9" w14:paraId="57E56974" w14:textId="77777777" w:rsidTr="009371CB">
        <w:tc>
          <w:tcPr>
            <w:tcW w:w="8364" w:type="dxa"/>
          </w:tcPr>
          <w:p w14:paraId="552D80B3" w14:textId="4BF25D56" w:rsidR="007C73E9" w:rsidRPr="00311DE3" w:rsidRDefault="007C73E9" w:rsidP="007C73E9">
            <w:pPr>
              <w:spacing w:line="240" w:lineRule="auto"/>
              <w:ind w:left="567" w:hanging="567"/>
            </w:pPr>
            <w:proofErr w:type="spellStart"/>
            <w:r w:rsidRPr="00684732">
              <w:rPr>
                <w:lang w:val="en-GB"/>
              </w:rPr>
              <w:t>Ved</w:t>
            </w:r>
            <w:proofErr w:type="spellEnd"/>
            <w:r w:rsidRPr="00684732">
              <w:rPr>
                <w:lang w:val="en-GB"/>
              </w:rPr>
              <w:t xml:space="preserve"> Nanda and George </w:t>
            </w:r>
            <w:proofErr w:type="spellStart"/>
            <w:r w:rsidRPr="00684732">
              <w:rPr>
                <w:lang w:val="en-GB"/>
              </w:rPr>
              <w:t>Pring</w:t>
            </w:r>
            <w:proofErr w:type="spellEnd"/>
            <w:r w:rsidRPr="00684732">
              <w:rPr>
                <w:lang w:val="en-GB"/>
              </w:rPr>
              <w:t xml:space="preserve"> </w:t>
            </w:r>
            <w:r w:rsidRPr="00684732">
              <w:rPr>
                <w:i/>
                <w:lang w:val="en-GB"/>
              </w:rPr>
              <w:t>International Environmental Law and Policy for the 21st Century</w:t>
            </w:r>
            <w:r w:rsidRPr="00684732">
              <w:rPr>
                <w:lang w:val="en-GB"/>
              </w:rPr>
              <w:t xml:space="preserve"> (2nd </w:t>
            </w:r>
            <w:proofErr w:type="spellStart"/>
            <w:r w:rsidRPr="00684732">
              <w:rPr>
                <w:lang w:val="en-GB"/>
              </w:rPr>
              <w:t>ed</w:t>
            </w:r>
            <w:proofErr w:type="spellEnd"/>
            <w:r w:rsidRPr="00684732">
              <w:rPr>
                <w:lang w:val="en-GB"/>
              </w:rPr>
              <w:t xml:space="preserve">, </w:t>
            </w:r>
            <w:proofErr w:type="spellStart"/>
            <w:r w:rsidRPr="00684732">
              <w:rPr>
                <w:lang w:val="en-GB"/>
              </w:rPr>
              <w:t>Martinus</w:t>
            </w:r>
            <w:proofErr w:type="spellEnd"/>
            <w:r w:rsidRPr="00684732">
              <w:rPr>
                <w:lang w:val="en-GB"/>
              </w:rPr>
              <w:t xml:space="preserve"> </w:t>
            </w:r>
            <w:proofErr w:type="spellStart"/>
            <w:r w:rsidRPr="00684732">
              <w:rPr>
                <w:lang w:val="en-GB"/>
              </w:rPr>
              <w:t>Nijhoff</w:t>
            </w:r>
            <w:proofErr w:type="spellEnd"/>
            <w:r w:rsidRPr="00684732">
              <w:rPr>
                <w:lang w:val="en-GB"/>
              </w:rPr>
              <w:t xml:space="preserve"> Publishers, 2013) (“Nanda and </w:t>
            </w:r>
            <w:proofErr w:type="spellStart"/>
            <w:r w:rsidRPr="00684732">
              <w:rPr>
                <w:lang w:val="en-GB"/>
              </w:rPr>
              <w:t>Pring</w:t>
            </w:r>
            <w:proofErr w:type="spellEnd"/>
            <w:r w:rsidRPr="00684732">
              <w:rPr>
                <w:lang w:val="en-GB"/>
              </w:rPr>
              <w:t xml:space="preserve"> (2013)”)</w:t>
            </w:r>
          </w:p>
        </w:tc>
        <w:tc>
          <w:tcPr>
            <w:tcW w:w="1242" w:type="dxa"/>
          </w:tcPr>
          <w:p w14:paraId="4DAF448B" w14:textId="56A3D538" w:rsidR="007C73E9" w:rsidRDefault="009C6DAC" w:rsidP="00661C8E">
            <w:pPr>
              <w:jc w:val="center"/>
            </w:pPr>
            <w:r>
              <w:t>32, 39</w:t>
            </w:r>
          </w:p>
        </w:tc>
      </w:tr>
    </w:tbl>
    <w:p w14:paraId="46C1E8CF" w14:textId="77777777" w:rsidR="001A26AC" w:rsidRDefault="001A26AC" w:rsidP="001A26AC"/>
    <w:p w14:paraId="7CC05A3F" w14:textId="51F20760" w:rsidR="003B021E" w:rsidRDefault="00436242" w:rsidP="003B021E">
      <w:pPr>
        <w:pStyle w:val="Heading2"/>
      </w:pPr>
      <w:bookmarkStart w:id="119" w:name="_Toc534993300"/>
      <w:bookmarkStart w:id="120" w:name="_Toc534995364"/>
      <w:bookmarkStart w:id="121" w:name="_Toc534995754"/>
      <w:bookmarkStart w:id="122" w:name="_Toc534995829"/>
      <w:bookmarkStart w:id="123" w:name="_Toc534995983"/>
      <w:bookmarkStart w:id="124" w:name="_Toc534998401"/>
      <w:bookmarkStart w:id="125" w:name="_Toc535037155"/>
      <w:r>
        <w:t>other authorities</w:t>
      </w:r>
      <w:bookmarkEnd w:id="119"/>
      <w:bookmarkEnd w:id="120"/>
      <w:bookmarkEnd w:id="121"/>
      <w:bookmarkEnd w:id="122"/>
      <w:bookmarkEnd w:id="123"/>
      <w:bookmarkEnd w:id="124"/>
      <w:bookmarkEnd w:id="125"/>
      <w:r>
        <w:t xml:space="preserve">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275"/>
      </w:tblGrid>
      <w:tr w:rsidR="003B021E" w14:paraId="785B6A16" w14:textId="77777777" w:rsidTr="009371CB">
        <w:trPr>
          <w:trHeight w:val="109"/>
        </w:trPr>
        <w:tc>
          <w:tcPr>
            <w:tcW w:w="8364" w:type="dxa"/>
          </w:tcPr>
          <w:p w14:paraId="15EDA01C" w14:textId="47737851" w:rsidR="003B021E" w:rsidRPr="008C06F4" w:rsidRDefault="003B021E" w:rsidP="008C06F4">
            <w:pPr>
              <w:spacing w:line="240" w:lineRule="auto"/>
              <w:ind w:left="567" w:hanging="567"/>
            </w:pPr>
            <w:r w:rsidRPr="003B021E">
              <w:t>Act on the Implementation of the Nagoya Protocol to the Convention on Biological Diversity (</w:t>
            </w:r>
            <w:r w:rsidRPr="003B021E">
              <w:rPr>
                <w:i/>
              </w:rPr>
              <w:t xml:space="preserve">translation from finish) </w:t>
            </w:r>
            <w:r w:rsidRPr="003B021E">
              <w:t xml:space="preserve">20 May 2016 (accessed: </w:t>
            </w:r>
            <w:r w:rsidR="0076707C">
              <w:t>www.</w:t>
            </w:r>
            <w:r w:rsidRPr="003B021E">
              <w:t xml:space="preserve">absch.cbd.int/countries/FI) </w:t>
            </w:r>
            <w:r w:rsidR="007E05F5">
              <w:t>(“</w:t>
            </w:r>
            <w:r w:rsidRPr="003B021E">
              <w:rPr>
                <w:lang w:val="en-US"/>
              </w:rPr>
              <w:t>Nagoya and CBD Implementation Act (Finland)</w:t>
            </w:r>
            <w:r w:rsidR="007E05F5">
              <w:rPr>
                <w:lang w:val="en-US"/>
              </w:rPr>
              <w:t>”)</w:t>
            </w:r>
          </w:p>
        </w:tc>
        <w:tc>
          <w:tcPr>
            <w:tcW w:w="1275" w:type="dxa"/>
          </w:tcPr>
          <w:p w14:paraId="58240187" w14:textId="626C1A6E" w:rsidR="003B021E" w:rsidRDefault="00A52623" w:rsidP="00661C8E">
            <w:pPr>
              <w:jc w:val="center"/>
            </w:pPr>
            <w:r>
              <w:t>52</w:t>
            </w:r>
          </w:p>
        </w:tc>
      </w:tr>
      <w:tr w:rsidR="003B021E" w14:paraId="651339C5" w14:textId="77777777" w:rsidTr="009371CB">
        <w:trPr>
          <w:trHeight w:val="109"/>
        </w:trPr>
        <w:tc>
          <w:tcPr>
            <w:tcW w:w="8364" w:type="dxa"/>
          </w:tcPr>
          <w:p w14:paraId="36438BC3" w14:textId="006909DA" w:rsidR="003B021E" w:rsidRPr="003B021E" w:rsidRDefault="003B021E" w:rsidP="003B021E">
            <w:pPr>
              <w:spacing w:line="240" w:lineRule="auto"/>
              <w:ind w:left="567" w:hanging="567"/>
            </w:pPr>
            <w:r w:rsidRPr="003B021E">
              <w:rPr>
                <w:i/>
                <w:iCs/>
              </w:rPr>
              <w:t xml:space="preserve">Advisory Opinion Of The African Commission On Human And Peoples' Rights On The United Nations Declaration On The Rights Of Indigenous Peoples, </w:t>
            </w:r>
            <w:r w:rsidRPr="003B021E">
              <w:t>adopted by The African Commission On Human And Peoples' Rights</w:t>
            </w:r>
            <w:r w:rsidR="008C06F4">
              <w:t>,</w:t>
            </w:r>
            <w:r w:rsidRPr="003B021E">
              <w:t xml:space="preserve"> 41</w:t>
            </w:r>
            <w:r w:rsidR="008C06F4" w:rsidRPr="008C06F4">
              <w:rPr>
                <w:vertAlign w:val="superscript"/>
              </w:rPr>
              <w:t>st</w:t>
            </w:r>
            <w:r w:rsidRPr="003B021E">
              <w:t xml:space="preserve"> Ordinary Session</w:t>
            </w:r>
            <w:r w:rsidR="008C06F4">
              <w:t>,</w:t>
            </w:r>
            <w:r w:rsidRPr="003B021E">
              <w:t xml:space="preserve"> May 2007 </w:t>
            </w:r>
            <w:r w:rsidR="007E05F5">
              <w:t>(“</w:t>
            </w:r>
            <w:r w:rsidRPr="003B021E">
              <w:rPr>
                <w:i/>
              </w:rPr>
              <w:t>Advisory Opinion of the African Commission: UNDRIP</w:t>
            </w:r>
            <w:r w:rsidR="007E05F5" w:rsidRPr="008C06F4">
              <w:t>”)</w:t>
            </w:r>
          </w:p>
        </w:tc>
        <w:tc>
          <w:tcPr>
            <w:tcW w:w="1275" w:type="dxa"/>
          </w:tcPr>
          <w:p w14:paraId="58558D1B" w14:textId="3CE98515" w:rsidR="003B021E" w:rsidRDefault="00A52623" w:rsidP="00661C8E">
            <w:pPr>
              <w:jc w:val="center"/>
            </w:pPr>
            <w:r>
              <w:t>47</w:t>
            </w:r>
          </w:p>
        </w:tc>
      </w:tr>
      <w:tr w:rsidR="003B021E" w14:paraId="53307E51" w14:textId="77777777" w:rsidTr="009371CB">
        <w:trPr>
          <w:trHeight w:val="109"/>
        </w:trPr>
        <w:tc>
          <w:tcPr>
            <w:tcW w:w="8364" w:type="dxa"/>
          </w:tcPr>
          <w:p w14:paraId="6D75A9CC" w14:textId="360D7F02" w:rsidR="003B021E" w:rsidRPr="004F5DA8" w:rsidRDefault="003B021E" w:rsidP="004F5DA8">
            <w:pPr>
              <w:spacing w:line="240" w:lineRule="auto"/>
              <w:ind w:left="567" w:hanging="567"/>
            </w:pPr>
            <w:r w:rsidRPr="003B021E">
              <w:t xml:space="preserve">Andean Community </w:t>
            </w:r>
            <w:r w:rsidRPr="003B021E">
              <w:rPr>
                <w:i/>
              </w:rPr>
              <w:t xml:space="preserve">Decision No. 391 Establishing the Common Regime on Access to Genetic Resources </w:t>
            </w:r>
            <w:r w:rsidRPr="003B021E">
              <w:t xml:space="preserve">2 July 1996 </w:t>
            </w:r>
            <w:r w:rsidR="007E05F5">
              <w:t>(“</w:t>
            </w:r>
            <w:r w:rsidRPr="003B021E">
              <w:t>Andean Pact</w:t>
            </w:r>
            <w:r w:rsidR="007E05F5">
              <w:t>”)</w:t>
            </w:r>
          </w:p>
        </w:tc>
        <w:tc>
          <w:tcPr>
            <w:tcW w:w="1275" w:type="dxa"/>
          </w:tcPr>
          <w:p w14:paraId="55FFD8E4" w14:textId="67A3E945" w:rsidR="003B021E" w:rsidRDefault="00D543EB" w:rsidP="00661C8E">
            <w:pPr>
              <w:jc w:val="center"/>
            </w:pPr>
            <w:r>
              <w:t>51</w:t>
            </w:r>
          </w:p>
        </w:tc>
      </w:tr>
      <w:tr w:rsidR="003B021E" w14:paraId="4D79A858" w14:textId="77777777" w:rsidTr="009371CB">
        <w:trPr>
          <w:trHeight w:val="109"/>
        </w:trPr>
        <w:tc>
          <w:tcPr>
            <w:tcW w:w="8364" w:type="dxa"/>
          </w:tcPr>
          <w:p w14:paraId="11C5656D" w14:textId="7DF72B5E" w:rsidR="003B021E" w:rsidRPr="003B021E" w:rsidRDefault="003B021E" w:rsidP="003B021E">
            <w:pPr>
              <w:tabs>
                <w:tab w:val="left" w:pos="1860"/>
              </w:tabs>
              <w:spacing w:line="240" w:lineRule="auto"/>
              <w:ind w:left="567" w:hanging="567"/>
            </w:pPr>
            <w:r w:rsidRPr="003B021E">
              <w:t xml:space="preserve">CEACR Observations, Adopted 2017, published </w:t>
            </w:r>
            <w:r w:rsidRPr="00D543EB">
              <w:t>107th</w:t>
            </w:r>
            <w:r w:rsidRPr="003B021E">
              <w:t xml:space="preserve"> ILC Session (2018), Paraguay </w:t>
            </w:r>
            <w:r w:rsidR="004F5DA8">
              <w:t>(</w:t>
            </w:r>
            <w:r w:rsidR="0076707C">
              <w:t>accessed</w:t>
            </w:r>
            <w:r w:rsidR="004F5DA8">
              <w:t xml:space="preserve"> via</w:t>
            </w:r>
            <w:r w:rsidR="0076707C">
              <w:t>:</w:t>
            </w:r>
            <w:r w:rsidR="004F5DA8">
              <w:t xml:space="preserve"> &lt;</w:t>
            </w:r>
            <w:r w:rsidR="004F5DA8" w:rsidRPr="004F5DA8">
              <w:t>www.ilo.org</w:t>
            </w:r>
            <w:r w:rsidR="004F5DA8">
              <w:t>&gt;)</w:t>
            </w:r>
            <w:r w:rsidR="004F5DA8" w:rsidRPr="004F5DA8">
              <w:t xml:space="preserve"> </w:t>
            </w:r>
            <w:r w:rsidR="007E05F5">
              <w:t>(“</w:t>
            </w:r>
            <w:r w:rsidRPr="0043737B">
              <w:rPr>
                <w:i/>
                <w:lang w:val="en-US"/>
              </w:rPr>
              <w:t>CEACR Observations, Paraguay (2018)</w:t>
            </w:r>
            <w:r w:rsidR="007E05F5" w:rsidRPr="0043737B">
              <w:rPr>
                <w:lang w:val="en-US"/>
              </w:rPr>
              <w:t>”)</w:t>
            </w:r>
            <w:r>
              <w:rPr>
                <w:lang w:val="en-AU"/>
              </w:rPr>
              <w:tab/>
            </w:r>
          </w:p>
        </w:tc>
        <w:tc>
          <w:tcPr>
            <w:tcW w:w="1275" w:type="dxa"/>
          </w:tcPr>
          <w:p w14:paraId="5CD0B341" w14:textId="27567CA6" w:rsidR="003B021E" w:rsidRDefault="0043737B" w:rsidP="00661C8E">
            <w:pPr>
              <w:jc w:val="center"/>
            </w:pPr>
            <w:r>
              <w:t>47</w:t>
            </w:r>
          </w:p>
        </w:tc>
      </w:tr>
      <w:tr w:rsidR="001A26AC" w14:paraId="3CADAE6D" w14:textId="77777777" w:rsidTr="009371CB">
        <w:trPr>
          <w:trHeight w:val="109"/>
        </w:trPr>
        <w:tc>
          <w:tcPr>
            <w:tcW w:w="8364" w:type="dxa"/>
          </w:tcPr>
          <w:p w14:paraId="4D5FE821" w14:textId="0C9C75CF" w:rsidR="001A26AC" w:rsidRPr="00063103" w:rsidRDefault="003B021E" w:rsidP="00F95D91">
            <w:pPr>
              <w:spacing w:line="240" w:lineRule="auto"/>
              <w:ind w:left="567" w:hanging="567"/>
              <w:rPr>
                <w:lang w:val="en-AU"/>
              </w:rPr>
            </w:pPr>
            <w:proofErr w:type="spellStart"/>
            <w:r w:rsidRPr="00684732">
              <w:rPr>
                <w:iCs/>
                <w:color w:val="000000"/>
                <w:lang w:val="en-GB"/>
              </w:rPr>
              <w:t>Cyrille</w:t>
            </w:r>
            <w:proofErr w:type="spellEnd"/>
            <w:r w:rsidRPr="00684732">
              <w:rPr>
                <w:iCs/>
                <w:color w:val="000000"/>
                <w:lang w:val="en-GB"/>
              </w:rPr>
              <w:t xml:space="preserve"> de Klemm </w:t>
            </w:r>
            <w:r w:rsidRPr="00684732">
              <w:rPr>
                <w:i/>
                <w:iCs/>
                <w:color w:val="000000"/>
                <w:lang w:val="en-GB"/>
              </w:rPr>
              <w:t>Guidelines for Legislation to Implement CITES</w:t>
            </w:r>
            <w:r w:rsidRPr="00684732">
              <w:rPr>
                <w:iCs/>
                <w:color w:val="000000"/>
                <w:lang w:val="en-GB"/>
              </w:rPr>
              <w:t xml:space="preserve"> (1993) IUCN Environmental Policy and Law Paper No 26 (“IUCN CITES Guidelines”)</w:t>
            </w:r>
          </w:p>
        </w:tc>
        <w:tc>
          <w:tcPr>
            <w:tcW w:w="1275" w:type="dxa"/>
          </w:tcPr>
          <w:p w14:paraId="73591CAB" w14:textId="4706922E" w:rsidR="001A26AC" w:rsidRDefault="0043737B" w:rsidP="00661C8E">
            <w:pPr>
              <w:jc w:val="center"/>
            </w:pPr>
            <w:r>
              <w:t>36</w:t>
            </w:r>
            <w:r w:rsidR="00987272">
              <w:t>, 37</w:t>
            </w:r>
          </w:p>
        </w:tc>
      </w:tr>
      <w:tr w:rsidR="003B021E" w14:paraId="07B51EE6" w14:textId="77777777" w:rsidTr="009371CB">
        <w:trPr>
          <w:trHeight w:val="109"/>
        </w:trPr>
        <w:tc>
          <w:tcPr>
            <w:tcW w:w="8364" w:type="dxa"/>
          </w:tcPr>
          <w:p w14:paraId="58D14D58" w14:textId="1475380B" w:rsidR="003B021E" w:rsidRPr="00063103" w:rsidRDefault="003B021E" w:rsidP="00065B71">
            <w:pPr>
              <w:spacing w:line="240" w:lineRule="auto"/>
              <w:ind w:left="567" w:hanging="567"/>
              <w:rPr>
                <w:lang w:val="en-AU"/>
              </w:rPr>
            </w:pPr>
            <w:r w:rsidRPr="00684732">
              <w:rPr>
                <w:iCs/>
                <w:color w:val="000000"/>
                <w:lang w:val="en-GB"/>
              </w:rPr>
              <w:t xml:space="preserve">David </w:t>
            </w:r>
            <w:proofErr w:type="spellStart"/>
            <w:r w:rsidRPr="00684732">
              <w:rPr>
                <w:iCs/>
                <w:color w:val="000000"/>
                <w:lang w:val="en-GB"/>
              </w:rPr>
              <w:t>Streitfeld</w:t>
            </w:r>
            <w:proofErr w:type="spellEnd"/>
            <w:r w:rsidRPr="00684732">
              <w:rPr>
                <w:iCs/>
                <w:color w:val="000000"/>
                <w:lang w:val="en-GB"/>
              </w:rPr>
              <w:t xml:space="preserve"> “Donald Trump Summons Tech Leaders to a Round-Table Meeting” </w:t>
            </w:r>
            <w:r w:rsidRPr="00684732">
              <w:rPr>
                <w:i/>
                <w:iCs/>
                <w:color w:val="000000"/>
                <w:lang w:val="en-GB"/>
              </w:rPr>
              <w:t xml:space="preserve">The New York Times </w:t>
            </w:r>
            <w:r w:rsidRPr="00684732">
              <w:rPr>
                <w:iCs/>
                <w:color w:val="000000"/>
                <w:lang w:val="en-GB"/>
              </w:rPr>
              <w:t xml:space="preserve">(online </w:t>
            </w:r>
            <w:proofErr w:type="spellStart"/>
            <w:r w:rsidRPr="00684732">
              <w:rPr>
                <w:iCs/>
                <w:color w:val="000000"/>
                <w:lang w:val="en-GB"/>
              </w:rPr>
              <w:t>ed</w:t>
            </w:r>
            <w:proofErr w:type="spellEnd"/>
            <w:r w:rsidRPr="00684732">
              <w:rPr>
                <w:iCs/>
                <w:color w:val="000000"/>
                <w:lang w:val="en-GB"/>
              </w:rPr>
              <w:t>, 6 December 2016) (“</w:t>
            </w:r>
            <w:proofErr w:type="spellStart"/>
            <w:r w:rsidRPr="00684732">
              <w:rPr>
                <w:iCs/>
                <w:color w:val="000000"/>
                <w:lang w:val="en-GB"/>
              </w:rPr>
              <w:t>Streitfeld</w:t>
            </w:r>
            <w:proofErr w:type="spellEnd"/>
            <w:r w:rsidRPr="00684732">
              <w:rPr>
                <w:iCs/>
                <w:color w:val="000000"/>
                <w:lang w:val="en-GB"/>
              </w:rPr>
              <w:t xml:space="preserve"> (2016)”)</w:t>
            </w:r>
          </w:p>
        </w:tc>
        <w:tc>
          <w:tcPr>
            <w:tcW w:w="1275" w:type="dxa"/>
          </w:tcPr>
          <w:p w14:paraId="70910D38" w14:textId="182B91CE" w:rsidR="003B021E" w:rsidRDefault="00987272" w:rsidP="00661C8E">
            <w:pPr>
              <w:jc w:val="center"/>
            </w:pPr>
            <w:r>
              <w:t>30</w:t>
            </w:r>
          </w:p>
        </w:tc>
      </w:tr>
      <w:tr w:rsidR="003B021E" w14:paraId="294C036F" w14:textId="77777777" w:rsidTr="009371CB">
        <w:trPr>
          <w:trHeight w:val="109"/>
        </w:trPr>
        <w:tc>
          <w:tcPr>
            <w:tcW w:w="8364" w:type="dxa"/>
          </w:tcPr>
          <w:p w14:paraId="062C1218" w14:textId="6F589733" w:rsidR="003B021E" w:rsidRPr="003B021E" w:rsidRDefault="003B021E" w:rsidP="003B021E">
            <w:pPr>
              <w:spacing w:line="240" w:lineRule="auto"/>
              <w:ind w:left="567" w:hanging="567"/>
            </w:pPr>
            <w:r w:rsidRPr="003B021E">
              <w:lastRenderedPageBreak/>
              <w:t xml:space="preserve">Earth Negotiations Bulletin </w:t>
            </w:r>
            <w:r w:rsidRPr="003B021E">
              <w:rPr>
                <w:i/>
              </w:rPr>
              <w:t>CBD COP 10 Highlights: Wednesday, 20 October 2010</w:t>
            </w:r>
            <w:r w:rsidRPr="003B021E">
              <w:t xml:space="preserve"> Vol. 9 No. 537 International Institute for Sustainable Development </w:t>
            </w:r>
            <w:r w:rsidR="007E05F5">
              <w:t>(“</w:t>
            </w:r>
            <w:r w:rsidRPr="003B021E">
              <w:rPr>
                <w:i/>
              </w:rPr>
              <w:t>COP 10 Highlights: 20 October 2010</w:t>
            </w:r>
            <w:r w:rsidR="007E05F5" w:rsidRPr="00987272">
              <w:t>”)</w:t>
            </w:r>
            <w:r w:rsidRPr="003B021E">
              <w:t xml:space="preserve"> </w:t>
            </w:r>
          </w:p>
        </w:tc>
        <w:tc>
          <w:tcPr>
            <w:tcW w:w="1275" w:type="dxa"/>
          </w:tcPr>
          <w:p w14:paraId="63BEC9AE" w14:textId="58EFEACE" w:rsidR="003B021E" w:rsidRDefault="00987272" w:rsidP="00661C8E">
            <w:pPr>
              <w:jc w:val="center"/>
            </w:pPr>
            <w:r>
              <w:t>33, 52</w:t>
            </w:r>
          </w:p>
        </w:tc>
      </w:tr>
      <w:tr w:rsidR="003B021E" w14:paraId="21E877E9" w14:textId="77777777" w:rsidTr="009371CB">
        <w:trPr>
          <w:trHeight w:val="109"/>
        </w:trPr>
        <w:tc>
          <w:tcPr>
            <w:tcW w:w="8364" w:type="dxa"/>
          </w:tcPr>
          <w:p w14:paraId="4DF25D4F" w14:textId="0186E8FC" w:rsidR="003B021E" w:rsidRPr="003B021E" w:rsidRDefault="003B021E" w:rsidP="003B021E">
            <w:pPr>
              <w:spacing w:line="240" w:lineRule="auto"/>
              <w:ind w:left="567" w:hanging="567"/>
              <w:rPr>
                <w:bCs/>
              </w:rPr>
            </w:pPr>
            <w:r w:rsidRPr="003B021E">
              <w:t xml:space="preserve">EU Regulation </w:t>
            </w:r>
            <w:r w:rsidRPr="003B021E">
              <w:rPr>
                <w:bCs/>
              </w:rPr>
              <w:t>511/2014 on compliance measures for users from the Nagoya Protocol on Access to Genetic Resources and the Fair and Equitable Sharing of Benefits Arising from their Utilization in the Union</w:t>
            </w:r>
            <w:r w:rsidRPr="003B021E">
              <w:rPr>
                <w:b/>
                <w:bCs/>
              </w:rPr>
              <w:t xml:space="preserve"> </w:t>
            </w:r>
            <w:r w:rsidRPr="003B021E">
              <w:rPr>
                <w:bCs/>
              </w:rPr>
              <w:t xml:space="preserve">[2014] L150/59 </w:t>
            </w:r>
            <w:r w:rsidR="007E05F5">
              <w:rPr>
                <w:bCs/>
              </w:rPr>
              <w:t>(“</w:t>
            </w:r>
            <w:r w:rsidRPr="003B021E">
              <w:rPr>
                <w:bCs/>
              </w:rPr>
              <w:t xml:space="preserve">EU </w:t>
            </w:r>
            <w:r w:rsidRPr="003B021E">
              <w:t xml:space="preserve">Regulation </w:t>
            </w:r>
            <w:r w:rsidRPr="003B021E">
              <w:rPr>
                <w:bCs/>
              </w:rPr>
              <w:t>511/2014</w:t>
            </w:r>
            <w:r w:rsidR="007E05F5">
              <w:rPr>
                <w:bCs/>
              </w:rPr>
              <w:t>”)</w:t>
            </w:r>
          </w:p>
        </w:tc>
        <w:tc>
          <w:tcPr>
            <w:tcW w:w="1275" w:type="dxa"/>
          </w:tcPr>
          <w:p w14:paraId="65F277BD" w14:textId="73D023C3" w:rsidR="003B021E" w:rsidRDefault="00987272" w:rsidP="00661C8E">
            <w:pPr>
              <w:jc w:val="center"/>
            </w:pPr>
            <w:r>
              <w:t>52</w:t>
            </w:r>
          </w:p>
        </w:tc>
      </w:tr>
      <w:tr w:rsidR="003B021E" w14:paraId="231E1E05" w14:textId="77777777" w:rsidTr="009371CB">
        <w:trPr>
          <w:trHeight w:val="109"/>
        </w:trPr>
        <w:tc>
          <w:tcPr>
            <w:tcW w:w="8364" w:type="dxa"/>
          </w:tcPr>
          <w:p w14:paraId="0FD63883" w14:textId="74F48424" w:rsidR="003B021E" w:rsidRPr="003B021E" w:rsidRDefault="00B20A9A" w:rsidP="00B20A9A">
            <w:pPr>
              <w:spacing w:line="240" w:lineRule="auto"/>
              <w:ind w:left="567" w:hanging="567"/>
            </w:pPr>
            <w:r>
              <w:t>Brazil, Law 13</w:t>
            </w:r>
            <w:r w:rsidR="00B96701">
              <w:t>.</w:t>
            </w:r>
            <w:r>
              <w:t>123 of 20 May 2015 (</w:t>
            </w:r>
            <w:r w:rsidR="00BF646E">
              <w:t>accessed via:</w:t>
            </w:r>
            <w:r>
              <w:t xml:space="preserve"> &lt;www.</w:t>
            </w:r>
            <w:r w:rsidRPr="00B20A9A">
              <w:rPr>
                <w:rFonts w:eastAsia="Times New Roman"/>
              </w:rPr>
              <w:t xml:space="preserve"> </w:t>
            </w:r>
            <w:r w:rsidRPr="00B20A9A">
              <w:t>planalto.gov.br</w:t>
            </w:r>
            <w:r>
              <w:t>&gt;)</w:t>
            </w:r>
            <w:r w:rsidR="00B96701">
              <w:t xml:space="preserve"> (“Brazil: Law 13.123”)</w:t>
            </w:r>
          </w:p>
        </w:tc>
        <w:tc>
          <w:tcPr>
            <w:tcW w:w="1275" w:type="dxa"/>
          </w:tcPr>
          <w:p w14:paraId="2842BB74" w14:textId="0ECE3B4E" w:rsidR="003B021E" w:rsidRDefault="00987272" w:rsidP="00661C8E">
            <w:pPr>
              <w:jc w:val="center"/>
            </w:pPr>
            <w:r>
              <w:t>51</w:t>
            </w:r>
          </w:p>
        </w:tc>
      </w:tr>
      <w:tr w:rsidR="003B021E" w14:paraId="48125009" w14:textId="77777777" w:rsidTr="009371CB">
        <w:trPr>
          <w:trHeight w:val="109"/>
        </w:trPr>
        <w:tc>
          <w:tcPr>
            <w:tcW w:w="8364" w:type="dxa"/>
          </w:tcPr>
          <w:p w14:paraId="596ED7C7" w14:textId="0934FC64" w:rsidR="003B021E" w:rsidRPr="00063103" w:rsidRDefault="003B021E" w:rsidP="00065B71">
            <w:pPr>
              <w:spacing w:line="240" w:lineRule="auto"/>
              <w:ind w:left="567" w:hanging="567"/>
              <w:rPr>
                <w:lang w:val="en-AU"/>
              </w:rPr>
            </w:pPr>
            <w:r w:rsidRPr="00684732">
              <w:rPr>
                <w:iCs/>
                <w:color w:val="000000"/>
                <w:lang w:val="en-GB"/>
              </w:rPr>
              <w:t xml:space="preserve">Hubert </w:t>
            </w:r>
            <w:proofErr w:type="spellStart"/>
            <w:r w:rsidRPr="00684732">
              <w:rPr>
                <w:iCs/>
                <w:color w:val="000000"/>
                <w:lang w:val="en-GB"/>
              </w:rPr>
              <w:t>Gude</w:t>
            </w:r>
            <w:proofErr w:type="spellEnd"/>
            <w:r w:rsidRPr="00684732">
              <w:rPr>
                <w:iCs/>
                <w:color w:val="000000"/>
                <w:lang w:val="en-GB"/>
              </w:rPr>
              <w:t xml:space="preserve"> and others “The German Government’s Role in the VW Scandal” </w:t>
            </w:r>
            <w:r w:rsidRPr="00684732">
              <w:rPr>
                <w:i/>
                <w:iCs/>
                <w:color w:val="000000"/>
                <w:lang w:val="en-GB"/>
              </w:rPr>
              <w:t>Spiegel</w:t>
            </w:r>
            <w:r w:rsidRPr="00684732">
              <w:rPr>
                <w:iCs/>
                <w:color w:val="000000"/>
                <w:lang w:val="en-GB"/>
              </w:rPr>
              <w:t xml:space="preserve"> (online </w:t>
            </w:r>
            <w:proofErr w:type="spellStart"/>
            <w:r w:rsidRPr="00684732">
              <w:rPr>
                <w:iCs/>
                <w:color w:val="000000"/>
                <w:lang w:val="en-GB"/>
              </w:rPr>
              <w:t>ed</w:t>
            </w:r>
            <w:proofErr w:type="spellEnd"/>
            <w:r w:rsidRPr="00684732">
              <w:rPr>
                <w:iCs/>
                <w:color w:val="000000"/>
                <w:lang w:val="en-GB"/>
              </w:rPr>
              <w:t>, 6 November 2015) (“</w:t>
            </w:r>
            <w:proofErr w:type="spellStart"/>
            <w:r w:rsidRPr="00684732">
              <w:rPr>
                <w:iCs/>
                <w:color w:val="000000"/>
                <w:lang w:val="en-GB"/>
              </w:rPr>
              <w:t>Gude</w:t>
            </w:r>
            <w:proofErr w:type="spellEnd"/>
            <w:r w:rsidRPr="00684732">
              <w:rPr>
                <w:iCs/>
                <w:color w:val="000000"/>
                <w:lang w:val="en-GB"/>
              </w:rPr>
              <w:t xml:space="preserve"> and others (2015)”)</w:t>
            </w:r>
          </w:p>
        </w:tc>
        <w:tc>
          <w:tcPr>
            <w:tcW w:w="1275" w:type="dxa"/>
          </w:tcPr>
          <w:p w14:paraId="0C58DC91" w14:textId="7F911A9F" w:rsidR="003B021E" w:rsidRDefault="00987272" w:rsidP="00661C8E">
            <w:pPr>
              <w:jc w:val="center"/>
            </w:pPr>
            <w:r>
              <w:t>30</w:t>
            </w:r>
          </w:p>
        </w:tc>
      </w:tr>
      <w:tr w:rsidR="003B021E" w14:paraId="09475A59" w14:textId="77777777" w:rsidTr="009371CB">
        <w:trPr>
          <w:trHeight w:val="109"/>
        </w:trPr>
        <w:tc>
          <w:tcPr>
            <w:tcW w:w="8364" w:type="dxa"/>
          </w:tcPr>
          <w:p w14:paraId="5B241230" w14:textId="60BF3E24" w:rsidR="003B021E" w:rsidRPr="003B021E" w:rsidRDefault="003B021E" w:rsidP="003B021E">
            <w:pPr>
              <w:spacing w:line="240" w:lineRule="auto"/>
              <w:ind w:left="567" w:hanging="567"/>
            </w:pPr>
            <w:r w:rsidRPr="003B021E">
              <w:t xml:space="preserve">Intergovernmental Committee on Intellectual Property and Genetic Resources, Traditional Knowledge and Folklore </w:t>
            </w:r>
            <w:r w:rsidRPr="003B021E">
              <w:rPr>
                <w:i/>
              </w:rPr>
              <w:t xml:space="preserve">Like-Minded Countries Contribution to the Objectives and Principles on the Protection of Genetic Resources and Preliminary Draft Articles on the Protection Of Genetic Resources </w:t>
            </w:r>
            <w:r w:rsidRPr="003B021E">
              <w:t xml:space="preserve">WIPO/GRTKF/IC/19/11 (2011) </w:t>
            </w:r>
            <w:r w:rsidR="007E05F5">
              <w:t>(“</w:t>
            </w:r>
            <w:r w:rsidRPr="003B021E">
              <w:rPr>
                <w:i/>
              </w:rPr>
              <w:t>Like-Minded Countries Draft Articles on the Protection of Genetic Resources</w:t>
            </w:r>
            <w:r w:rsidR="007E05F5" w:rsidRPr="00987272">
              <w:t>”)</w:t>
            </w:r>
          </w:p>
        </w:tc>
        <w:tc>
          <w:tcPr>
            <w:tcW w:w="1275" w:type="dxa"/>
          </w:tcPr>
          <w:p w14:paraId="11DA9308" w14:textId="7523FDAF" w:rsidR="003B021E" w:rsidRDefault="00987272" w:rsidP="00661C8E">
            <w:pPr>
              <w:jc w:val="center"/>
            </w:pPr>
            <w:r>
              <w:t>50</w:t>
            </w:r>
          </w:p>
        </w:tc>
      </w:tr>
      <w:tr w:rsidR="003B021E" w14:paraId="69DF7B6D" w14:textId="77777777" w:rsidTr="009371CB">
        <w:trPr>
          <w:trHeight w:val="109"/>
        </w:trPr>
        <w:tc>
          <w:tcPr>
            <w:tcW w:w="8364" w:type="dxa"/>
          </w:tcPr>
          <w:p w14:paraId="6B9E749D" w14:textId="117A6FEC" w:rsidR="003B021E" w:rsidRPr="003B021E" w:rsidRDefault="003B021E" w:rsidP="003B021E">
            <w:pPr>
              <w:spacing w:line="240" w:lineRule="auto"/>
              <w:ind w:left="567" w:hanging="567"/>
            </w:pPr>
            <w:r w:rsidRPr="003B021E">
              <w:t xml:space="preserve">International Federation of Pharmaceutical Manufacturers &amp; Associations </w:t>
            </w:r>
            <w:r w:rsidRPr="003B021E">
              <w:rPr>
                <w:bCs/>
                <w:i/>
              </w:rPr>
              <w:t>Guidelines for IFPMA Members on Access to Genetic Resources and Equitable Sharing of Benefits Arising out of their Utilization</w:t>
            </w:r>
            <w:r w:rsidRPr="003B021E">
              <w:rPr>
                <w:b/>
                <w:bCs/>
              </w:rPr>
              <w:t xml:space="preserve"> </w:t>
            </w:r>
            <w:r w:rsidR="007E05F5">
              <w:rPr>
                <w:bCs/>
              </w:rPr>
              <w:t>(“</w:t>
            </w:r>
            <w:r w:rsidRPr="003B021E">
              <w:rPr>
                <w:bCs/>
              </w:rPr>
              <w:t>IFPMA Guidelines</w:t>
            </w:r>
            <w:r w:rsidR="007E05F5">
              <w:rPr>
                <w:bCs/>
              </w:rPr>
              <w:t>”)</w:t>
            </w:r>
          </w:p>
        </w:tc>
        <w:tc>
          <w:tcPr>
            <w:tcW w:w="1275" w:type="dxa"/>
          </w:tcPr>
          <w:p w14:paraId="38ECA76B" w14:textId="6A722CAA" w:rsidR="003B021E" w:rsidRDefault="00987272" w:rsidP="00661C8E">
            <w:pPr>
              <w:jc w:val="center"/>
            </w:pPr>
            <w:r>
              <w:t>51</w:t>
            </w:r>
          </w:p>
        </w:tc>
      </w:tr>
      <w:tr w:rsidR="003B021E" w14:paraId="04D0EFAC" w14:textId="77777777" w:rsidTr="009371CB">
        <w:trPr>
          <w:trHeight w:val="109"/>
        </w:trPr>
        <w:tc>
          <w:tcPr>
            <w:tcW w:w="8364" w:type="dxa"/>
          </w:tcPr>
          <w:p w14:paraId="54ED7032" w14:textId="28283597" w:rsidR="003B021E" w:rsidRPr="00063103" w:rsidRDefault="003B021E" w:rsidP="00065B71">
            <w:pPr>
              <w:spacing w:line="240" w:lineRule="auto"/>
              <w:ind w:left="567" w:hanging="567"/>
              <w:rPr>
                <w:lang w:val="en-AU"/>
              </w:rPr>
            </w:pPr>
            <w:r w:rsidRPr="00684732">
              <w:rPr>
                <w:iCs/>
                <w:color w:val="000000"/>
                <w:lang w:val="en-GB"/>
              </w:rPr>
              <w:t xml:space="preserve">International Law Association </w:t>
            </w:r>
            <w:r w:rsidRPr="00684732">
              <w:rPr>
                <w:i/>
                <w:iCs/>
                <w:color w:val="000000"/>
                <w:lang w:val="en-GB"/>
              </w:rPr>
              <w:t>Study Group on Due Diligence in International Law: First Report</w:t>
            </w:r>
            <w:r w:rsidRPr="00684732">
              <w:rPr>
                <w:iCs/>
                <w:color w:val="000000"/>
                <w:lang w:val="en-GB"/>
              </w:rPr>
              <w:t xml:space="preserve"> (2014) 76 Int'l L </w:t>
            </w:r>
            <w:proofErr w:type="spellStart"/>
            <w:r w:rsidRPr="00684732">
              <w:rPr>
                <w:iCs/>
                <w:color w:val="000000"/>
                <w:lang w:val="en-GB"/>
              </w:rPr>
              <w:t>Ass’n</w:t>
            </w:r>
            <w:proofErr w:type="spellEnd"/>
            <w:r w:rsidRPr="00684732">
              <w:rPr>
                <w:iCs/>
                <w:color w:val="000000"/>
                <w:lang w:val="en-GB"/>
              </w:rPr>
              <w:t xml:space="preserve"> Rep </w:t>
            </w:r>
            <w:proofErr w:type="spellStart"/>
            <w:r w:rsidRPr="00684732">
              <w:rPr>
                <w:iCs/>
                <w:color w:val="000000"/>
                <w:lang w:val="en-GB"/>
              </w:rPr>
              <w:t>Conf</w:t>
            </w:r>
            <w:proofErr w:type="spellEnd"/>
            <w:r w:rsidRPr="00684732">
              <w:rPr>
                <w:iCs/>
                <w:color w:val="000000"/>
                <w:lang w:val="en-GB"/>
              </w:rPr>
              <w:t xml:space="preserve"> 947 (“</w:t>
            </w:r>
            <w:r w:rsidRPr="00684732">
              <w:rPr>
                <w:i/>
                <w:iCs/>
                <w:color w:val="000000"/>
                <w:lang w:val="en-GB"/>
              </w:rPr>
              <w:t>ILA Study Group</w:t>
            </w:r>
            <w:r w:rsidRPr="00684732">
              <w:rPr>
                <w:iCs/>
                <w:color w:val="000000"/>
                <w:lang w:val="en-GB"/>
              </w:rPr>
              <w:t>”)</w:t>
            </w:r>
          </w:p>
        </w:tc>
        <w:tc>
          <w:tcPr>
            <w:tcW w:w="1275" w:type="dxa"/>
          </w:tcPr>
          <w:p w14:paraId="33F62407" w14:textId="50D7666D" w:rsidR="003B021E" w:rsidRDefault="00987272" w:rsidP="00661C8E">
            <w:pPr>
              <w:jc w:val="center"/>
            </w:pPr>
            <w:r>
              <w:t>31, 38</w:t>
            </w:r>
          </w:p>
        </w:tc>
      </w:tr>
      <w:tr w:rsidR="003B021E" w14:paraId="5BFDC5BA" w14:textId="77777777" w:rsidTr="009371CB">
        <w:trPr>
          <w:trHeight w:val="109"/>
        </w:trPr>
        <w:tc>
          <w:tcPr>
            <w:tcW w:w="8364" w:type="dxa"/>
          </w:tcPr>
          <w:p w14:paraId="1D15D8F1" w14:textId="06075D54" w:rsidR="003B021E" w:rsidRPr="003B021E" w:rsidRDefault="003B021E" w:rsidP="003B021E">
            <w:pPr>
              <w:spacing w:line="240" w:lineRule="auto"/>
              <w:ind w:left="567" w:hanging="567"/>
            </w:pPr>
            <w:r w:rsidRPr="003B021E">
              <w:t xml:space="preserve">International </w:t>
            </w:r>
            <w:r w:rsidR="00BF646E">
              <w:t>Labour</w:t>
            </w:r>
            <w:r w:rsidRPr="003B021E">
              <w:t xml:space="preserve"> </w:t>
            </w:r>
            <w:r w:rsidR="00BF646E">
              <w:t>Organization</w:t>
            </w:r>
            <w:r w:rsidRPr="003B021E">
              <w:t xml:space="preserve"> </w:t>
            </w:r>
            <w:r w:rsidRPr="003B021E">
              <w:rPr>
                <w:i/>
              </w:rPr>
              <w:t xml:space="preserve">Indigenous and Tribal Peoples’ Rights in Practice: A Guide to ILO Convention No. 169 </w:t>
            </w:r>
            <w:r w:rsidRPr="003B021E">
              <w:t xml:space="preserve">(2009) </w:t>
            </w:r>
            <w:r w:rsidR="00BF646E">
              <w:t>(“</w:t>
            </w:r>
            <w:r w:rsidR="00BF646E">
              <w:rPr>
                <w:i/>
              </w:rPr>
              <w:t>ILO Convention No. 169 Guide</w:t>
            </w:r>
            <w:r w:rsidR="007E05F5">
              <w:t>”)</w:t>
            </w:r>
          </w:p>
        </w:tc>
        <w:tc>
          <w:tcPr>
            <w:tcW w:w="1275" w:type="dxa"/>
          </w:tcPr>
          <w:p w14:paraId="6A305A1C" w14:textId="41BA138B" w:rsidR="003B021E" w:rsidRDefault="00987272" w:rsidP="00661C8E">
            <w:pPr>
              <w:jc w:val="center"/>
            </w:pPr>
            <w:r>
              <w:t>47</w:t>
            </w:r>
          </w:p>
        </w:tc>
      </w:tr>
      <w:tr w:rsidR="00D9435D" w14:paraId="7598A866" w14:textId="77777777" w:rsidTr="009371CB">
        <w:trPr>
          <w:trHeight w:val="109"/>
        </w:trPr>
        <w:tc>
          <w:tcPr>
            <w:tcW w:w="8364" w:type="dxa"/>
          </w:tcPr>
          <w:p w14:paraId="575650E4" w14:textId="16A031A7" w:rsidR="00D9435D" w:rsidRPr="003B021E" w:rsidRDefault="00D9435D" w:rsidP="00D9435D">
            <w:pPr>
              <w:spacing w:line="240" w:lineRule="auto"/>
              <w:ind w:left="567" w:hanging="567"/>
            </w:pPr>
            <w:r w:rsidRPr="00D9435D">
              <w:t xml:space="preserve">The Limburg Principles on the Implementation of the International Covenant on Economic, Social and Cultural Rights adopted in Maastricht on 2-6 June 1986 </w:t>
            </w:r>
            <w:r w:rsidR="007E05F5">
              <w:t>(“</w:t>
            </w:r>
            <w:r w:rsidRPr="00932650">
              <w:t>Limburg Principles</w:t>
            </w:r>
            <w:r w:rsidR="007E05F5">
              <w:t>”)</w:t>
            </w:r>
          </w:p>
        </w:tc>
        <w:tc>
          <w:tcPr>
            <w:tcW w:w="1275" w:type="dxa"/>
          </w:tcPr>
          <w:p w14:paraId="256A2EF8" w14:textId="44349D94" w:rsidR="00D9435D" w:rsidRDefault="00987272" w:rsidP="00661C8E">
            <w:pPr>
              <w:jc w:val="center"/>
            </w:pPr>
            <w:r>
              <w:t>46</w:t>
            </w:r>
          </w:p>
        </w:tc>
      </w:tr>
      <w:tr w:rsidR="003B021E" w14:paraId="72C18E8A" w14:textId="77777777" w:rsidTr="009371CB">
        <w:tc>
          <w:tcPr>
            <w:tcW w:w="8364" w:type="dxa"/>
          </w:tcPr>
          <w:p w14:paraId="31975D71" w14:textId="2AC90BEC" w:rsidR="003B021E" w:rsidRPr="003B021E" w:rsidRDefault="003B021E" w:rsidP="003B021E">
            <w:pPr>
              <w:spacing w:line="240" w:lineRule="auto"/>
              <w:ind w:left="567" w:hanging="567"/>
              <w:rPr>
                <w:bCs/>
              </w:rPr>
            </w:pPr>
            <w:r w:rsidRPr="003B021E">
              <w:rPr>
                <w:bCs/>
              </w:rPr>
              <w:t xml:space="preserve">Maastricht Guidelines on Violations of Economic, Social and Cultural Rights  </w:t>
            </w:r>
            <w:r>
              <w:rPr>
                <w:bCs/>
              </w:rPr>
              <w:t>(</w:t>
            </w:r>
            <w:r w:rsidRPr="003B021E">
              <w:rPr>
                <w:bCs/>
              </w:rPr>
              <w:t>1997</w:t>
            </w:r>
            <w:r>
              <w:rPr>
                <w:bCs/>
              </w:rPr>
              <w:t>)</w:t>
            </w:r>
            <w:r w:rsidRPr="003B021E">
              <w:rPr>
                <w:bCs/>
              </w:rPr>
              <w:t xml:space="preserve"> </w:t>
            </w:r>
            <w:r w:rsidR="007E05F5">
              <w:rPr>
                <w:bCs/>
              </w:rPr>
              <w:t>(“</w:t>
            </w:r>
            <w:r w:rsidRPr="003B021E">
              <w:rPr>
                <w:bCs/>
              </w:rPr>
              <w:t>Maastricht Guidelines</w:t>
            </w:r>
            <w:r w:rsidR="007E05F5">
              <w:rPr>
                <w:bCs/>
              </w:rPr>
              <w:t>”)</w:t>
            </w:r>
          </w:p>
        </w:tc>
        <w:tc>
          <w:tcPr>
            <w:tcW w:w="1275" w:type="dxa"/>
          </w:tcPr>
          <w:p w14:paraId="16E88EF8" w14:textId="68C248B1" w:rsidR="003B021E" w:rsidRDefault="00987272" w:rsidP="00661C8E">
            <w:pPr>
              <w:jc w:val="center"/>
            </w:pPr>
            <w:r>
              <w:t>45</w:t>
            </w:r>
          </w:p>
        </w:tc>
      </w:tr>
      <w:tr w:rsidR="003B021E" w14:paraId="72EB1630" w14:textId="77777777" w:rsidTr="009371CB">
        <w:trPr>
          <w:trHeight w:val="109"/>
        </w:trPr>
        <w:tc>
          <w:tcPr>
            <w:tcW w:w="8364" w:type="dxa"/>
          </w:tcPr>
          <w:p w14:paraId="06864B28" w14:textId="1CE6673D" w:rsidR="003B021E" w:rsidRPr="00063103" w:rsidRDefault="003B021E" w:rsidP="00065B71">
            <w:pPr>
              <w:spacing w:line="240" w:lineRule="auto"/>
              <w:ind w:left="567" w:hanging="567"/>
              <w:rPr>
                <w:lang w:val="en-AU"/>
              </w:rPr>
            </w:pPr>
            <w:r w:rsidRPr="00684732">
              <w:rPr>
                <w:iCs/>
                <w:color w:val="000000"/>
                <w:lang w:val="en-GB"/>
              </w:rPr>
              <w:t>Maastricht Principles on Extraterritorial Obligations of States in the Area of Economic, Social and Cultural Rights (2013) (“Maastricht Principles”)</w:t>
            </w:r>
          </w:p>
        </w:tc>
        <w:tc>
          <w:tcPr>
            <w:tcW w:w="1275" w:type="dxa"/>
          </w:tcPr>
          <w:p w14:paraId="68FDFD4B" w14:textId="5894F180" w:rsidR="003B021E" w:rsidRDefault="00987272" w:rsidP="00661C8E">
            <w:pPr>
              <w:jc w:val="center"/>
            </w:pPr>
            <w:r>
              <w:t>32</w:t>
            </w:r>
          </w:p>
        </w:tc>
      </w:tr>
      <w:tr w:rsidR="003B021E" w14:paraId="43D02F54" w14:textId="77777777" w:rsidTr="009371CB">
        <w:trPr>
          <w:trHeight w:val="109"/>
        </w:trPr>
        <w:tc>
          <w:tcPr>
            <w:tcW w:w="8364" w:type="dxa"/>
          </w:tcPr>
          <w:p w14:paraId="2E96D268" w14:textId="37E71B11" w:rsidR="003B021E" w:rsidRPr="00063103" w:rsidRDefault="003B021E" w:rsidP="00065B71">
            <w:pPr>
              <w:spacing w:line="240" w:lineRule="auto"/>
              <w:ind w:left="567" w:hanging="567"/>
              <w:rPr>
                <w:lang w:val="en-AU"/>
              </w:rPr>
            </w:pPr>
            <w:proofErr w:type="spellStart"/>
            <w:r w:rsidRPr="003B021E">
              <w:rPr>
                <w:iCs/>
                <w:lang w:val="en-GB"/>
              </w:rPr>
              <w:t>Marte</w:t>
            </w:r>
            <w:proofErr w:type="spellEnd"/>
            <w:r w:rsidRPr="003B021E">
              <w:rPr>
                <w:iCs/>
                <w:lang w:val="en-GB"/>
              </w:rPr>
              <w:t xml:space="preserve"> </w:t>
            </w:r>
            <w:proofErr w:type="spellStart"/>
            <w:r w:rsidRPr="003B021E">
              <w:rPr>
                <w:iCs/>
                <w:lang w:val="en-GB"/>
              </w:rPr>
              <w:t>Jervan</w:t>
            </w:r>
            <w:proofErr w:type="spellEnd"/>
            <w:r w:rsidRPr="003B021E">
              <w:rPr>
                <w:iCs/>
                <w:lang w:val="en-GB"/>
              </w:rPr>
              <w:t xml:space="preserve"> </w:t>
            </w:r>
            <w:r w:rsidRPr="003B021E">
              <w:rPr>
                <w:i/>
                <w:iCs/>
                <w:lang w:val="en-GB"/>
              </w:rPr>
              <w:t>The Prohibition of Transboundary Environmental Harm: An Analysis of the Contribution of the International Court of Justice to the Development of the No-Harm Rule</w:t>
            </w:r>
            <w:r w:rsidRPr="003B021E">
              <w:rPr>
                <w:iCs/>
                <w:lang w:val="en-GB"/>
              </w:rPr>
              <w:t xml:space="preserve"> (2014) </w:t>
            </w:r>
            <w:proofErr w:type="spellStart"/>
            <w:r w:rsidRPr="003B021E">
              <w:rPr>
                <w:iCs/>
                <w:lang w:val="en-GB"/>
              </w:rPr>
              <w:t>PluriCourts</w:t>
            </w:r>
            <w:proofErr w:type="spellEnd"/>
            <w:r w:rsidRPr="003B021E">
              <w:rPr>
                <w:iCs/>
                <w:lang w:val="en-GB"/>
              </w:rPr>
              <w:t xml:space="preserve"> Research Paper No 14-17 (“</w:t>
            </w:r>
            <w:proofErr w:type="spellStart"/>
            <w:r w:rsidRPr="003B021E">
              <w:rPr>
                <w:iCs/>
                <w:lang w:val="en-GB"/>
              </w:rPr>
              <w:t>Jervan</w:t>
            </w:r>
            <w:proofErr w:type="spellEnd"/>
            <w:r w:rsidRPr="003B021E">
              <w:rPr>
                <w:iCs/>
                <w:lang w:val="en-GB"/>
              </w:rPr>
              <w:t xml:space="preserve"> (2014)”)</w:t>
            </w:r>
          </w:p>
        </w:tc>
        <w:tc>
          <w:tcPr>
            <w:tcW w:w="1275" w:type="dxa"/>
          </w:tcPr>
          <w:p w14:paraId="6B129AF9" w14:textId="676E996E" w:rsidR="003B021E" w:rsidRDefault="00987272" w:rsidP="00661C8E">
            <w:pPr>
              <w:jc w:val="center"/>
            </w:pPr>
            <w:r>
              <w:t>39</w:t>
            </w:r>
          </w:p>
        </w:tc>
      </w:tr>
      <w:tr w:rsidR="003B021E" w14:paraId="78CB3FCE" w14:textId="77777777" w:rsidTr="009371CB">
        <w:trPr>
          <w:trHeight w:val="109"/>
        </w:trPr>
        <w:tc>
          <w:tcPr>
            <w:tcW w:w="8364" w:type="dxa"/>
          </w:tcPr>
          <w:p w14:paraId="25E315F8" w14:textId="5B511386" w:rsidR="003B021E" w:rsidRPr="003B021E" w:rsidRDefault="003B021E" w:rsidP="003B021E">
            <w:pPr>
              <w:spacing w:line="240" w:lineRule="auto"/>
              <w:ind w:left="567" w:hanging="567"/>
              <w:rPr>
                <w:i/>
              </w:rPr>
            </w:pPr>
            <w:r w:rsidRPr="003B021E">
              <w:rPr>
                <w:bCs/>
              </w:rPr>
              <w:t xml:space="preserve">Norway Nature Diversity Act (Act No. 100 of June 19, 2009 relating to the Management of Biological, Geological and Landscape Diversity) </w:t>
            </w:r>
            <w:r w:rsidR="007E05F5">
              <w:rPr>
                <w:bCs/>
              </w:rPr>
              <w:t>(“</w:t>
            </w:r>
            <w:r w:rsidRPr="003B021E">
              <w:rPr>
                <w:bCs/>
              </w:rPr>
              <w:t>Norway Nature Diversity Act</w:t>
            </w:r>
            <w:r w:rsidR="007E05F5">
              <w:rPr>
                <w:bCs/>
              </w:rPr>
              <w:t>”)</w:t>
            </w:r>
          </w:p>
        </w:tc>
        <w:tc>
          <w:tcPr>
            <w:tcW w:w="1275" w:type="dxa"/>
          </w:tcPr>
          <w:p w14:paraId="13CE9F8A" w14:textId="312F1064" w:rsidR="003B021E" w:rsidRDefault="00987272" w:rsidP="00661C8E">
            <w:pPr>
              <w:jc w:val="center"/>
            </w:pPr>
            <w:r>
              <w:t>52</w:t>
            </w:r>
          </w:p>
        </w:tc>
      </w:tr>
      <w:tr w:rsidR="003B021E" w14:paraId="38AA5963" w14:textId="77777777" w:rsidTr="009371CB">
        <w:trPr>
          <w:trHeight w:val="109"/>
        </w:trPr>
        <w:tc>
          <w:tcPr>
            <w:tcW w:w="8364" w:type="dxa"/>
          </w:tcPr>
          <w:p w14:paraId="330F164E" w14:textId="17B1F79B" w:rsidR="003B021E" w:rsidRPr="003B021E" w:rsidRDefault="003B021E" w:rsidP="003B021E">
            <w:pPr>
              <w:spacing w:line="240" w:lineRule="auto"/>
              <w:ind w:left="567" w:hanging="567"/>
            </w:pPr>
            <w:r w:rsidRPr="003B021E">
              <w:lastRenderedPageBreak/>
              <w:t xml:space="preserve">Organization of African Unity </w:t>
            </w:r>
            <w:r w:rsidRPr="003B021E">
              <w:rPr>
                <w:i/>
              </w:rPr>
              <w:t xml:space="preserve">African Model Legislation for the Protection of The Rights of Local Communities, Farmers And Breeders, and for the Regulation of Access to Biological Resources </w:t>
            </w:r>
            <w:r w:rsidRPr="003B021E">
              <w:t xml:space="preserve">(2000) </w:t>
            </w:r>
            <w:r w:rsidR="007E05F5">
              <w:t>(“</w:t>
            </w:r>
            <w:r w:rsidRPr="003B021E">
              <w:t>OAU Model Law</w:t>
            </w:r>
            <w:r w:rsidR="007E05F5">
              <w:t>”)</w:t>
            </w:r>
          </w:p>
        </w:tc>
        <w:tc>
          <w:tcPr>
            <w:tcW w:w="1275" w:type="dxa"/>
          </w:tcPr>
          <w:p w14:paraId="64D774D7" w14:textId="69338E0D" w:rsidR="003B021E" w:rsidRDefault="00987272" w:rsidP="00661C8E">
            <w:pPr>
              <w:jc w:val="center"/>
            </w:pPr>
            <w:r>
              <w:t>51</w:t>
            </w:r>
          </w:p>
        </w:tc>
      </w:tr>
      <w:tr w:rsidR="003B021E" w14:paraId="71A708D5" w14:textId="77777777" w:rsidTr="009371CB">
        <w:trPr>
          <w:trHeight w:val="109"/>
        </w:trPr>
        <w:tc>
          <w:tcPr>
            <w:tcW w:w="8364" w:type="dxa"/>
          </w:tcPr>
          <w:p w14:paraId="3FA293C6" w14:textId="1E96457D" w:rsidR="003B021E" w:rsidRPr="003B021E" w:rsidRDefault="003B021E" w:rsidP="003B021E">
            <w:pPr>
              <w:spacing w:line="240" w:lineRule="auto"/>
              <w:ind w:left="567" w:hanging="567"/>
            </w:pPr>
            <w:r w:rsidRPr="003B021E">
              <w:rPr>
                <w:i/>
              </w:rPr>
              <w:t>Partial revision of the Indigenous and Tribal Populations Convention, 1957 (No. 107)</w:t>
            </w:r>
            <w:r w:rsidRPr="003B021E">
              <w:t xml:space="preserve"> </w:t>
            </w:r>
            <w:r w:rsidRPr="0038694C">
              <w:t xml:space="preserve">International Labour Office, </w:t>
            </w:r>
            <w:r w:rsidRPr="00987272">
              <w:rPr>
                <w:i/>
              </w:rPr>
              <w:t xml:space="preserve">75th </w:t>
            </w:r>
            <w:r w:rsidRPr="003B021E">
              <w:rPr>
                <w:i/>
              </w:rPr>
              <w:t>Session</w:t>
            </w:r>
            <w:r w:rsidRPr="003B021E">
              <w:t xml:space="preserve"> Report VI(1)</w:t>
            </w:r>
            <w:r w:rsidR="0038694C" w:rsidRPr="003B021E">
              <w:t xml:space="preserve"> (1988) </w:t>
            </w:r>
            <w:r w:rsidRPr="003B021E">
              <w:t xml:space="preserve"> </w:t>
            </w:r>
            <w:r w:rsidR="007E05F5">
              <w:t>(“</w:t>
            </w:r>
            <w:r w:rsidRPr="003B021E">
              <w:rPr>
                <w:i/>
              </w:rPr>
              <w:t>Revision of ILO Convention No. 107</w:t>
            </w:r>
            <w:r w:rsidR="007E05F5">
              <w:t>”)</w:t>
            </w:r>
          </w:p>
        </w:tc>
        <w:tc>
          <w:tcPr>
            <w:tcW w:w="1275" w:type="dxa"/>
          </w:tcPr>
          <w:p w14:paraId="5B0BE041" w14:textId="69C103BA" w:rsidR="003B021E" w:rsidRDefault="00987272" w:rsidP="00661C8E">
            <w:pPr>
              <w:jc w:val="center"/>
            </w:pPr>
            <w:r>
              <w:t>47</w:t>
            </w:r>
          </w:p>
        </w:tc>
      </w:tr>
      <w:tr w:rsidR="003B021E" w14:paraId="06A28BA7" w14:textId="77777777" w:rsidTr="009371CB">
        <w:trPr>
          <w:trHeight w:val="109"/>
        </w:trPr>
        <w:tc>
          <w:tcPr>
            <w:tcW w:w="8364" w:type="dxa"/>
          </w:tcPr>
          <w:p w14:paraId="19492058" w14:textId="0AA2A6BD" w:rsidR="003B021E" w:rsidRPr="00D9435D" w:rsidRDefault="00D9435D" w:rsidP="00D9435D">
            <w:pPr>
              <w:spacing w:line="240" w:lineRule="auto"/>
              <w:ind w:left="567" w:hanging="567"/>
              <w:rPr>
                <w:iCs/>
                <w:lang w:val="en-GB"/>
              </w:rPr>
            </w:pPr>
            <w:r w:rsidRPr="00D9435D">
              <w:rPr>
                <w:iCs/>
                <w:lang w:val="en-GB"/>
              </w:rPr>
              <w:t xml:space="preserve">Phil Pennington “NZ Constructions Woes Just Beginning — UK Expert” Radio New Zealand (online </w:t>
            </w:r>
            <w:proofErr w:type="spellStart"/>
            <w:r w:rsidRPr="00D9435D">
              <w:rPr>
                <w:iCs/>
                <w:lang w:val="en-GB"/>
              </w:rPr>
              <w:t>ed</w:t>
            </w:r>
            <w:proofErr w:type="spellEnd"/>
            <w:r w:rsidRPr="00D9435D">
              <w:rPr>
                <w:iCs/>
                <w:lang w:val="en-GB"/>
              </w:rPr>
              <w:t>, 7 March 2018) (“Pennington (2018)”)</w:t>
            </w:r>
          </w:p>
        </w:tc>
        <w:tc>
          <w:tcPr>
            <w:tcW w:w="1275" w:type="dxa"/>
          </w:tcPr>
          <w:p w14:paraId="256AA0AB" w14:textId="73A41692" w:rsidR="003B021E" w:rsidRDefault="00987272" w:rsidP="00661C8E">
            <w:pPr>
              <w:jc w:val="center"/>
            </w:pPr>
            <w:r>
              <w:t>30</w:t>
            </w:r>
          </w:p>
        </w:tc>
      </w:tr>
      <w:tr w:rsidR="003B021E" w14:paraId="08669D15" w14:textId="77777777" w:rsidTr="009371CB">
        <w:trPr>
          <w:trHeight w:val="109"/>
        </w:trPr>
        <w:tc>
          <w:tcPr>
            <w:tcW w:w="8364" w:type="dxa"/>
          </w:tcPr>
          <w:p w14:paraId="74258A0E" w14:textId="3696EF32" w:rsidR="003B021E" w:rsidRPr="00D9435D" w:rsidRDefault="00D9435D" w:rsidP="00D9435D">
            <w:pPr>
              <w:spacing w:line="240" w:lineRule="auto"/>
              <w:ind w:left="567" w:hanging="567"/>
            </w:pPr>
            <w:r w:rsidRPr="00D9435D">
              <w:t xml:space="preserve">Secretariat of the Convention on Biological Diversity </w:t>
            </w:r>
            <w:r w:rsidRPr="00D9435D">
              <w:rPr>
                <w:i/>
              </w:rPr>
              <w:t>Access and Benefit-Sharing in Practice: Trends in Partnerships Across Sectors</w:t>
            </w:r>
            <w:r w:rsidRPr="00D9435D">
              <w:t xml:space="preserve">  (Montreal, Technical Series No. 38, 2008) </w:t>
            </w:r>
            <w:r w:rsidR="007E05F5">
              <w:t>(“</w:t>
            </w:r>
            <w:r w:rsidRPr="00D9435D">
              <w:t>Secretariat of the CBD (2008)</w:t>
            </w:r>
            <w:r w:rsidR="007E05F5">
              <w:t>”)</w:t>
            </w:r>
          </w:p>
        </w:tc>
        <w:tc>
          <w:tcPr>
            <w:tcW w:w="1275" w:type="dxa"/>
          </w:tcPr>
          <w:p w14:paraId="5F2E25A2" w14:textId="2786D918" w:rsidR="003B021E" w:rsidRDefault="00B2289A" w:rsidP="00661C8E">
            <w:pPr>
              <w:jc w:val="center"/>
            </w:pPr>
            <w:r>
              <w:t>51</w:t>
            </w:r>
          </w:p>
        </w:tc>
      </w:tr>
      <w:tr w:rsidR="003B021E" w14:paraId="4D4A4065" w14:textId="77777777" w:rsidTr="009371CB">
        <w:trPr>
          <w:trHeight w:val="109"/>
        </w:trPr>
        <w:tc>
          <w:tcPr>
            <w:tcW w:w="8364" w:type="dxa"/>
          </w:tcPr>
          <w:p w14:paraId="4893CBAE" w14:textId="115BE3B6" w:rsidR="003B021E" w:rsidRPr="00D9435D" w:rsidRDefault="00D9435D" w:rsidP="00D9435D">
            <w:pPr>
              <w:spacing w:line="240" w:lineRule="auto"/>
              <w:ind w:left="567" w:hanging="567"/>
            </w:pPr>
            <w:r w:rsidRPr="00D9435D">
              <w:t xml:space="preserve">‘The </w:t>
            </w:r>
            <w:proofErr w:type="spellStart"/>
            <w:r w:rsidRPr="00D9435D">
              <w:t>Siracusa</w:t>
            </w:r>
            <w:proofErr w:type="spellEnd"/>
            <w:r w:rsidRPr="00D9435D">
              <w:t xml:space="preserve"> Principles on the Limitations and Derogation Provision in the Covenant on Civil and Political Rights’ (1985) 7 Human Rights Quarterly 3 </w:t>
            </w:r>
            <w:r w:rsidR="007E05F5">
              <w:t>(“</w:t>
            </w:r>
            <w:proofErr w:type="spellStart"/>
            <w:r w:rsidRPr="00D9435D">
              <w:t>Siracusa</w:t>
            </w:r>
            <w:proofErr w:type="spellEnd"/>
            <w:r w:rsidRPr="00D9435D">
              <w:t xml:space="preserve"> Principles</w:t>
            </w:r>
            <w:r w:rsidR="007E05F5" w:rsidRPr="00B2289A">
              <w:t>”)</w:t>
            </w:r>
          </w:p>
        </w:tc>
        <w:tc>
          <w:tcPr>
            <w:tcW w:w="1275" w:type="dxa"/>
          </w:tcPr>
          <w:p w14:paraId="68F9AC0C" w14:textId="626DB865" w:rsidR="003B021E" w:rsidRDefault="00B2289A" w:rsidP="00661C8E">
            <w:pPr>
              <w:jc w:val="center"/>
            </w:pPr>
            <w:r>
              <w:t>46</w:t>
            </w:r>
          </w:p>
        </w:tc>
      </w:tr>
    </w:tbl>
    <w:p w14:paraId="3EA3970C" w14:textId="77777777" w:rsidR="001A26AC" w:rsidRDefault="001A26AC" w:rsidP="001A26AC"/>
    <w:p w14:paraId="1B83A103" w14:textId="77777777" w:rsidR="001A26AC" w:rsidRDefault="001A26AC" w:rsidP="001A26AC">
      <w:pPr>
        <w:pStyle w:val="Heading1"/>
        <w:rPr>
          <w:lang w:val="en-AU"/>
        </w:rPr>
      </w:pPr>
    </w:p>
    <w:p w14:paraId="0CE460F4" w14:textId="77777777" w:rsidR="0089189B" w:rsidRDefault="0089189B" w:rsidP="00EB5E4E">
      <w:pPr>
        <w:pStyle w:val="Heading1"/>
        <w:jc w:val="both"/>
        <w:rPr>
          <w:lang w:val="en-AU"/>
        </w:rPr>
      </w:pPr>
      <w:r>
        <w:rPr>
          <w:lang w:val="en-AU"/>
        </w:rPr>
        <w:br w:type="page"/>
      </w:r>
    </w:p>
    <w:p w14:paraId="61398146" w14:textId="429FF0C4" w:rsidR="00F32D98" w:rsidRDefault="001A26AC" w:rsidP="001A26AC">
      <w:pPr>
        <w:pStyle w:val="Heading1"/>
        <w:rPr>
          <w:lang w:val="en-AU"/>
        </w:rPr>
      </w:pPr>
      <w:bookmarkStart w:id="126" w:name="_Toc534995755"/>
      <w:bookmarkStart w:id="127" w:name="_Toc535037156"/>
      <w:r>
        <w:rPr>
          <w:lang w:val="en-AU"/>
        </w:rPr>
        <w:lastRenderedPageBreak/>
        <w:t>STATEMENT OF JURISDICTION</w:t>
      </w:r>
      <w:bookmarkEnd w:id="126"/>
      <w:bookmarkEnd w:id="127"/>
    </w:p>
    <w:p w14:paraId="18E90AB0" w14:textId="77777777" w:rsidR="008F47B4" w:rsidRPr="008F47B4" w:rsidRDefault="008F47B4" w:rsidP="008F47B4">
      <w:pPr>
        <w:rPr>
          <w:rFonts w:eastAsiaTheme="minorEastAsia" w:cstheme="minorBidi"/>
          <w:lang w:val="en-US" w:eastAsia="ja-JP"/>
        </w:rPr>
      </w:pPr>
      <w:r w:rsidRPr="008F47B4">
        <w:rPr>
          <w:rFonts w:eastAsiaTheme="minorEastAsia" w:cstheme="minorBidi"/>
          <w:lang w:val="en-US" w:eastAsia="ja-JP"/>
        </w:rPr>
        <w:t xml:space="preserve">The State of Aurok (“Aurok”) and the Republic of Rakkab (“Rakkab”) appear before the International Court of Justice in accordance with Article 40(1) of the Statute of the International Court of Justice (“Statute”) through submission of a Special Agreement for resolution of the differences between them concerning the </w:t>
      </w:r>
      <w:proofErr w:type="spellStart"/>
      <w:r w:rsidRPr="008F47B4">
        <w:rPr>
          <w:rFonts w:eastAsiaTheme="minorEastAsia" w:cstheme="minorBidi"/>
          <w:lang w:val="en-US" w:eastAsia="ja-JP"/>
        </w:rPr>
        <w:t>Kayleff</w:t>
      </w:r>
      <w:proofErr w:type="spellEnd"/>
      <w:r w:rsidRPr="008F47B4">
        <w:rPr>
          <w:rFonts w:eastAsiaTheme="minorEastAsia" w:cstheme="minorBidi"/>
          <w:lang w:val="en-US" w:eastAsia="ja-JP"/>
        </w:rPr>
        <w:t xml:space="preserve"> Yak (“Yak”). Aurok and Rakkab have referred the dispute to the Court, granting it jurisdiction under Article 36(1) of the Statute. The Parties concluded the Special Agreement in the Hague, the Netherlands, and jointly notified this Court of their Special Agreement on 14 September 2018.</w:t>
      </w:r>
    </w:p>
    <w:p w14:paraId="3B743CE1" w14:textId="75CF06A0" w:rsidR="001A26AC" w:rsidRDefault="001A26AC" w:rsidP="001A26AC">
      <w:pPr>
        <w:rPr>
          <w:lang w:val="en-AU"/>
        </w:rPr>
      </w:pPr>
    </w:p>
    <w:p w14:paraId="223E17D8" w14:textId="43258CB7" w:rsidR="001A26AC" w:rsidRDefault="001A26AC" w:rsidP="001A26AC">
      <w:pPr>
        <w:rPr>
          <w:lang w:val="en-AU"/>
        </w:rPr>
      </w:pPr>
    </w:p>
    <w:p w14:paraId="3C930AEB" w14:textId="77777777" w:rsidR="0089189B" w:rsidRDefault="0089189B" w:rsidP="001A26AC">
      <w:pPr>
        <w:pStyle w:val="Heading1"/>
        <w:rPr>
          <w:lang w:val="en-AU"/>
        </w:rPr>
      </w:pPr>
      <w:r>
        <w:rPr>
          <w:lang w:val="en-AU"/>
        </w:rPr>
        <w:br w:type="page"/>
      </w:r>
    </w:p>
    <w:p w14:paraId="12941AC1" w14:textId="27387952" w:rsidR="001A26AC" w:rsidRDefault="001A26AC" w:rsidP="001A26AC">
      <w:pPr>
        <w:pStyle w:val="Heading1"/>
        <w:rPr>
          <w:lang w:val="en-AU"/>
        </w:rPr>
      </w:pPr>
      <w:bookmarkStart w:id="128" w:name="_Toc534995756"/>
      <w:bookmarkStart w:id="129" w:name="_Toc535037157"/>
      <w:r>
        <w:rPr>
          <w:lang w:val="en-AU"/>
        </w:rPr>
        <w:lastRenderedPageBreak/>
        <w:t>QUESTIONS PRESENTED</w:t>
      </w:r>
      <w:bookmarkEnd w:id="128"/>
      <w:bookmarkEnd w:id="129"/>
    </w:p>
    <w:p w14:paraId="4B424595" w14:textId="43EC871F" w:rsidR="001A26AC" w:rsidRDefault="001A26AC" w:rsidP="001A26AC">
      <w:pPr>
        <w:pStyle w:val="ListParagraph"/>
        <w:numPr>
          <w:ilvl w:val="0"/>
          <w:numId w:val="9"/>
        </w:numPr>
        <w:rPr>
          <w:lang w:val="en-AU"/>
        </w:rPr>
      </w:pPr>
      <w:r>
        <w:rPr>
          <w:lang w:val="en-AU"/>
        </w:rPr>
        <w:t xml:space="preserve">Whether Rakkab is responsible for any internationally wrongful acts found in </w:t>
      </w:r>
      <w:r w:rsidR="0089189B">
        <w:rPr>
          <w:lang w:val="en-AU"/>
        </w:rPr>
        <w:t>Q</w:t>
      </w:r>
      <w:r>
        <w:rPr>
          <w:lang w:val="en-AU"/>
        </w:rPr>
        <w:t>uestions (II)–(IV) because DORTA’s actions are attributable to Rakkab or Rakkab is otherwise responsible for its own failure</w:t>
      </w:r>
      <w:r w:rsidR="006564FA">
        <w:rPr>
          <w:lang w:val="en-AU"/>
        </w:rPr>
        <w:t xml:space="preserve"> to prevent DORTA</w:t>
      </w:r>
      <w:r w:rsidR="00A72A22">
        <w:rPr>
          <w:lang w:val="en-AU"/>
        </w:rPr>
        <w:t>’s actions.</w:t>
      </w:r>
    </w:p>
    <w:p w14:paraId="18F5FD59" w14:textId="2D4E4D47" w:rsidR="001A26AC" w:rsidRDefault="001A26AC" w:rsidP="001A26AC">
      <w:pPr>
        <w:pStyle w:val="ListParagraph"/>
        <w:rPr>
          <w:lang w:val="en-AU"/>
        </w:rPr>
      </w:pPr>
    </w:p>
    <w:p w14:paraId="1F9407C0" w14:textId="7DB7D785" w:rsidR="001A26AC" w:rsidRDefault="001A26AC" w:rsidP="001A26AC">
      <w:pPr>
        <w:pStyle w:val="ListParagraph"/>
        <w:numPr>
          <w:ilvl w:val="0"/>
          <w:numId w:val="9"/>
        </w:numPr>
        <w:rPr>
          <w:lang w:val="en-AU"/>
        </w:rPr>
      </w:pPr>
      <w:r>
        <w:rPr>
          <w:lang w:val="en-AU"/>
        </w:rPr>
        <w:t xml:space="preserve">Whether the harvesting of the Yak in Rakkab is in violation of </w:t>
      </w:r>
      <w:proofErr w:type="spellStart"/>
      <w:r w:rsidR="002F48D3">
        <w:rPr>
          <w:lang w:val="en-AU"/>
        </w:rPr>
        <w:t>Rakkab’s</w:t>
      </w:r>
      <w:proofErr w:type="spellEnd"/>
      <w:r>
        <w:rPr>
          <w:lang w:val="en-AU"/>
        </w:rPr>
        <w:t xml:space="preserve"> international obligations relating to the protection of endangered species or the environment.</w:t>
      </w:r>
    </w:p>
    <w:p w14:paraId="597D0C50" w14:textId="77777777" w:rsidR="00CD5392" w:rsidRPr="00CD5392" w:rsidRDefault="00CD5392" w:rsidP="00CD5392">
      <w:pPr>
        <w:pStyle w:val="ListParagraph"/>
        <w:rPr>
          <w:lang w:val="en-AU"/>
        </w:rPr>
      </w:pPr>
    </w:p>
    <w:p w14:paraId="08063AAA" w14:textId="402B8054" w:rsidR="001A26AC" w:rsidRDefault="00CD5392" w:rsidP="001A26AC">
      <w:pPr>
        <w:pStyle w:val="ListParagraph"/>
        <w:numPr>
          <w:ilvl w:val="0"/>
          <w:numId w:val="9"/>
        </w:numPr>
        <w:rPr>
          <w:lang w:val="en-AU"/>
        </w:rPr>
      </w:pPr>
      <w:r>
        <w:rPr>
          <w:lang w:val="en-AU"/>
        </w:rPr>
        <w:t xml:space="preserve">Whether the harvesting of the Yak is in violation of </w:t>
      </w:r>
      <w:proofErr w:type="spellStart"/>
      <w:r>
        <w:rPr>
          <w:lang w:val="en-AU"/>
        </w:rPr>
        <w:t>Rakkab’s</w:t>
      </w:r>
      <w:proofErr w:type="spellEnd"/>
      <w:r>
        <w:rPr>
          <w:lang w:val="en-AU"/>
        </w:rPr>
        <w:t xml:space="preserve"> obligation relating to cultural or religious rights.</w:t>
      </w:r>
    </w:p>
    <w:p w14:paraId="63D058A7" w14:textId="77777777" w:rsidR="001A26AC" w:rsidRDefault="001A26AC" w:rsidP="001A26AC">
      <w:pPr>
        <w:pStyle w:val="ListParagraph"/>
        <w:rPr>
          <w:lang w:val="en-AU"/>
        </w:rPr>
      </w:pPr>
    </w:p>
    <w:p w14:paraId="653543FC" w14:textId="28D6A77C" w:rsidR="001A26AC" w:rsidRDefault="00CD5392" w:rsidP="001A26AC">
      <w:pPr>
        <w:pStyle w:val="ListParagraph"/>
        <w:numPr>
          <w:ilvl w:val="0"/>
          <w:numId w:val="9"/>
        </w:numPr>
        <w:rPr>
          <w:lang w:val="en-AU"/>
        </w:rPr>
      </w:pPr>
      <w:r>
        <w:rPr>
          <w:lang w:val="en-AU"/>
        </w:rPr>
        <w:t xml:space="preserve">Whether Rakkab is in breach of an international obligation for failing to compensate the Aurokan people for </w:t>
      </w:r>
      <w:r w:rsidR="00A72A22">
        <w:rPr>
          <w:lang w:val="en-AU"/>
        </w:rPr>
        <w:t xml:space="preserve">the </w:t>
      </w:r>
      <w:r>
        <w:rPr>
          <w:lang w:val="en-AU"/>
        </w:rPr>
        <w:t xml:space="preserve">use of traditional knowledge and whether, if an internationally wrongful act is established, Rakkab must pay Aurok a portion of the Gallvectra profits. </w:t>
      </w:r>
    </w:p>
    <w:p w14:paraId="2AD6386B" w14:textId="29D705E3" w:rsidR="00CF7119" w:rsidRDefault="00CF7119" w:rsidP="00CF7119">
      <w:pPr>
        <w:rPr>
          <w:lang w:val="en-AU"/>
        </w:rPr>
      </w:pPr>
    </w:p>
    <w:p w14:paraId="77C2EB8C" w14:textId="77777777" w:rsidR="00CF7119" w:rsidRDefault="00CF7119" w:rsidP="00CF7119">
      <w:pPr>
        <w:pStyle w:val="Heading2"/>
        <w:numPr>
          <w:ilvl w:val="0"/>
          <w:numId w:val="0"/>
        </w:numPr>
        <w:ind w:left="567" w:hanging="567"/>
        <w:jc w:val="center"/>
        <w:rPr>
          <w:lang w:val="en-AU"/>
        </w:rPr>
      </w:pPr>
      <w:bookmarkStart w:id="130" w:name="_Toc346004608"/>
    </w:p>
    <w:p w14:paraId="46B7239C" w14:textId="77777777" w:rsidR="00CF7119" w:rsidRDefault="00CF7119" w:rsidP="00CF7119">
      <w:pPr>
        <w:pStyle w:val="Heading2"/>
        <w:numPr>
          <w:ilvl w:val="0"/>
          <w:numId w:val="0"/>
        </w:numPr>
        <w:ind w:left="567" w:hanging="567"/>
        <w:jc w:val="center"/>
        <w:rPr>
          <w:lang w:val="en-AU"/>
        </w:rPr>
      </w:pPr>
    </w:p>
    <w:p w14:paraId="30D75122" w14:textId="77777777" w:rsidR="00CF7119" w:rsidRDefault="00CF7119" w:rsidP="00CF7119">
      <w:pPr>
        <w:pStyle w:val="Heading2"/>
        <w:numPr>
          <w:ilvl w:val="0"/>
          <w:numId w:val="0"/>
        </w:numPr>
        <w:ind w:left="567" w:hanging="567"/>
        <w:jc w:val="center"/>
        <w:rPr>
          <w:lang w:val="en-AU"/>
        </w:rPr>
      </w:pPr>
    </w:p>
    <w:p w14:paraId="560DD2C1" w14:textId="77777777" w:rsidR="00CF7119" w:rsidRDefault="00CF7119" w:rsidP="00CF7119">
      <w:pPr>
        <w:pStyle w:val="Heading2"/>
        <w:numPr>
          <w:ilvl w:val="0"/>
          <w:numId w:val="0"/>
        </w:numPr>
        <w:ind w:left="567" w:hanging="567"/>
        <w:jc w:val="center"/>
        <w:rPr>
          <w:lang w:val="en-AU"/>
        </w:rPr>
      </w:pPr>
    </w:p>
    <w:bookmarkEnd w:id="130"/>
    <w:p w14:paraId="4E53EE4D" w14:textId="77777777" w:rsidR="007E05F5" w:rsidRPr="00684732" w:rsidRDefault="007E05F5" w:rsidP="007E05F5">
      <w:pPr>
        <w:spacing w:after="0" w:line="240" w:lineRule="auto"/>
        <w:jc w:val="left"/>
        <w:rPr>
          <w:b/>
          <w:lang w:val="en-GB"/>
        </w:rPr>
      </w:pPr>
    </w:p>
    <w:p w14:paraId="1F64FFD7" w14:textId="77777777" w:rsidR="002F7735" w:rsidRDefault="002F7735" w:rsidP="007E05F5">
      <w:pPr>
        <w:pStyle w:val="Heading2"/>
        <w:numPr>
          <w:ilvl w:val="0"/>
          <w:numId w:val="0"/>
        </w:numPr>
        <w:ind w:left="567" w:hanging="567"/>
        <w:jc w:val="center"/>
        <w:rPr>
          <w:lang w:val="en-GB"/>
        </w:rPr>
      </w:pPr>
      <w:r>
        <w:rPr>
          <w:lang w:val="en-GB"/>
        </w:rPr>
        <w:br w:type="page"/>
      </w:r>
    </w:p>
    <w:p w14:paraId="2C4AF202" w14:textId="7F21AFC1" w:rsidR="002F7735" w:rsidRPr="002F7735" w:rsidRDefault="007E05F5" w:rsidP="008F47B4">
      <w:pPr>
        <w:pStyle w:val="Heading1"/>
        <w:rPr>
          <w:lang w:val="en-GB"/>
        </w:rPr>
      </w:pPr>
      <w:bookmarkStart w:id="131" w:name="_Toc534995757"/>
      <w:bookmarkStart w:id="132" w:name="_Toc535037158"/>
      <w:r w:rsidRPr="00684732">
        <w:rPr>
          <w:lang w:val="en-GB"/>
        </w:rPr>
        <w:lastRenderedPageBreak/>
        <w:t>STATEMENT OF FACTS</w:t>
      </w:r>
      <w:bookmarkEnd w:id="131"/>
      <w:bookmarkEnd w:id="132"/>
    </w:p>
    <w:p w14:paraId="1C277D49" w14:textId="745448E9" w:rsidR="007E05F5" w:rsidRPr="00684732" w:rsidRDefault="007E05F5" w:rsidP="007E05F5">
      <w:pPr>
        <w:rPr>
          <w:b/>
          <w:lang w:val="en-GB"/>
        </w:rPr>
      </w:pPr>
      <w:r w:rsidRPr="00684732">
        <w:rPr>
          <w:b/>
          <w:lang w:val="en-GB"/>
        </w:rPr>
        <w:t xml:space="preserve">Aurok, </w:t>
      </w:r>
      <w:proofErr w:type="spellStart"/>
      <w:r w:rsidRPr="00684732">
        <w:rPr>
          <w:b/>
          <w:lang w:val="en-GB"/>
        </w:rPr>
        <w:t>Rakkab</w:t>
      </w:r>
      <w:proofErr w:type="spellEnd"/>
      <w:r w:rsidRPr="00684732">
        <w:rPr>
          <w:b/>
          <w:lang w:val="en-GB"/>
        </w:rPr>
        <w:t xml:space="preserve">, and the </w:t>
      </w:r>
      <w:proofErr w:type="spellStart"/>
      <w:r w:rsidRPr="00684732">
        <w:rPr>
          <w:b/>
          <w:lang w:val="en-GB"/>
        </w:rPr>
        <w:t>Kayleff</w:t>
      </w:r>
      <w:proofErr w:type="spellEnd"/>
      <w:r w:rsidRPr="00684732">
        <w:rPr>
          <w:b/>
          <w:lang w:val="en-GB"/>
        </w:rPr>
        <w:t xml:space="preserve"> Yak</w:t>
      </w:r>
    </w:p>
    <w:p w14:paraId="31FE237A" w14:textId="2945CE6C" w:rsidR="007E05F5" w:rsidRPr="00F85140" w:rsidRDefault="007E05F5" w:rsidP="007C1367">
      <w:pPr>
        <w:pStyle w:val="NormalWeb"/>
      </w:pPr>
      <w:r w:rsidRPr="00684732">
        <w:rPr>
          <w:lang w:val="en-GB"/>
        </w:rPr>
        <w:t xml:space="preserve">Aurok is a least-developed country populated </w:t>
      </w:r>
      <w:r w:rsidR="00F85140">
        <w:rPr>
          <w:lang w:val="en-GB"/>
        </w:rPr>
        <w:t xml:space="preserve">almost entirely </w:t>
      </w:r>
      <w:r w:rsidRPr="00684732">
        <w:rPr>
          <w:lang w:val="en-GB"/>
        </w:rPr>
        <w:t xml:space="preserve">by descendants of the </w:t>
      </w:r>
      <w:proofErr w:type="spellStart"/>
      <w:r w:rsidRPr="00684732">
        <w:rPr>
          <w:lang w:val="en-GB"/>
        </w:rPr>
        <w:t>Pivzao</w:t>
      </w:r>
      <w:proofErr w:type="spellEnd"/>
      <w:r w:rsidRPr="00684732">
        <w:rPr>
          <w:lang w:val="en-GB"/>
        </w:rPr>
        <w:t xml:space="preserve"> civilisation, the original indigenous inhabitants. </w:t>
      </w:r>
      <w:r w:rsidR="001F5EC4">
        <w:rPr>
          <w:lang w:val="en-GB"/>
        </w:rPr>
        <w:t>The traditional</w:t>
      </w:r>
      <w:r w:rsidRPr="00684732">
        <w:rPr>
          <w:lang w:val="en-GB"/>
        </w:rPr>
        <w:t xml:space="preserve"> </w:t>
      </w:r>
      <w:r w:rsidR="001F5EC4">
        <w:rPr>
          <w:lang w:val="en-GB"/>
        </w:rPr>
        <w:t>religion</w:t>
      </w:r>
      <w:r w:rsidRPr="00684732">
        <w:rPr>
          <w:lang w:val="en-GB"/>
        </w:rPr>
        <w:t xml:space="preserve"> and </w:t>
      </w:r>
      <w:r w:rsidR="001F5EC4">
        <w:rPr>
          <w:lang w:val="en-GB"/>
        </w:rPr>
        <w:t>culture are still practised extensively across the country</w:t>
      </w:r>
      <w:r w:rsidRPr="00684732">
        <w:rPr>
          <w:lang w:val="en-GB"/>
        </w:rPr>
        <w:t>. Rakkab is a</w:t>
      </w:r>
      <w:r w:rsidR="00F85140">
        <w:rPr>
          <w:lang w:val="en-GB"/>
        </w:rPr>
        <w:t xml:space="preserve"> </w:t>
      </w:r>
      <w:r w:rsidR="001F5EC4">
        <w:rPr>
          <w:lang w:val="en-GB"/>
        </w:rPr>
        <w:t>comparatively</w:t>
      </w:r>
      <w:r w:rsidRPr="00684732">
        <w:rPr>
          <w:lang w:val="en-GB"/>
        </w:rPr>
        <w:t xml:space="preserve"> developed country </w:t>
      </w:r>
      <w:r w:rsidR="001F5EC4">
        <w:rPr>
          <w:lang w:val="en-GB"/>
        </w:rPr>
        <w:t>with a</w:t>
      </w:r>
      <w:r w:rsidRPr="00684732">
        <w:rPr>
          <w:lang w:val="en-GB"/>
        </w:rPr>
        <w:t xml:space="preserve"> </w:t>
      </w:r>
      <w:r w:rsidR="001F5EC4" w:rsidRPr="00684732">
        <w:rPr>
          <w:lang w:val="en-GB"/>
        </w:rPr>
        <w:t>multi-ethnic</w:t>
      </w:r>
      <w:r w:rsidRPr="00684732">
        <w:rPr>
          <w:lang w:val="en-GB"/>
        </w:rPr>
        <w:t xml:space="preserve"> population </w:t>
      </w:r>
      <w:r w:rsidR="001F5EC4">
        <w:rPr>
          <w:lang w:val="en-GB"/>
        </w:rPr>
        <w:t xml:space="preserve">that </w:t>
      </w:r>
      <w:r w:rsidRPr="00684732">
        <w:rPr>
          <w:lang w:val="en-GB"/>
        </w:rPr>
        <w:t xml:space="preserve">includes fewer than two hundred adherents of the </w:t>
      </w:r>
      <w:proofErr w:type="spellStart"/>
      <w:r w:rsidRPr="00684732">
        <w:rPr>
          <w:lang w:val="en-GB"/>
        </w:rPr>
        <w:t>Pivzao</w:t>
      </w:r>
      <w:proofErr w:type="spellEnd"/>
      <w:r w:rsidRPr="00684732">
        <w:rPr>
          <w:lang w:val="en-GB"/>
        </w:rPr>
        <w:t xml:space="preserve"> tradition. </w:t>
      </w:r>
      <w:r w:rsidR="00F85140">
        <w:rPr>
          <w:lang w:val="en-GB"/>
        </w:rPr>
        <w:t xml:space="preserve">The region was colonised by </w:t>
      </w:r>
      <w:r w:rsidR="007C1367">
        <w:rPr>
          <w:lang w:val="en-GB"/>
        </w:rPr>
        <w:t xml:space="preserve">the Kingdom of </w:t>
      </w:r>
      <w:proofErr w:type="spellStart"/>
      <w:r w:rsidR="007C1367" w:rsidRPr="007C1367">
        <w:t>Jeramia</w:t>
      </w:r>
      <w:proofErr w:type="spellEnd"/>
      <w:r w:rsidR="007C1367" w:rsidRPr="007C1367">
        <w:t xml:space="preserve"> </w:t>
      </w:r>
      <w:r w:rsidR="00F85140">
        <w:t>in 1730, though Aurok was minimally interfered with. Both countries gained independence in 1961.</w:t>
      </w:r>
    </w:p>
    <w:p w14:paraId="7DA3BD82" w14:textId="7BB0197E" w:rsidR="007E05F5" w:rsidRPr="00265ACD" w:rsidRDefault="007E05F5" w:rsidP="00265ACD">
      <w:pPr>
        <w:ind w:firstLine="720"/>
      </w:pPr>
      <w:r w:rsidRPr="00684732">
        <w:rPr>
          <w:lang w:val="en-GB"/>
        </w:rPr>
        <w:t xml:space="preserve">The </w:t>
      </w:r>
      <w:proofErr w:type="spellStart"/>
      <w:r w:rsidRPr="00684732">
        <w:rPr>
          <w:lang w:val="en-GB"/>
        </w:rPr>
        <w:t>Kayleff</w:t>
      </w:r>
      <w:proofErr w:type="spellEnd"/>
      <w:r w:rsidRPr="00684732">
        <w:rPr>
          <w:lang w:val="en-GB"/>
        </w:rPr>
        <w:t xml:space="preserve"> Yak (</w:t>
      </w:r>
      <w:r>
        <w:rPr>
          <w:lang w:val="en-GB"/>
        </w:rPr>
        <w:t>“</w:t>
      </w:r>
      <w:r w:rsidRPr="00684732">
        <w:rPr>
          <w:lang w:val="en-GB"/>
        </w:rPr>
        <w:t>Yak</w:t>
      </w:r>
      <w:r>
        <w:rPr>
          <w:lang w:val="en-GB"/>
        </w:rPr>
        <w:t>”</w:t>
      </w:r>
      <w:r w:rsidRPr="00684732">
        <w:rPr>
          <w:lang w:val="en-GB"/>
        </w:rPr>
        <w:t xml:space="preserve">) is a </w:t>
      </w:r>
      <w:r w:rsidR="00413224">
        <w:rPr>
          <w:lang w:val="en-GB"/>
        </w:rPr>
        <w:t xml:space="preserve">migratory </w:t>
      </w:r>
      <w:r w:rsidRPr="00684732">
        <w:rPr>
          <w:lang w:val="en-GB"/>
        </w:rPr>
        <w:t>species native to the Gaur Highlands, a geographical region 70% within Aurok and 30% within Rakkab.</w:t>
      </w:r>
      <w:r w:rsidR="00265ACD">
        <w:rPr>
          <w:lang w:val="en-GB"/>
        </w:rPr>
        <w:t xml:space="preserve"> </w:t>
      </w:r>
      <w:r w:rsidR="00265ACD">
        <w:t>It spends its spring and summer</w:t>
      </w:r>
      <w:r w:rsidR="00265ACD" w:rsidRPr="00265ACD">
        <w:t xml:space="preserve"> </w:t>
      </w:r>
      <w:r w:rsidR="00265ACD">
        <w:t xml:space="preserve">in </w:t>
      </w:r>
      <w:proofErr w:type="spellStart"/>
      <w:r w:rsidR="00265ACD">
        <w:t>Aurok’s</w:t>
      </w:r>
      <w:proofErr w:type="spellEnd"/>
      <w:r w:rsidR="00265ACD">
        <w:t xml:space="preserve"> territory</w:t>
      </w:r>
      <w:r w:rsidR="007C1367">
        <w:t xml:space="preserve"> and </w:t>
      </w:r>
      <w:r w:rsidR="00265ACD" w:rsidRPr="00265ACD">
        <w:t>migrate</w:t>
      </w:r>
      <w:r w:rsidR="007C1367">
        <w:t>s</w:t>
      </w:r>
      <w:r w:rsidR="00265ACD" w:rsidRPr="00265ACD">
        <w:t xml:space="preserve"> south</w:t>
      </w:r>
      <w:r w:rsidR="00265ACD">
        <w:t xml:space="preserve"> to Rakkab to spend</w:t>
      </w:r>
      <w:r w:rsidR="00265ACD" w:rsidRPr="00265ACD">
        <w:t xml:space="preserve"> autumn and winter. </w:t>
      </w:r>
      <w:r w:rsidRPr="00684732">
        <w:rPr>
          <w:lang w:val="en-GB"/>
        </w:rPr>
        <w:t xml:space="preserve"> The Yak, in particular the hunting of the Yak, is a key component of the </w:t>
      </w:r>
      <w:proofErr w:type="spellStart"/>
      <w:r w:rsidRPr="00684732">
        <w:rPr>
          <w:lang w:val="en-GB"/>
        </w:rPr>
        <w:t>Pivzao</w:t>
      </w:r>
      <w:proofErr w:type="spellEnd"/>
      <w:r w:rsidRPr="00684732">
        <w:rPr>
          <w:lang w:val="en-GB"/>
        </w:rPr>
        <w:t xml:space="preserve"> traditions still commonly practised in Aurok. </w:t>
      </w:r>
    </w:p>
    <w:p w14:paraId="0DAA1B4B" w14:textId="77777777" w:rsidR="007E05F5" w:rsidRPr="00684732" w:rsidRDefault="007E05F5" w:rsidP="007E05F5">
      <w:pPr>
        <w:rPr>
          <w:b/>
          <w:lang w:val="en-GB"/>
        </w:rPr>
      </w:pPr>
      <w:r w:rsidRPr="00684732">
        <w:rPr>
          <w:b/>
          <w:lang w:val="en-GB"/>
        </w:rPr>
        <w:t>DORTA</w:t>
      </w:r>
    </w:p>
    <w:p w14:paraId="51E5B17C" w14:textId="2F671DB2" w:rsidR="007E05F5" w:rsidRPr="00684732" w:rsidRDefault="007E05F5" w:rsidP="007E05F5">
      <w:pPr>
        <w:rPr>
          <w:lang w:val="en-GB"/>
        </w:rPr>
      </w:pPr>
      <w:r w:rsidRPr="00684732">
        <w:rPr>
          <w:lang w:val="en-GB"/>
        </w:rPr>
        <w:t>Rakkab has invested extensively in scientific research and development. The Department of Research, Technology, and Application was founded in 1965, and had a successful stream of innovations, especially in healthcare, before being privatized in 1996</w:t>
      </w:r>
      <w:r w:rsidR="00DB2FDC">
        <w:rPr>
          <w:lang w:val="en-GB"/>
        </w:rPr>
        <w:t xml:space="preserve"> and renamed DORTA.</w:t>
      </w:r>
      <w:r w:rsidRPr="00684732">
        <w:rPr>
          <w:lang w:val="en-GB"/>
        </w:rPr>
        <w:t xml:space="preserve"> </w:t>
      </w:r>
      <w:r w:rsidR="00DB2FDC">
        <w:rPr>
          <w:lang w:val="en-GB"/>
        </w:rPr>
        <w:t>Th</w:t>
      </w:r>
      <w:r w:rsidRPr="00684732">
        <w:rPr>
          <w:lang w:val="en-GB"/>
        </w:rPr>
        <w:t xml:space="preserve">e government </w:t>
      </w:r>
      <w:r>
        <w:rPr>
          <w:lang w:val="en-GB"/>
        </w:rPr>
        <w:t>—</w:t>
      </w:r>
      <w:r w:rsidRPr="00684732">
        <w:rPr>
          <w:lang w:val="en-GB"/>
        </w:rPr>
        <w:t xml:space="preserve"> by legislation </w:t>
      </w:r>
      <w:r>
        <w:rPr>
          <w:lang w:val="en-GB"/>
        </w:rPr>
        <w:t>—</w:t>
      </w:r>
      <w:r w:rsidRPr="00684732">
        <w:rPr>
          <w:lang w:val="en-GB"/>
        </w:rPr>
        <w:t xml:space="preserve"> </w:t>
      </w:r>
      <w:r w:rsidR="00DB2FDC">
        <w:rPr>
          <w:lang w:val="en-GB"/>
        </w:rPr>
        <w:t>must hold</w:t>
      </w:r>
      <w:r w:rsidRPr="00684732">
        <w:rPr>
          <w:lang w:val="en-GB"/>
        </w:rPr>
        <w:t xml:space="preserve"> between 9.9% and 19.9% of </w:t>
      </w:r>
      <w:r w:rsidR="00314598">
        <w:rPr>
          <w:lang w:val="en-GB"/>
        </w:rPr>
        <w:t>DORTA’s</w:t>
      </w:r>
      <w:r w:rsidRPr="00684732">
        <w:rPr>
          <w:lang w:val="en-GB"/>
        </w:rPr>
        <w:t xml:space="preserve"> shares. The government currently holds 12%. </w:t>
      </w:r>
    </w:p>
    <w:p w14:paraId="73D6C673" w14:textId="21EB0C22" w:rsidR="007E05F5" w:rsidRPr="0094340D" w:rsidRDefault="007E05F5" w:rsidP="0094340D">
      <w:pPr>
        <w:ind w:firstLine="720"/>
      </w:pPr>
      <w:r w:rsidRPr="00684732">
        <w:rPr>
          <w:lang w:val="en-GB"/>
        </w:rPr>
        <w:t xml:space="preserve">DORTA is now the world’s eighth-largest pharmaceutical manufacturer, and is spread around the world, although not in Aurok. The company has a legislatively-granted </w:t>
      </w:r>
      <w:r w:rsidR="0094340D">
        <w:rPr>
          <w:lang w:val="en-GB"/>
        </w:rPr>
        <w:t xml:space="preserve">and government-enforced </w:t>
      </w:r>
      <w:r w:rsidRPr="00684732">
        <w:rPr>
          <w:lang w:val="en-GB"/>
        </w:rPr>
        <w:t xml:space="preserve">monopoly within Rakkab, and </w:t>
      </w:r>
      <w:r w:rsidR="0094340D">
        <w:rPr>
          <w:lang w:val="en-GB"/>
        </w:rPr>
        <w:t>the government</w:t>
      </w:r>
      <w:r w:rsidRPr="00684732">
        <w:rPr>
          <w:lang w:val="en-GB"/>
        </w:rPr>
        <w:t xml:space="preserve"> subsidize</w:t>
      </w:r>
      <w:r w:rsidR="0094340D">
        <w:rPr>
          <w:lang w:val="en-GB"/>
        </w:rPr>
        <w:t xml:space="preserve">s </w:t>
      </w:r>
      <w:r w:rsidR="0094340D" w:rsidRPr="0094340D">
        <w:t>DORTA’s research and development activities</w:t>
      </w:r>
      <w:r w:rsidR="00314598">
        <w:t>.</w:t>
      </w:r>
      <w:r w:rsidR="0094340D" w:rsidRPr="0094340D">
        <w:t xml:space="preserve"> </w:t>
      </w:r>
      <w:r w:rsidR="0094340D">
        <w:t xml:space="preserve"> </w:t>
      </w:r>
      <w:r w:rsidRPr="00684732">
        <w:rPr>
          <w:lang w:val="en-GB"/>
        </w:rPr>
        <w:t xml:space="preserve">While current Rakkabi officials </w:t>
      </w:r>
      <w:r w:rsidR="00590475">
        <w:rPr>
          <w:lang w:val="en-GB"/>
        </w:rPr>
        <w:t>are prohibited from</w:t>
      </w:r>
      <w:r w:rsidRPr="00684732">
        <w:rPr>
          <w:lang w:val="en-GB"/>
        </w:rPr>
        <w:t xml:space="preserve"> </w:t>
      </w:r>
      <w:r w:rsidR="00590475">
        <w:rPr>
          <w:lang w:val="en-GB"/>
        </w:rPr>
        <w:t>serving</w:t>
      </w:r>
      <w:r w:rsidRPr="00684732">
        <w:rPr>
          <w:lang w:val="en-GB"/>
        </w:rPr>
        <w:t xml:space="preserve"> within DORTA, many high-level ex-governmental figures do</w:t>
      </w:r>
      <w:r w:rsidR="00590475">
        <w:rPr>
          <w:lang w:val="en-GB"/>
        </w:rPr>
        <w:t>, including on their Board of Directors.</w:t>
      </w:r>
    </w:p>
    <w:p w14:paraId="118812E8" w14:textId="77777777" w:rsidR="007E05F5" w:rsidRPr="00684732" w:rsidRDefault="007E05F5" w:rsidP="007E05F5">
      <w:pPr>
        <w:rPr>
          <w:b/>
          <w:lang w:val="en-GB"/>
        </w:rPr>
      </w:pPr>
      <w:r w:rsidRPr="00684732">
        <w:rPr>
          <w:b/>
          <w:lang w:val="en-GB"/>
        </w:rPr>
        <w:t>The Discovery of the Lustuk Enzyme</w:t>
      </w:r>
    </w:p>
    <w:p w14:paraId="2C49FBC4" w14:textId="62CA37FE" w:rsidR="007E05F5" w:rsidRPr="00684732" w:rsidRDefault="007E05F5" w:rsidP="007E05F5">
      <w:pPr>
        <w:rPr>
          <w:lang w:val="en-GB"/>
        </w:rPr>
      </w:pPr>
      <w:r w:rsidRPr="00684732">
        <w:rPr>
          <w:lang w:val="en-GB"/>
        </w:rPr>
        <w:t xml:space="preserve">Since the </w:t>
      </w:r>
      <w:r w:rsidR="00590475">
        <w:rPr>
          <w:lang w:val="en-GB"/>
        </w:rPr>
        <w:t>mid-1900s</w:t>
      </w:r>
      <w:r w:rsidRPr="00684732">
        <w:rPr>
          <w:lang w:val="en-GB"/>
        </w:rPr>
        <w:t>, Rakkab has suffered an increase in obesity</w:t>
      </w:r>
      <w:r w:rsidR="00DB2FDC">
        <w:rPr>
          <w:lang w:val="en-GB"/>
        </w:rPr>
        <w:t xml:space="preserve"> and</w:t>
      </w:r>
      <w:r w:rsidRPr="00684732">
        <w:rPr>
          <w:lang w:val="en-GB"/>
        </w:rPr>
        <w:t xml:space="preserve"> diabetes. </w:t>
      </w:r>
      <w:proofErr w:type="spellStart"/>
      <w:r w:rsidRPr="00684732">
        <w:rPr>
          <w:lang w:val="en-GB"/>
        </w:rPr>
        <w:t>Dr</w:t>
      </w:r>
      <w:r w:rsidR="00314598">
        <w:rPr>
          <w:lang w:val="en-GB"/>
        </w:rPr>
        <w:t>.</w:t>
      </w:r>
      <w:proofErr w:type="spellEnd"/>
      <w:r w:rsidRPr="00684732">
        <w:rPr>
          <w:lang w:val="en-GB"/>
        </w:rPr>
        <w:t xml:space="preserve"> Bello, a Rakkabi doctor, observed significantly lower rates of these diseases among Aurokan patients. After hunting the Yak, </w:t>
      </w:r>
      <w:proofErr w:type="spellStart"/>
      <w:r w:rsidRPr="00684732">
        <w:rPr>
          <w:lang w:val="en-GB"/>
        </w:rPr>
        <w:t>Pivzao</w:t>
      </w:r>
      <w:proofErr w:type="spellEnd"/>
      <w:r w:rsidRPr="00684732">
        <w:rPr>
          <w:lang w:val="en-GB"/>
        </w:rPr>
        <w:t xml:space="preserve"> people traditionally consumed </w:t>
      </w:r>
      <w:proofErr w:type="spellStart"/>
      <w:r w:rsidRPr="00684732">
        <w:rPr>
          <w:i/>
          <w:lang w:val="en-GB"/>
        </w:rPr>
        <w:t>Tirhinga</w:t>
      </w:r>
      <w:proofErr w:type="spellEnd"/>
      <w:r w:rsidRPr="00684732">
        <w:rPr>
          <w:i/>
          <w:lang w:val="en-GB"/>
        </w:rPr>
        <w:t xml:space="preserve"> Nos </w:t>
      </w:r>
      <w:proofErr w:type="spellStart"/>
      <w:r w:rsidRPr="00684732">
        <w:rPr>
          <w:i/>
          <w:lang w:val="en-GB"/>
        </w:rPr>
        <w:t>Lustuk</w:t>
      </w:r>
      <w:proofErr w:type="spellEnd"/>
      <w:r w:rsidRPr="00684732">
        <w:rPr>
          <w:lang w:val="en-GB"/>
        </w:rPr>
        <w:t xml:space="preserve">, a soup made of the “nasty </w:t>
      </w:r>
      <w:r w:rsidRPr="00684732">
        <w:rPr>
          <w:lang w:val="en-GB"/>
        </w:rPr>
        <w:lastRenderedPageBreak/>
        <w:t xml:space="preserve">bits” of the Yak. The soup was believed to have substantial health benefits and was consumed in a ritualised religious ceremony. After a year living in rural </w:t>
      </w:r>
      <w:proofErr w:type="spellStart"/>
      <w:r w:rsidRPr="00684732">
        <w:rPr>
          <w:lang w:val="en-GB"/>
        </w:rPr>
        <w:t>Aurok</w:t>
      </w:r>
      <w:proofErr w:type="spellEnd"/>
      <w:r w:rsidRPr="00684732">
        <w:rPr>
          <w:lang w:val="en-GB"/>
        </w:rPr>
        <w:t xml:space="preserve">, </w:t>
      </w:r>
      <w:proofErr w:type="spellStart"/>
      <w:r w:rsidRPr="00684732">
        <w:rPr>
          <w:lang w:val="en-GB"/>
        </w:rPr>
        <w:t>Dr</w:t>
      </w:r>
      <w:r w:rsidR="00314598">
        <w:rPr>
          <w:lang w:val="en-GB"/>
        </w:rPr>
        <w:t>.</w:t>
      </w:r>
      <w:proofErr w:type="spellEnd"/>
      <w:r w:rsidRPr="00684732">
        <w:rPr>
          <w:lang w:val="en-GB"/>
        </w:rPr>
        <w:t xml:space="preserve"> Bello concluded that the reason for the difference in disease rates was a particular enzyme </w:t>
      </w:r>
      <w:r>
        <w:rPr>
          <w:lang w:val="en-GB"/>
        </w:rPr>
        <w:t>—</w:t>
      </w:r>
      <w:r w:rsidRPr="00684732">
        <w:rPr>
          <w:lang w:val="en-GB"/>
        </w:rPr>
        <w:t xml:space="preserve"> the Lustuk Enzyme </w:t>
      </w:r>
      <w:r>
        <w:rPr>
          <w:lang w:val="en-GB"/>
        </w:rPr>
        <w:t>—</w:t>
      </w:r>
      <w:r w:rsidRPr="00684732">
        <w:rPr>
          <w:lang w:val="en-GB"/>
        </w:rPr>
        <w:t xml:space="preserve"> within the gallbladder of the Yak. </w:t>
      </w:r>
      <w:proofErr w:type="spellStart"/>
      <w:r w:rsidRPr="00684732">
        <w:rPr>
          <w:lang w:val="en-GB"/>
        </w:rPr>
        <w:t>Dr</w:t>
      </w:r>
      <w:r w:rsidR="00314598">
        <w:rPr>
          <w:lang w:val="en-GB"/>
        </w:rPr>
        <w:t>.</w:t>
      </w:r>
      <w:proofErr w:type="spellEnd"/>
      <w:r w:rsidRPr="00684732">
        <w:rPr>
          <w:lang w:val="en-GB"/>
        </w:rPr>
        <w:t xml:space="preserve"> Bello published his findings in the </w:t>
      </w:r>
      <w:r w:rsidRPr="00684732">
        <w:rPr>
          <w:i/>
          <w:lang w:val="en-GB"/>
        </w:rPr>
        <w:t>Lancet</w:t>
      </w:r>
      <w:r w:rsidRPr="00684732">
        <w:rPr>
          <w:lang w:val="en-GB"/>
        </w:rPr>
        <w:t xml:space="preserve"> in 2002.</w:t>
      </w:r>
    </w:p>
    <w:p w14:paraId="2D4C4B7F" w14:textId="59EAA5F0" w:rsidR="007E05F5" w:rsidRPr="00684732" w:rsidRDefault="007E05F5" w:rsidP="003F1BAD">
      <w:pPr>
        <w:ind w:firstLine="720"/>
        <w:rPr>
          <w:lang w:val="en-GB"/>
        </w:rPr>
      </w:pPr>
      <w:proofErr w:type="spellStart"/>
      <w:r w:rsidRPr="00684732">
        <w:rPr>
          <w:lang w:val="en-GB"/>
        </w:rPr>
        <w:t>Dr</w:t>
      </w:r>
      <w:r w:rsidR="00314598">
        <w:rPr>
          <w:lang w:val="en-GB"/>
        </w:rPr>
        <w:t>.</w:t>
      </w:r>
      <w:proofErr w:type="spellEnd"/>
      <w:r w:rsidRPr="00684732">
        <w:rPr>
          <w:lang w:val="en-GB"/>
        </w:rPr>
        <w:t xml:space="preserve"> Bello and a team from DORTA isolated the enzyme and used it to develop an experimental medication in 2003. They then proceeded through clinical trials, demonstrating that the enzyme effective</w:t>
      </w:r>
      <w:r w:rsidR="00DB2FDC">
        <w:rPr>
          <w:lang w:val="en-GB"/>
        </w:rPr>
        <w:t>ly</w:t>
      </w:r>
      <w:r w:rsidRPr="00684732">
        <w:rPr>
          <w:lang w:val="en-GB"/>
        </w:rPr>
        <w:t xml:space="preserve"> </w:t>
      </w:r>
      <w:r w:rsidR="00DB2FDC">
        <w:rPr>
          <w:lang w:val="en-GB"/>
        </w:rPr>
        <w:t>treated</w:t>
      </w:r>
      <w:r w:rsidRPr="00684732">
        <w:rPr>
          <w:lang w:val="en-GB"/>
        </w:rPr>
        <w:t xml:space="preserve"> insulin-related diseases</w:t>
      </w:r>
      <w:r w:rsidR="00314598">
        <w:rPr>
          <w:lang w:val="en-GB"/>
        </w:rPr>
        <w:t>.</w:t>
      </w:r>
      <w:r w:rsidRPr="00684732">
        <w:rPr>
          <w:lang w:val="en-GB"/>
        </w:rPr>
        <w:t xml:space="preserve"> </w:t>
      </w:r>
      <w:r w:rsidR="00314598">
        <w:rPr>
          <w:lang w:val="en-GB"/>
        </w:rPr>
        <w:t>DORTA</w:t>
      </w:r>
      <w:r w:rsidR="00DB2FDC">
        <w:rPr>
          <w:lang w:val="en-GB"/>
        </w:rPr>
        <w:t xml:space="preserve"> </w:t>
      </w:r>
      <w:r w:rsidR="00314598">
        <w:rPr>
          <w:lang w:val="en-GB"/>
        </w:rPr>
        <w:t>filed</w:t>
      </w:r>
      <w:r w:rsidR="00DB2FDC">
        <w:rPr>
          <w:lang w:val="en-GB"/>
        </w:rPr>
        <w:t xml:space="preserve"> </w:t>
      </w:r>
      <w:r w:rsidR="00314598">
        <w:rPr>
          <w:lang w:val="en-GB"/>
        </w:rPr>
        <w:t>a</w:t>
      </w:r>
      <w:r w:rsidRPr="00684732">
        <w:rPr>
          <w:lang w:val="en-GB"/>
        </w:rPr>
        <w:t xml:space="preserve"> </w:t>
      </w:r>
      <w:r w:rsidR="00DB2FDC">
        <w:rPr>
          <w:lang w:val="en-GB"/>
        </w:rPr>
        <w:t>patent</w:t>
      </w:r>
      <w:r w:rsidRPr="00684732">
        <w:rPr>
          <w:lang w:val="en-GB"/>
        </w:rPr>
        <w:t xml:space="preserve"> </w:t>
      </w:r>
      <w:r w:rsidR="00314598">
        <w:rPr>
          <w:lang w:val="en-GB"/>
        </w:rPr>
        <w:t xml:space="preserve">application for </w:t>
      </w:r>
      <w:r w:rsidRPr="00684732">
        <w:rPr>
          <w:lang w:val="en-GB"/>
        </w:rPr>
        <w:t xml:space="preserve">the drug, Gallvectra, </w:t>
      </w:r>
      <w:r w:rsidR="00DB2FDC">
        <w:rPr>
          <w:lang w:val="en-GB"/>
        </w:rPr>
        <w:t>in</w:t>
      </w:r>
      <w:r w:rsidRPr="00684732">
        <w:rPr>
          <w:lang w:val="en-GB"/>
        </w:rPr>
        <w:t xml:space="preserve"> 2004. </w:t>
      </w:r>
    </w:p>
    <w:p w14:paraId="62F910F0" w14:textId="77777777" w:rsidR="007E05F5" w:rsidRPr="00684732" w:rsidRDefault="007E05F5" w:rsidP="007E05F5">
      <w:pPr>
        <w:rPr>
          <w:b/>
          <w:lang w:val="en-GB"/>
        </w:rPr>
      </w:pPr>
      <w:r w:rsidRPr="00684732">
        <w:rPr>
          <w:b/>
          <w:lang w:val="en-GB"/>
        </w:rPr>
        <w:t>The Patenting of Gallvectra</w:t>
      </w:r>
    </w:p>
    <w:p w14:paraId="080BC42C" w14:textId="11C577FC" w:rsidR="007E05F5" w:rsidRPr="00684732" w:rsidRDefault="007E05F5" w:rsidP="007E05F5">
      <w:pPr>
        <w:rPr>
          <w:lang w:val="en-GB"/>
        </w:rPr>
      </w:pPr>
      <w:r w:rsidRPr="00684732">
        <w:rPr>
          <w:lang w:val="en-GB"/>
        </w:rPr>
        <w:t xml:space="preserve">In January 2005, an anthropologist expert on rural Aurok published an article noting that observant </w:t>
      </w:r>
      <w:proofErr w:type="spellStart"/>
      <w:r w:rsidRPr="00684732">
        <w:rPr>
          <w:lang w:val="en-GB"/>
        </w:rPr>
        <w:t>Aurokans</w:t>
      </w:r>
      <w:proofErr w:type="spellEnd"/>
      <w:r w:rsidRPr="00684732">
        <w:rPr>
          <w:lang w:val="en-GB"/>
        </w:rPr>
        <w:t xml:space="preserve"> consumed </w:t>
      </w:r>
      <w:r w:rsidR="002B3971">
        <w:rPr>
          <w:lang w:val="en-GB"/>
        </w:rPr>
        <w:t>large</w:t>
      </w:r>
      <w:r w:rsidR="002F48D3">
        <w:rPr>
          <w:lang w:val="en-GB"/>
        </w:rPr>
        <w:t xml:space="preserve"> amounts of</w:t>
      </w:r>
      <w:r w:rsidRPr="00684732">
        <w:rPr>
          <w:lang w:val="en-GB"/>
        </w:rPr>
        <w:t xml:space="preserve"> the Lustuk Enzyme every year</w:t>
      </w:r>
      <w:r w:rsidR="008C1658">
        <w:rPr>
          <w:lang w:val="en-GB"/>
        </w:rPr>
        <w:t>.</w:t>
      </w:r>
      <w:r w:rsidRPr="00684732">
        <w:rPr>
          <w:lang w:val="en-GB"/>
        </w:rPr>
        <w:t xml:space="preserve"> She also noted that </w:t>
      </w:r>
      <w:proofErr w:type="spellStart"/>
      <w:r w:rsidRPr="00684732">
        <w:rPr>
          <w:lang w:val="en-GB"/>
        </w:rPr>
        <w:t>Pivzao</w:t>
      </w:r>
      <w:proofErr w:type="spellEnd"/>
      <w:r w:rsidRPr="00684732">
        <w:rPr>
          <w:lang w:val="en-GB"/>
        </w:rPr>
        <w:t xml:space="preserve"> civili</w:t>
      </w:r>
      <w:r w:rsidR="00C925B0">
        <w:rPr>
          <w:lang w:val="en-GB"/>
        </w:rPr>
        <w:t>s</w:t>
      </w:r>
      <w:r w:rsidRPr="00684732">
        <w:rPr>
          <w:lang w:val="en-GB"/>
        </w:rPr>
        <w:t xml:space="preserve">ation attributed significant health benefits to the gallbladder in particular, and </w:t>
      </w:r>
      <w:proofErr w:type="spellStart"/>
      <w:r w:rsidRPr="00684732">
        <w:rPr>
          <w:i/>
          <w:lang w:val="en-GB"/>
        </w:rPr>
        <w:t>Tirhinga</w:t>
      </w:r>
      <w:proofErr w:type="spellEnd"/>
      <w:r w:rsidRPr="00684732">
        <w:rPr>
          <w:i/>
          <w:lang w:val="en-GB"/>
        </w:rPr>
        <w:t xml:space="preserve"> Nos </w:t>
      </w:r>
      <w:proofErr w:type="spellStart"/>
      <w:r w:rsidRPr="00684732">
        <w:rPr>
          <w:i/>
          <w:lang w:val="en-GB"/>
        </w:rPr>
        <w:t>Lustuk</w:t>
      </w:r>
      <w:proofErr w:type="spellEnd"/>
      <w:r w:rsidRPr="00684732">
        <w:rPr>
          <w:i/>
          <w:lang w:val="en-GB"/>
        </w:rPr>
        <w:t xml:space="preserve"> </w:t>
      </w:r>
      <w:r w:rsidRPr="00684732">
        <w:rPr>
          <w:lang w:val="en-GB"/>
        </w:rPr>
        <w:t xml:space="preserve">is still recommended for health purposes. </w:t>
      </w:r>
    </w:p>
    <w:p w14:paraId="2BC8C7D6" w14:textId="3DF01F68" w:rsidR="007E05F5" w:rsidRPr="00684732" w:rsidRDefault="007E05F5" w:rsidP="00314598">
      <w:pPr>
        <w:ind w:firstLine="720"/>
        <w:rPr>
          <w:lang w:val="en-GB"/>
        </w:rPr>
      </w:pPr>
      <w:r w:rsidRPr="00684732">
        <w:rPr>
          <w:lang w:val="en-GB"/>
        </w:rPr>
        <w:t>In March 2005, the Aurokan Minister of Intellectual Property wrote to his Rakkabi counterpart objecting to the pending patent on Gallvectra. He argued that</w:t>
      </w:r>
      <w:r w:rsidR="008C1658">
        <w:rPr>
          <w:lang w:val="en-GB"/>
        </w:rPr>
        <w:t xml:space="preserve"> </w:t>
      </w:r>
      <w:r w:rsidRPr="00684732">
        <w:rPr>
          <w:lang w:val="en-GB"/>
        </w:rPr>
        <w:t>the drug was substantially based on Aurokan indigenous knowledge about the health benefits of the gallbladder. A group of leading biologists agreed with him in a public letter.</w:t>
      </w:r>
      <w:r w:rsidR="00314598">
        <w:rPr>
          <w:lang w:val="en-GB"/>
        </w:rPr>
        <w:t xml:space="preserve"> </w:t>
      </w:r>
      <w:r w:rsidRPr="00684732">
        <w:rPr>
          <w:lang w:val="en-GB"/>
        </w:rPr>
        <w:t>DORTA rejected the claim, insisting that Aurokan knowledge was too distant from the drug, and arguing that the patent posed no threat to Aurokan traditional use of the Yak. The Rakkabi patent office granted the patent</w:t>
      </w:r>
      <w:r w:rsidR="00314598">
        <w:rPr>
          <w:lang w:val="en-GB"/>
        </w:rPr>
        <w:t>.</w:t>
      </w:r>
      <w:r w:rsidRPr="00684732">
        <w:rPr>
          <w:lang w:val="en-GB"/>
        </w:rPr>
        <w:t xml:space="preserve"> </w:t>
      </w:r>
      <w:r w:rsidR="003B775B">
        <w:rPr>
          <w:lang w:val="en-GB"/>
        </w:rPr>
        <w:t>B</w:t>
      </w:r>
      <w:r w:rsidRPr="00684732">
        <w:rPr>
          <w:lang w:val="en-GB"/>
        </w:rPr>
        <w:t>y 2018</w:t>
      </w:r>
      <w:r w:rsidR="003B775B">
        <w:rPr>
          <w:lang w:val="en-GB"/>
        </w:rPr>
        <w:t>,</w:t>
      </w:r>
      <w:r w:rsidRPr="00684732">
        <w:rPr>
          <w:lang w:val="en-GB"/>
        </w:rPr>
        <w:t xml:space="preserve"> Gallvectra was </w:t>
      </w:r>
      <w:r w:rsidR="00314598">
        <w:rPr>
          <w:lang w:val="en-GB"/>
        </w:rPr>
        <w:t xml:space="preserve">approved for </w:t>
      </w:r>
      <w:r w:rsidR="003B775B">
        <w:rPr>
          <w:lang w:val="en-GB"/>
        </w:rPr>
        <w:t>use and sale</w:t>
      </w:r>
      <w:r w:rsidRPr="00684732">
        <w:rPr>
          <w:lang w:val="en-GB"/>
        </w:rPr>
        <w:t xml:space="preserve"> in more than eighty-five countries. By 2017 sales exceeded €3.2 billion and Gallvectra was added to the WHO Model List of Essential Medicines.</w:t>
      </w:r>
    </w:p>
    <w:p w14:paraId="50A72679" w14:textId="77777777" w:rsidR="007E05F5" w:rsidRPr="00684732" w:rsidRDefault="007E05F5" w:rsidP="007E05F5">
      <w:pPr>
        <w:rPr>
          <w:b/>
          <w:lang w:val="en-GB"/>
        </w:rPr>
      </w:pPr>
      <w:r w:rsidRPr="00684732">
        <w:rPr>
          <w:b/>
          <w:lang w:val="en-GB"/>
        </w:rPr>
        <w:t>The Decline of the Yak</w:t>
      </w:r>
    </w:p>
    <w:p w14:paraId="377BBF9B" w14:textId="77777777" w:rsidR="007E05F5" w:rsidRPr="00684732" w:rsidRDefault="007E05F5" w:rsidP="007E05F5">
      <w:pPr>
        <w:rPr>
          <w:lang w:val="en-GB"/>
        </w:rPr>
      </w:pPr>
      <w:r w:rsidRPr="00684732">
        <w:rPr>
          <w:lang w:val="en-GB"/>
        </w:rPr>
        <w:t xml:space="preserve">In February 2016, a Brisbane-based newspaper revealed that Yak gallbladders for the manufacture of Gallvectra were obtained by private hunters, whom DORTA offered substantial cash rewards. The number of hunting licenses issued by Rakkab had increased tenfold after the rewards were first offered in 2011. These hunters killed nearly 30,000 Yak from October 2015 to February 2016, of 680,000 total Yak. DORTA responded that their take was relatively small, while </w:t>
      </w:r>
      <w:proofErr w:type="spellStart"/>
      <w:r w:rsidRPr="00684732">
        <w:rPr>
          <w:lang w:val="en-GB"/>
        </w:rPr>
        <w:t>Aurokans</w:t>
      </w:r>
      <w:proofErr w:type="spellEnd"/>
      <w:r w:rsidRPr="00684732">
        <w:rPr>
          <w:lang w:val="en-GB"/>
        </w:rPr>
        <w:t xml:space="preserve"> killed hundreds of thousands. Furthermore, they argued that Gallvectra saved lives, justifying the </w:t>
      </w:r>
      <w:r>
        <w:rPr>
          <w:lang w:val="en-GB"/>
        </w:rPr>
        <w:t>harvesting</w:t>
      </w:r>
      <w:r w:rsidRPr="00684732">
        <w:rPr>
          <w:lang w:val="en-GB"/>
        </w:rPr>
        <w:t>.</w:t>
      </w:r>
    </w:p>
    <w:p w14:paraId="21727A5F" w14:textId="2A81DA26" w:rsidR="007E05F5" w:rsidRPr="00684732" w:rsidRDefault="007E05F5" w:rsidP="003F1BAD">
      <w:pPr>
        <w:ind w:firstLine="720"/>
        <w:rPr>
          <w:lang w:val="en-GB"/>
        </w:rPr>
      </w:pPr>
      <w:r w:rsidRPr="00684732">
        <w:rPr>
          <w:lang w:val="en-GB"/>
        </w:rPr>
        <w:lastRenderedPageBreak/>
        <w:t xml:space="preserve">In February 2016, the Aurokan Parliament initiated research into breeding </w:t>
      </w:r>
      <w:r w:rsidR="005F2A9E">
        <w:rPr>
          <w:lang w:val="en-GB"/>
        </w:rPr>
        <w:t>Yak</w:t>
      </w:r>
      <w:r w:rsidRPr="00684732">
        <w:rPr>
          <w:lang w:val="en-GB"/>
        </w:rPr>
        <w:t xml:space="preserve"> in captivity and issued a five-year moratorium on hunting female </w:t>
      </w:r>
      <w:r w:rsidR="005F2A9E">
        <w:rPr>
          <w:lang w:val="en-GB"/>
        </w:rPr>
        <w:t>Yak</w:t>
      </w:r>
      <w:r w:rsidRPr="00684732">
        <w:rPr>
          <w:lang w:val="en-GB"/>
        </w:rPr>
        <w:t xml:space="preserve"> of breeding age. After meeting with Aurokan leaders in March to discuss sustainability, Rakkab also began researching breeding </w:t>
      </w:r>
      <w:r w:rsidR="005F2A9E">
        <w:rPr>
          <w:lang w:val="en-GB"/>
        </w:rPr>
        <w:t>Yak</w:t>
      </w:r>
      <w:r w:rsidRPr="00684732">
        <w:rPr>
          <w:lang w:val="en-GB"/>
        </w:rPr>
        <w:t xml:space="preserve"> in captivity. Neither has seen any success.</w:t>
      </w:r>
    </w:p>
    <w:p w14:paraId="3FCD58EA" w14:textId="37E1B5EF" w:rsidR="007E05F5" w:rsidRPr="00684732" w:rsidRDefault="007E05F5" w:rsidP="003F1BAD">
      <w:pPr>
        <w:ind w:firstLine="720"/>
        <w:rPr>
          <w:lang w:val="en-GB"/>
        </w:rPr>
      </w:pPr>
      <w:r w:rsidRPr="00684732">
        <w:rPr>
          <w:lang w:val="en-GB"/>
        </w:rPr>
        <w:t>The Yak Life Sciences Academy (</w:t>
      </w:r>
      <w:r w:rsidR="00A629B5">
        <w:rPr>
          <w:lang w:val="en-GB"/>
        </w:rPr>
        <w:t>“</w:t>
      </w:r>
      <w:r w:rsidRPr="00684732">
        <w:rPr>
          <w:lang w:val="en-GB"/>
        </w:rPr>
        <w:t>YLSA</w:t>
      </w:r>
      <w:r w:rsidR="00A629B5">
        <w:rPr>
          <w:lang w:val="en-GB"/>
        </w:rPr>
        <w:t>”</w:t>
      </w:r>
      <w:r w:rsidRPr="00684732">
        <w:rPr>
          <w:lang w:val="en-GB"/>
        </w:rPr>
        <w:t xml:space="preserve">), an international NGO, reported in June 2016 that the Yak population had declined by more than </w:t>
      </w:r>
      <w:r w:rsidR="00C925B0">
        <w:rPr>
          <w:lang w:val="en-GB"/>
        </w:rPr>
        <w:t>5%</w:t>
      </w:r>
      <w:r w:rsidRPr="00684732">
        <w:rPr>
          <w:lang w:val="en-GB"/>
        </w:rPr>
        <w:t xml:space="preserve"> that year. They reported that while the </w:t>
      </w:r>
      <w:proofErr w:type="spellStart"/>
      <w:r w:rsidRPr="00684732">
        <w:rPr>
          <w:lang w:val="en-GB"/>
        </w:rPr>
        <w:t>Aurokans</w:t>
      </w:r>
      <w:proofErr w:type="spellEnd"/>
      <w:r w:rsidRPr="00684732">
        <w:rPr>
          <w:lang w:val="en-GB"/>
        </w:rPr>
        <w:t xml:space="preserve"> took more </w:t>
      </w:r>
      <w:r w:rsidR="005F2A9E">
        <w:rPr>
          <w:lang w:val="en-GB"/>
        </w:rPr>
        <w:t>Yak</w:t>
      </w:r>
      <w:r w:rsidRPr="00684732">
        <w:rPr>
          <w:lang w:val="en-GB"/>
        </w:rPr>
        <w:t xml:space="preserve"> than did DORTA </w:t>
      </w:r>
      <w:r>
        <w:rPr>
          <w:lang w:val="en-GB"/>
        </w:rPr>
        <w:t>—</w:t>
      </w:r>
      <w:r w:rsidRPr="00684732">
        <w:rPr>
          <w:lang w:val="en-GB"/>
        </w:rPr>
        <w:t xml:space="preserve"> an average of 140,000 per annum, down to 120,000 </w:t>
      </w:r>
      <w:r w:rsidR="003F1BAD">
        <w:rPr>
          <w:lang w:val="en-GB"/>
        </w:rPr>
        <w:t>—</w:t>
      </w:r>
      <w:r w:rsidRPr="00684732">
        <w:rPr>
          <w:lang w:val="en-GB"/>
        </w:rPr>
        <w:t xml:space="preserve"> DORTA had pushed the </w:t>
      </w:r>
      <w:r w:rsidR="005F2A9E">
        <w:rPr>
          <w:lang w:val="en-GB"/>
        </w:rPr>
        <w:t>Yak</w:t>
      </w:r>
      <w:r w:rsidRPr="00684732">
        <w:rPr>
          <w:lang w:val="en-GB"/>
        </w:rPr>
        <w:t xml:space="preserve"> over a delicate equilibrium into decline. They furthermore noted that the decline was particularly marked among the young and the female of the species. In the absence of any change, they predicted that the </w:t>
      </w:r>
      <w:r w:rsidR="005F2A9E">
        <w:rPr>
          <w:lang w:val="en-GB"/>
        </w:rPr>
        <w:t>Yak</w:t>
      </w:r>
      <w:r w:rsidRPr="00684732">
        <w:rPr>
          <w:lang w:val="en-GB"/>
        </w:rPr>
        <w:t xml:space="preserve"> would be extinct or near extinction by 2040. No other independent research into the Yak population trends has been conducted. After the winter of 2017, YLSA reported that the Yak population had now declined by 10% over two years. </w:t>
      </w:r>
    </w:p>
    <w:p w14:paraId="43D8F102" w14:textId="181B9AAA" w:rsidR="007E05F5" w:rsidRPr="00684732" w:rsidRDefault="007E05F5" w:rsidP="003F1BAD">
      <w:pPr>
        <w:ind w:firstLine="720"/>
        <w:rPr>
          <w:lang w:val="en-GB"/>
        </w:rPr>
      </w:pPr>
      <w:r w:rsidRPr="00684732">
        <w:rPr>
          <w:lang w:val="en-GB"/>
        </w:rPr>
        <w:t xml:space="preserve">A meeting between the Prime Ministers of Rakkab and Aurok, and the CEO of DORTA took place in October. DORTA agreed to cooperate with the Aurokan government and to proceed carefully, but refused to commit to any particular course of action. DORTA also revealed that it was working on a synthetic Lustuk Enzyme. The Rakkabi government developed and released </w:t>
      </w:r>
      <w:proofErr w:type="spellStart"/>
      <w:r>
        <w:rPr>
          <w:lang w:val="en-GB"/>
        </w:rPr>
        <w:t>YakTrakker</w:t>
      </w:r>
      <w:proofErr w:type="spellEnd"/>
      <w:r w:rsidRPr="00684732">
        <w:rPr>
          <w:lang w:val="en-GB"/>
        </w:rPr>
        <w:t xml:space="preserve">, an app to track Yak herds. YLSA noted anecdotally that it was used by hunters. </w:t>
      </w:r>
    </w:p>
    <w:p w14:paraId="74A2B80F" w14:textId="77777777" w:rsidR="007E05F5" w:rsidRPr="00684732" w:rsidRDefault="007E05F5" w:rsidP="007E05F5">
      <w:pPr>
        <w:rPr>
          <w:b/>
          <w:lang w:val="en-GB"/>
        </w:rPr>
      </w:pPr>
      <w:proofErr w:type="spellStart"/>
      <w:r w:rsidRPr="00684732">
        <w:rPr>
          <w:b/>
          <w:lang w:val="en-GB"/>
        </w:rPr>
        <w:t>Aurok’s</w:t>
      </w:r>
      <w:proofErr w:type="spellEnd"/>
      <w:r w:rsidRPr="00684732">
        <w:rPr>
          <w:b/>
          <w:lang w:val="en-GB"/>
        </w:rPr>
        <w:t xml:space="preserve"> Response</w:t>
      </w:r>
    </w:p>
    <w:p w14:paraId="217C0B97" w14:textId="12A23A71" w:rsidR="007E05F5" w:rsidRPr="00684732" w:rsidRDefault="007E05F5" w:rsidP="007E05F5">
      <w:pPr>
        <w:rPr>
          <w:lang w:val="en-GB"/>
        </w:rPr>
      </w:pPr>
      <w:r w:rsidRPr="00684732">
        <w:rPr>
          <w:lang w:val="en-GB"/>
        </w:rPr>
        <w:t xml:space="preserve">In June 2017, Aurok strictly regulated the hunting of the Yak within their borders, and placed sanctions on Rakkab. Within Aurok, </w:t>
      </w:r>
      <w:r w:rsidR="005F2A9E">
        <w:rPr>
          <w:lang w:val="en-GB"/>
        </w:rPr>
        <w:t>Yak</w:t>
      </w:r>
      <w:r w:rsidRPr="00684732">
        <w:rPr>
          <w:lang w:val="en-GB"/>
        </w:rPr>
        <w:t xml:space="preserve"> could now only be hunted by traditional means for traditional purposes. The Yak was included in Appendix III of CITES in September of that year, and Appendix I of CMS in October. </w:t>
      </w:r>
      <w:proofErr w:type="gramStart"/>
      <w:r w:rsidRPr="00684732">
        <w:rPr>
          <w:lang w:val="en-GB"/>
        </w:rPr>
        <w:t>Also</w:t>
      </w:r>
      <w:proofErr w:type="gramEnd"/>
      <w:r w:rsidRPr="00684732">
        <w:rPr>
          <w:lang w:val="en-GB"/>
        </w:rPr>
        <w:t xml:space="preserve"> in October, Aurok requested that Rakkab halt the hunting of the Yak; Rakkab disclaimed responsibility. </w:t>
      </w:r>
    </w:p>
    <w:p w14:paraId="02E247FB" w14:textId="3F58FEE4" w:rsidR="003B775B" w:rsidRPr="003B775B" w:rsidRDefault="007E05F5" w:rsidP="003B775B">
      <w:pPr>
        <w:ind w:firstLine="720"/>
        <w:rPr>
          <w:lang w:val="en-GB"/>
        </w:rPr>
      </w:pPr>
      <w:r w:rsidRPr="00684732">
        <w:rPr>
          <w:lang w:val="en-GB"/>
        </w:rPr>
        <w:t>In November, in response to the CMS decision, Rakkab terminated all existing licenses. Rakkab then granted DORTA a licen</w:t>
      </w:r>
      <w:r w:rsidR="00C925B0">
        <w:rPr>
          <w:lang w:val="en-GB"/>
        </w:rPr>
        <w:t>c</w:t>
      </w:r>
      <w:r w:rsidRPr="00684732">
        <w:rPr>
          <w:lang w:val="en-GB"/>
        </w:rPr>
        <w:t xml:space="preserve">e to take up to 30,000 per year for three years, for the purpose of developing and producing Gallvectra. Aurok lodged a formal protest, and indicated that it would seek the inclusion of the Yak under Appendix I of CITES in May 2019. DORTA took 28,500 </w:t>
      </w:r>
      <w:r w:rsidR="005F2A9E">
        <w:rPr>
          <w:lang w:val="en-GB"/>
        </w:rPr>
        <w:t>Yak</w:t>
      </w:r>
      <w:r w:rsidRPr="00684732">
        <w:rPr>
          <w:lang w:val="en-GB"/>
        </w:rPr>
        <w:t xml:space="preserve"> in the Winter of 2017/2018. </w:t>
      </w:r>
    </w:p>
    <w:p w14:paraId="4C0F9157" w14:textId="624DA928" w:rsidR="007E05F5" w:rsidRPr="00684732" w:rsidRDefault="007E05F5" w:rsidP="007E05F5">
      <w:pPr>
        <w:rPr>
          <w:b/>
          <w:lang w:val="en-GB"/>
        </w:rPr>
      </w:pPr>
      <w:r w:rsidRPr="00684732">
        <w:rPr>
          <w:b/>
          <w:lang w:val="en-GB"/>
        </w:rPr>
        <w:t>Relevant Conventions</w:t>
      </w:r>
    </w:p>
    <w:p w14:paraId="0C478D00" w14:textId="08F02E73" w:rsidR="007E05F5" w:rsidRPr="003C2865" w:rsidRDefault="007E05F5" w:rsidP="007E05F5">
      <w:pPr>
        <w:rPr>
          <w:lang w:val="en-GB"/>
        </w:rPr>
      </w:pPr>
      <w:r w:rsidRPr="00684732">
        <w:rPr>
          <w:lang w:val="en-GB"/>
        </w:rPr>
        <w:lastRenderedPageBreak/>
        <w:t>Aurok and Rakkab are members of the United Nations, and parties to the Vienna Convention on the Law of Treaties, the International Covenant on Civil and Political Rights, the International Covenant on Economic, Social and Cultural Rights, the Paris Convention for the Protection of Industrial Property of 1883 as amended, the Convention on International Trade in Endangered Species of Wild Flora and Fauna of 1973, the Convention on the Conservation of Migratory Species of Wild Animals of 1979, the Indigenous and Tribal Peoples Convention of 1989, and the Convention on Biological Diversity of 1992 and its 2010 Nagoya Protocol on Access to Genetic Resources and the Fair and Equitable Sharing of Benefits Arising from Their Utilization. Neither State has issued any relevant reservations.</w:t>
      </w:r>
    </w:p>
    <w:p w14:paraId="178BBF1B" w14:textId="77777777" w:rsidR="003F1BAD" w:rsidRDefault="003F1BAD" w:rsidP="00CF7119">
      <w:pPr>
        <w:pStyle w:val="Heading1"/>
        <w:rPr>
          <w:lang w:val="en-AU"/>
        </w:rPr>
      </w:pPr>
      <w:r>
        <w:rPr>
          <w:lang w:val="en-AU"/>
        </w:rPr>
        <w:br w:type="page"/>
      </w:r>
    </w:p>
    <w:p w14:paraId="3D1DE243" w14:textId="5BF66BA0" w:rsidR="00CF7119" w:rsidRPr="00594B21" w:rsidRDefault="00CF7119" w:rsidP="00CF7119">
      <w:pPr>
        <w:pStyle w:val="Heading1"/>
        <w:rPr>
          <w:lang w:val="en-AU"/>
        </w:rPr>
      </w:pPr>
      <w:bookmarkStart w:id="133" w:name="_Toc534995758"/>
      <w:bookmarkStart w:id="134" w:name="_Toc535037159"/>
      <w:r>
        <w:rPr>
          <w:lang w:val="en-AU"/>
        </w:rPr>
        <w:lastRenderedPageBreak/>
        <w:t>Summary of pleadings</w:t>
      </w:r>
      <w:bookmarkEnd w:id="133"/>
      <w:bookmarkEnd w:id="134"/>
    </w:p>
    <w:p w14:paraId="39099B73" w14:textId="383866F2" w:rsidR="00CF7119" w:rsidRDefault="00CF7119" w:rsidP="00CF7119">
      <w:pPr>
        <w:rPr>
          <w:b/>
          <w:lang w:val="en-AU"/>
        </w:rPr>
      </w:pPr>
      <w:r>
        <w:rPr>
          <w:b/>
          <w:lang w:val="en-AU"/>
        </w:rPr>
        <w:t>PLEADING I</w:t>
      </w:r>
    </w:p>
    <w:p w14:paraId="0576931C" w14:textId="77777777" w:rsidR="007E05F5" w:rsidRDefault="007E05F5" w:rsidP="007E05F5">
      <w:r>
        <w:t xml:space="preserve">Accepting </w:t>
      </w:r>
      <w:r>
        <w:rPr>
          <w:i/>
        </w:rPr>
        <w:t>arguendo</w:t>
      </w:r>
      <w:r>
        <w:t xml:space="preserve"> that the acts in Pleadings II–IV are internationally wrongful acts, DORTA’s actions are not attributable to Rakkab under the Draft Articles on Responsibility of States for Internationally Wrongful Acts (“ASR”). First, DORTA is not a State organ, it is a private company under </w:t>
      </w:r>
      <w:proofErr w:type="spellStart"/>
      <w:r>
        <w:t>Rakkabi</w:t>
      </w:r>
      <w:proofErr w:type="spellEnd"/>
      <w:r>
        <w:t xml:space="preserve"> law. Second, DORTA was not exercising governmental authority as the sale of prescription drugs is a private, commercial activity. Third, DORTA was not acting under the instruction, direction or control of Rakkab. As a minority shareholder, Rakkab was unable to exercise decisive influence over DORTA. </w:t>
      </w:r>
    </w:p>
    <w:p w14:paraId="66D22096" w14:textId="40F328A5" w:rsidR="007E05F5" w:rsidRPr="007E05F5" w:rsidRDefault="007E05F5" w:rsidP="00CF7119">
      <w:pPr>
        <w:rPr>
          <w:lang w:val="en-GB"/>
        </w:rPr>
      </w:pPr>
      <w:r>
        <w:rPr>
          <w:lang w:val="en-GB"/>
        </w:rPr>
        <w:tab/>
        <w:t xml:space="preserve">Additionally, Rakkab is not responsible for failing to prevent DORTA’s wrongful acts. States have an obligation not to allow its territory to be used for acts contrary to the rights of other States. The obligation requires States to act with due diligence in taking measures to prevent transboundary harm. Rakkab satisfied this obligation </w:t>
      </w:r>
      <w:r>
        <w:rPr>
          <w:i/>
          <w:lang w:val="en-GB"/>
        </w:rPr>
        <w:t>inter alia</w:t>
      </w:r>
      <w:r>
        <w:rPr>
          <w:lang w:val="en-GB"/>
        </w:rPr>
        <w:t xml:space="preserve"> by assessing the risk of harm through an Environmental Impact Assessment (“EIA”) and implemented measures to regulate DORTA’s taking of the Yak.</w:t>
      </w:r>
    </w:p>
    <w:p w14:paraId="52F16B81" w14:textId="0CA3B532" w:rsidR="00CF7119" w:rsidRDefault="00CF7119" w:rsidP="00CF7119">
      <w:pPr>
        <w:rPr>
          <w:b/>
          <w:lang w:val="en-AU"/>
        </w:rPr>
      </w:pPr>
      <w:r>
        <w:rPr>
          <w:b/>
          <w:lang w:val="en-AU"/>
        </w:rPr>
        <w:t>PLEADING II</w:t>
      </w:r>
    </w:p>
    <w:p w14:paraId="4305851B" w14:textId="77777777" w:rsidR="007E05F5" w:rsidRDefault="007E05F5" w:rsidP="007E05F5">
      <w:pPr>
        <w:rPr>
          <w:lang w:val="en-GB"/>
        </w:rPr>
      </w:pPr>
      <w:r>
        <w:rPr>
          <w:lang w:val="en-GB"/>
        </w:rPr>
        <w:t xml:space="preserve">Rakkab has an obligation the Convention on Migratory Species (“CMS”) not to take endangered species. However, under Article </w:t>
      </w:r>
      <w:proofErr w:type="gramStart"/>
      <w:r>
        <w:rPr>
          <w:lang w:val="en-GB"/>
        </w:rPr>
        <w:t>III(</w:t>
      </w:r>
      <w:proofErr w:type="gramEnd"/>
      <w:r>
        <w:rPr>
          <w:lang w:val="en-GB"/>
        </w:rPr>
        <w:t xml:space="preserve">5) the taking of the Yak is justified under  because it is for the scientific purpose of developing and distributing Gallvectra, an essential medicine. Alternatively, the taking is justified because extraordinary circumstances, namely the high medical value of the Yak gallbladders required it. Furthermore, Rakkab was not required to obtain an export permit for the Gallvectra under the </w:t>
      </w:r>
      <w:r w:rsidRPr="0071088F">
        <w:rPr>
          <w:lang w:val="en-GB"/>
        </w:rPr>
        <w:t>Convention on International Trade in Endangered Species of Wild Fauna and Flora</w:t>
      </w:r>
      <w:r>
        <w:rPr>
          <w:lang w:val="en-GB"/>
        </w:rPr>
        <w:t xml:space="preserve"> (“CITES”) because it did not request for the inclusion of the Yak in Appendix III.</w:t>
      </w:r>
    </w:p>
    <w:p w14:paraId="177C6E19" w14:textId="50ABBE2D" w:rsidR="003F1BAD" w:rsidRPr="00C925B0" w:rsidRDefault="007E05F5" w:rsidP="00CF7119">
      <w:pPr>
        <w:rPr>
          <w:lang w:val="en-GB"/>
        </w:rPr>
      </w:pPr>
      <w:r>
        <w:rPr>
          <w:lang w:val="en-GB"/>
        </w:rPr>
        <w:tab/>
        <w:t>Additionally, Rakkab did not breach its customary international law obligation</w:t>
      </w:r>
      <w:r w:rsidR="00C925B0">
        <w:rPr>
          <w:lang w:val="en-GB"/>
        </w:rPr>
        <w:t>s.</w:t>
      </w:r>
      <w:r>
        <w:rPr>
          <w:lang w:val="en-GB"/>
        </w:rPr>
        <w:t xml:space="preserve"> Rakkab complied with its procedural obligation to prevent significant transboundary harm by assessing the risk, notifying and consulting Aurok, and continuing to monitor the Yak population. Furthermore, obligations relating to the equitable use of shared resources </w:t>
      </w:r>
      <w:r w:rsidR="00C925B0">
        <w:rPr>
          <w:lang w:val="en-GB"/>
        </w:rPr>
        <w:t>do</w:t>
      </w:r>
      <w:r>
        <w:rPr>
          <w:lang w:val="en-GB"/>
        </w:rPr>
        <w:t xml:space="preserve"> not apply to terrestrial migratory species. In any case, the use was equitable and sustainable as it </w:t>
      </w:r>
      <w:r w:rsidR="00C925B0">
        <w:rPr>
          <w:lang w:val="en-GB"/>
        </w:rPr>
        <w:t xml:space="preserve">was </w:t>
      </w:r>
      <w:r>
        <w:rPr>
          <w:lang w:val="en-GB"/>
        </w:rPr>
        <w:t xml:space="preserve">proportionate to </w:t>
      </w:r>
      <w:proofErr w:type="spellStart"/>
      <w:r>
        <w:rPr>
          <w:lang w:val="en-GB"/>
        </w:rPr>
        <w:t>Rakkab’s</w:t>
      </w:r>
      <w:proofErr w:type="spellEnd"/>
      <w:r>
        <w:rPr>
          <w:lang w:val="en-GB"/>
        </w:rPr>
        <w:t xml:space="preserve"> interest.</w:t>
      </w:r>
    </w:p>
    <w:p w14:paraId="48412F5C" w14:textId="77777777" w:rsidR="00C925B0" w:rsidRDefault="00C925B0" w:rsidP="00CF7119">
      <w:pPr>
        <w:rPr>
          <w:b/>
          <w:lang w:val="en-AU"/>
        </w:rPr>
      </w:pPr>
    </w:p>
    <w:p w14:paraId="72551C97" w14:textId="07C2B5AA" w:rsidR="00CF7119" w:rsidRDefault="00CF7119" w:rsidP="00CF7119">
      <w:pPr>
        <w:rPr>
          <w:b/>
          <w:lang w:val="en-AU"/>
        </w:rPr>
      </w:pPr>
      <w:r>
        <w:rPr>
          <w:b/>
          <w:lang w:val="en-AU"/>
        </w:rPr>
        <w:t>PLEADING III</w:t>
      </w:r>
    </w:p>
    <w:p w14:paraId="78AF6317" w14:textId="4FBA2A07" w:rsidR="00CF7119" w:rsidRDefault="00CF7119" w:rsidP="00CF7119">
      <w:pPr>
        <w:rPr>
          <w:lang w:val="en-AU"/>
        </w:rPr>
      </w:pPr>
      <w:r>
        <w:rPr>
          <w:lang w:val="en-AU"/>
        </w:rPr>
        <w:t>Rakkab</w:t>
      </w:r>
      <w:r w:rsidR="00395240">
        <w:rPr>
          <w:lang w:val="en-AU"/>
        </w:rPr>
        <w:t xml:space="preserve"> does not have standing to bring this claim as</w:t>
      </w:r>
      <w:r>
        <w:rPr>
          <w:lang w:val="en-AU"/>
        </w:rPr>
        <w:t xml:space="preserve"> </w:t>
      </w:r>
      <w:r w:rsidR="00395240">
        <w:rPr>
          <w:lang w:val="en-AU"/>
        </w:rPr>
        <w:t>i</w:t>
      </w:r>
      <w:r>
        <w:rPr>
          <w:lang w:val="en-AU"/>
        </w:rPr>
        <w:t xml:space="preserve">t is not an injured party, and human rights obligations are neither obligations </w:t>
      </w:r>
      <w:proofErr w:type="spellStart"/>
      <w:r>
        <w:rPr>
          <w:i/>
          <w:lang w:val="en-AU"/>
        </w:rPr>
        <w:t>erga</w:t>
      </w:r>
      <w:proofErr w:type="spellEnd"/>
      <w:r>
        <w:rPr>
          <w:i/>
          <w:lang w:val="en-AU"/>
        </w:rPr>
        <w:t xml:space="preserve"> </w:t>
      </w:r>
      <w:proofErr w:type="spellStart"/>
      <w:r>
        <w:rPr>
          <w:i/>
          <w:lang w:val="en-AU"/>
        </w:rPr>
        <w:t>omnes</w:t>
      </w:r>
      <w:proofErr w:type="spellEnd"/>
      <w:r>
        <w:rPr>
          <w:i/>
          <w:lang w:val="en-AU"/>
        </w:rPr>
        <w:t xml:space="preserve"> </w:t>
      </w:r>
      <w:proofErr w:type="spellStart"/>
      <w:r>
        <w:rPr>
          <w:i/>
          <w:lang w:val="en-AU"/>
        </w:rPr>
        <w:t>partes</w:t>
      </w:r>
      <w:proofErr w:type="spellEnd"/>
      <w:r>
        <w:rPr>
          <w:i/>
          <w:lang w:val="en-AU"/>
        </w:rPr>
        <w:t xml:space="preserve"> </w:t>
      </w:r>
      <w:r w:rsidR="005B4DBF">
        <w:rPr>
          <w:lang w:val="en-AU"/>
        </w:rPr>
        <w:t>nor</w:t>
      </w:r>
      <w:r>
        <w:rPr>
          <w:lang w:val="en-AU"/>
        </w:rPr>
        <w:t xml:space="preserve"> </w:t>
      </w:r>
      <w:proofErr w:type="spellStart"/>
      <w:r>
        <w:rPr>
          <w:i/>
          <w:lang w:val="en-AU"/>
        </w:rPr>
        <w:t>erga</w:t>
      </w:r>
      <w:proofErr w:type="spellEnd"/>
      <w:r>
        <w:rPr>
          <w:i/>
          <w:lang w:val="en-AU"/>
        </w:rPr>
        <w:t xml:space="preserve"> </w:t>
      </w:r>
      <w:proofErr w:type="spellStart"/>
      <w:r>
        <w:rPr>
          <w:i/>
          <w:lang w:val="en-AU"/>
        </w:rPr>
        <w:t>omnes</w:t>
      </w:r>
      <w:proofErr w:type="spellEnd"/>
      <w:r>
        <w:rPr>
          <w:i/>
          <w:lang w:val="en-AU"/>
        </w:rPr>
        <w:t xml:space="preserve">. </w:t>
      </w:r>
      <w:r>
        <w:rPr>
          <w:lang w:val="en-AU"/>
        </w:rPr>
        <w:t xml:space="preserve"> </w:t>
      </w:r>
      <w:r w:rsidR="0075096C">
        <w:rPr>
          <w:lang w:val="en-AU"/>
        </w:rPr>
        <w:t xml:space="preserve">Moreover, </w:t>
      </w:r>
      <w:r w:rsidR="00136B4C">
        <w:rPr>
          <w:lang w:val="en-AU"/>
        </w:rPr>
        <w:t xml:space="preserve">the </w:t>
      </w:r>
      <w:r w:rsidR="0075096C">
        <w:rPr>
          <w:lang w:val="en-AU"/>
        </w:rPr>
        <w:t xml:space="preserve">hunting of the Yak took place in </w:t>
      </w:r>
      <w:proofErr w:type="spellStart"/>
      <w:r w:rsidR="0075096C">
        <w:rPr>
          <w:lang w:val="en-AU"/>
        </w:rPr>
        <w:t>Rakkab’s</w:t>
      </w:r>
      <w:proofErr w:type="spellEnd"/>
      <w:r w:rsidR="0075096C">
        <w:rPr>
          <w:lang w:val="en-AU"/>
        </w:rPr>
        <w:t xml:space="preserve"> territory and is protected by state sovereignty. Accordingly, this is not an exceptional circumstance that would justify extraterritorial obligation</w:t>
      </w:r>
      <w:r w:rsidR="00136B4C">
        <w:rPr>
          <w:lang w:val="en-AU"/>
        </w:rPr>
        <w:t xml:space="preserve">s being imposed. </w:t>
      </w:r>
    </w:p>
    <w:p w14:paraId="4D339C7B" w14:textId="05CB1E24" w:rsidR="00B64F68" w:rsidRDefault="00395240" w:rsidP="003B775B">
      <w:pPr>
        <w:ind w:firstLine="720"/>
        <w:rPr>
          <w:lang w:val="en-AU"/>
        </w:rPr>
      </w:pPr>
      <w:r>
        <w:rPr>
          <w:lang w:val="en-AU"/>
        </w:rPr>
        <w:t>Alternatively</w:t>
      </w:r>
      <w:r w:rsidR="0075096C">
        <w:rPr>
          <w:lang w:val="en-AU"/>
        </w:rPr>
        <w:t xml:space="preserve">, there has been no breach of </w:t>
      </w:r>
      <w:r w:rsidR="008E13FA">
        <w:rPr>
          <w:lang w:val="en-AU"/>
        </w:rPr>
        <w:t>any</w:t>
      </w:r>
      <w:r w:rsidR="0075096C">
        <w:rPr>
          <w:lang w:val="en-AU"/>
        </w:rPr>
        <w:t xml:space="preserve"> international obligations</w:t>
      </w:r>
      <w:r w:rsidR="008B0F1D">
        <w:rPr>
          <w:lang w:val="en-AU"/>
        </w:rPr>
        <w:t xml:space="preserve"> under the ICCPR and ICESCR</w:t>
      </w:r>
      <w:r w:rsidR="0075096C">
        <w:rPr>
          <w:lang w:val="en-AU"/>
        </w:rPr>
        <w:t xml:space="preserve">. The right to religion does not require positive steps by a State to </w:t>
      </w:r>
      <w:r w:rsidR="00B84C6C">
        <w:rPr>
          <w:lang w:val="en-AU"/>
        </w:rPr>
        <w:t>ensure the availability of</w:t>
      </w:r>
      <w:r w:rsidR="0075096C">
        <w:rPr>
          <w:lang w:val="en-AU"/>
        </w:rPr>
        <w:t xml:space="preserve"> resources </w:t>
      </w:r>
      <w:r w:rsidR="00B84C6C">
        <w:rPr>
          <w:lang w:val="en-AU"/>
        </w:rPr>
        <w:t>used in religious rituals</w:t>
      </w:r>
      <w:r w:rsidR="0075096C">
        <w:rPr>
          <w:lang w:val="en-AU"/>
        </w:rPr>
        <w:t xml:space="preserve">. </w:t>
      </w:r>
      <w:proofErr w:type="spellStart"/>
      <w:r w:rsidR="0075096C">
        <w:rPr>
          <w:lang w:val="en-AU"/>
        </w:rPr>
        <w:t>Aurok’s</w:t>
      </w:r>
      <w:proofErr w:type="spellEnd"/>
      <w:r w:rsidR="0075096C">
        <w:rPr>
          <w:lang w:val="en-AU"/>
        </w:rPr>
        <w:t xml:space="preserve"> obligation in relation to the right to </w:t>
      </w:r>
      <w:r w:rsidR="00B64F68">
        <w:rPr>
          <w:lang w:val="en-AU"/>
        </w:rPr>
        <w:t>cultural life</w:t>
      </w:r>
      <w:r w:rsidR="0075096C">
        <w:rPr>
          <w:lang w:val="en-AU"/>
        </w:rPr>
        <w:t xml:space="preserve"> is only to take </w:t>
      </w:r>
      <w:r w:rsidR="00C925B0">
        <w:rPr>
          <w:lang w:val="en-AU"/>
        </w:rPr>
        <w:t>“</w:t>
      </w:r>
      <w:r w:rsidR="0075096C">
        <w:rPr>
          <w:lang w:val="en-AU"/>
        </w:rPr>
        <w:t>appropriate</w:t>
      </w:r>
      <w:r w:rsidR="00C925B0">
        <w:rPr>
          <w:lang w:val="en-AU"/>
        </w:rPr>
        <w:t>”</w:t>
      </w:r>
      <w:r w:rsidR="0075096C">
        <w:rPr>
          <w:lang w:val="en-AU"/>
        </w:rPr>
        <w:t xml:space="preserve"> steps. Because of the global importance of </w:t>
      </w:r>
      <w:r w:rsidR="004A1AC0">
        <w:rPr>
          <w:lang w:val="en-AU"/>
        </w:rPr>
        <w:t>Gallvectra</w:t>
      </w:r>
      <w:r w:rsidR="008B0F1D">
        <w:rPr>
          <w:lang w:val="en-AU"/>
        </w:rPr>
        <w:t xml:space="preserve">, there </w:t>
      </w:r>
      <w:r w:rsidR="00C925B0">
        <w:rPr>
          <w:lang w:val="en-AU"/>
        </w:rPr>
        <w:t>were</w:t>
      </w:r>
      <w:r w:rsidR="008B0F1D">
        <w:rPr>
          <w:lang w:val="en-AU"/>
        </w:rPr>
        <w:t xml:space="preserve"> no steps required of Rakkab. Alternatively, a valid limitation has taken place.</w:t>
      </w:r>
    </w:p>
    <w:p w14:paraId="5E78A105" w14:textId="5C500093" w:rsidR="00467D6B" w:rsidRDefault="00B64F68" w:rsidP="003B775B">
      <w:pPr>
        <w:ind w:firstLine="720"/>
        <w:rPr>
          <w:lang w:val="en-AU"/>
        </w:rPr>
      </w:pPr>
      <w:r>
        <w:rPr>
          <w:lang w:val="en-AU"/>
        </w:rPr>
        <w:t>Rakkab has no additional obligations</w:t>
      </w:r>
      <w:r w:rsidR="008B0F1D">
        <w:rPr>
          <w:lang w:val="en-AU"/>
        </w:rPr>
        <w:t xml:space="preserve"> </w:t>
      </w:r>
      <w:r>
        <w:rPr>
          <w:lang w:val="en-AU"/>
        </w:rPr>
        <w:t>because the</w:t>
      </w:r>
      <w:r w:rsidR="008B0F1D">
        <w:rPr>
          <w:lang w:val="en-AU"/>
        </w:rPr>
        <w:t xml:space="preserve"> Aurokan people identify as indigenous and have a special connection with the Yak. If any further obligation</w:t>
      </w:r>
      <w:r w:rsidR="00C925B0">
        <w:rPr>
          <w:lang w:val="en-AU"/>
        </w:rPr>
        <w:t>s</w:t>
      </w:r>
      <w:r w:rsidR="008B0F1D">
        <w:rPr>
          <w:lang w:val="en-AU"/>
        </w:rPr>
        <w:t xml:space="preserve"> </w:t>
      </w:r>
      <w:r w:rsidR="00395240">
        <w:rPr>
          <w:lang w:val="en-AU"/>
        </w:rPr>
        <w:t>exist</w:t>
      </w:r>
      <w:r w:rsidR="008B0F1D">
        <w:rPr>
          <w:lang w:val="en-AU"/>
        </w:rPr>
        <w:t xml:space="preserve">, </w:t>
      </w:r>
      <w:r w:rsidR="00395240">
        <w:rPr>
          <w:lang w:val="en-AU"/>
        </w:rPr>
        <w:t>they</w:t>
      </w:r>
      <w:r w:rsidR="008B0F1D">
        <w:rPr>
          <w:lang w:val="en-AU"/>
        </w:rPr>
        <w:t xml:space="preserve"> only amount</w:t>
      </w:r>
      <w:r w:rsidR="00136B4C">
        <w:rPr>
          <w:lang w:val="en-AU"/>
        </w:rPr>
        <w:t>ed to a right to be consulted</w:t>
      </w:r>
      <w:r w:rsidR="00395240">
        <w:rPr>
          <w:lang w:val="en-AU"/>
        </w:rPr>
        <w:t>, which Rakkab has abided with.</w:t>
      </w:r>
    </w:p>
    <w:p w14:paraId="1249F520" w14:textId="61E41DB7" w:rsidR="00CF7119" w:rsidRDefault="00CF7119" w:rsidP="00CF7119">
      <w:pPr>
        <w:rPr>
          <w:b/>
          <w:lang w:val="en-AU"/>
        </w:rPr>
      </w:pPr>
      <w:r>
        <w:rPr>
          <w:b/>
          <w:lang w:val="en-AU"/>
        </w:rPr>
        <w:t>PLEADING I</w:t>
      </w:r>
      <w:r w:rsidR="00EC5B59">
        <w:rPr>
          <w:b/>
          <w:lang w:val="en-AU"/>
        </w:rPr>
        <w:t>V</w:t>
      </w:r>
    </w:p>
    <w:p w14:paraId="41D94A43" w14:textId="19FC926B" w:rsidR="008E13FA" w:rsidRDefault="008E13FA" w:rsidP="00CF7119">
      <w:pPr>
        <w:rPr>
          <w:lang w:val="en-AU"/>
        </w:rPr>
      </w:pPr>
      <w:r>
        <w:rPr>
          <w:lang w:val="en-AU"/>
        </w:rPr>
        <w:t>Rakkab had no obligations to ensure benefit sharing for the utilisation of Aurokan traditional knowledge. The CBD does no</w:t>
      </w:r>
      <w:r w:rsidR="00A553EE">
        <w:rPr>
          <w:lang w:val="en-AU"/>
        </w:rPr>
        <w:t>t</w:t>
      </w:r>
      <w:r>
        <w:rPr>
          <w:lang w:val="en-AU"/>
        </w:rPr>
        <w:t xml:space="preserve"> impose </w:t>
      </w:r>
      <w:r w:rsidR="00D327DD">
        <w:rPr>
          <w:lang w:val="en-AU"/>
        </w:rPr>
        <w:t>such an obligation</w:t>
      </w:r>
      <w:r w:rsidR="003B775B">
        <w:rPr>
          <w:lang w:val="en-AU"/>
        </w:rPr>
        <w:t xml:space="preserve"> and</w:t>
      </w:r>
      <w:r w:rsidR="00D327DD">
        <w:rPr>
          <w:lang w:val="en-AU"/>
        </w:rPr>
        <w:t xml:space="preserve"> the Nagoya Protocol cannot apply as </w:t>
      </w:r>
      <w:r w:rsidR="005F134E">
        <w:rPr>
          <w:lang w:val="en-AU"/>
        </w:rPr>
        <w:t>this would be contrary to the rule against retroactive treaty application</w:t>
      </w:r>
      <w:r w:rsidR="00D327DD">
        <w:rPr>
          <w:lang w:val="en-AU"/>
        </w:rPr>
        <w:t xml:space="preserve">. </w:t>
      </w:r>
      <w:r w:rsidR="00465B6E">
        <w:rPr>
          <w:lang w:val="en-AU"/>
        </w:rPr>
        <w:t>Additionally, no customary international law obligations exist.</w:t>
      </w:r>
    </w:p>
    <w:p w14:paraId="50FE85F6" w14:textId="0E15B133" w:rsidR="005F134E" w:rsidRDefault="005F134E" w:rsidP="003B775B">
      <w:pPr>
        <w:ind w:firstLine="720"/>
        <w:rPr>
          <w:lang w:val="en-AU"/>
        </w:rPr>
      </w:pPr>
      <w:r>
        <w:rPr>
          <w:lang w:val="en-AU"/>
        </w:rPr>
        <w:t xml:space="preserve">If Rakkab was bound by the Nagoya Protocol, it is not in breach of its requirements. The obligation is on Aurok to establish standards for benefit sharing. Because Aurok has failed to do this, there was no appropriate steps Rakkab could have taken. Alternatively, this is a transboundary situation and Rakkab has satisfied the lower standard of obligations under </w:t>
      </w:r>
      <w:r w:rsidR="00B96701">
        <w:rPr>
          <w:lang w:val="en-AU"/>
        </w:rPr>
        <w:t>A</w:t>
      </w:r>
      <w:r>
        <w:rPr>
          <w:lang w:val="en-AU"/>
        </w:rPr>
        <w:t xml:space="preserve">rticle 11. </w:t>
      </w:r>
    </w:p>
    <w:p w14:paraId="4A7B71BB" w14:textId="67ABB796" w:rsidR="00EC5B59" w:rsidRDefault="005F134E" w:rsidP="00C925B0">
      <w:pPr>
        <w:ind w:firstLine="720"/>
        <w:rPr>
          <w:lang w:val="en-AU"/>
        </w:rPr>
      </w:pPr>
      <w:r>
        <w:rPr>
          <w:lang w:val="en-AU"/>
        </w:rPr>
        <w:t xml:space="preserve">Finally, if Rakkab </w:t>
      </w:r>
      <w:r w:rsidR="0013434E">
        <w:rPr>
          <w:lang w:val="en-AU"/>
        </w:rPr>
        <w:t>breached its benefit sharing obligations</w:t>
      </w:r>
      <w:r>
        <w:rPr>
          <w:lang w:val="en-AU"/>
        </w:rPr>
        <w:t xml:space="preserve">, a portion of the profits would be an inappropriate remedy. There is no international norm to do something of this kind. Regardless, </w:t>
      </w:r>
      <w:r w:rsidR="0013434E">
        <w:rPr>
          <w:lang w:val="en-AU"/>
        </w:rPr>
        <w:t>there has been</w:t>
      </w:r>
      <w:r>
        <w:rPr>
          <w:lang w:val="en-AU"/>
        </w:rPr>
        <w:t xml:space="preserve"> no pecuniary loss and any moral damage is insufficient. A declaration of a wrongful act would be more appropriate in this situation.</w:t>
      </w:r>
    </w:p>
    <w:p w14:paraId="404B13E9" w14:textId="77777777" w:rsidR="00065B71" w:rsidRDefault="00065B71" w:rsidP="00B06668">
      <w:pPr>
        <w:pStyle w:val="Heading1"/>
        <w:jc w:val="both"/>
        <w:rPr>
          <w:lang w:val="en-AU"/>
        </w:rPr>
      </w:pPr>
      <w:r>
        <w:rPr>
          <w:lang w:val="en-AU"/>
        </w:rPr>
        <w:br w:type="page"/>
      </w:r>
    </w:p>
    <w:p w14:paraId="33A5C48E" w14:textId="77777777" w:rsidR="00A629B5" w:rsidRDefault="00A629B5" w:rsidP="00A629B5">
      <w:pPr>
        <w:pStyle w:val="Heading1"/>
      </w:pPr>
      <w:bookmarkStart w:id="135" w:name="_Toc534993305"/>
      <w:bookmarkStart w:id="136" w:name="_Toc535037160"/>
      <w:r>
        <w:lastRenderedPageBreak/>
        <w:t>PLEADINGS</w:t>
      </w:r>
      <w:bookmarkEnd w:id="135"/>
      <w:bookmarkEnd w:id="136"/>
    </w:p>
    <w:p w14:paraId="79724CF4" w14:textId="77777777" w:rsidR="00A629B5" w:rsidRDefault="00A629B5" w:rsidP="00A629B5">
      <w:pPr>
        <w:pStyle w:val="Heading2"/>
        <w:numPr>
          <w:ilvl w:val="0"/>
          <w:numId w:val="10"/>
        </w:numPr>
        <w:spacing w:line="360" w:lineRule="auto"/>
      </w:pPr>
      <w:bookmarkStart w:id="137" w:name="_Toc534993306"/>
      <w:bookmarkStart w:id="138" w:name="_Toc535037161"/>
      <w:r>
        <w:t>RAKKAB IS NOT RESPONSIBLE FOR THE INTERNATIONALLY WRONGFUL ACTS DESCRIBED IN PLEADINGS II–IV</w:t>
      </w:r>
      <w:bookmarkStart w:id="139" w:name="_Toc534993307"/>
      <w:bookmarkEnd w:id="137"/>
      <w:bookmarkEnd w:id="138"/>
    </w:p>
    <w:p w14:paraId="30FF36E2" w14:textId="77777777" w:rsidR="00A629B5" w:rsidRDefault="00A629B5" w:rsidP="00A629B5">
      <w:pPr>
        <w:pStyle w:val="Heading3"/>
        <w:spacing w:line="360" w:lineRule="auto"/>
      </w:pPr>
      <w:bookmarkStart w:id="140" w:name="_Toc535037162"/>
      <w:r w:rsidRPr="00AE218E">
        <w:t>The internationally wrongful acts of DORTA are not attributable to Rakkab</w:t>
      </w:r>
      <w:bookmarkEnd w:id="139"/>
      <w:bookmarkEnd w:id="140"/>
    </w:p>
    <w:p w14:paraId="49E95AE3" w14:textId="33EB28AF" w:rsidR="00A629B5" w:rsidRPr="006D1787" w:rsidRDefault="00A629B5" w:rsidP="00A629B5">
      <w:r w:rsidRPr="00A414B0">
        <w:t xml:space="preserve">Accepting </w:t>
      </w:r>
      <w:r w:rsidRPr="00A414B0">
        <w:rPr>
          <w:i/>
        </w:rPr>
        <w:t>arguendo</w:t>
      </w:r>
      <w:r w:rsidRPr="00A414B0">
        <w:t xml:space="preserve"> that the acts in Pleadings II–IV are internationally wrongful acts, DORTA’s actions are not attributable to Rakkab because (1) DORTA is not a State organ; (2) DORTA was not empowered with, or exercising, governmental authority; and (3) DORTA was not acting under the instruction, direction or control of Rakkab</w:t>
      </w:r>
      <w:r w:rsidR="005B4DBF">
        <w:t>.</w:t>
      </w:r>
    </w:p>
    <w:p w14:paraId="185087B1" w14:textId="77777777" w:rsidR="00A629B5" w:rsidRDefault="00A629B5" w:rsidP="00A629B5">
      <w:pPr>
        <w:pStyle w:val="Heading4"/>
        <w:spacing w:line="360" w:lineRule="auto"/>
      </w:pPr>
      <w:bookmarkStart w:id="141" w:name="_Toc535037163"/>
      <w:r>
        <w:t>DORTA did not act as a State organ of Rakkab</w:t>
      </w:r>
      <w:bookmarkEnd w:id="141"/>
    </w:p>
    <w:p w14:paraId="647240E1" w14:textId="77777777" w:rsidR="00A629B5" w:rsidRDefault="00A629B5" w:rsidP="00A629B5">
      <w:r>
        <w:t>The</w:t>
      </w:r>
      <w:r w:rsidRPr="00D34B95">
        <w:t xml:space="preserve"> conduct of any State organ shall be considered an act of that State under international law.</w:t>
      </w:r>
      <w:r w:rsidRPr="00D34B95">
        <w:rPr>
          <w:vertAlign w:val="superscript"/>
        </w:rPr>
        <w:footnoteReference w:id="1"/>
      </w:r>
      <w:r w:rsidRPr="00D34B95">
        <w:t xml:space="preserve"> The status of an organ is determined by the State’s internal law.</w:t>
      </w:r>
      <w:r w:rsidRPr="00D34B95">
        <w:rPr>
          <w:vertAlign w:val="superscript"/>
        </w:rPr>
        <w:footnoteReference w:id="2"/>
      </w:r>
      <w:r w:rsidRPr="00D34B95">
        <w:t xml:space="preserve"> </w:t>
      </w:r>
      <w:r>
        <w:t xml:space="preserve">Under </w:t>
      </w:r>
      <w:proofErr w:type="spellStart"/>
      <w:r>
        <w:t>Rakkabi</w:t>
      </w:r>
      <w:proofErr w:type="spellEnd"/>
      <w:r>
        <w:t xml:space="preserve"> legislation, DORTA is a private company</w:t>
      </w:r>
      <w:r w:rsidRPr="00D34B95">
        <w:t>.</w:t>
      </w:r>
      <w:r w:rsidRPr="00D34B95">
        <w:rPr>
          <w:vertAlign w:val="superscript"/>
        </w:rPr>
        <w:footnoteReference w:id="3"/>
      </w:r>
      <w:r>
        <w:t xml:space="preserve"> </w:t>
      </w:r>
    </w:p>
    <w:p w14:paraId="0E2FDEB1" w14:textId="77777777" w:rsidR="00A629B5" w:rsidRDefault="00A629B5" w:rsidP="00A629B5">
      <w:pPr>
        <w:ind w:firstLine="567"/>
      </w:pPr>
      <w:r>
        <w:t xml:space="preserve">Further, while </w:t>
      </w:r>
      <w:r w:rsidRPr="00D34B95">
        <w:t xml:space="preserve">a person in authority represents </w:t>
      </w:r>
      <w:r w:rsidRPr="00D34B95">
        <w:rPr>
          <w:i/>
        </w:rPr>
        <w:t xml:space="preserve">pro </w:t>
      </w:r>
      <w:proofErr w:type="spellStart"/>
      <w:r w:rsidRPr="00D34B95">
        <w:rPr>
          <w:i/>
        </w:rPr>
        <w:t>tanto</w:t>
      </w:r>
      <w:proofErr w:type="spellEnd"/>
      <w:r w:rsidRPr="00D34B95">
        <w:t xml:space="preserve"> his government</w:t>
      </w:r>
      <w:r>
        <w:t>,</w:t>
      </w:r>
      <w:r w:rsidRPr="00D34B95">
        <w:rPr>
          <w:vertAlign w:val="superscript"/>
        </w:rPr>
        <w:footnoteReference w:id="4"/>
      </w:r>
      <w:r>
        <w:t xml:space="preserve"> the DORTA Board members are </w:t>
      </w:r>
      <w:r w:rsidRPr="008832F8">
        <w:t>former</w:t>
      </w:r>
      <w:r>
        <w:t xml:space="preserve"> government officials acting in a non-governmental capacity</w:t>
      </w:r>
      <w:r w:rsidRPr="00D34B95">
        <w:t>.</w:t>
      </w:r>
      <w:r w:rsidRPr="00D34B95">
        <w:rPr>
          <w:vertAlign w:val="superscript"/>
        </w:rPr>
        <w:footnoteReference w:id="5"/>
      </w:r>
      <w:r>
        <w:t xml:space="preserve"> Thus, the Board members cannot be said to represent the government. Nothing else indicates DORTA is a State organ.</w:t>
      </w:r>
    </w:p>
    <w:p w14:paraId="5D7EF5CE" w14:textId="77777777" w:rsidR="00A629B5" w:rsidRDefault="00A629B5" w:rsidP="00A629B5">
      <w:pPr>
        <w:pStyle w:val="Heading4"/>
        <w:spacing w:line="360" w:lineRule="auto"/>
      </w:pPr>
      <w:bookmarkStart w:id="142" w:name="_Toc535037164"/>
      <w:r>
        <w:t>DORTA was not empowered by the law of Rakkab to exercise, nor did it actually exercise, elements of governmental authority</w:t>
      </w:r>
      <w:bookmarkEnd w:id="142"/>
    </w:p>
    <w:p w14:paraId="6AA8C0F1" w14:textId="77777777" w:rsidR="00A629B5" w:rsidRDefault="00A629B5" w:rsidP="00A629B5">
      <w:pPr>
        <w:pStyle w:val="Heading5"/>
        <w:spacing w:line="360" w:lineRule="auto"/>
      </w:pPr>
      <w:bookmarkStart w:id="143" w:name="_Toc535037165"/>
      <w:r>
        <w:t>ASR Article 5 is not customary international law</w:t>
      </w:r>
      <w:bookmarkEnd w:id="143"/>
    </w:p>
    <w:p w14:paraId="66FEC6F9" w14:textId="07F01E11" w:rsidR="00A629B5" w:rsidRDefault="00A629B5" w:rsidP="00A629B5">
      <w:r>
        <w:t xml:space="preserve">Rakkab does not accept that Article 5 of the Draft Articles on the Responsibility of States for Internationally Wrongful Acts (“ASR”) represents international custom. The burden is on Aurok </w:t>
      </w:r>
      <w:r>
        <w:lastRenderedPageBreak/>
        <w:t>to establish this.</w:t>
      </w:r>
      <w:r>
        <w:rPr>
          <w:rStyle w:val="FootnoteReference"/>
        </w:rPr>
        <w:footnoteReference w:id="6"/>
      </w:r>
      <w:r>
        <w:t xml:space="preserve"> The establishment of custom requires sufficient State practice and </w:t>
      </w:r>
      <w:proofErr w:type="spellStart"/>
      <w:r>
        <w:rPr>
          <w:i/>
        </w:rPr>
        <w:t>opinio</w:t>
      </w:r>
      <w:proofErr w:type="spellEnd"/>
      <w:r>
        <w:rPr>
          <w:i/>
        </w:rPr>
        <w:t xml:space="preserve"> juris</w:t>
      </w:r>
      <w:r>
        <w:t>.</w:t>
      </w:r>
      <w:r>
        <w:rPr>
          <w:rStyle w:val="FootnoteReference"/>
        </w:rPr>
        <w:footnoteReference w:id="7"/>
      </w:r>
      <w:r>
        <w:t xml:space="preserve"> State practice must be “extensive and virtually uniform”.</w:t>
      </w:r>
      <w:r>
        <w:rPr>
          <w:rStyle w:val="FootnoteReference"/>
        </w:rPr>
        <w:footnoteReference w:id="8"/>
      </w:r>
      <w:r>
        <w:t xml:space="preserve"> </w:t>
      </w:r>
      <w:r w:rsidR="004A3EDF">
        <w:t>T</w:t>
      </w:r>
      <w:r>
        <w:t>he customary value of each ASR article should be assessed individually as n</w:t>
      </w:r>
      <w:r w:rsidRPr="00423260">
        <w:t>ot all ASR articles are codifications of established custom; some articles reflect progressive developments</w:t>
      </w:r>
      <w:r>
        <w:t>.</w:t>
      </w:r>
      <w:r>
        <w:rPr>
          <w:rStyle w:val="FootnoteReference"/>
        </w:rPr>
        <w:footnoteReference w:id="9"/>
      </w:r>
      <w:r>
        <w:t xml:space="preserve"> There is no extensive and uniform State practice regarding the application of Article 5.</w:t>
      </w:r>
      <w:r>
        <w:rPr>
          <w:rStyle w:val="FootnoteReference"/>
        </w:rPr>
        <w:footnoteReference w:id="10"/>
      </w:r>
      <w:r>
        <w:t xml:space="preserve"> </w:t>
      </w:r>
    </w:p>
    <w:p w14:paraId="57242E19" w14:textId="77777777" w:rsidR="00A629B5" w:rsidRDefault="00A629B5" w:rsidP="00A629B5">
      <w:pPr>
        <w:pStyle w:val="Heading5"/>
        <w:spacing w:line="360" w:lineRule="auto"/>
      </w:pPr>
      <w:bookmarkStart w:id="144" w:name="_Toc535037166"/>
      <w:r>
        <w:t xml:space="preserve">In any event, DORTA was not empowered by </w:t>
      </w:r>
      <w:proofErr w:type="spellStart"/>
      <w:r>
        <w:t>Rakkabi</w:t>
      </w:r>
      <w:proofErr w:type="spellEnd"/>
      <w:r>
        <w:t xml:space="preserve"> law to exercise </w:t>
      </w:r>
      <w:r w:rsidRPr="00B96238">
        <w:t>governmental authority</w:t>
      </w:r>
      <w:bookmarkEnd w:id="144"/>
    </w:p>
    <w:p w14:paraId="220967A6" w14:textId="77777777" w:rsidR="00A629B5" w:rsidRDefault="00A629B5" w:rsidP="00A629B5">
      <w:r w:rsidRPr="00DF495D">
        <w:rPr>
          <w:color w:val="000000" w:themeColor="text1"/>
        </w:rPr>
        <w:t xml:space="preserve">There is no international consensus </w:t>
      </w:r>
      <w:r>
        <w:rPr>
          <w:color w:val="000000" w:themeColor="text1"/>
        </w:rPr>
        <w:t>on</w:t>
      </w:r>
      <w:r w:rsidRPr="00DF495D">
        <w:rPr>
          <w:color w:val="000000" w:themeColor="text1"/>
        </w:rPr>
        <w:t xml:space="preserve"> the </w:t>
      </w:r>
      <w:r>
        <w:rPr>
          <w:color w:val="000000" w:themeColor="text1"/>
        </w:rPr>
        <w:t>definition</w:t>
      </w:r>
      <w:r w:rsidRPr="00DF495D">
        <w:rPr>
          <w:color w:val="000000" w:themeColor="text1"/>
        </w:rPr>
        <w:t xml:space="preserve"> of “governmental authority”.</w:t>
      </w:r>
      <w:r>
        <w:rPr>
          <w:rStyle w:val="FootnoteReference"/>
        </w:rPr>
        <w:footnoteReference w:id="11"/>
      </w:r>
      <w:r>
        <w:t xml:space="preserve"> However, it is a narrow category.</w:t>
      </w:r>
      <w:r>
        <w:rPr>
          <w:rStyle w:val="FootnoteReference"/>
        </w:rPr>
        <w:footnoteReference w:id="12"/>
      </w:r>
      <w:r>
        <w:t xml:space="preserve"> The internal law in question must specifically authorise the conduct as involving exercise of public authority.</w:t>
      </w:r>
      <w:r>
        <w:rPr>
          <w:rStyle w:val="FootnoteReference"/>
        </w:rPr>
        <w:footnoteReference w:id="13"/>
      </w:r>
      <w:r>
        <w:t xml:space="preserve"> The following factors are relevant to assessing whether the authority is “governmental”: the purposes for which the power is to be exercised;</w:t>
      </w:r>
      <w:r w:rsidRPr="004F33EB">
        <w:t xml:space="preserve"> </w:t>
      </w:r>
      <w:r>
        <w:t>the content of the power; and the extent to which the entity is publicly accountable for their exercise.</w:t>
      </w:r>
      <w:r>
        <w:rPr>
          <w:rStyle w:val="FootnoteReference"/>
        </w:rPr>
        <w:footnoteReference w:id="14"/>
      </w:r>
      <w:r>
        <w:t xml:space="preserve"> </w:t>
      </w:r>
    </w:p>
    <w:p w14:paraId="247345F7" w14:textId="77777777" w:rsidR="005B4DBF" w:rsidRDefault="005B4DBF" w:rsidP="005B4DBF">
      <w:pPr>
        <w:ind w:firstLine="720"/>
      </w:pPr>
      <w:bookmarkStart w:id="145" w:name="_Toc535037167"/>
      <w:r>
        <w:t xml:space="preserve">First, DORTA is a private pharmaceutical manufacturer. Its monopoly on the sale of prescription drugs in Rakkab is for the purpose of commercial gain; for example, </w:t>
      </w:r>
      <w:r>
        <w:rPr>
          <w:lang w:val="en-AU"/>
        </w:rPr>
        <w:t xml:space="preserve">Gallvectra was DORTA’s top-selling drug with gross sales of </w:t>
      </w:r>
      <w:r w:rsidRPr="00636730">
        <w:rPr>
          <w:lang w:val="en-AU"/>
        </w:rPr>
        <w:t>€3.2 billion worldwide</w:t>
      </w:r>
      <w:r>
        <w:rPr>
          <w:lang w:val="en-AU"/>
        </w:rPr>
        <w:t xml:space="preserve"> in 2017.</w:t>
      </w:r>
      <w:r>
        <w:rPr>
          <w:rStyle w:val="FootnoteReference"/>
        </w:rPr>
        <w:footnoteReference w:id="15"/>
      </w:r>
      <w:r>
        <w:rPr>
          <w:lang w:val="en-AU"/>
        </w:rPr>
        <w:t xml:space="preserve"> Such commercial gain is inconsistent with the purpose of serving a public function.</w:t>
      </w:r>
      <w:r>
        <w:t xml:space="preserve"> Second, the legislative grant does not indicate any requirement to sell the medicine at affordable costs or at accessible geographical locations, both of which are core elements of the governmental role of ensuring </w:t>
      </w:r>
      <w:r>
        <w:lastRenderedPageBreak/>
        <w:t>equitable access to essential drugs.</w:t>
      </w:r>
      <w:r>
        <w:rPr>
          <w:rStyle w:val="FootnoteReference"/>
        </w:rPr>
        <w:footnoteReference w:id="16"/>
      </w:r>
      <w:r>
        <w:t xml:space="preserve"> Third, DORTA is not publicly accountable for the exercise of its sales monopoly; it is only accountable to the Government as a shareholder, and only for its commercial performance, not for public health.</w:t>
      </w:r>
    </w:p>
    <w:p w14:paraId="13404018" w14:textId="77777777" w:rsidR="00A629B5" w:rsidRDefault="00A629B5" w:rsidP="00A629B5">
      <w:pPr>
        <w:pStyle w:val="Heading5"/>
        <w:spacing w:line="360" w:lineRule="auto"/>
      </w:pPr>
      <w:r>
        <w:t xml:space="preserve">Alternatively, DORTA was not exercising governmental authority </w:t>
      </w:r>
      <w:r w:rsidRPr="00B96238">
        <w:t>in the particular instance</w:t>
      </w:r>
      <w:bookmarkEnd w:id="145"/>
    </w:p>
    <w:p w14:paraId="22E78920" w14:textId="51898354" w:rsidR="00A629B5" w:rsidRDefault="00A629B5" w:rsidP="00A629B5">
      <w:r>
        <w:t>DORTA’s conduct is attributable to Rakkab only if it was exercising governmental authority “in the particular instance”.</w:t>
      </w:r>
      <w:r>
        <w:rPr>
          <w:rStyle w:val="FootnoteReference"/>
        </w:rPr>
        <w:footnoteReference w:id="17"/>
      </w:r>
      <w:r>
        <w:t xml:space="preserve"> If DORTA was empowered to exercise governmental authority, that authority is limited to the sale of prescription drugs in Rakkab.</w:t>
      </w:r>
      <w:r>
        <w:rPr>
          <w:rStyle w:val="FootnoteReference"/>
        </w:rPr>
        <w:footnoteReference w:id="18"/>
      </w:r>
      <w:r>
        <w:t xml:space="preserve"> It does not extend to the harvesting of Yak gallbladders for Gallvectra, which is a</w:t>
      </w:r>
      <w:r w:rsidR="0004084E">
        <w:t xml:space="preserve"> separate</w:t>
      </w:r>
      <w:r>
        <w:t xml:space="preserve"> private commercial activity.</w:t>
      </w:r>
    </w:p>
    <w:p w14:paraId="27845124" w14:textId="77777777" w:rsidR="00A629B5" w:rsidRDefault="00A629B5" w:rsidP="00A629B5">
      <w:pPr>
        <w:pStyle w:val="Heading4"/>
        <w:spacing w:line="360" w:lineRule="auto"/>
      </w:pPr>
      <w:bookmarkStart w:id="146" w:name="_Toc535037168"/>
      <w:r>
        <w:t>DORTA was not acting under the instruction, direction or control of Rakkab</w:t>
      </w:r>
      <w:bookmarkEnd w:id="146"/>
    </w:p>
    <w:p w14:paraId="1A29949E" w14:textId="0D6CEEB7" w:rsidR="00A629B5" w:rsidRDefault="00A629B5" w:rsidP="00A629B5">
      <w:r>
        <w:t xml:space="preserve">Under ASR Article 8, the acts of private entities </w:t>
      </w:r>
      <w:r w:rsidR="0004084E">
        <w:t>are</w:t>
      </w:r>
      <w:r>
        <w:t xml:space="preserve"> </w:t>
      </w:r>
      <w:r w:rsidR="0004084E">
        <w:t>attributable</w:t>
      </w:r>
      <w:r>
        <w:t xml:space="preserve"> to States where: (</w:t>
      </w:r>
      <w:proofErr w:type="spellStart"/>
      <w:r>
        <w:t>i</w:t>
      </w:r>
      <w:proofErr w:type="spellEnd"/>
      <w:r>
        <w:t xml:space="preserve">) the entity is acting on the specific instructions of the State; or (ii) the entity is acting under the State’s direction or control. </w:t>
      </w:r>
      <w:r w:rsidRPr="00F75267">
        <w:t>In the first situation, it is necessary to show that the conduct was specifically authori</w:t>
      </w:r>
      <w:r w:rsidR="00A553EE">
        <w:t>s</w:t>
      </w:r>
      <w:r w:rsidRPr="00F75267">
        <w:t xml:space="preserve">ed by the </w:t>
      </w:r>
      <w:r>
        <w:t>State</w:t>
      </w:r>
      <w:r w:rsidRPr="00F75267">
        <w:t xml:space="preserve">. In the latter situation, attribution derives from the </w:t>
      </w:r>
      <w:r>
        <w:t xml:space="preserve">State’s </w:t>
      </w:r>
      <w:r w:rsidRPr="00F75267">
        <w:t>control over the private entity</w:t>
      </w:r>
      <w:r>
        <w:t xml:space="preserve"> in carrying out the conduct.</w:t>
      </w:r>
    </w:p>
    <w:p w14:paraId="48373043" w14:textId="77777777" w:rsidR="00A629B5" w:rsidRPr="00DA655A" w:rsidRDefault="00A629B5" w:rsidP="00A629B5">
      <w:pPr>
        <w:pStyle w:val="Heading5"/>
        <w:numPr>
          <w:ilvl w:val="0"/>
          <w:numId w:val="11"/>
        </w:numPr>
        <w:spacing w:line="360" w:lineRule="auto"/>
      </w:pPr>
      <w:bookmarkStart w:id="147" w:name="_Toc535037169"/>
      <w:r w:rsidRPr="00DA655A">
        <w:t>DORTA was not acting under the specific instruction of Rakkab</w:t>
      </w:r>
      <w:bookmarkEnd w:id="147"/>
    </w:p>
    <w:p w14:paraId="08436365" w14:textId="77777777" w:rsidR="00A629B5" w:rsidRPr="00293E01" w:rsidRDefault="00A629B5" w:rsidP="00A629B5">
      <w:pPr>
        <w:rPr>
          <w:lang w:val="en-AU" w:eastAsia="ko-KR"/>
        </w:rPr>
      </w:pPr>
      <w:r>
        <w:t>The conduct of a private entity will only be attributed to the State where the State was using its ownership or control of the entity to achieve a particular result.</w:t>
      </w:r>
      <w:r>
        <w:rPr>
          <w:rStyle w:val="FootnoteReference"/>
          <w:lang w:val="en-AU" w:eastAsia="ko-KR"/>
        </w:rPr>
        <w:footnoteReference w:id="19"/>
      </w:r>
      <w:r>
        <w:rPr>
          <w:lang w:val="en-AU" w:eastAsia="ko-KR"/>
        </w:rPr>
        <w:t xml:space="preserve"> Rakkab is a minority shareholder, holding 12% of DORTA’s </w:t>
      </w:r>
      <w:r w:rsidRPr="00E33963">
        <w:rPr>
          <w:lang w:val="en-AU" w:eastAsia="ko-KR"/>
        </w:rPr>
        <w:t>common voting</w:t>
      </w:r>
      <w:r>
        <w:rPr>
          <w:lang w:val="en-AU" w:eastAsia="ko-KR"/>
        </w:rPr>
        <w:t xml:space="preserve"> shares.</w:t>
      </w:r>
      <w:r>
        <w:rPr>
          <w:rStyle w:val="FootnoteReference"/>
          <w:lang w:val="en-AU" w:eastAsia="ko-KR"/>
        </w:rPr>
        <w:footnoteReference w:id="20"/>
      </w:r>
      <w:r>
        <w:rPr>
          <w:lang w:val="en-AU" w:eastAsia="ko-KR"/>
        </w:rPr>
        <w:t xml:space="preserve"> Therefore, Rakkab was not able to, nor did it in fact, decisively influence DORTA’s policies or instruct the taking of Yak.</w:t>
      </w:r>
    </w:p>
    <w:p w14:paraId="1C48C022" w14:textId="77777777" w:rsidR="00A629B5" w:rsidRPr="00DA655A" w:rsidRDefault="00A629B5" w:rsidP="00A629B5">
      <w:pPr>
        <w:pStyle w:val="Heading5"/>
        <w:numPr>
          <w:ilvl w:val="0"/>
          <w:numId w:val="11"/>
        </w:numPr>
        <w:spacing w:line="360" w:lineRule="auto"/>
      </w:pPr>
      <w:bookmarkStart w:id="148" w:name="_Toc535037170"/>
      <w:r w:rsidRPr="00DA655A">
        <w:t>DORTA was not acting under direction or effective control of Rakkab</w:t>
      </w:r>
      <w:bookmarkEnd w:id="148"/>
    </w:p>
    <w:p w14:paraId="2DFF92CC" w14:textId="66DABB1F" w:rsidR="00A629B5" w:rsidRDefault="00A629B5" w:rsidP="00A629B5">
      <w:pPr>
        <w:rPr>
          <w:lang w:val="en-AU" w:eastAsia="ko-KR"/>
        </w:rPr>
      </w:pPr>
      <w:r>
        <w:lastRenderedPageBreak/>
        <w:t>The degree of control necessary for attribution of private actions to a State is effective control — actual participation and direction — by a State.</w:t>
      </w:r>
      <w:r>
        <w:rPr>
          <w:rStyle w:val="FootnoteReference"/>
        </w:rPr>
        <w:footnoteReference w:id="21"/>
      </w:r>
      <w:r>
        <w:t xml:space="preserve"> </w:t>
      </w:r>
      <w:r>
        <w:rPr>
          <w:lang w:val="en-AU" w:eastAsia="ko-KR"/>
        </w:rPr>
        <w:t>A general situation of dependence and support is insufficient to attribute DORTA’s conduct to Rakkab.</w:t>
      </w:r>
      <w:r>
        <w:rPr>
          <w:rStyle w:val="FootnoteReference"/>
          <w:lang w:val="en-AU" w:eastAsia="ko-KR"/>
        </w:rPr>
        <w:footnoteReference w:id="22"/>
      </w:r>
      <w:r>
        <w:rPr>
          <w:lang w:val="en-AU" w:eastAsia="ko-KR"/>
        </w:rPr>
        <w:t xml:space="preserve"> </w:t>
      </w:r>
      <w:proofErr w:type="spellStart"/>
      <w:r>
        <w:rPr>
          <w:lang w:val="en-AU" w:eastAsia="ko-KR"/>
        </w:rPr>
        <w:t>Rakkab’s</w:t>
      </w:r>
      <w:proofErr w:type="spellEnd"/>
      <w:r>
        <w:rPr>
          <w:lang w:val="en-AU" w:eastAsia="ko-KR"/>
        </w:rPr>
        <w:t xml:space="preserve"> subsidisation of DORTA’s research is insufficient to establish effective control. The meetings between DORTA executives and </w:t>
      </w:r>
      <w:proofErr w:type="spellStart"/>
      <w:r>
        <w:rPr>
          <w:lang w:val="en-AU" w:eastAsia="ko-KR"/>
        </w:rPr>
        <w:t>Rakkabi</w:t>
      </w:r>
      <w:proofErr w:type="spellEnd"/>
      <w:r>
        <w:rPr>
          <w:lang w:val="en-AU" w:eastAsia="ko-KR"/>
        </w:rPr>
        <w:t xml:space="preserve"> government representatives</w:t>
      </w:r>
      <w:r>
        <w:rPr>
          <w:rStyle w:val="FootnoteReference"/>
          <w:lang w:val="en-AU" w:eastAsia="ko-KR"/>
        </w:rPr>
        <w:footnoteReference w:id="23"/>
      </w:r>
      <w:r>
        <w:rPr>
          <w:lang w:val="en-AU" w:eastAsia="ko-KR"/>
        </w:rPr>
        <w:t xml:space="preserve"> </w:t>
      </w:r>
      <w:r w:rsidR="00A553EE">
        <w:rPr>
          <w:lang w:val="en-AU" w:eastAsia="ko-KR"/>
        </w:rPr>
        <w:t>are</w:t>
      </w:r>
      <w:r>
        <w:rPr>
          <w:lang w:val="en-AU" w:eastAsia="ko-KR"/>
        </w:rPr>
        <w:t xml:space="preserve"> also insufficient: first, Rakkab is still only a minority shareholder;</w:t>
      </w:r>
      <w:r>
        <w:rPr>
          <w:rStyle w:val="FootnoteReference"/>
          <w:lang w:val="en-AU" w:eastAsia="ko-KR"/>
        </w:rPr>
        <w:footnoteReference w:id="24"/>
      </w:r>
      <w:r>
        <w:rPr>
          <w:lang w:val="en-AU" w:eastAsia="ko-KR"/>
        </w:rPr>
        <w:t xml:space="preserve"> second, meetings between private experts and governments are not uncommon;</w:t>
      </w:r>
      <w:r>
        <w:rPr>
          <w:rStyle w:val="FootnoteReference"/>
          <w:lang w:val="en-AU" w:eastAsia="ko-KR"/>
        </w:rPr>
        <w:footnoteReference w:id="25"/>
      </w:r>
      <w:r>
        <w:rPr>
          <w:lang w:val="en-AU" w:eastAsia="ko-KR"/>
        </w:rPr>
        <w:t xml:space="preserve"> and third, the meetings were regarding </w:t>
      </w:r>
      <w:proofErr w:type="spellStart"/>
      <w:r>
        <w:rPr>
          <w:lang w:val="en-AU" w:eastAsia="ko-KR"/>
        </w:rPr>
        <w:t>Rakkab’s</w:t>
      </w:r>
      <w:proofErr w:type="spellEnd"/>
      <w:r>
        <w:rPr>
          <w:lang w:val="en-AU" w:eastAsia="ko-KR"/>
        </w:rPr>
        <w:t xml:space="preserve"> </w:t>
      </w:r>
      <w:r w:rsidRPr="00FA3267">
        <w:rPr>
          <w:lang w:val="en-AU" w:eastAsia="ko-KR"/>
        </w:rPr>
        <w:t>national</w:t>
      </w:r>
      <w:r>
        <w:rPr>
          <w:i/>
          <w:lang w:val="en-AU" w:eastAsia="ko-KR"/>
        </w:rPr>
        <w:t xml:space="preserve"> </w:t>
      </w:r>
      <w:r>
        <w:rPr>
          <w:lang w:val="en-AU" w:eastAsia="ko-KR"/>
        </w:rPr>
        <w:t>priorities, not DORTA’s policies.</w:t>
      </w:r>
      <w:r>
        <w:rPr>
          <w:rStyle w:val="FootnoteReference"/>
          <w:lang w:val="en-AU" w:eastAsia="ko-KR"/>
        </w:rPr>
        <w:footnoteReference w:id="26"/>
      </w:r>
    </w:p>
    <w:p w14:paraId="40AF69A9" w14:textId="5DC01BA0" w:rsidR="00A629B5" w:rsidRPr="00195225" w:rsidRDefault="00A629B5" w:rsidP="00A629B5">
      <w:pPr>
        <w:ind w:firstLine="720"/>
        <w:rPr>
          <w:lang w:val="en-AU" w:eastAsia="ko-KR"/>
        </w:rPr>
      </w:pPr>
      <w:r>
        <w:t>Additionally, for attribution, the State must have effective control over the private entity when it engages in the particular conduct, namely the taking of Yak.</w:t>
      </w:r>
      <w:r>
        <w:rPr>
          <w:rStyle w:val="FootnoteReference"/>
        </w:rPr>
        <w:footnoteReference w:id="27"/>
      </w:r>
      <w:r>
        <w:t xml:space="preserve"> Rakkab did not have control over the independent hunters whom DORTA bought the Yak gallbladders from. </w:t>
      </w:r>
      <w:r>
        <w:rPr>
          <w:lang w:val="en-AU" w:eastAsia="ko-KR"/>
        </w:rPr>
        <w:t xml:space="preserve">Moreover, DORTA’s charter limits </w:t>
      </w:r>
      <w:proofErr w:type="spellStart"/>
      <w:r>
        <w:rPr>
          <w:lang w:val="en-AU" w:eastAsia="ko-KR"/>
        </w:rPr>
        <w:t>Rakkab’s</w:t>
      </w:r>
      <w:proofErr w:type="spellEnd"/>
      <w:r>
        <w:rPr>
          <w:lang w:val="en-AU" w:eastAsia="ko-KR"/>
        </w:rPr>
        <w:t xml:space="preserve"> influence by providing that Rakkab can own no more than 19.9% of DORTA’s shares,</w:t>
      </w:r>
      <w:r>
        <w:rPr>
          <w:rStyle w:val="FootnoteReference"/>
          <w:lang w:val="en-AU" w:eastAsia="ko-KR"/>
        </w:rPr>
        <w:footnoteReference w:id="28"/>
      </w:r>
      <w:r>
        <w:rPr>
          <w:lang w:val="en-AU" w:eastAsia="ko-KR"/>
        </w:rPr>
        <w:t xml:space="preserve"> and that current </w:t>
      </w:r>
      <w:proofErr w:type="spellStart"/>
      <w:r>
        <w:rPr>
          <w:lang w:val="en-AU" w:eastAsia="ko-KR"/>
        </w:rPr>
        <w:t>Rakkabi</w:t>
      </w:r>
      <w:proofErr w:type="spellEnd"/>
      <w:r>
        <w:rPr>
          <w:lang w:val="en-AU" w:eastAsia="ko-KR"/>
        </w:rPr>
        <w:t xml:space="preserve"> government officials cannot be appointed onto the Board.</w:t>
      </w:r>
      <w:r>
        <w:rPr>
          <w:rStyle w:val="FootnoteReference"/>
          <w:lang w:val="en-AU" w:eastAsia="ko-KR"/>
        </w:rPr>
        <w:footnoteReference w:id="29"/>
      </w:r>
      <w:r>
        <w:rPr>
          <w:lang w:val="en-AU" w:eastAsia="ko-KR"/>
        </w:rPr>
        <w:t xml:space="preserve"> Thus, Rakkab could not, </w:t>
      </w:r>
      <w:r w:rsidR="005B4DBF">
        <w:rPr>
          <w:lang w:val="en-AU" w:eastAsia="ko-KR"/>
        </w:rPr>
        <w:t>in any situation</w:t>
      </w:r>
      <w:r>
        <w:rPr>
          <w:lang w:val="en-AU" w:eastAsia="ko-KR"/>
        </w:rPr>
        <w:t>, exercise effective control.</w:t>
      </w:r>
    </w:p>
    <w:p w14:paraId="24755229" w14:textId="77777777" w:rsidR="00A629B5" w:rsidRDefault="00A629B5" w:rsidP="00A629B5">
      <w:pPr>
        <w:pStyle w:val="Heading5"/>
        <w:spacing w:line="360" w:lineRule="auto"/>
      </w:pPr>
      <w:bookmarkStart w:id="149" w:name="_Toc535037171"/>
      <w:r>
        <w:t>Additionally, DORTA was not acting under the overall control of Rakkab</w:t>
      </w:r>
      <w:bookmarkEnd w:id="149"/>
    </w:p>
    <w:p w14:paraId="43DDB999" w14:textId="77777777" w:rsidR="00A629B5" w:rsidRDefault="00A629B5" w:rsidP="00A629B5">
      <w:r>
        <w:t xml:space="preserve">The more flexible “overall control” test in </w:t>
      </w:r>
      <w:r>
        <w:rPr>
          <w:i/>
        </w:rPr>
        <w:t xml:space="preserve">Prosecutor v </w:t>
      </w:r>
      <w:proofErr w:type="spellStart"/>
      <w:r>
        <w:rPr>
          <w:i/>
        </w:rPr>
        <w:t>Tadić</w:t>
      </w:r>
      <w:proofErr w:type="spellEnd"/>
      <w:r>
        <w:t xml:space="preserve"> is not sufficient to attribute the acts of private entities to a State. That case was about individual criminal responsibility, not State </w:t>
      </w:r>
      <w:r>
        <w:lastRenderedPageBreak/>
        <w:t>responsibility.</w:t>
      </w:r>
      <w:r>
        <w:rPr>
          <w:rStyle w:val="FootnoteReference"/>
        </w:rPr>
        <w:footnoteReference w:id="30"/>
      </w:r>
      <w:r>
        <w:t xml:space="preserve"> Indeed, Judge </w:t>
      </w:r>
      <w:proofErr w:type="spellStart"/>
      <w:r>
        <w:t>Shahabuddeen</w:t>
      </w:r>
      <w:proofErr w:type="spellEnd"/>
      <w:r>
        <w:t xml:space="preserve"> noted that a higher degree of control is required to attribute violations of international law to States.</w:t>
      </w:r>
      <w:r>
        <w:rPr>
          <w:rStyle w:val="FootnoteReference"/>
        </w:rPr>
        <w:footnoteReference w:id="31"/>
      </w:r>
    </w:p>
    <w:p w14:paraId="2C260018" w14:textId="0F33C112" w:rsidR="00A629B5" w:rsidRPr="00DC5D09" w:rsidRDefault="00A629B5" w:rsidP="00A629B5">
      <w:pPr>
        <w:ind w:firstLine="567"/>
      </w:pPr>
      <w:r>
        <w:t>Even if overall control is sufficient, Rakkab did not exercise this degree of control over DORTA. Overall control does not require direct State involvement in the act being attributed.</w:t>
      </w:r>
      <w:r>
        <w:rPr>
          <w:rStyle w:val="FootnoteReference"/>
        </w:rPr>
        <w:footnoteReference w:id="32"/>
      </w:r>
      <w:r>
        <w:t xml:space="preserve"> But dependence is required. In </w:t>
      </w:r>
      <w:proofErr w:type="spellStart"/>
      <w:r>
        <w:rPr>
          <w:i/>
        </w:rPr>
        <w:t>Tadíc</w:t>
      </w:r>
      <w:proofErr w:type="spellEnd"/>
      <w:r>
        <w:t>, “forces were almost completely dependent on the supplies [of the State] to carry out … operations”.</w:t>
      </w:r>
      <w:r>
        <w:rPr>
          <w:rStyle w:val="FootnoteReference"/>
        </w:rPr>
        <w:footnoteReference w:id="33"/>
      </w:r>
      <w:r>
        <w:t xml:space="preserve"> However, DORTA, the eighth-largest pharmaceutical manufacturer worldwide, </w:t>
      </w:r>
      <w:r w:rsidR="005B4DBF">
        <w:t xml:space="preserve">is able to </w:t>
      </w:r>
      <w:r>
        <w:t xml:space="preserve">operate independently of </w:t>
      </w:r>
      <w:proofErr w:type="spellStart"/>
      <w:r>
        <w:t>Rakkab’s</w:t>
      </w:r>
      <w:proofErr w:type="spellEnd"/>
      <w:r>
        <w:t xml:space="preserve"> support.</w:t>
      </w:r>
    </w:p>
    <w:p w14:paraId="48DE6692" w14:textId="77777777" w:rsidR="00A629B5" w:rsidRDefault="00A629B5" w:rsidP="00A629B5">
      <w:pPr>
        <w:pStyle w:val="Heading3"/>
        <w:spacing w:line="360" w:lineRule="auto"/>
      </w:pPr>
      <w:bookmarkStart w:id="150" w:name="_Toc534993308"/>
      <w:bookmarkStart w:id="151" w:name="_Toc535037172"/>
      <w:r>
        <w:t>Alternatively, Rakkab is not responsible for its own failure to prevent DORTA from committing the wrongful acts</w:t>
      </w:r>
      <w:bookmarkEnd w:id="150"/>
      <w:bookmarkEnd w:id="151"/>
    </w:p>
    <w:p w14:paraId="1711BE51" w14:textId="5C172B90" w:rsidR="00A629B5" w:rsidRPr="00982867" w:rsidRDefault="00A629B5" w:rsidP="00A629B5">
      <w:pPr>
        <w:rPr>
          <w:lang w:val="en-AU"/>
        </w:rPr>
      </w:pPr>
      <w:r>
        <w:rPr>
          <w:lang w:val="en-AU"/>
        </w:rPr>
        <w:t xml:space="preserve">States </w:t>
      </w:r>
      <w:r w:rsidR="00E84936">
        <w:rPr>
          <w:lang w:val="en-AU"/>
        </w:rPr>
        <w:t>are</w:t>
      </w:r>
      <w:r>
        <w:rPr>
          <w:lang w:val="en-AU"/>
        </w:rPr>
        <w:t xml:space="preserve"> </w:t>
      </w:r>
      <w:r w:rsidR="00E84936">
        <w:rPr>
          <w:lang w:val="en-AU"/>
        </w:rPr>
        <w:t>obligated</w:t>
      </w:r>
      <w:r>
        <w:rPr>
          <w:lang w:val="en-AU"/>
        </w:rPr>
        <w:t xml:space="preserve"> to</w:t>
      </w:r>
      <w:r w:rsidR="00E84936">
        <w:rPr>
          <w:lang w:val="en-AU"/>
        </w:rPr>
        <w:t xml:space="preserve"> take measures to</w:t>
      </w:r>
      <w:r>
        <w:rPr>
          <w:lang w:val="en-AU"/>
        </w:rPr>
        <w:t xml:space="preserve"> prevent its territory being used for acts contrary to the rights of other States</w:t>
      </w:r>
      <w:r w:rsidR="005B4DBF">
        <w:rPr>
          <w:lang w:val="en-AU"/>
        </w:rPr>
        <w:t>.</w:t>
      </w:r>
      <w:r>
        <w:rPr>
          <w:rStyle w:val="FootnoteReference"/>
          <w:lang w:val="en-AU"/>
        </w:rPr>
        <w:footnoteReference w:id="34"/>
      </w:r>
      <w:r>
        <w:rPr>
          <w:lang w:val="en-AU"/>
        </w:rPr>
        <w:t xml:space="preserve"> This is an obligation of conduct, not result; there is no duty to prevent harm in fact.</w:t>
      </w:r>
      <w:r>
        <w:rPr>
          <w:rStyle w:val="FootnoteReference"/>
          <w:lang w:val="en-AU"/>
        </w:rPr>
        <w:footnoteReference w:id="35"/>
      </w:r>
      <w:r>
        <w:rPr>
          <w:lang w:val="en-AU"/>
        </w:rPr>
        <w:t xml:space="preserve"> </w:t>
      </w:r>
    </w:p>
    <w:p w14:paraId="1EBEE3A6" w14:textId="77777777" w:rsidR="00A629B5" w:rsidRDefault="00A629B5" w:rsidP="00A629B5">
      <w:pPr>
        <w:pStyle w:val="Heading4"/>
        <w:numPr>
          <w:ilvl w:val="0"/>
          <w:numId w:val="6"/>
        </w:numPr>
        <w:spacing w:line="360" w:lineRule="auto"/>
        <w:rPr>
          <w:lang w:val="en-AU"/>
        </w:rPr>
      </w:pPr>
      <w:bookmarkStart w:id="152" w:name="_Toc535037173"/>
      <w:r w:rsidRPr="000F04AA">
        <w:rPr>
          <w:lang w:val="en-AU"/>
        </w:rPr>
        <w:t xml:space="preserve">Rakkab </w:t>
      </w:r>
      <w:r>
        <w:rPr>
          <w:lang w:val="en-AU"/>
        </w:rPr>
        <w:t>complied with its duty of due diligence to prevent non-State actors from causing transboundary harm to the environment of other States</w:t>
      </w:r>
      <w:bookmarkEnd w:id="152"/>
    </w:p>
    <w:p w14:paraId="1C300FF4" w14:textId="77777777" w:rsidR="00A629B5" w:rsidRDefault="00A629B5" w:rsidP="00A629B5">
      <w:pPr>
        <w:rPr>
          <w:color w:val="000000" w:themeColor="text1"/>
          <w:lang w:val="en-GB"/>
        </w:rPr>
      </w:pPr>
      <w:r>
        <w:rPr>
          <w:color w:val="000000" w:themeColor="text1"/>
          <w:lang w:val="en-GB"/>
        </w:rPr>
        <w:t xml:space="preserve">The prevention principle imposes a duty of due diligence </w:t>
      </w:r>
      <w:r w:rsidRPr="00532AC1">
        <w:rPr>
          <w:color w:val="000000" w:themeColor="text1"/>
          <w:lang w:val="en-GB"/>
        </w:rPr>
        <w:t xml:space="preserve">in preventing </w:t>
      </w:r>
      <w:r>
        <w:rPr>
          <w:color w:val="000000" w:themeColor="text1"/>
          <w:lang w:val="en-GB"/>
        </w:rPr>
        <w:t xml:space="preserve">non-State actors </w:t>
      </w:r>
      <w:r w:rsidRPr="00532AC1">
        <w:rPr>
          <w:color w:val="000000" w:themeColor="text1"/>
          <w:lang w:val="en-GB"/>
        </w:rPr>
        <w:t>from causing harm to the environment of another State.</w:t>
      </w:r>
      <w:r w:rsidRPr="00532AC1">
        <w:rPr>
          <w:rStyle w:val="FootnoteReference"/>
          <w:color w:val="000000" w:themeColor="text1"/>
          <w:lang w:val="en-GB"/>
        </w:rPr>
        <w:footnoteReference w:id="36"/>
      </w:r>
      <w:r w:rsidRPr="00532AC1">
        <w:rPr>
          <w:color w:val="000000" w:themeColor="text1"/>
          <w:lang w:val="en-GB"/>
        </w:rPr>
        <w:t xml:space="preserve"> </w:t>
      </w:r>
      <w:r>
        <w:rPr>
          <w:color w:val="000000" w:themeColor="text1"/>
          <w:lang w:val="en-GB"/>
        </w:rPr>
        <w:t>The due diligence obligation encompasses: (</w:t>
      </w:r>
      <w:proofErr w:type="spellStart"/>
      <w:r>
        <w:rPr>
          <w:color w:val="000000" w:themeColor="text1"/>
          <w:lang w:val="en-GB"/>
        </w:rPr>
        <w:t>i</w:t>
      </w:r>
      <w:proofErr w:type="spellEnd"/>
      <w:r>
        <w:rPr>
          <w:color w:val="000000" w:themeColor="text1"/>
          <w:lang w:val="en-GB"/>
        </w:rPr>
        <w:t>) the obligation to conduct an Environmental Impact Assessment (“EIA”);</w:t>
      </w:r>
      <w:r>
        <w:rPr>
          <w:rStyle w:val="FootnoteReference"/>
          <w:color w:val="000000" w:themeColor="text1"/>
          <w:lang w:val="en-GB"/>
        </w:rPr>
        <w:footnoteReference w:id="37"/>
      </w:r>
      <w:r>
        <w:rPr>
          <w:color w:val="000000" w:themeColor="text1"/>
          <w:lang w:val="en-GB"/>
        </w:rPr>
        <w:t xml:space="preserve"> (ii) the obligation of </w:t>
      </w:r>
      <w:r>
        <w:rPr>
          <w:color w:val="000000" w:themeColor="text1"/>
          <w:lang w:val="en-GB"/>
        </w:rPr>
        <w:lastRenderedPageBreak/>
        <w:t>States to adopt appropriate measures and ensure they are reasonably enforced;</w:t>
      </w:r>
      <w:r>
        <w:rPr>
          <w:rStyle w:val="FootnoteReference"/>
          <w:color w:val="000000" w:themeColor="text1"/>
          <w:lang w:val="en-GB"/>
        </w:rPr>
        <w:footnoteReference w:id="38"/>
      </w:r>
      <w:r>
        <w:rPr>
          <w:color w:val="000000" w:themeColor="text1"/>
          <w:lang w:val="en-GB"/>
        </w:rPr>
        <w:t xml:space="preserve"> and (iii) the obligation to apply the precautionary approach.</w:t>
      </w:r>
      <w:r>
        <w:rPr>
          <w:rStyle w:val="FootnoteReference"/>
          <w:color w:val="000000" w:themeColor="text1"/>
          <w:lang w:val="en-GB"/>
        </w:rPr>
        <w:footnoteReference w:id="39"/>
      </w:r>
    </w:p>
    <w:p w14:paraId="7AE0C367" w14:textId="7A4211F9" w:rsidR="00A629B5" w:rsidRDefault="00A629B5" w:rsidP="00A629B5">
      <w:pPr>
        <w:ind w:firstLine="720"/>
        <w:rPr>
          <w:color w:val="000000" w:themeColor="text1"/>
          <w:lang w:val="en-GB"/>
        </w:rPr>
      </w:pPr>
      <w:r>
        <w:rPr>
          <w:color w:val="000000" w:themeColor="text1"/>
          <w:lang w:val="en-GB"/>
        </w:rPr>
        <w:t>First, Rakkab conducted a comprehensive EIA, consulting affected parties, including the Aurokan government and YLSA representatives, as required.</w:t>
      </w:r>
      <w:r>
        <w:rPr>
          <w:rStyle w:val="FootnoteReference"/>
          <w:color w:val="000000" w:themeColor="text1"/>
          <w:lang w:val="en-GB"/>
        </w:rPr>
        <w:footnoteReference w:id="40"/>
      </w:r>
      <w:r>
        <w:rPr>
          <w:color w:val="000000" w:themeColor="text1"/>
          <w:lang w:val="en-GB"/>
        </w:rPr>
        <w:t xml:space="preserve"> The EIA concluded that Regulation AG/2017-0300 </w:t>
      </w:r>
      <w:r w:rsidR="00EE00C3">
        <w:rPr>
          <w:color w:val="000000" w:themeColor="text1"/>
          <w:lang w:val="en-GB"/>
        </w:rPr>
        <w:t>was</w:t>
      </w:r>
      <w:r>
        <w:rPr>
          <w:color w:val="000000" w:themeColor="text1"/>
          <w:lang w:val="en-GB"/>
        </w:rPr>
        <w:t xml:space="preserve"> adequate to regulate DORTA’s hunting and sustain the Yak population. Second, Rakkab implemented the Regulation, limiting the number of Yak DORTA could harvest annually.</w:t>
      </w:r>
      <w:r w:rsidRPr="003F5672">
        <w:rPr>
          <w:rStyle w:val="FootnoteReference"/>
          <w:color w:val="000000" w:themeColor="text1"/>
          <w:lang w:val="en-GB"/>
        </w:rPr>
        <w:footnoteReference w:id="41"/>
      </w:r>
      <w:r>
        <w:rPr>
          <w:color w:val="000000" w:themeColor="text1"/>
          <w:lang w:val="en-GB"/>
        </w:rPr>
        <w:t xml:space="preserve"> Rakkab also ensured that DORTA complied with the Regulation.</w:t>
      </w:r>
      <w:r>
        <w:rPr>
          <w:rStyle w:val="FootnoteReference"/>
          <w:color w:val="000000" w:themeColor="text1"/>
          <w:lang w:val="en-GB"/>
        </w:rPr>
        <w:footnoteReference w:id="42"/>
      </w:r>
      <w:r>
        <w:rPr>
          <w:color w:val="000000" w:themeColor="text1"/>
          <w:lang w:val="en-GB"/>
        </w:rPr>
        <w:t xml:space="preserve"> Third, there was no scientific uncertainty as to the Regulation’s ability to protect the Yak population, therefore, the precautionary principle does not apply.</w:t>
      </w:r>
      <w:r>
        <w:rPr>
          <w:rStyle w:val="FootnoteReference"/>
        </w:rPr>
        <w:footnoteReference w:id="43"/>
      </w:r>
      <w:r>
        <w:rPr>
          <w:color w:val="000000" w:themeColor="text1"/>
          <w:lang w:val="en-GB"/>
        </w:rPr>
        <w:t xml:space="preserve"> In any case, the measure adopted satisfied the principle by limiting the number of Yak to be harvested. Therefore, Rakkab satisfied its due diligence obligations.</w:t>
      </w:r>
    </w:p>
    <w:p w14:paraId="1BB5365D" w14:textId="77777777" w:rsidR="00A629B5" w:rsidRPr="002A4965" w:rsidRDefault="00A629B5" w:rsidP="00A629B5">
      <w:pPr>
        <w:rPr>
          <w:color w:val="000000" w:themeColor="text1"/>
          <w:lang w:val="en-GB"/>
        </w:rPr>
      </w:pPr>
      <w:r>
        <w:rPr>
          <w:color w:val="000000" w:themeColor="text1"/>
          <w:lang w:val="en-GB"/>
        </w:rPr>
        <w:tab/>
      </w:r>
      <w:proofErr w:type="spellStart"/>
      <w:r>
        <w:rPr>
          <w:color w:val="000000" w:themeColor="text1"/>
          <w:lang w:val="en-GB"/>
        </w:rPr>
        <w:t>Rakkab’s</w:t>
      </w:r>
      <w:proofErr w:type="spellEnd"/>
      <w:r>
        <w:rPr>
          <w:color w:val="000000" w:themeColor="text1"/>
          <w:lang w:val="en-GB"/>
        </w:rPr>
        <w:t xml:space="preserve"> obligations relating to the environment is discussed further in Pleading II.B.1.</w:t>
      </w:r>
    </w:p>
    <w:p w14:paraId="11F34FA6" w14:textId="7FEF2CFE" w:rsidR="00A629B5" w:rsidRDefault="00A629B5" w:rsidP="00A629B5">
      <w:pPr>
        <w:pStyle w:val="Heading4"/>
        <w:spacing w:line="360" w:lineRule="auto"/>
        <w:rPr>
          <w:lang w:val="en-AU"/>
        </w:rPr>
      </w:pPr>
      <w:bookmarkStart w:id="153" w:name="_Toc535037174"/>
      <w:r>
        <w:rPr>
          <w:lang w:val="en-AU"/>
        </w:rPr>
        <w:t xml:space="preserve">Rakkab satisfied its duty to prevent </w:t>
      </w:r>
      <w:r w:rsidRPr="001D4497">
        <w:rPr>
          <w:lang w:val="en-AU"/>
        </w:rPr>
        <w:t>transboundary</w:t>
      </w:r>
      <w:r>
        <w:rPr>
          <w:lang w:val="en-AU"/>
        </w:rPr>
        <w:t xml:space="preserve"> violation</w:t>
      </w:r>
      <w:r w:rsidR="005B4DBF">
        <w:rPr>
          <w:lang w:val="en-AU"/>
        </w:rPr>
        <w:t>s</w:t>
      </w:r>
      <w:r>
        <w:rPr>
          <w:lang w:val="en-AU"/>
        </w:rPr>
        <w:t xml:space="preserve"> of international human rights by non-State actors</w:t>
      </w:r>
      <w:bookmarkEnd w:id="153"/>
    </w:p>
    <w:p w14:paraId="3E43602E" w14:textId="77777777" w:rsidR="00A629B5" w:rsidRDefault="00A629B5" w:rsidP="00A629B5">
      <w:pPr>
        <w:rPr>
          <w:color w:val="000000" w:themeColor="text1"/>
        </w:rPr>
      </w:pPr>
      <w:r>
        <w:rPr>
          <w:lang w:val="en-US"/>
        </w:rPr>
        <w:t>Human rights treaties impose tripartite duties on States parties to protect, respect and fulfil the treaties’ substantive obligations</w:t>
      </w:r>
      <w:r>
        <w:rPr>
          <w:color w:val="000000" w:themeColor="text1"/>
          <w:lang w:val="en-US"/>
        </w:rPr>
        <w:t>.</w:t>
      </w:r>
      <w:r w:rsidRPr="0097214C">
        <w:rPr>
          <w:rStyle w:val="FootnoteReference"/>
          <w:color w:val="000000" w:themeColor="text1"/>
        </w:rPr>
        <w:footnoteReference w:id="44"/>
      </w:r>
      <w:r w:rsidRPr="0097214C">
        <w:rPr>
          <w:color w:val="000000" w:themeColor="text1"/>
        </w:rPr>
        <w:t xml:space="preserve"> </w:t>
      </w:r>
      <w:r>
        <w:rPr>
          <w:color w:val="000000" w:themeColor="text1"/>
        </w:rPr>
        <w:t>In particular, t</w:t>
      </w:r>
      <w:r w:rsidRPr="0097214C">
        <w:rPr>
          <w:color w:val="000000" w:themeColor="text1"/>
        </w:rPr>
        <w:t>he duty to protect imposes a</w:t>
      </w:r>
      <w:r>
        <w:rPr>
          <w:color w:val="000000" w:themeColor="text1"/>
        </w:rPr>
        <w:t xml:space="preserve"> positive </w:t>
      </w:r>
      <w:r w:rsidRPr="0097214C">
        <w:rPr>
          <w:color w:val="000000" w:themeColor="text1"/>
        </w:rPr>
        <w:t>obligation on States to</w:t>
      </w:r>
      <w:r>
        <w:rPr>
          <w:color w:val="000000" w:themeColor="text1"/>
        </w:rPr>
        <w:t xml:space="preserve"> exercise due diligence to</w:t>
      </w:r>
      <w:r w:rsidRPr="0097214C">
        <w:rPr>
          <w:color w:val="000000" w:themeColor="text1"/>
        </w:rPr>
        <w:t xml:space="preserve"> prevent violations of human rights by </w:t>
      </w:r>
      <w:r>
        <w:rPr>
          <w:color w:val="000000" w:themeColor="text1"/>
        </w:rPr>
        <w:t>non-State actors</w:t>
      </w:r>
      <w:r w:rsidRPr="0097214C">
        <w:rPr>
          <w:color w:val="000000" w:themeColor="text1"/>
        </w:rPr>
        <w:t>.</w:t>
      </w:r>
      <w:r w:rsidRPr="0097214C">
        <w:rPr>
          <w:rStyle w:val="FootnoteReference"/>
          <w:color w:val="000000" w:themeColor="text1"/>
        </w:rPr>
        <w:footnoteReference w:id="45"/>
      </w:r>
      <w:r>
        <w:rPr>
          <w:color w:val="000000" w:themeColor="text1"/>
        </w:rPr>
        <w:t xml:space="preserve"> This requires the adoption of </w:t>
      </w:r>
      <w:r>
        <w:rPr>
          <w:lang w:val="en-US"/>
        </w:rPr>
        <w:t xml:space="preserve">legislative, administrative and other appropriate measures of </w:t>
      </w:r>
      <w:r>
        <w:rPr>
          <w:lang w:val="en-US"/>
        </w:rPr>
        <w:lastRenderedPageBreak/>
        <w:t>prevention.</w:t>
      </w:r>
      <w:r>
        <w:rPr>
          <w:rStyle w:val="FootnoteReference"/>
          <w:lang w:val="en-US"/>
        </w:rPr>
        <w:footnoteReference w:id="46"/>
      </w:r>
      <w:r>
        <w:rPr>
          <w:lang w:val="en-US"/>
        </w:rPr>
        <w:t xml:space="preserve"> States have discretion in deciding upon the appropriate measures to prevent violations by non-State actors.</w:t>
      </w:r>
      <w:r>
        <w:rPr>
          <w:rStyle w:val="FootnoteReference"/>
          <w:color w:val="000000" w:themeColor="text1"/>
        </w:rPr>
        <w:footnoteReference w:id="47"/>
      </w:r>
      <w:r>
        <w:rPr>
          <w:color w:val="000000" w:themeColor="text1"/>
        </w:rPr>
        <w:t xml:space="preserve"> </w:t>
      </w:r>
    </w:p>
    <w:p w14:paraId="39CDAC7D" w14:textId="77777777" w:rsidR="00A629B5" w:rsidRPr="006518BD" w:rsidRDefault="00A629B5" w:rsidP="00A629B5">
      <w:pPr>
        <w:ind w:firstLine="567"/>
        <w:rPr>
          <w:lang w:val="en-US"/>
        </w:rPr>
      </w:pPr>
      <w:r>
        <w:rPr>
          <w:lang w:val="en-US"/>
        </w:rPr>
        <w:t xml:space="preserve">Rakkab implemented Regulation AG/2017-0300 </w:t>
      </w:r>
      <w:r>
        <w:rPr>
          <w:lang w:val="en-AU" w:eastAsia="ko-KR"/>
        </w:rPr>
        <w:t>to regulate the taking of Yak in Rakkab by imposing (</w:t>
      </w:r>
      <w:proofErr w:type="spellStart"/>
      <w:r>
        <w:rPr>
          <w:lang w:val="en-AU" w:eastAsia="ko-KR"/>
        </w:rPr>
        <w:t>i</w:t>
      </w:r>
      <w:proofErr w:type="spellEnd"/>
      <w:r>
        <w:rPr>
          <w:lang w:val="en-AU" w:eastAsia="ko-KR"/>
        </w:rPr>
        <w:t>) criminal and civil sanctions for unlicensed taking and (ii) limiting the number of Yak harvested.</w:t>
      </w:r>
      <w:r>
        <w:rPr>
          <w:rStyle w:val="FootnoteReference"/>
          <w:lang w:val="en-AU" w:eastAsia="ko-KR"/>
        </w:rPr>
        <w:footnoteReference w:id="48"/>
      </w:r>
      <w:r>
        <w:rPr>
          <w:lang w:val="en-AU" w:eastAsia="ko-KR"/>
        </w:rPr>
        <w:t xml:space="preserve"> </w:t>
      </w:r>
      <w:r>
        <w:rPr>
          <w:lang w:val="en-US"/>
        </w:rPr>
        <w:t>Rakkab also ensured that DORTA complied with the Regulation limit.</w:t>
      </w:r>
      <w:r>
        <w:rPr>
          <w:rStyle w:val="FootnoteReference"/>
          <w:lang w:val="en-US"/>
        </w:rPr>
        <w:footnoteReference w:id="49"/>
      </w:r>
      <w:r>
        <w:rPr>
          <w:lang w:val="en-US"/>
        </w:rPr>
        <w:t xml:space="preserve"> </w:t>
      </w:r>
      <w:r>
        <w:rPr>
          <w:lang w:val="en-AU" w:eastAsia="ko-KR"/>
        </w:rPr>
        <w:t xml:space="preserve">These measures protect the sustainability of the Yak population so that </w:t>
      </w:r>
      <w:proofErr w:type="spellStart"/>
      <w:r>
        <w:rPr>
          <w:lang w:val="en-AU" w:eastAsia="ko-KR"/>
        </w:rPr>
        <w:t>Aurokans</w:t>
      </w:r>
      <w:proofErr w:type="spellEnd"/>
      <w:r>
        <w:rPr>
          <w:lang w:val="en-AU" w:eastAsia="ko-KR"/>
        </w:rPr>
        <w:t xml:space="preserve"> can exercise their religious and cultural rights under the ICCPR and ICESCR.</w:t>
      </w:r>
    </w:p>
    <w:p w14:paraId="225F00D8" w14:textId="77777777" w:rsidR="00A629B5" w:rsidRPr="00B624BF" w:rsidRDefault="00A629B5" w:rsidP="00A629B5">
      <w:pPr>
        <w:pStyle w:val="Heading4"/>
        <w:spacing w:line="360" w:lineRule="auto"/>
        <w:rPr>
          <w:lang w:val="en-AU" w:eastAsia="ko-KR"/>
        </w:rPr>
      </w:pPr>
      <w:bookmarkStart w:id="154" w:name="_Toc535037175"/>
      <w:r>
        <w:rPr>
          <w:lang w:val="en-AU" w:eastAsia="ko-KR"/>
        </w:rPr>
        <w:t>Rakkab did not have an obligation to regulate benefit sharing for the utilisation of traditional knowledge</w:t>
      </w:r>
      <w:bookmarkEnd w:id="154"/>
    </w:p>
    <w:p w14:paraId="31B0123F" w14:textId="1922C306" w:rsidR="00A629B5" w:rsidRDefault="00A629B5" w:rsidP="00A629B5">
      <w:r>
        <w:t>Under Article 16(1) of the Nagoya Protocol, Rakkab, the State where the traditional knowledge is being used, has an obligation to enact appropriate measures to ensure compliance with the regulatory benefit sharing requirements of Aurok, the State where the indigenous population is located</w:t>
      </w:r>
      <w:r w:rsidR="001921C6">
        <w:t>.</w:t>
      </w:r>
      <w:r>
        <w:t xml:space="preserve"> However, Aurok has not implemented any requirements for benefit sharing. </w:t>
      </w:r>
      <w:proofErr w:type="spellStart"/>
      <w:r>
        <w:t>Rakkab’s</w:t>
      </w:r>
      <w:proofErr w:type="spellEnd"/>
      <w:r>
        <w:t xml:space="preserve"> obligation was not triggered as there were no applicable standards in Aurok.</w:t>
      </w:r>
      <w:r>
        <w:rPr>
          <w:rStyle w:val="FootnoteReference"/>
        </w:rPr>
        <w:footnoteReference w:id="50"/>
      </w:r>
    </w:p>
    <w:p w14:paraId="4AB8C211" w14:textId="77777777" w:rsidR="00A629B5" w:rsidRDefault="00A629B5" w:rsidP="00A629B5">
      <w:r>
        <w:tab/>
        <w:t>Additionally, Rakkab satisfied its obligation “to endeavour to cooperate” with Aurok by negotiating in good faith despite no agreement being reached.</w:t>
      </w:r>
      <w:r>
        <w:rPr>
          <w:rStyle w:val="FootnoteReference"/>
        </w:rPr>
        <w:footnoteReference w:id="51"/>
      </w:r>
    </w:p>
    <w:p w14:paraId="2CF9F572" w14:textId="77777777" w:rsidR="00A629B5" w:rsidRPr="00E1122C" w:rsidRDefault="00A629B5" w:rsidP="00A629B5">
      <w:pPr>
        <w:ind w:firstLine="567"/>
      </w:pPr>
      <w:r>
        <w:t xml:space="preserve">This issue is discussed further </w:t>
      </w:r>
      <w:r w:rsidRPr="00F40CFE">
        <w:t>in Pleading IV.B</w:t>
      </w:r>
      <w:r>
        <w:t>.</w:t>
      </w:r>
      <w:r>
        <w:rPr>
          <w:lang w:val="en-AU"/>
        </w:rPr>
        <w:br w:type="page"/>
      </w:r>
    </w:p>
    <w:p w14:paraId="0C49E624" w14:textId="77777777" w:rsidR="00A629B5" w:rsidRDefault="00A629B5" w:rsidP="00A629B5">
      <w:pPr>
        <w:pStyle w:val="Heading2"/>
        <w:spacing w:line="360" w:lineRule="auto"/>
      </w:pPr>
      <w:bookmarkStart w:id="155" w:name="_Toc534993309"/>
      <w:bookmarkStart w:id="156" w:name="_Toc535037176"/>
      <w:r>
        <w:lastRenderedPageBreak/>
        <w:t xml:space="preserve">THE HARVESTING OF THE YAK </w:t>
      </w:r>
      <w:r w:rsidRPr="00882B6E">
        <w:t>IN RAKKAB</w:t>
      </w:r>
      <w:r>
        <w:t xml:space="preserve"> did NOT VIOLATE RAKKAB’S INTERNATIONAL LEGAL OBLIGATIONS RELATING TO THE PROTECTION OF ENDANGERED SPECIES AND THE ENVIRONMENT</w:t>
      </w:r>
      <w:bookmarkEnd w:id="155"/>
      <w:bookmarkEnd w:id="156"/>
    </w:p>
    <w:p w14:paraId="0A0EB0BF" w14:textId="38AC754D" w:rsidR="00A629B5" w:rsidRPr="0059188D" w:rsidRDefault="00A629B5" w:rsidP="00A629B5">
      <w:r>
        <w:t xml:space="preserve">DORTA’s harvesting of the Yak in Rakkab did not violate </w:t>
      </w:r>
      <w:proofErr w:type="spellStart"/>
      <w:r>
        <w:t>Rakkab’s</w:t>
      </w:r>
      <w:proofErr w:type="spellEnd"/>
      <w:r>
        <w:t xml:space="preserve"> international obligations under (A) treaties </w:t>
      </w:r>
      <w:r w:rsidR="00872956">
        <w:t>or</w:t>
      </w:r>
      <w:r>
        <w:t xml:space="preserve"> (B) customary international law.</w:t>
      </w:r>
    </w:p>
    <w:p w14:paraId="709F55AB" w14:textId="77777777" w:rsidR="00A629B5" w:rsidRDefault="00A629B5" w:rsidP="00A629B5">
      <w:pPr>
        <w:pStyle w:val="Heading3"/>
        <w:numPr>
          <w:ilvl w:val="0"/>
          <w:numId w:val="13"/>
        </w:numPr>
        <w:spacing w:line="360" w:lineRule="auto"/>
      </w:pPr>
      <w:bookmarkStart w:id="157" w:name="_Toc534993310"/>
      <w:bookmarkStart w:id="158" w:name="_Toc535037177"/>
      <w:r>
        <w:t>Rakkab did not violate its international treaty obligations</w:t>
      </w:r>
      <w:bookmarkEnd w:id="157"/>
      <w:bookmarkEnd w:id="158"/>
    </w:p>
    <w:p w14:paraId="2BA6697F" w14:textId="77777777" w:rsidR="00A629B5" w:rsidRPr="00513D12" w:rsidRDefault="00A629B5" w:rsidP="006F0DC8">
      <w:pPr>
        <w:pStyle w:val="Heading4"/>
        <w:numPr>
          <w:ilvl w:val="0"/>
          <w:numId w:val="40"/>
        </w:numPr>
        <w:spacing w:line="360" w:lineRule="auto"/>
      </w:pPr>
      <w:bookmarkStart w:id="159" w:name="_Toc535037178"/>
      <w:r>
        <w:t>Rakkab did not violate its obligations under the Convention on the Conservation of Migratory Species of Wild Animals (“CMS”)</w:t>
      </w:r>
      <w:bookmarkEnd w:id="159"/>
    </w:p>
    <w:p w14:paraId="2A2A0807" w14:textId="77777777" w:rsidR="00A629B5" w:rsidRDefault="00A629B5" w:rsidP="00A629B5">
      <w:r>
        <w:t xml:space="preserve">The </w:t>
      </w:r>
      <w:proofErr w:type="spellStart"/>
      <w:r>
        <w:t>Kayleff</w:t>
      </w:r>
      <w:proofErr w:type="spellEnd"/>
      <w:r>
        <w:t xml:space="preserve"> Yak are an endangered species under Appendix I of the </w:t>
      </w:r>
      <w:r w:rsidRPr="007E00B8">
        <w:t>CMS</w:t>
      </w:r>
      <w:r>
        <w:t>.</w:t>
      </w:r>
      <w:r>
        <w:rPr>
          <w:rStyle w:val="FootnoteReference"/>
        </w:rPr>
        <w:footnoteReference w:id="52"/>
      </w:r>
      <w:r>
        <w:t xml:space="preserve"> Article III(5) requires Rakkab, a Range State, to prohibit the taking of the Yak unless one of the stated exceptions apply. </w:t>
      </w:r>
    </w:p>
    <w:p w14:paraId="2982B4AF" w14:textId="77777777" w:rsidR="00A629B5" w:rsidRDefault="00A629B5" w:rsidP="006F0DC8">
      <w:pPr>
        <w:pStyle w:val="Heading5"/>
        <w:numPr>
          <w:ilvl w:val="0"/>
          <w:numId w:val="41"/>
        </w:numPr>
        <w:spacing w:line="360" w:lineRule="auto"/>
      </w:pPr>
      <w:bookmarkStart w:id="160" w:name="_Toc535037179"/>
      <w:r>
        <w:t xml:space="preserve">The </w:t>
      </w:r>
      <w:r w:rsidRPr="00A43934">
        <w:t>harvesting</w:t>
      </w:r>
      <w:r>
        <w:t xml:space="preserve"> was for scientific purposes</w:t>
      </w:r>
      <w:bookmarkEnd w:id="160"/>
    </w:p>
    <w:p w14:paraId="165A63A3" w14:textId="49EE8327" w:rsidR="00A629B5" w:rsidRDefault="00A629B5" w:rsidP="00A629B5">
      <w:pPr>
        <w:rPr>
          <w:color w:val="000000" w:themeColor="text1"/>
        </w:rPr>
      </w:pPr>
      <w:r>
        <w:t xml:space="preserve">Article III(5)(a) of the CMS permits taking of the Yak for scientific purposes. While </w:t>
      </w:r>
      <w:r>
        <w:rPr>
          <w:rFonts w:eastAsia="Times New Roman"/>
          <w:color w:val="000000" w:themeColor="text1"/>
          <w:lang w:eastAsia="en-GB"/>
        </w:rPr>
        <w:t>t</w:t>
      </w:r>
      <w:r w:rsidRPr="005E48F1">
        <w:rPr>
          <w:rFonts w:eastAsia="Times New Roman"/>
          <w:color w:val="000000" w:themeColor="text1"/>
          <w:lang w:eastAsia="en-GB"/>
        </w:rPr>
        <w:t>he CMS does not define “scientific purposes”</w:t>
      </w:r>
      <w:r>
        <w:rPr>
          <w:rFonts w:eastAsia="Times New Roman"/>
          <w:color w:val="000000" w:themeColor="text1"/>
          <w:lang w:eastAsia="en-GB"/>
        </w:rPr>
        <w:t>,</w:t>
      </w:r>
      <w:r w:rsidRPr="005E48F1">
        <w:rPr>
          <w:rFonts w:eastAsia="Times New Roman"/>
          <w:color w:val="000000" w:themeColor="text1"/>
          <w:lang w:eastAsia="en-GB"/>
        </w:rPr>
        <w:t xml:space="preserve"> limited guidance can be found in this Court’s </w:t>
      </w:r>
      <w:r w:rsidRPr="005E48F1">
        <w:rPr>
          <w:rFonts w:eastAsia="Times New Roman"/>
          <w:i/>
          <w:color w:val="000000" w:themeColor="text1"/>
          <w:lang w:eastAsia="en-GB"/>
        </w:rPr>
        <w:t xml:space="preserve">Whaling in the Antarctic </w:t>
      </w:r>
      <w:r w:rsidR="0044024E" w:rsidRPr="005E48F1">
        <w:rPr>
          <w:rFonts w:eastAsia="Times New Roman"/>
          <w:color w:val="000000" w:themeColor="text1"/>
          <w:lang w:eastAsia="en-GB"/>
        </w:rPr>
        <w:t>decision</w:t>
      </w:r>
      <w:r w:rsidRPr="005E48F1">
        <w:rPr>
          <w:rFonts w:eastAsia="Times New Roman"/>
          <w:color w:val="000000" w:themeColor="text1"/>
          <w:lang w:eastAsia="en-GB"/>
        </w:rPr>
        <w:t>.</w:t>
      </w:r>
      <w:r>
        <w:rPr>
          <w:rStyle w:val="FootnoteReference"/>
          <w:rFonts w:eastAsia="Times New Roman"/>
          <w:color w:val="000000" w:themeColor="text1"/>
          <w:lang w:eastAsia="en-GB"/>
        </w:rPr>
        <w:footnoteReference w:id="53"/>
      </w:r>
      <w:r w:rsidRPr="005E48F1">
        <w:rPr>
          <w:rFonts w:eastAsia="Times New Roman"/>
          <w:color w:val="000000" w:themeColor="text1"/>
          <w:lang w:eastAsia="en-GB"/>
        </w:rPr>
        <w:t xml:space="preserve"> The analysis focussed on whether the specific elements of the scientific program’s design and implementation were reasonable in relation to achieving its stated scientific objectives.</w:t>
      </w:r>
      <w:r w:rsidRPr="005E48F1">
        <w:rPr>
          <w:rFonts w:eastAsia="Times New Roman"/>
          <w:color w:val="000000" w:themeColor="text1"/>
          <w:vertAlign w:val="superscript"/>
          <w:lang w:eastAsia="en-GB"/>
        </w:rPr>
        <w:footnoteReference w:id="54"/>
      </w:r>
      <w:r w:rsidRPr="005E48F1">
        <w:rPr>
          <w:rFonts w:eastAsia="Times New Roman"/>
          <w:color w:val="000000" w:themeColor="text1"/>
          <w:lang w:eastAsia="en-GB"/>
        </w:rPr>
        <w:t xml:space="preserve"> </w:t>
      </w:r>
      <w:r>
        <w:rPr>
          <w:color w:val="000000" w:themeColor="text1"/>
        </w:rPr>
        <w:t>DORTA’s historical mandate is “</w:t>
      </w:r>
      <w:r w:rsidRPr="001F1B80">
        <w:rPr>
          <w:color w:val="000000" w:themeColor="text1"/>
        </w:rPr>
        <w:t>the pursuit and dissemination of scientific discoveries, including ... new medicines and treatments</w:t>
      </w:r>
      <w:r>
        <w:rPr>
          <w:color w:val="000000" w:themeColor="text1"/>
        </w:rPr>
        <w:t>”.</w:t>
      </w:r>
      <w:r>
        <w:rPr>
          <w:rStyle w:val="FootnoteReference"/>
          <w:color w:val="000000" w:themeColor="text1"/>
        </w:rPr>
        <w:footnoteReference w:id="55"/>
      </w:r>
      <w:r>
        <w:rPr>
          <w:color w:val="000000" w:themeColor="text1"/>
        </w:rPr>
        <w:t xml:space="preserve"> The use of lethal methods to harvest the Yak gallbladder is necessary as there are no non-lethal alternatives.</w:t>
      </w:r>
      <w:r>
        <w:rPr>
          <w:rStyle w:val="FootnoteReference"/>
          <w:color w:val="000000" w:themeColor="text1"/>
        </w:rPr>
        <w:footnoteReference w:id="56"/>
      </w:r>
      <w:r>
        <w:rPr>
          <w:color w:val="000000" w:themeColor="text1"/>
        </w:rPr>
        <w:t xml:space="preserve"> Moreover, there is significant scientific output in the development and distribution of Gallvectra.</w:t>
      </w:r>
    </w:p>
    <w:p w14:paraId="24AD1153" w14:textId="1EFE0DD3" w:rsidR="00A629B5" w:rsidRPr="00826C82" w:rsidRDefault="00A629B5" w:rsidP="00A629B5">
      <w:r>
        <w:lastRenderedPageBreak/>
        <w:tab/>
        <w:t>Additionally, the article should be interpreted according to its ordinary meaning, in its context and with regard to its object and purpose.</w:t>
      </w:r>
      <w:r>
        <w:rPr>
          <w:rStyle w:val="FootnoteReference"/>
        </w:rPr>
        <w:footnoteReference w:id="57"/>
      </w:r>
      <w:r>
        <w:t xml:space="preserve"> The harvesting of the Yak is for the development of an essential medicine, Gallvectra, which is accordance with the ordinary meaning of “scientific purposes”.</w:t>
      </w:r>
      <w:r>
        <w:rPr>
          <w:rStyle w:val="FootnoteReference"/>
        </w:rPr>
        <w:footnoteReference w:id="58"/>
      </w:r>
      <w:r>
        <w:t xml:space="preserve"> The harvesting is </w:t>
      </w:r>
      <w:r w:rsidR="005B4DBF">
        <w:t xml:space="preserve">also </w:t>
      </w:r>
      <w:r>
        <w:t xml:space="preserve">consistent with the object and purpose of the </w:t>
      </w:r>
      <w:r w:rsidRPr="00DA4328">
        <w:t>CMS</w:t>
      </w:r>
      <w:r>
        <w:t xml:space="preserve"> which includes wise utilisation of wild animals, conscious of their value from a scientific point of view.</w:t>
      </w:r>
      <w:r>
        <w:rPr>
          <w:rStyle w:val="FootnoteReference"/>
        </w:rPr>
        <w:footnoteReference w:id="59"/>
      </w:r>
    </w:p>
    <w:p w14:paraId="1E7E5DF8" w14:textId="77777777" w:rsidR="00A629B5" w:rsidRDefault="00A629B5" w:rsidP="00A629B5">
      <w:pPr>
        <w:pStyle w:val="Heading5"/>
        <w:spacing w:line="360" w:lineRule="auto"/>
      </w:pPr>
      <w:bookmarkStart w:id="161" w:name="_Toc535037180"/>
      <w:r>
        <w:t>Alternatively, extraordinary circumstances required the harvesting</w:t>
      </w:r>
      <w:bookmarkEnd w:id="161"/>
    </w:p>
    <w:p w14:paraId="70E7AB23" w14:textId="77777777" w:rsidR="00A629B5" w:rsidRDefault="00A629B5" w:rsidP="00A629B5">
      <w:r>
        <w:t xml:space="preserve">Taking of the Yak is permitted under Article III(5)(d) if there are extraordinary circumstances. The </w:t>
      </w:r>
      <w:r w:rsidRPr="00DA4328">
        <w:t>CMS’s</w:t>
      </w:r>
      <w:r>
        <w:t xml:space="preserve"> purpose of conservation is not an end in itself; it is “for the good of mankind”.</w:t>
      </w:r>
      <w:r>
        <w:rPr>
          <w:rStyle w:val="FootnoteReference"/>
        </w:rPr>
        <w:footnoteReference w:id="60"/>
      </w:r>
      <w:r>
        <w:t xml:space="preserve"> The “extraordinary circumstances” exception should be interpreted in this context. Gallvectra is an essential medicine under the WHO Model List of Essential Medicines.</w:t>
      </w:r>
      <w:r>
        <w:rPr>
          <w:rStyle w:val="FootnoteReference"/>
        </w:rPr>
        <w:footnoteReference w:id="61"/>
      </w:r>
      <w:r>
        <w:t xml:space="preserve"> Healthcare and the availability of essential drugs is a fundamental human right.</w:t>
      </w:r>
      <w:r>
        <w:rPr>
          <w:rStyle w:val="FootnoteReference"/>
        </w:rPr>
        <w:footnoteReference w:id="62"/>
      </w:r>
      <w:r>
        <w:t xml:space="preserve"> Gallvectra saves countless lives and is particularly relevant to Rakkab where there is a high diabetes rate.</w:t>
      </w:r>
      <w:r>
        <w:rPr>
          <w:rStyle w:val="FootnoteReference"/>
        </w:rPr>
        <w:footnoteReference w:id="63"/>
      </w:r>
      <w:r>
        <w:t xml:space="preserve"> Therefore, the medical advantages of the Yak gallbladder are an extraordinary circumstance.</w:t>
      </w:r>
    </w:p>
    <w:p w14:paraId="029D58D3" w14:textId="77777777" w:rsidR="00A629B5" w:rsidRPr="0027307B" w:rsidRDefault="00A629B5" w:rsidP="00A629B5">
      <w:pPr>
        <w:ind w:firstLine="567"/>
      </w:pPr>
      <w:r>
        <w:t>Additionally, the word “require” indicates the need for an absence of reasonable alternatives.</w:t>
      </w:r>
      <w:r>
        <w:rPr>
          <w:rStyle w:val="FootnoteReference"/>
        </w:rPr>
        <w:footnoteReference w:id="64"/>
      </w:r>
      <w:r>
        <w:t xml:space="preserve"> There are presently no alternatives to acquiring the Lustuk Enzyme other than the lethal method of harvesting the Yak gallbladder.</w:t>
      </w:r>
      <w:r>
        <w:rPr>
          <w:rStyle w:val="FootnoteReference"/>
        </w:rPr>
        <w:footnoteReference w:id="65"/>
      </w:r>
      <w:r>
        <w:t xml:space="preserve"> </w:t>
      </w:r>
    </w:p>
    <w:p w14:paraId="69655AE9" w14:textId="77777777" w:rsidR="00A629B5" w:rsidRDefault="00A629B5" w:rsidP="00A629B5">
      <w:pPr>
        <w:pStyle w:val="Heading5"/>
        <w:spacing w:line="360" w:lineRule="auto"/>
      </w:pPr>
      <w:bookmarkStart w:id="162" w:name="_Toc535037181"/>
      <w:r>
        <w:t>The exception was precise as to content, limited in space and time, and does not operate to the disadvantage of the Yak</w:t>
      </w:r>
      <w:bookmarkEnd w:id="162"/>
    </w:p>
    <w:p w14:paraId="705D88B1" w14:textId="77777777" w:rsidR="00A629B5" w:rsidRDefault="00A629B5" w:rsidP="00A629B5">
      <w:r>
        <w:lastRenderedPageBreak/>
        <w:t>The proviso in Article III(5) requires that the exception, Regulation AG/2017-0300, be precise, limited and not to the disadvantage of the Yak. First, the exception is precise as to content: DORTA may hunt 30,000 Yaks annually for the purpose of developing and manufacturing Gallvectra.</w:t>
      </w:r>
      <w:r>
        <w:rPr>
          <w:rStyle w:val="FootnoteReference"/>
        </w:rPr>
        <w:footnoteReference w:id="66"/>
      </w:r>
      <w:r>
        <w:t xml:space="preserve"> Second, the exception is limited in space and time: DORTA’s hunting is limited to Yak in the territory of Rakkab and for a period of three years.</w:t>
      </w:r>
      <w:r>
        <w:rPr>
          <w:rStyle w:val="FootnoteReference"/>
        </w:rPr>
        <w:footnoteReference w:id="67"/>
      </w:r>
    </w:p>
    <w:p w14:paraId="4F51DC4B" w14:textId="77777777" w:rsidR="00A629B5" w:rsidRPr="002B627D" w:rsidRDefault="00A629B5" w:rsidP="00A629B5">
      <w:pPr>
        <w:ind w:firstLine="567"/>
      </w:pPr>
      <w:r>
        <w:t>Third, the exception is not to the disadvantage of the Yak. The proviso uses the word “disadvantage” rather than “unfavourable”, and it does not mention “conservation status”. The proviso does not require the Yak population to reach historic abundance which is the threshold for “favourable” conservation status.</w:t>
      </w:r>
      <w:r>
        <w:rPr>
          <w:rStyle w:val="FootnoteReference"/>
        </w:rPr>
        <w:footnoteReference w:id="68"/>
      </w:r>
      <w:r>
        <w:t xml:space="preserve"> Rather, in the context of the exception which permits taking, “disadvantage” is better construed as requiring the Yak population to reach the threshold of a sustainably harvestable population.</w:t>
      </w:r>
      <w:r>
        <w:rPr>
          <w:rStyle w:val="FootnoteReference"/>
        </w:rPr>
        <w:footnoteReference w:id="69"/>
      </w:r>
      <w:r>
        <w:t xml:space="preserve"> This population threshold requires that the Yak population is sufficiently robust to survive regular depredations from humans.</w:t>
      </w:r>
      <w:r>
        <w:rPr>
          <w:rStyle w:val="FootnoteReference"/>
        </w:rPr>
        <w:footnoteReference w:id="70"/>
      </w:r>
      <w:r>
        <w:t xml:space="preserve"> It is the second highest population threshold after historic abundance</w:t>
      </w:r>
      <w:r>
        <w:rPr>
          <w:rStyle w:val="FootnoteReference"/>
        </w:rPr>
        <w:footnoteReference w:id="71"/>
      </w:r>
      <w:r>
        <w:t xml:space="preserve"> and is, therefore, consistent with the </w:t>
      </w:r>
      <w:r w:rsidRPr="00D33806">
        <w:t>CMS’s</w:t>
      </w:r>
      <w:r>
        <w:t xml:space="preserve"> purpose of conservation.</w:t>
      </w:r>
      <w:r>
        <w:rPr>
          <w:rStyle w:val="FootnoteReference"/>
        </w:rPr>
        <w:footnoteReference w:id="72"/>
      </w:r>
      <w:r>
        <w:t xml:space="preserve"> Regulation AG/2017-0300 is adequate to protect the sustainability of the Yak population.</w:t>
      </w:r>
      <w:r>
        <w:rPr>
          <w:rStyle w:val="FootnoteReference"/>
        </w:rPr>
        <w:footnoteReference w:id="73"/>
      </w:r>
      <w:r>
        <w:t xml:space="preserve"> Therefore, the exception does not disadvantage the Yak.</w:t>
      </w:r>
    </w:p>
    <w:p w14:paraId="127D1BF7" w14:textId="77777777" w:rsidR="00A629B5" w:rsidRDefault="00A629B5" w:rsidP="00A629B5">
      <w:pPr>
        <w:pStyle w:val="Heading4"/>
        <w:spacing w:line="360" w:lineRule="auto"/>
      </w:pPr>
      <w:bookmarkStart w:id="163" w:name="_Toc535037182"/>
      <w:r>
        <w:t xml:space="preserve">Rakkab did not violate its obligations under the </w:t>
      </w:r>
      <w:r w:rsidRPr="0014208C">
        <w:t>Convention on International Trade in Endangered Species of Wild Fauna and Flora</w:t>
      </w:r>
      <w:r>
        <w:t xml:space="preserve"> (“CITES”)</w:t>
      </w:r>
      <w:bookmarkEnd w:id="163"/>
    </w:p>
    <w:p w14:paraId="64A689BA" w14:textId="77777777" w:rsidR="00A629B5" w:rsidRDefault="00A629B5" w:rsidP="00A629B5">
      <w:r>
        <w:t xml:space="preserve">The </w:t>
      </w:r>
      <w:proofErr w:type="spellStart"/>
      <w:r>
        <w:t>Kayleff</w:t>
      </w:r>
      <w:proofErr w:type="spellEnd"/>
      <w:r>
        <w:t xml:space="preserve"> Yak is an Appendix III species under </w:t>
      </w:r>
      <w:r w:rsidRPr="000F7E02">
        <w:t>CITES</w:t>
      </w:r>
      <w:r>
        <w:t>.</w:t>
      </w:r>
      <w:r>
        <w:rPr>
          <w:rStyle w:val="FootnoteReference"/>
        </w:rPr>
        <w:footnoteReference w:id="74"/>
      </w:r>
      <w:r>
        <w:t xml:space="preserve"> Article V(2) requires the prior grant and presentation of an export permit for specimens of Appendix III species, Gallvectra.</w:t>
      </w:r>
    </w:p>
    <w:p w14:paraId="63FE8AD8" w14:textId="77777777" w:rsidR="00A629B5" w:rsidRDefault="00A629B5" w:rsidP="006F0DC8">
      <w:pPr>
        <w:pStyle w:val="Heading5"/>
        <w:numPr>
          <w:ilvl w:val="0"/>
          <w:numId w:val="42"/>
        </w:numPr>
        <w:spacing w:line="360" w:lineRule="auto"/>
      </w:pPr>
      <w:bookmarkStart w:id="164" w:name="_Toc535037183"/>
      <w:r>
        <w:t>An export permit was not required</w:t>
      </w:r>
      <w:bookmarkEnd w:id="164"/>
    </w:p>
    <w:p w14:paraId="37217E59" w14:textId="682F0894" w:rsidR="00A629B5" w:rsidRDefault="00A629B5" w:rsidP="00A629B5">
      <w:r>
        <w:lastRenderedPageBreak/>
        <w:t>An export permit is only required when the Appendix III specimen is being exported from the country that requested the addition of the species to Appendix III.</w:t>
      </w:r>
      <w:r>
        <w:rPr>
          <w:rStyle w:val="FootnoteReference"/>
        </w:rPr>
        <w:footnoteReference w:id="75"/>
      </w:r>
      <w:r>
        <w:t xml:space="preserve"> The </w:t>
      </w:r>
      <w:proofErr w:type="spellStart"/>
      <w:r>
        <w:t>Kayleff</w:t>
      </w:r>
      <w:proofErr w:type="spellEnd"/>
      <w:r>
        <w:t xml:space="preserve"> Yak was added to Appendix III at the request of Aurok, not Rakkab.</w:t>
      </w:r>
      <w:r>
        <w:rPr>
          <w:rStyle w:val="FootnoteReference"/>
        </w:rPr>
        <w:footnoteReference w:id="76"/>
      </w:r>
      <w:r>
        <w:t xml:space="preserve"> Therefore, an export permit </w:t>
      </w:r>
      <w:r w:rsidR="005B4DBF">
        <w:t>was</w:t>
      </w:r>
      <w:r>
        <w:t xml:space="preserve"> not </w:t>
      </w:r>
      <w:r w:rsidR="005B4DBF">
        <w:t>required</w:t>
      </w:r>
      <w:r>
        <w:t xml:space="preserve"> for the export of Gallvectra from Rakkab — only a certificate of origin </w:t>
      </w:r>
      <w:r w:rsidR="005B4DBF">
        <w:t>was</w:t>
      </w:r>
      <w:r>
        <w:t xml:space="preserve"> required.</w:t>
      </w:r>
      <w:r>
        <w:rPr>
          <w:rStyle w:val="FootnoteReference"/>
        </w:rPr>
        <w:footnoteReference w:id="77"/>
      </w:r>
    </w:p>
    <w:p w14:paraId="1AF8FC2B" w14:textId="77777777" w:rsidR="00A629B5" w:rsidRDefault="00A629B5" w:rsidP="00A629B5">
      <w:pPr>
        <w:pStyle w:val="Heading5"/>
        <w:spacing w:line="360" w:lineRule="auto"/>
      </w:pPr>
      <w:bookmarkStart w:id="165" w:name="_Toc535037184"/>
      <w:r>
        <w:t>Alternatively, the breach does not require DORTA to cease harvesting</w:t>
      </w:r>
      <w:bookmarkEnd w:id="165"/>
    </w:p>
    <w:p w14:paraId="5CEEBD4F" w14:textId="77777777" w:rsidR="00A629B5" w:rsidRDefault="00A629B5" w:rsidP="00A629B5">
      <w:r>
        <w:t xml:space="preserve">The purpose of </w:t>
      </w:r>
      <w:r w:rsidRPr="00C51202">
        <w:t>CITES</w:t>
      </w:r>
      <w:r>
        <w:t xml:space="preserve"> is to regulate international trade, particularly the activities of poachers and illegal traders; it does not prohibit the taking of the Yak </w:t>
      </w:r>
      <w:r>
        <w:rPr>
          <w:i/>
        </w:rPr>
        <w:t>per se</w:t>
      </w:r>
      <w:r>
        <w:t>.</w:t>
      </w:r>
      <w:r>
        <w:rPr>
          <w:rStyle w:val="FootnoteReference"/>
        </w:rPr>
        <w:footnoteReference w:id="78"/>
      </w:r>
      <w:r>
        <w:t xml:space="preserve"> Whilst DORTA did not obtain an export permit, it satisfied the substantive requirements for obtaining an export permit. First, the Yak were not obtained in contravention of the law, namely Regulation AG/2017-0300.</w:t>
      </w:r>
      <w:r>
        <w:rPr>
          <w:rStyle w:val="FootnoteReference"/>
        </w:rPr>
        <w:footnoteReference w:id="79"/>
      </w:r>
      <w:r>
        <w:t xml:space="preserve"> Second, Article V(2)(b) was not triggered as no living specimen was involved. Thus, even if an export permit was required, the violation was technical and does not justify discontinuation of DORTA’s harvesting of the Yak.</w:t>
      </w:r>
    </w:p>
    <w:p w14:paraId="4DE168AC" w14:textId="77777777" w:rsidR="00A629B5" w:rsidRDefault="00A629B5" w:rsidP="00A629B5">
      <w:pPr>
        <w:pStyle w:val="Heading3"/>
        <w:spacing w:line="360" w:lineRule="auto"/>
      </w:pPr>
      <w:bookmarkStart w:id="166" w:name="_Toc534993311"/>
      <w:bookmarkStart w:id="167" w:name="_Toc535037185"/>
      <w:r>
        <w:t>The harvesting of the Yak is consistent with customary international law regarding shared resources</w:t>
      </w:r>
      <w:bookmarkEnd w:id="166"/>
      <w:bookmarkEnd w:id="167"/>
    </w:p>
    <w:p w14:paraId="5B797AAE" w14:textId="77777777" w:rsidR="00A629B5" w:rsidRDefault="00A629B5" w:rsidP="006F0DC8">
      <w:pPr>
        <w:pStyle w:val="Heading4"/>
        <w:numPr>
          <w:ilvl w:val="0"/>
          <w:numId w:val="43"/>
        </w:numPr>
        <w:spacing w:line="360" w:lineRule="auto"/>
      </w:pPr>
      <w:bookmarkStart w:id="168" w:name="_Toc535037186"/>
      <w:r>
        <w:t>Rakkab complied with its obligation not to cause significant transboundary harm to the environment</w:t>
      </w:r>
      <w:bookmarkEnd w:id="168"/>
    </w:p>
    <w:p w14:paraId="5E644A23" w14:textId="77777777" w:rsidR="00A629B5" w:rsidRPr="00573E0E" w:rsidRDefault="00A629B5" w:rsidP="00A629B5">
      <w:r>
        <w:t xml:space="preserve">Rakkab had a customary obligation to ensure that any activity within its jurisdiction did not cause significant transboundary harm to </w:t>
      </w:r>
      <w:proofErr w:type="spellStart"/>
      <w:r>
        <w:t>Aurok’s</w:t>
      </w:r>
      <w:proofErr w:type="spellEnd"/>
      <w:r>
        <w:t xml:space="preserve"> territory.</w:t>
      </w:r>
      <w:r>
        <w:rPr>
          <w:rStyle w:val="FootnoteReference"/>
        </w:rPr>
        <w:footnoteReference w:id="80"/>
      </w:r>
    </w:p>
    <w:p w14:paraId="487D1441" w14:textId="77777777" w:rsidR="00A629B5" w:rsidRDefault="00A629B5" w:rsidP="006F0DC8">
      <w:pPr>
        <w:pStyle w:val="Heading5"/>
        <w:numPr>
          <w:ilvl w:val="0"/>
          <w:numId w:val="44"/>
        </w:numPr>
        <w:spacing w:line="360" w:lineRule="auto"/>
      </w:pPr>
      <w:bookmarkStart w:id="169" w:name="_Toc535037187"/>
      <w:r w:rsidRPr="00A43934">
        <w:t>Rakkab</w:t>
      </w:r>
      <w:r>
        <w:t xml:space="preserve"> complied with its due diligence obligations</w:t>
      </w:r>
      <w:bookmarkEnd w:id="169"/>
    </w:p>
    <w:p w14:paraId="017EDEE7" w14:textId="77777777" w:rsidR="00A629B5" w:rsidRDefault="00A629B5" w:rsidP="00A629B5">
      <w:r>
        <w:lastRenderedPageBreak/>
        <w:t>A State has a sovereign right to exploit its resources pursuant to its own environmental policies.</w:t>
      </w:r>
      <w:r>
        <w:rPr>
          <w:rStyle w:val="FootnoteReference"/>
        </w:rPr>
        <w:footnoteReference w:id="81"/>
      </w:r>
      <w:r>
        <w:t xml:space="preserve"> However, States are required to act with due diligence in preventing significant transboundary harm resulting from activities in its territory.</w:t>
      </w:r>
      <w:r>
        <w:rPr>
          <w:rStyle w:val="FootnoteReference"/>
        </w:rPr>
        <w:footnoteReference w:id="82"/>
      </w:r>
      <w:r>
        <w:t xml:space="preserve"> This obligation is one of conduct, not result; Rakkab was not required to prevent the harm in fact.</w:t>
      </w:r>
      <w:r>
        <w:rPr>
          <w:rStyle w:val="FootnoteReference"/>
        </w:rPr>
        <w:footnoteReference w:id="83"/>
      </w:r>
      <w:r>
        <w:t xml:space="preserve"> For a State to </w:t>
      </w:r>
      <w:r>
        <w:rPr>
          <w:lang w:val="en-US"/>
        </w:rPr>
        <w:t>meet its due diligence obligations, it must: (</w:t>
      </w:r>
      <w:proofErr w:type="spellStart"/>
      <w:r>
        <w:rPr>
          <w:lang w:val="en-US"/>
        </w:rPr>
        <w:t>i</w:t>
      </w:r>
      <w:proofErr w:type="spellEnd"/>
      <w:r>
        <w:rPr>
          <w:lang w:val="en-US"/>
        </w:rPr>
        <w:t>) conduct an EIA to assess the risk of significant transboundary harm arising from the activity;</w:t>
      </w:r>
      <w:r>
        <w:rPr>
          <w:rStyle w:val="FootnoteReference"/>
        </w:rPr>
        <w:footnoteReference w:id="84"/>
      </w:r>
      <w:r>
        <w:t xml:space="preserve"> </w:t>
      </w:r>
      <w:r>
        <w:rPr>
          <w:lang w:val="en-US"/>
        </w:rPr>
        <w:t>(ii) notify and consult the potentially affected State;</w:t>
      </w:r>
      <w:r>
        <w:rPr>
          <w:rStyle w:val="FootnoteReference"/>
        </w:rPr>
        <w:footnoteReference w:id="85"/>
      </w:r>
      <w:r>
        <w:t xml:space="preserve"> </w:t>
      </w:r>
      <w:r>
        <w:rPr>
          <w:lang w:val="en-US"/>
        </w:rPr>
        <w:t>and (iii) continuously monitor the ongoing effects of the activity on the environment throughout its duration.</w:t>
      </w:r>
      <w:r>
        <w:rPr>
          <w:rStyle w:val="FootnoteReference"/>
        </w:rPr>
        <w:footnoteReference w:id="86"/>
      </w:r>
    </w:p>
    <w:p w14:paraId="7B39FCDC" w14:textId="06762E52" w:rsidR="00A629B5" w:rsidRDefault="00A629B5" w:rsidP="00A629B5">
      <w:pPr>
        <w:ind w:firstLine="720"/>
      </w:pPr>
      <w:r>
        <w:t>First, the content and scope of an EIA is to be determined by the State.</w:t>
      </w:r>
      <w:r>
        <w:rPr>
          <w:rStyle w:val="FootnoteReference"/>
        </w:rPr>
        <w:footnoteReference w:id="87"/>
      </w:r>
      <w:r>
        <w:t xml:space="preserve"> Rakkab conducted a comprehensive EIA, consulting relevant affected parties such as the Aurokan government and YLSA representatives.</w:t>
      </w:r>
      <w:r>
        <w:rPr>
          <w:rStyle w:val="FootnoteReference"/>
        </w:rPr>
        <w:footnoteReference w:id="88"/>
      </w:r>
      <w:r>
        <w:t xml:space="preserve"> The EIA concluded that the Regulation was adequate to sustain the Yak population; no risk of significant transboundary harm was identified</w:t>
      </w:r>
      <w:r w:rsidR="00A553EE">
        <w:t>.</w:t>
      </w:r>
      <w:r>
        <w:rPr>
          <w:rStyle w:val="FootnoteReference"/>
        </w:rPr>
        <w:footnoteReference w:id="89"/>
      </w:r>
      <w:r>
        <w:t xml:space="preserve"> </w:t>
      </w:r>
    </w:p>
    <w:p w14:paraId="7AA685EC" w14:textId="77777777" w:rsidR="00A629B5" w:rsidRDefault="00A629B5" w:rsidP="00A629B5">
      <w:pPr>
        <w:ind w:firstLine="720"/>
      </w:pPr>
      <w:r>
        <w:t>Second, the obligation to notify and consult only arises where the EIA confirms the risk of significant transboundary harm.</w:t>
      </w:r>
      <w:r>
        <w:rPr>
          <w:rStyle w:val="FootnoteReference"/>
        </w:rPr>
        <w:footnoteReference w:id="90"/>
      </w:r>
      <w:r>
        <w:t xml:space="preserve"> As there was no risk, Rakkab was not obliged to notify and consult Aurok.</w:t>
      </w:r>
      <w:r>
        <w:rPr>
          <w:rStyle w:val="FootnoteReference"/>
        </w:rPr>
        <w:footnoteReference w:id="91"/>
      </w:r>
      <w:r>
        <w:t xml:space="preserve"> In any case, Aurok was sufficiently notified of </w:t>
      </w:r>
      <w:proofErr w:type="spellStart"/>
      <w:r>
        <w:t>Rakkab’s</w:t>
      </w:r>
      <w:proofErr w:type="spellEnd"/>
      <w:r>
        <w:t xml:space="preserve"> activities,</w:t>
      </w:r>
      <w:r>
        <w:rPr>
          <w:rStyle w:val="FootnoteReference"/>
        </w:rPr>
        <w:footnoteReference w:id="92"/>
      </w:r>
      <w:r>
        <w:t xml:space="preserve"> and </w:t>
      </w:r>
      <w:proofErr w:type="spellStart"/>
      <w:r>
        <w:t>Rakkab</w:t>
      </w:r>
      <w:proofErr w:type="spellEnd"/>
      <w:r>
        <w:t xml:space="preserve"> adequately consulted and responded to Aurok regarding its activities as evidenced by the exchange </w:t>
      </w:r>
      <w:r>
        <w:lastRenderedPageBreak/>
        <w:t>of statements between the two Governments.</w:t>
      </w:r>
      <w:r>
        <w:rPr>
          <w:rStyle w:val="FootnoteReference"/>
        </w:rPr>
        <w:footnoteReference w:id="93"/>
      </w:r>
      <w:r>
        <w:t xml:space="preserve"> Importantly, the obligation to notify and consult is not an obligation to reach an agreement</w:t>
      </w:r>
      <w:r>
        <w:rPr>
          <w:rStyle w:val="FootnoteReference"/>
        </w:rPr>
        <w:footnoteReference w:id="94"/>
      </w:r>
      <w:r>
        <w:t xml:space="preserve"> or an obligation to cease the activity if an agreement is not reached.</w:t>
      </w:r>
      <w:r>
        <w:rPr>
          <w:rStyle w:val="FootnoteReference"/>
        </w:rPr>
        <w:footnoteReference w:id="95"/>
      </w:r>
    </w:p>
    <w:p w14:paraId="616C99CE" w14:textId="77777777" w:rsidR="00A629B5" w:rsidRDefault="00A629B5" w:rsidP="00A629B5">
      <w:pPr>
        <w:ind w:firstLine="720"/>
      </w:pPr>
      <w:r>
        <w:t>Third, Rakkab continued to monitor the effects of the harvesting by mandating triennial reviews of the Yak population.</w:t>
      </w:r>
      <w:r>
        <w:rPr>
          <w:rStyle w:val="FootnoteReference"/>
        </w:rPr>
        <w:footnoteReference w:id="96"/>
      </w:r>
      <w:r>
        <w:t xml:space="preserve"> Moreover, it launched the </w:t>
      </w:r>
      <w:proofErr w:type="spellStart"/>
      <w:r>
        <w:t>YakTrakker</w:t>
      </w:r>
      <w:proofErr w:type="spellEnd"/>
      <w:r>
        <w:t xml:space="preserve"> application to monitor the Yak population in real-time.</w:t>
      </w:r>
      <w:r>
        <w:rPr>
          <w:rStyle w:val="FootnoteReference"/>
        </w:rPr>
        <w:footnoteReference w:id="97"/>
      </w:r>
      <w:r>
        <w:t xml:space="preserve"> Therefore, Rakkab complied with its due diligence duties.</w:t>
      </w:r>
    </w:p>
    <w:p w14:paraId="1E556368" w14:textId="77777777" w:rsidR="00A629B5" w:rsidRDefault="00A629B5" w:rsidP="00A629B5">
      <w:pPr>
        <w:pStyle w:val="Heading5"/>
        <w:numPr>
          <w:ilvl w:val="0"/>
          <w:numId w:val="11"/>
        </w:numPr>
        <w:spacing w:line="360" w:lineRule="auto"/>
      </w:pPr>
      <w:bookmarkStart w:id="170" w:name="_Toc535037188"/>
      <w:r>
        <w:t>In any event, Rakkab did not cause significant harm</w:t>
      </w:r>
      <w:bookmarkEnd w:id="170"/>
    </w:p>
    <w:p w14:paraId="4CD35204" w14:textId="075F86ED" w:rsidR="00A629B5" w:rsidRDefault="00A629B5" w:rsidP="00A629B5">
      <w:r>
        <w:t>The threshold of significant harm is determined by balancing the socio-economic utility of an activity against its detrimental effects on the environment.</w:t>
      </w:r>
      <w:r>
        <w:rPr>
          <w:rStyle w:val="FootnoteReference"/>
        </w:rPr>
        <w:footnoteReference w:id="98"/>
      </w:r>
      <w:r>
        <w:t xml:space="preserve"> The harvesting has high utility as it is necessary for the manufacture and development of an essential medicine that saves lives.</w:t>
      </w:r>
      <w:r>
        <w:rPr>
          <w:rStyle w:val="FootnoteReference"/>
        </w:rPr>
        <w:footnoteReference w:id="99"/>
      </w:r>
      <w:r>
        <w:t xml:space="preserve"> On the other hand, the seriousness of the harm is comparably low: the current Yak population is sustainable even with </w:t>
      </w:r>
      <w:r w:rsidR="00D84664">
        <w:t>DORTA’s</w:t>
      </w:r>
      <w:r>
        <w:t xml:space="preserve"> hunting, and Aurok maintains its ability to utilise the Yak.</w:t>
      </w:r>
      <w:r>
        <w:rPr>
          <w:rStyle w:val="FootnoteReference"/>
        </w:rPr>
        <w:footnoteReference w:id="100"/>
      </w:r>
      <w:r>
        <w:t xml:space="preserve"> </w:t>
      </w:r>
    </w:p>
    <w:p w14:paraId="61FE36FF" w14:textId="4FFD11EE" w:rsidR="00A629B5" w:rsidRPr="002662DE" w:rsidRDefault="00A629B5" w:rsidP="002662DE">
      <w:pPr>
        <w:pStyle w:val="Heading5"/>
        <w:spacing w:line="360" w:lineRule="auto"/>
        <w:rPr>
          <w:color w:val="000000" w:themeColor="text1"/>
          <w:lang w:val="en-AU"/>
        </w:rPr>
      </w:pPr>
      <w:bookmarkStart w:id="171" w:name="_Toc535037189"/>
      <w:r w:rsidRPr="008C20C0">
        <w:rPr>
          <w:color w:val="000000" w:themeColor="text1"/>
          <w:lang w:val="en-AU"/>
        </w:rPr>
        <w:t xml:space="preserve">Additionally, </w:t>
      </w:r>
      <w:r w:rsidR="002662DE" w:rsidRPr="002662DE">
        <w:rPr>
          <w:color w:val="000000" w:themeColor="text1"/>
          <w:lang w:val="en-AU"/>
        </w:rPr>
        <w:t>Aurok has not proven</w:t>
      </w:r>
      <w:r w:rsidR="004E3CAD">
        <w:rPr>
          <w:color w:val="000000" w:themeColor="text1"/>
          <w:lang w:val="en-AU"/>
        </w:rPr>
        <w:t xml:space="preserve"> that</w:t>
      </w:r>
      <w:r w:rsidR="00ED43DB">
        <w:rPr>
          <w:color w:val="000000" w:themeColor="text1"/>
          <w:lang w:val="en-AU"/>
        </w:rPr>
        <w:t xml:space="preserve"> the</w:t>
      </w:r>
      <w:r w:rsidR="002662DE" w:rsidRPr="002662DE">
        <w:rPr>
          <w:color w:val="000000" w:themeColor="text1"/>
          <w:lang w:val="en-AU"/>
        </w:rPr>
        <w:t xml:space="preserve"> hunting of the Yak in Rakkab caused the</w:t>
      </w:r>
      <w:r w:rsidR="0034167D">
        <w:rPr>
          <w:color w:val="000000" w:themeColor="text1"/>
          <w:lang w:val="en-AU"/>
        </w:rPr>
        <w:t xml:space="preserve"> </w:t>
      </w:r>
      <w:bookmarkEnd w:id="171"/>
      <w:r w:rsidR="00D84664">
        <w:rPr>
          <w:color w:val="000000" w:themeColor="text1"/>
          <w:lang w:val="en-AU"/>
        </w:rPr>
        <w:t>decrease in Yak population</w:t>
      </w:r>
    </w:p>
    <w:p w14:paraId="7090C2C7" w14:textId="77777777" w:rsidR="00A629B5" w:rsidRPr="00967585" w:rsidRDefault="00A629B5" w:rsidP="00A629B5">
      <w:pPr>
        <w:rPr>
          <w:color w:val="000000" w:themeColor="text1"/>
          <w:lang w:val="en-AU"/>
        </w:rPr>
      </w:pPr>
      <w:r w:rsidRPr="00967585">
        <w:rPr>
          <w:color w:val="000000" w:themeColor="text1"/>
          <w:lang w:val="en-AU"/>
        </w:rPr>
        <w:t xml:space="preserve">The burden of proof is on the </w:t>
      </w:r>
      <w:r>
        <w:rPr>
          <w:color w:val="000000" w:themeColor="text1"/>
          <w:lang w:val="en-AU"/>
        </w:rPr>
        <w:t>Aurok</w:t>
      </w:r>
      <w:r w:rsidRPr="00967585">
        <w:rPr>
          <w:color w:val="000000" w:themeColor="text1"/>
          <w:lang w:val="en-AU"/>
        </w:rPr>
        <w:t xml:space="preserve"> to show </w:t>
      </w:r>
      <w:r>
        <w:rPr>
          <w:color w:val="000000" w:themeColor="text1"/>
          <w:lang w:val="en-AU"/>
        </w:rPr>
        <w:t>DORTA’s</w:t>
      </w:r>
      <w:r w:rsidRPr="00967585">
        <w:rPr>
          <w:color w:val="000000" w:themeColor="text1"/>
          <w:lang w:val="en-AU"/>
        </w:rPr>
        <w:t xml:space="preserve"> hunting caused the decrease in the Yak population.</w:t>
      </w:r>
      <w:r w:rsidRPr="00967585">
        <w:rPr>
          <w:rStyle w:val="FootnoteReference"/>
          <w:color w:val="000000" w:themeColor="text1"/>
          <w:lang w:val="en-AU"/>
        </w:rPr>
        <w:footnoteReference w:id="101"/>
      </w:r>
      <w:r w:rsidRPr="00967585">
        <w:rPr>
          <w:color w:val="000000" w:themeColor="text1"/>
          <w:lang w:val="en-AU"/>
        </w:rPr>
        <w:t xml:space="preserve"> The Court must decide the probative value of evidence.</w:t>
      </w:r>
      <w:r w:rsidRPr="00967585">
        <w:rPr>
          <w:rStyle w:val="FootnoteReference"/>
          <w:color w:val="000000" w:themeColor="text1"/>
          <w:lang w:val="en-AU"/>
        </w:rPr>
        <w:footnoteReference w:id="102"/>
      </w:r>
      <w:r w:rsidRPr="00967585">
        <w:rPr>
          <w:color w:val="000000" w:themeColor="text1"/>
          <w:lang w:val="en-AU"/>
        </w:rPr>
        <w:t xml:space="preserve"> The probative value of a </w:t>
      </w:r>
      <w:r w:rsidRPr="00967585">
        <w:rPr>
          <w:color w:val="000000" w:themeColor="text1"/>
          <w:lang w:val="en-AU"/>
        </w:rPr>
        <w:lastRenderedPageBreak/>
        <w:t>report is diminished if its source is potentially biased.</w:t>
      </w:r>
      <w:r w:rsidRPr="00967585">
        <w:rPr>
          <w:rStyle w:val="FootnoteReference"/>
          <w:color w:val="000000" w:themeColor="text1"/>
          <w:lang w:val="en-AU"/>
        </w:rPr>
        <w:footnoteReference w:id="103"/>
      </w:r>
      <w:r w:rsidRPr="00967585">
        <w:rPr>
          <w:color w:val="000000" w:themeColor="text1"/>
          <w:lang w:val="en-AU"/>
        </w:rPr>
        <w:t xml:space="preserve"> The YLSA report that alleged the hunting of Yak in Rakkab disrupted the Yaks’ life cycle equilibrium was prepared by a partisan party with a vested interest in the ceasing of Yak hunting.</w:t>
      </w:r>
      <w:r w:rsidRPr="00967585">
        <w:rPr>
          <w:rStyle w:val="FootnoteReference"/>
          <w:color w:val="000000" w:themeColor="text1"/>
          <w:lang w:val="en-AU"/>
        </w:rPr>
        <w:footnoteReference w:id="104"/>
      </w:r>
      <w:r w:rsidRPr="00967585">
        <w:rPr>
          <w:color w:val="000000" w:themeColor="text1"/>
          <w:lang w:val="en-AU"/>
        </w:rPr>
        <w:t xml:space="preserve"> There has been no independent report corroborating the YLSA report.</w:t>
      </w:r>
      <w:r w:rsidRPr="00967585">
        <w:rPr>
          <w:rStyle w:val="FootnoteReference"/>
          <w:color w:val="000000" w:themeColor="text1"/>
          <w:lang w:val="en-AU"/>
        </w:rPr>
        <w:footnoteReference w:id="105"/>
      </w:r>
      <w:r w:rsidRPr="00967585">
        <w:rPr>
          <w:color w:val="000000" w:themeColor="text1"/>
          <w:lang w:val="en-AU"/>
        </w:rPr>
        <w:t xml:space="preserve"> </w:t>
      </w:r>
      <w:r>
        <w:rPr>
          <w:color w:val="000000" w:themeColor="text1"/>
          <w:lang w:val="en-AU"/>
        </w:rPr>
        <w:t xml:space="preserve">A </w:t>
      </w:r>
      <w:r w:rsidRPr="00967585">
        <w:rPr>
          <w:i/>
          <w:color w:val="000000" w:themeColor="text1"/>
          <w:lang w:val="en-AU"/>
        </w:rPr>
        <w:t xml:space="preserve">prima facie </w:t>
      </w:r>
      <w:r w:rsidRPr="00967585">
        <w:rPr>
          <w:color w:val="000000" w:themeColor="text1"/>
          <w:lang w:val="en-AU"/>
        </w:rPr>
        <w:t xml:space="preserve">cautious approach should be taken as this report is </w:t>
      </w:r>
      <w:proofErr w:type="spellStart"/>
      <w:r w:rsidRPr="00967585">
        <w:rPr>
          <w:color w:val="000000" w:themeColor="text1"/>
          <w:lang w:val="en-AU"/>
        </w:rPr>
        <w:t>Aurok’s</w:t>
      </w:r>
      <w:proofErr w:type="spellEnd"/>
      <w:r w:rsidRPr="00967585">
        <w:rPr>
          <w:color w:val="000000" w:themeColor="text1"/>
          <w:lang w:val="en-AU"/>
        </w:rPr>
        <w:t xml:space="preserve"> only substantial evidence; all subsequent reference derives from YLSA’s claims.</w:t>
      </w:r>
      <w:r w:rsidRPr="00967585">
        <w:rPr>
          <w:rStyle w:val="FootnoteReference"/>
          <w:color w:val="000000" w:themeColor="text1"/>
          <w:lang w:val="en-AU"/>
        </w:rPr>
        <w:footnoteReference w:id="106"/>
      </w:r>
      <w:r w:rsidRPr="00967585">
        <w:rPr>
          <w:color w:val="000000" w:themeColor="text1"/>
          <w:lang w:val="en-AU"/>
        </w:rPr>
        <w:t xml:space="preserve"> In light of the probative weakness of the YSLA report, Aurok has not discharged its burden of proof as to causation.</w:t>
      </w:r>
    </w:p>
    <w:p w14:paraId="7C8D4CF1" w14:textId="77777777" w:rsidR="00A629B5" w:rsidRDefault="00A629B5" w:rsidP="00A629B5">
      <w:pPr>
        <w:pStyle w:val="Heading4"/>
        <w:numPr>
          <w:ilvl w:val="0"/>
          <w:numId w:val="6"/>
        </w:numPr>
        <w:spacing w:line="360" w:lineRule="auto"/>
      </w:pPr>
      <w:bookmarkStart w:id="172" w:name="_Toc535037190"/>
      <w:r>
        <w:t>Rakkab complied with its obligation of equitable and sustainable use of shared natural resources</w:t>
      </w:r>
      <w:bookmarkEnd w:id="172"/>
    </w:p>
    <w:p w14:paraId="53CDB51B" w14:textId="77777777" w:rsidR="00A629B5" w:rsidRPr="00993E8F" w:rsidRDefault="00A629B5" w:rsidP="00A629B5">
      <w:r>
        <w:t>States have a customary international law obligation to use shared natural resources in an equitable</w:t>
      </w:r>
      <w:r>
        <w:rPr>
          <w:rStyle w:val="FootnoteReference"/>
        </w:rPr>
        <w:footnoteReference w:id="107"/>
      </w:r>
      <w:r>
        <w:t xml:space="preserve"> and sustainable manner.</w:t>
      </w:r>
      <w:r>
        <w:rPr>
          <w:rStyle w:val="FootnoteReference"/>
        </w:rPr>
        <w:footnoteReference w:id="108"/>
      </w:r>
    </w:p>
    <w:p w14:paraId="15A9BAE2" w14:textId="77777777" w:rsidR="00A629B5" w:rsidRDefault="00A629B5" w:rsidP="006F0DC8">
      <w:pPr>
        <w:pStyle w:val="Heading5"/>
        <w:numPr>
          <w:ilvl w:val="0"/>
          <w:numId w:val="45"/>
        </w:numPr>
        <w:spacing w:line="360" w:lineRule="auto"/>
      </w:pPr>
      <w:bookmarkStart w:id="173" w:name="_Toc535037191"/>
      <w:r>
        <w:t xml:space="preserve">Terrestrial </w:t>
      </w:r>
      <w:r w:rsidRPr="00C7492F">
        <w:t>migratory</w:t>
      </w:r>
      <w:r>
        <w:t xml:space="preserve"> species are not a shared natural resource</w:t>
      </w:r>
      <w:bookmarkEnd w:id="173"/>
    </w:p>
    <w:p w14:paraId="2B731D0F" w14:textId="77777777" w:rsidR="00A629B5" w:rsidRDefault="00A629B5" w:rsidP="00A629B5">
      <w:r>
        <w:t xml:space="preserve">The establishment of a rule of customary international law requires the existence of widespread State practice and </w:t>
      </w:r>
      <w:proofErr w:type="spellStart"/>
      <w:r>
        <w:rPr>
          <w:i/>
        </w:rPr>
        <w:t>opinio</w:t>
      </w:r>
      <w:proofErr w:type="spellEnd"/>
      <w:r>
        <w:rPr>
          <w:i/>
        </w:rPr>
        <w:t xml:space="preserve"> juris</w:t>
      </w:r>
      <w:r>
        <w:t>.</w:t>
      </w:r>
      <w:r>
        <w:rPr>
          <w:rStyle w:val="FootnoteReference"/>
        </w:rPr>
        <w:footnoteReference w:id="109"/>
      </w:r>
      <w:r>
        <w:t xml:space="preserve"> There is no settled definition of “shared resources”, but its application has generally been confined to non-living resources.</w:t>
      </w:r>
      <w:r>
        <w:rPr>
          <w:rStyle w:val="FootnoteReference"/>
        </w:rPr>
        <w:footnoteReference w:id="110"/>
      </w:r>
      <w:r>
        <w:t xml:space="preserve"> </w:t>
      </w:r>
    </w:p>
    <w:p w14:paraId="7A2EA1B0" w14:textId="7C0E0824" w:rsidR="00A629B5" w:rsidRDefault="00A629B5" w:rsidP="00A629B5">
      <w:pPr>
        <w:ind w:firstLine="720"/>
      </w:pPr>
      <w:r>
        <w:t xml:space="preserve">The </w:t>
      </w:r>
      <w:r w:rsidRPr="002F3216">
        <w:t>CMS</w:t>
      </w:r>
      <w:r>
        <w:t>, the primary treaty on conservation of migratory species, intentionally does not refer to migratory species as shared resources.</w:t>
      </w:r>
      <w:r>
        <w:rPr>
          <w:rStyle w:val="FootnoteReference"/>
        </w:rPr>
        <w:footnoteReference w:id="111"/>
      </w:r>
      <w:r>
        <w:t xml:space="preserve"> The </w:t>
      </w:r>
      <w:proofErr w:type="spellStart"/>
      <w:r>
        <w:rPr>
          <w:i/>
        </w:rPr>
        <w:t>travaux</w:t>
      </w:r>
      <w:proofErr w:type="spellEnd"/>
      <w:r>
        <w:rPr>
          <w:i/>
        </w:rPr>
        <w:t xml:space="preserve"> </w:t>
      </w:r>
      <w:r>
        <w:t xml:space="preserve">shows that early drafts of the </w:t>
      </w:r>
      <w:r w:rsidRPr="00AF795D">
        <w:t>CMS</w:t>
      </w:r>
      <w:r>
        <w:t xml:space="preserve"> </w:t>
      </w:r>
      <w:r>
        <w:lastRenderedPageBreak/>
        <w:t>referred to migratory species as a “common resource shared” by Range States.</w:t>
      </w:r>
      <w:r>
        <w:rPr>
          <w:rStyle w:val="FootnoteReference"/>
        </w:rPr>
        <w:footnoteReference w:id="112"/>
      </w:r>
      <w:r>
        <w:t xml:space="preserve"> However, this language was omitted from subsequent drafts and the final text at the request of States, thus, indicating a lack of </w:t>
      </w:r>
      <w:proofErr w:type="spellStart"/>
      <w:r>
        <w:rPr>
          <w:i/>
        </w:rPr>
        <w:t>opinio</w:t>
      </w:r>
      <w:proofErr w:type="spellEnd"/>
      <w:r>
        <w:rPr>
          <w:i/>
        </w:rPr>
        <w:t xml:space="preserve"> juris</w:t>
      </w:r>
      <w:r>
        <w:t>.</w:t>
      </w:r>
      <w:r>
        <w:rPr>
          <w:rStyle w:val="FootnoteReference"/>
        </w:rPr>
        <w:footnoteReference w:id="113"/>
      </w:r>
      <w:r>
        <w:t xml:space="preserve"> </w:t>
      </w:r>
    </w:p>
    <w:p w14:paraId="69FDC396" w14:textId="1EE92A84" w:rsidR="00A629B5" w:rsidRDefault="00A629B5" w:rsidP="00A629B5">
      <w:pPr>
        <w:ind w:firstLine="720"/>
      </w:pPr>
      <w:r>
        <w:rPr>
          <w:color w:val="000000" w:themeColor="text1"/>
        </w:rPr>
        <w:t>Any t</w:t>
      </w:r>
      <w:r w:rsidRPr="009827E7">
        <w:rPr>
          <w:color w:val="000000" w:themeColor="text1"/>
        </w:rPr>
        <w:t>reatment of migratory species as a shared resource has generally been limited to marine migratory species</w:t>
      </w:r>
      <w:r>
        <w:rPr>
          <w:color w:val="000000" w:themeColor="text1"/>
        </w:rPr>
        <w:t>, which are governed by a separate regime, UNCLOS</w:t>
      </w:r>
      <w:r w:rsidRPr="009827E7">
        <w:rPr>
          <w:color w:val="000000" w:themeColor="text1"/>
        </w:rPr>
        <w:t>.</w:t>
      </w:r>
      <w:r w:rsidRPr="009827E7">
        <w:rPr>
          <w:rStyle w:val="FootnoteReference"/>
          <w:color w:val="000000" w:themeColor="text1"/>
        </w:rPr>
        <w:footnoteReference w:id="114"/>
      </w:r>
      <w:r w:rsidRPr="009827E7">
        <w:rPr>
          <w:color w:val="000000" w:themeColor="text1"/>
        </w:rPr>
        <w:t xml:space="preserve"> Terrestrial migratory </w:t>
      </w:r>
      <w:r>
        <w:t xml:space="preserve">species can be distinguished from marine species because the latter largely exist in </w:t>
      </w:r>
      <w:r w:rsidRPr="009827E7">
        <w:rPr>
          <w:color w:val="000000" w:themeColor="text1"/>
        </w:rPr>
        <w:t>the high seas, where there are no concerns of territorial State sovereignty.</w:t>
      </w:r>
      <w:r w:rsidRPr="009827E7">
        <w:rPr>
          <w:rStyle w:val="FootnoteReference"/>
          <w:color w:val="000000" w:themeColor="text1"/>
        </w:rPr>
        <w:footnoteReference w:id="115"/>
      </w:r>
      <w:r w:rsidRPr="009827E7">
        <w:rPr>
          <w:color w:val="000000" w:themeColor="text1"/>
        </w:rPr>
        <w:t xml:space="preserve"> Further, </w:t>
      </w:r>
      <w:r w:rsidR="00786051" w:rsidRPr="009827E7">
        <w:rPr>
          <w:color w:val="000000" w:themeColor="text1"/>
        </w:rPr>
        <w:t>whilst Article</w:t>
      </w:r>
      <w:r w:rsidR="00786051">
        <w:rPr>
          <w:color w:val="000000" w:themeColor="text1"/>
          <w:lang w:val="en-AU"/>
        </w:rPr>
        <w:t> </w:t>
      </w:r>
      <w:r w:rsidR="00786051" w:rsidRPr="009827E7">
        <w:rPr>
          <w:color w:val="000000" w:themeColor="text1"/>
        </w:rPr>
        <w:t xml:space="preserve">19(3)(b) </w:t>
      </w:r>
      <w:r w:rsidRPr="009827E7">
        <w:rPr>
          <w:color w:val="000000" w:themeColor="text1"/>
        </w:rPr>
        <w:t xml:space="preserve">of the ASEAN Agreement on the Conservation of Nature and Natural Resources states all </w:t>
      </w:r>
      <w:r>
        <w:t xml:space="preserve">migratory species are shared resources, this is an isolated example. It is a regional agreement, not an established rule of international law. In light of the lack of State practice and corresponding </w:t>
      </w:r>
      <w:proofErr w:type="spellStart"/>
      <w:r>
        <w:rPr>
          <w:i/>
        </w:rPr>
        <w:t>opinio</w:t>
      </w:r>
      <w:proofErr w:type="spellEnd"/>
      <w:r>
        <w:rPr>
          <w:i/>
        </w:rPr>
        <w:t xml:space="preserve"> juris</w:t>
      </w:r>
      <w:r>
        <w:t>, the conception of terrestrial migratory species as a shared resource does not reflect established custom.</w:t>
      </w:r>
      <w:r>
        <w:rPr>
          <w:rStyle w:val="FootnoteReference"/>
        </w:rPr>
        <w:footnoteReference w:id="116"/>
      </w:r>
    </w:p>
    <w:p w14:paraId="47454C00" w14:textId="77777777" w:rsidR="00A629B5" w:rsidRDefault="00A629B5" w:rsidP="00A629B5">
      <w:pPr>
        <w:pStyle w:val="Heading5"/>
        <w:spacing w:line="360" w:lineRule="auto"/>
      </w:pPr>
      <w:bookmarkStart w:id="174" w:name="_Toc535037192"/>
      <w:r>
        <w:t>Alternatively, the use was equitable and sustainable</w:t>
      </w:r>
      <w:bookmarkEnd w:id="174"/>
    </w:p>
    <w:p w14:paraId="44E77FEA" w14:textId="08173468" w:rsidR="006F0DC8" w:rsidRPr="00F12EB5" w:rsidRDefault="00A629B5" w:rsidP="00065B71">
      <w:r>
        <w:t>Even if the Yak are a shared resource, the use was equitable and sustainable. Equitable use requires a balance between the State’s sovereign right, the interests of other States in the shared resource, and environmental protection.</w:t>
      </w:r>
      <w:r>
        <w:rPr>
          <w:rStyle w:val="FootnoteReference"/>
        </w:rPr>
        <w:footnoteReference w:id="117"/>
      </w:r>
      <w:r>
        <w:t xml:space="preserve"> DORTA only takes approximately 30,000 Yak each year, whereas Aurok takes around 120,000 Yak.</w:t>
      </w:r>
      <w:r>
        <w:rPr>
          <w:rStyle w:val="FootnoteReference"/>
        </w:rPr>
        <w:footnoteReference w:id="118"/>
      </w:r>
      <w:r>
        <w:t xml:space="preserve"> DORTA is taking a number of Yak that is proportionate to its interest in the Yak. The Yak inhabit the Gaur Highlands; around 30% of the </w:t>
      </w:r>
      <w:r>
        <w:lastRenderedPageBreak/>
        <w:t xml:space="preserve">Highlands are located in Rakkab, with the rest located in </w:t>
      </w:r>
      <w:proofErr w:type="spellStart"/>
      <w:r>
        <w:t>Aurok’s</w:t>
      </w:r>
      <w:proofErr w:type="spellEnd"/>
      <w:r>
        <w:t xml:space="preserve"> territory.</w:t>
      </w:r>
      <w:r>
        <w:rPr>
          <w:rStyle w:val="FootnoteReference"/>
        </w:rPr>
        <w:footnoteReference w:id="119"/>
      </w:r>
      <w:r>
        <w:t xml:space="preserve"> Further, in light of the great public benefit of DORTA’s activities in manufacturing an essential medicine, the use was equitable</w:t>
      </w:r>
      <w:r w:rsidR="00211F46">
        <w:t>.</w:t>
      </w:r>
      <w:r>
        <w:t xml:space="preserve"> Additionally, DORTA complied with Regulation AG/2017-0300 which ensures the sustainability of the Yak population</w:t>
      </w:r>
      <w:r w:rsidR="00DD303E">
        <w:t>.</w:t>
      </w:r>
    </w:p>
    <w:p w14:paraId="49495636" w14:textId="1B47B29B" w:rsidR="00EC5B59" w:rsidRPr="00F62191" w:rsidRDefault="00EC5B59" w:rsidP="006F0DC8">
      <w:pPr>
        <w:pStyle w:val="Heading2"/>
        <w:rPr>
          <w:lang w:val="en-AU"/>
        </w:rPr>
      </w:pPr>
      <w:bookmarkStart w:id="175" w:name="_Toc534995792"/>
      <w:bookmarkStart w:id="176" w:name="_Toc535037193"/>
      <w:r w:rsidRPr="00F62191">
        <w:rPr>
          <w:lang w:val="en-AU"/>
        </w:rPr>
        <w:t>rakkab has not violated the aurokan citizens’ cultural or religious rights and is not required to prohibit the yak harvesting</w:t>
      </w:r>
      <w:bookmarkEnd w:id="175"/>
      <w:bookmarkEnd w:id="176"/>
    </w:p>
    <w:p w14:paraId="1D7D39E0" w14:textId="0853EA39" w:rsidR="00EC5B59" w:rsidRPr="009D0467" w:rsidRDefault="00C11CD6" w:rsidP="00EC5B59">
      <w:pPr>
        <w:rPr>
          <w:lang w:val="en-AU"/>
        </w:rPr>
      </w:pPr>
      <w:r>
        <w:rPr>
          <w:lang w:val="en-AU"/>
        </w:rPr>
        <w:t xml:space="preserve">Rakkab is not obliged to prohibit the hunting of the Yak as no internationally wrongful act </w:t>
      </w:r>
      <w:r w:rsidR="002F48D3">
        <w:rPr>
          <w:lang w:val="en-AU"/>
        </w:rPr>
        <w:t>h</w:t>
      </w:r>
      <w:r>
        <w:rPr>
          <w:lang w:val="en-AU"/>
        </w:rPr>
        <w:t xml:space="preserve">as occurred. </w:t>
      </w:r>
      <w:r w:rsidR="00EC5B59" w:rsidRPr="009D0467">
        <w:rPr>
          <w:lang w:val="en-AU"/>
        </w:rPr>
        <w:t xml:space="preserve">First, (A) </w:t>
      </w:r>
      <w:r w:rsidR="0038694C">
        <w:rPr>
          <w:lang w:val="en-AU"/>
        </w:rPr>
        <w:t>in general</w:t>
      </w:r>
      <w:r w:rsidR="00786051">
        <w:rPr>
          <w:lang w:val="en-AU"/>
        </w:rPr>
        <w:t>,</w:t>
      </w:r>
      <w:r w:rsidR="0038694C">
        <w:rPr>
          <w:lang w:val="en-AU"/>
        </w:rPr>
        <w:t xml:space="preserve"> </w:t>
      </w:r>
      <w:r w:rsidR="00EC5B59" w:rsidRPr="009D0467">
        <w:rPr>
          <w:lang w:val="en-AU"/>
        </w:rPr>
        <w:t xml:space="preserve">Aurok </w:t>
      </w:r>
      <w:r w:rsidR="00EC5B59">
        <w:rPr>
          <w:lang w:val="en-AU"/>
        </w:rPr>
        <w:t>cannot bring a</w:t>
      </w:r>
      <w:r w:rsidR="00EC5B59" w:rsidRPr="009D0467">
        <w:rPr>
          <w:lang w:val="en-AU"/>
        </w:rPr>
        <w:t xml:space="preserve"> claim against Rakkab for breach of the Aurokan peoples’ human rights. </w:t>
      </w:r>
      <w:r w:rsidR="00EC5B59">
        <w:rPr>
          <w:lang w:val="en-AU"/>
        </w:rPr>
        <w:t>I</w:t>
      </w:r>
      <w:r w:rsidR="00EC5B59" w:rsidRPr="009D0467">
        <w:rPr>
          <w:lang w:val="en-AU"/>
        </w:rPr>
        <w:t>n the alternative, (B) there has been no breach of the substantive religious or cultural rights, and</w:t>
      </w:r>
      <w:r w:rsidR="00EC5B59">
        <w:rPr>
          <w:lang w:val="en-AU"/>
        </w:rPr>
        <w:t xml:space="preserve"> </w:t>
      </w:r>
      <w:r w:rsidR="00EC5B59" w:rsidRPr="009D0467">
        <w:rPr>
          <w:lang w:val="en-AU"/>
        </w:rPr>
        <w:t xml:space="preserve">(C) Rakkab does not owe further obligations to protect indigenous culture or religion </w:t>
      </w:r>
      <w:r w:rsidR="00EC5B59">
        <w:rPr>
          <w:lang w:val="en-AU"/>
        </w:rPr>
        <w:t>because</w:t>
      </w:r>
      <w:r w:rsidR="00621B5A">
        <w:rPr>
          <w:lang w:val="en-AU"/>
        </w:rPr>
        <w:t xml:space="preserve"> of the Aurokan people’s</w:t>
      </w:r>
      <w:r w:rsidR="00EC5B59">
        <w:rPr>
          <w:lang w:val="en-AU"/>
        </w:rPr>
        <w:t xml:space="preserve"> </w:t>
      </w:r>
      <w:r w:rsidR="008647C9">
        <w:rPr>
          <w:lang w:val="en-AU"/>
        </w:rPr>
        <w:t xml:space="preserve">connection with </w:t>
      </w:r>
      <w:r w:rsidR="00401476">
        <w:rPr>
          <w:lang w:val="en-AU"/>
        </w:rPr>
        <w:t>the Yak</w:t>
      </w:r>
      <w:r w:rsidR="00EC5B59">
        <w:rPr>
          <w:lang w:val="en-AU"/>
        </w:rPr>
        <w:t>.</w:t>
      </w:r>
    </w:p>
    <w:p w14:paraId="6821FB33" w14:textId="77777777" w:rsidR="00EC5B59" w:rsidRPr="00F62191" w:rsidRDefault="00EC5B59" w:rsidP="00F62191">
      <w:pPr>
        <w:pStyle w:val="Heading3"/>
        <w:numPr>
          <w:ilvl w:val="0"/>
          <w:numId w:val="24"/>
        </w:numPr>
        <w:rPr>
          <w:lang w:val="en-AU"/>
        </w:rPr>
      </w:pPr>
      <w:bookmarkStart w:id="177" w:name="_Toc534995793"/>
      <w:bookmarkStart w:id="178" w:name="_Toc535037194"/>
      <w:proofErr w:type="spellStart"/>
      <w:r w:rsidRPr="00F62191">
        <w:rPr>
          <w:lang w:val="en-AU"/>
        </w:rPr>
        <w:t>Aurok</w:t>
      </w:r>
      <w:proofErr w:type="spellEnd"/>
      <w:r w:rsidRPr="00F62191">
        <w:rPr>
          <w:lang w:val="en-AU"/>
        </w:rPr>
        <w:t xml:space="preserve"> cannot invoke </w:t>
      </w:r>
      <w:proofErr w:type="spellStart"/>
      <w:r w:rsidRPr="00F62191">
        <w:rPr>
          <w:lang w:val="en-AU"/>
        </w:rPr>
        <w:t>Rakkab’s</w:t>
      </w:r>
      <w:proofErr w:type="spellEnd"/>
      <w:r w:rsidRPr="00F62191">
        <w:rPr>
          <w:lang w:val="en-AU"/>
        </w:rPr>
        <w:t xml:space="preserve"> responsibility for breaching the Aurokan people’s human rights</w:t>
      </w:r>
      <w:bookmarkEnd w:id="177"/>
      <w:bookmarkEnd w:id="178"/>
    </w:p>
    <w:p w14:paraId="7AAEAF89" w14:textId="77777777" w:rsidR="00EC5B59" w:rsidRPr="009D0467" w:rsidRDefault="00EC5B59" w:rsidP="00EC5B59">
      <w:pPr>
        <w:rPr>
          <w:lang w:val="en-AU"/>
        </w:rPr>
      </w:pPr>
      <w:r w:rsidRPr="009D0467">
        <w:rPr>
          <w:lang w:val="en-AU"/>
        </w:rPr>
        <w:t xml:space="preserve">Regardless of </w:t>
      </w:r>
      <w:proofErr w:type="spellStart"/>
      <w:r w:rsidRPr="009D0467">
        <w:rPr>
          <w:lang w:val="en-AU"/>
        </w:rPr>
        <w:t>Rakkab’s</w:t>
      </w:r>
      <w:proofErr w:type="spellEnd"/>
      <w:r w:rsidRPr="009D0467">
        <w:rPr>
          <w:lang w:val="en-AU"/>
        </w:rPr>
        <w:t xml:space="preserve"> actions, (1) </w:t>
      </w:r>
      <w:proofErr w:type="spellStart"/>
      <w:r w:rsidRPr="009D0467">
        <w:rPr>
          <w:lang w:val="en-AU"/>
        </w:rPr>
        <w:t>Aurok</w:t>
      </w:r>
      <w:proofErr w:type="spellEnd"/>
      <w:r w:rsidRPr="009D0467">
        <w:rPr>
          <w:lang w:val="en-AU"/>
        </w:rPr>
        <w:t xml:space="preserve"> does not have standing, and (2) Rakkab does not owe human rights obligations extraterritorially.</w:t>
      </w:r>
    </w:p>
    <w:p w14:paraId="1A911D13" w14:textId="68156ECD" w:rsidR="00EC5B59" w:rsidRPr="00F62191" w:rsidRDefault="00EC5B59" w:rsidP="00F62191">
      <w:pPr>
        <w:pStyle w:val="Heading4"/>
        <w:numPr>
          <w:ilvl w:val="0"/>
          <w:numId w:val="25"/>
        </w:numPr>
        <w:rPr>
          <w:lang w:val="en-AU"/>
        </w:rPr>
      </w:pPr>
      <w:bookmarkStart w:id="179" w:name="_Toc534995794"/>
      <w:bookmarkStart w:id="180" w:name="_Toc535037195"/>
      <w:r w:rsidRPr="00F62191">
        <w:rPr>
          <w:lang w:val="en-AU"/>
        </w:rPr>
        <w:t xml:space="preserve">Aurok lacks </w:t>
      </w:r>
      <w:bookmarkEnd w:id="179"/>
      <w:r w:rsidR="003B775B">
        <w:rPr>
          <w:lang w:val="en-AU"/>
        </w:rPr>
        <w:t>standing to bring this claim</w:t>
      </w:r>
      <w:bookmarkEnd w:id="180"/>
    </w:p>
    <w:p w14:paraId="4C151095" w14:textId="7C0984D0" w:rsidR="00EC5B59" w:rsidRPr="009D0467" w:rsidRDefault="00EC5B59" w:rsidP="00EC5B59">
      <w:pPr>
        <w:rPr>
          <w:lang w:val="en-AU"/>
        </w:rPr>
      </w:pPr>
      <w:r w:rsidRPr="009D0467">
        <w:rPr>
          <w:lang w:val="en-AU"/>
        </w:rPr>
        <w:t>Aurok requires a legal interest in the subject matter to invoke responsibility.</w:t>
      </w:r>
      <w:r w:rsidRPr="009D0467">
        <w:rPr>
          <w:rStyle w:val="FootnoteReference"/>
          <w:lang w:val="en-AU"/>
        </w:rPr>
        <w:footnoteReference w:id="120"/>
      </w:r>
      <w:r w:rsidRPr="009D0467">
        <w:rPr>
          <w:lang w:val="en-AU"/>
        </w:rPr>
        <w:t xml:space="preserve"> Aurok cannot claim as an injured State,</w:t>
      </w:r>
      <w:r w:rsidRPr="009D0467">
        <w:rPr>
          <w:rStyle w:val="FootnoteReference"/>
          <w:lang w:val="en-AU"/>
        </w:rPr>
        <w:footnoteReference w:id="121"/>
      </w:r>
      <w:r w:rsidRPr="009D0467">
        <w:rPr>
          <w:lang w:val="en-AU"/>
        </w:rPr>
        <w:t xml:space="preserve"> as human rights obligations are </w:t>
      </w:r>
      <w:r>
        <w:rPr>
          <w:lang w:val="en-AU"/>
        </w:rPr>
        <w:t xml:space="preserve">only </w:t>
      </w:r>
      <w:r w:rsidRPr="009D0467">
        <w:rPr>
          <w:lang w:val="en-AU"/>
        </w:rPr>
        <w:t>owed to individuals.</w:t>
      </w:r>
      <w:r w:rsidRPr="009D0467">
        <w:rPr>
          <w:rStyle w:val="FootnoteReference"/>
          <w:lang w:val="en-AU"/>
        </w:rPr>
        <w:footnoteReference w:id="122"/>
      </w:r>
      <w:r w:rsidRPr="009D0467">
        <w:rPr>
          <w:lang w:val="en-AU"/>
        </w:rPr>
        <w:t xml:space="preserve"> Further, </w:t>
      </w:r>
      <w:r>
        <w:rPr>
          <w:lang w:val="en-AU"/>
        </w:rPr>
        <w:t xml:space="preserve">the </w:t>
      </w:r>
      <w:r w:rsidRPr="009D0467">
        <w:rPr>
          <w:lang w:val="en-AU"/>
        </w:rPr>
        <w:t xml:space="preserve">ICCPR and ICESCR do not create obligations </w:t>
      </w:r>
      <w:proofErr w:type="spellStart"/>
      <w:r w:rsidRPr="009D0467">
        <w:rPr>
          <w:i/>
          <w:lang w:val="en-AU"/>
        </w:rPr>
        <w:t>erga</w:t>
      </w:r>
      <w:proofErr w:type="spellEnd"/>
      <w:r w:rsidRPr="009D0467">
        <w:rPr>
          <w:i/>
          <w:lang w:val="en-AU"/>
        </w:rPr>
        <w:t xml:space="preserve"> </w:t>
      </w:r>
      <w:proofErr w:type="spellStart"/>
      <w:r w:rsidRPr="009D0467">
        <w:rPr>
          <w:i/>
          <w:lang w:val="en-AU"/>
        </w:rPr>
        <w:t>omnes</w:t>
      </w:r>
      <w:proofErr w:type="spellEnd"/>
      <w:r w:rsidRPr="009D0467">
        <w:rPr>
          <w:i/>
          <w:lang w:val="en-AU"/>
        </w:rPr>
        <w:t xml:space="preserve"> </w:t>
      </w:r>
      <w:proofErr w:type="spellStart"/>
      <w:r w:rsidRPr="009D0467">
        <w:rPr>
          <w:i/>
          <w:lang w:val="en-AU"/>
        </w:rPr>
        <w:t>partes</w:t>
      </w:r>
      <w:proofErr w:type="spellEnd"/>
      <w:r w:rsidRPr="009D0467">
        <w:rPr>
          <w:i/>
          <w:lang w:val="en-AU"/>
        </w:rPr>
        <w:t xml:space="preserve"> </w:t>
      </w:r>
      <w:r w:rsidRPr="009D0467">
        <w:rPr>
          <w:lang w:val="en-AU"/>
        </w:rPr>
        <w:t>between the parties</w:t>
      </w:r>
      <w:r>
        <w:rPr>
          <w:lang w:val="en-AU"/>
        </w:rPr>
        <w:t>.</w:t>
      </w:r>
      <w:r w:rsidRPr="009D0467">
        <w:rPr>
          <w:rStyle w:val="FootnoteReference"/>
          <w:lang w:val="en-AU"/>
        </w:rPr>
        <w:footnoteReference w:id="123"/>
      </w:r>
      <w:r w:rsidRPr="009D0467">
        <w:rPr>
          <w:lang w:val="en-AU"/>
        </w:rPr>
        <w:t xml:space="preserve"> This is limited to treaties </w:t>
      </w:r>
      <w:r>
        <w:rPr>
          <w:lang w:val="en-AU"/>
        </w:rPr>
        <w:t>that are intended to</w:t>
      </w:r>
      <w:r w:rsidRPr="009D0467">
        <w:rPr>
          <w:lang w:val="en-AU"/>
        </w:rPr>
        <w:t xml:space="preserve"> </w:t>
      </w:r>
      <w:r>
        <w:rPr>
          <w:lang w:val="en-AU"/>
        </w:rPr>
        <w:t>protect</w:t>
      </w:r>
      <w:r w:rsidRPr="009D0467">
        <w:rPr>
          <w:lang w:val="en-AU"/>
        </w:rPr>
        <w:t xml:space="preserve"> a collective interest</w:t>
      </w:r>
      <w:r>
        <w:rPr>
          <w:lang w:val="en-AU"/>
        </w:rPr>
        <w:t>.</w:t>
      </w:r>
      <w:r w:rsidRPr="009D0467">
        <w:rPr>
          <w:rStyle w:val="FootnoteReference"/>
          <w:lang w:val="en-AU"/>
        </w:rPr>
        <w:footnoteReference w:id="124"/>
      </w:r>
      <w:r w:rsidRPr="009D0467">
        <w:rPr>
          <w:lang w:val="en-AU"/>
        </w:rPr>
        <w:t xml:space="preserve"> </w:t>
      </w:r>
      <w:r>
        <w:rPr>
          <w:lang w:val="en-AU"/>
        </w:rPr>
        <w:t>Comparatively, the</w:t>
      </w:r>
      <w:r w:rsidRPr="009D0467">
        <w:rPr>
          <w:lang w:val="en-AU"/>
        </w:rPr>
        <w:t xml:space="preserve"> broad </w:t>
      </w:r>
      <w:r w:rsidRPr="009D0467">
        <w:rPr>
          <w:lang w:val="en-AU"/>
        </w:rPr>
        <w:lastRenderedPageBreak/>
        <w:t>human rights treaties,</w:t>
      </w:r>
      <w:r>
        <w:rPr>
          <w:lang w:val="en-AU"/>
        </w:rPr>
        <w:t xml:space="preserve"> as mentioned above,</w:t>
      </w:r>
      <w:r w:rsidRPr="009D0467">
        <w:rPr>
          <w:lang w:val="en-AU"/>
        </w:rPr>
        <w:t xml:space="preserve"> focus on States’ relationship with individuals.</w:t>
      </w:r>
      <w:r w:rsidRPr="009D0467">
        <w:rPr>
          <w:rStyle w:val="FootnoteReference"/>
          <w:lang w:val="en-AU"/>
        </w:rPr>
        <w:footnoteReference w:id="125"/>
      </w:r>
      <w:r w:rsidRPr="009D0467">
        <w:rPr>
          <w:lang w:val="en-AU"/>
        </w:rPr>
        <w:t xml:space="preserve"> Finally, religious and cultural rights are not </w:t>
      </w:r>
      <w:proofErr w:type="spellStart"/>
      <w:r w:rsidRPr="009D0467">
        <w:rPr>
          <w:i/>
          <w:lang w:val="en-AU"/>
        </w:rPr>
        <w:t>erga</w:t>
      </w:r>
      <w:proofErr w:type="spellEnd"/>
      <w:r w:rsidRPr="009D0467">
        <w:rPr>
          <w:i/>
          <w:lang w:val="en-AU"/>
        </w:rPr>
        <w:t xml:space="preserve"> </w:t>
      </w:r>
      <w:proofErr w:type="spellStart"/>
      <w:r w:rsidRPr="009D0467">
        <w:rPr>
          <w:i/>
          <w:lang w:val="en-AU"/>
        </w:rPr>
        <w:t>omnes</w:t>
      </w:r>
      <w:proofErr w:type="spellEnd"/>
      <w:r w:rsidRPr="009D0467">
        <w:rPr>
          <w:i/>
          <w:lang w:val="en-AU"/>
        </w:rPr>
        <w:t xml:space="preserve"> </w:t>
      </w:r>
      <w:r w:rsidRPr="009D0467">
        <w:rPr>
          <w:lang w:val="en-AU"/>
        </w:rPr>
        <w:t>obligations owed to the whole international community.</w:t>
      </w:r>
      <w:r w:rsidRPr="009D0467">
        <w:rPr>
          <w:rStyle w:val="FootnoteReference"/>
          <w:lang w:val="en-AU"/>
        </w:rPr>
        <w:footnoteReference w:id="126"/>
      </w:r>
      <w:r w:rsidRPr="009D0467">
        <w:rPr>
          <w:lang w:val="en-AU"/>
        </w:rPr>
        <w:t xml:space="preserve"> That status only attaches to a narrow category of obligations.</w:t>
      </w:r>
      <w:r w:rsidRPr="009D0467">
        <w:rPr>
          <w:rStyle w:val="FootnoteReference"/>
          <w:lang w:val="en-AU"/>
        </w:rPr>
        <w:footnoteReference w:id="127"/>
      </w:r>
      <w:r w:rsidRPr="009D0467">
        <w:rPr>
          <w:lang w:val="en-AU"/>
        </w:rPr>
        <w:t xml:space="preserve"> There is insufficient </w:t>
      </w:r>
      <w:r w:rsidR="00A525BA" w:rsidRPr="00E25FA4">
        <w:rPr>
          <w:color w:val="000000" w:themeColor="text1"/>
          <w:lang w:val="en-AU"/>
        </w:rPr>
        <w:t>S</w:t>
      </w:r>
      <w:r w:rsidRPr="009D0467">
        <w:rPr>
          <w:lang w:val="en-AU"/>
        </w:rPr>
        <w:t xml:space="preserve">tate practice or </w:t>
      </w:r>
      <w:proofErr w:type="spellStart"/>
      <w:r w:rsidRPr="009D0467">
        <w:rPr>
          <w:i/>
          <w:lang w:val="en-AU"/>
        </w:rPr>
        <w:t>opinio</w:t>
      </w:r>
      <w:proofErr w:type="spellEnd"/>
      <w:r w:rsidRPr="009D0467">
        <w:rPr>
          <w:i/>
          <w:lang w:val="en-AU"/>
        </w:rPr>
        <w:t xml:space="preserve"> juris</w:t>
      </w:r>
      <w:r w:rsidRPr="009D0467">
        <w:rPr>
          <w:lang w:val="en-AU"/>
        </w:rPr>
        <w:t xml:space="preserve"> indicating that religious or cultural rights should be included in this category.</w:t>
      </w:r>
      <w:r w:rsidRPr="009D0467">
        <w:rPr>
          <w:rStyle w:val="FootnoteReference"/>
          <w:lang w:val="en-AU"/>
        </w:rPr>
        <w:footnoteReference w:id="128"/>
      </w:r>
      <w:r w:rsidRPr="009D0467">
        <w:rPr>
          <w:lang w:val="en-AU"/>
        </w:rPr>
        <w:t xml:space="preserve"> </w:t>
      </w:r>
    </w:p>
    <w:p w14:paraId="5F2A042F" w14:textId="77777777" w:rsidR="00EC5B59" w:rsidRPr="009D0467" w:rsidRDefault="00EC5B59" w:rsidP="00EC5B59">
      <w:pPr>
        <w:pStyle w:val="Heading4"/>
        <w:rPr>
          <w:lang w:val="en-AU"/>
        </w:rPr>
      </w:pPr>
      <w:bookmarkStart w:id="181" w:name="_Toc534995795"/>
      <w:bookmarkStart w:id="182" w:name="_Toc535037196"/>
      <w:r w:rsidRPr="009D0467">
        <w:rPr>
          <w:lang w:val="en-AU"/>
        </w:rPr>
        <w:t>Rakkab does not owe transboundary obligations to protect the religious and cultural rights of the Aurokan people</w:t>
      </w:r>
      <w:bookmarkEnd w:id="181"/>
      <w:bookmarkEnd w:id="182"/>
    </w:p>
    <w:p w14:paraId="69EF7A08" w14:textId="6FD94127" w:rsidR="00EC5B59" w:rsidRPr="009D0467" w:rsidRDefault="00EC5B59" w:rsidP="00EC5B59">
      <w:pPr>
        <w:rPr>
          <w:lang w:val="en-AU"/>
        </w:rPr>
      </w:pPr>
      <w:r w:rsidRPr="009D0467">
        <w:rPr>
          <w:lang w:val="en-AU"/>
        </w:rPr>
        <w:t>Article 2(1) of the ICCPR limits States</w:t>
      </w:r>
      <w:r w:rsidR="00FA66B9">
        <w:rPr>
          <w:lang w:val="en-AU"/>
        </w:rPr>
        <w:t>’</w:t>
      </w:r>
      <w:r w:rsidRPr="009D0467">
        <w:rPr>
          <w:lang w:val="en-AU"/>
        </w:rPr>
        <w:t xml:space="preserve"> obligations to individuals in their territory or subject to their jurisdiction.</w:t>
      </w:r>
      <w:r w:rsidRPr="009D0467">
        <w:rPr>
          <w:rStyle w:val="FootnoteReference"/>
          <w:lang w:val="en-AU"/>
        </w:rPr>
        <w:footnoteReference w:id="129"/>
      </w:r>
      <w:r w:rsidRPr="009D0467">
        <w:rPr>
          <w:lang w:val="en-AU"/>
        </w:rPr>
        <w:t xml:space="preserve"> </w:t>
      </w:r>
      <w:r>
        <w:rPr>
          <w:lang w:val="en-AU"/>
        </w:rPr>
        <w:t xml:space="preserve">While the </w:t>
      </w:r>
      <w:r w:rsidRPr="009D0467">
        <w:rPr>
          <w:lang w:val="en-AU"/>
        </w:rPr>
        <w:t xml:space="preserve">ICESCR contains no </w:t>
      </w:r>
      <w:r>
        <w:rPr>
          <w:lang w:val="en-AU"/>
        </w:rPr>
        <w:t>equivalent</w:t>
      </w:r>
      <w:r w:rsidRPr="009D0467">
        <w:rPr>
          <w:lang w:val="en-AU"/>
        </w:rPr>
        <w:t xml:space="preserve"> provision, </w:t>
      </w:r>
      <w:r>
        <w:rPr>
          <w:lang w:val="en-AU"/>
        </w:rPr>
        <w:t>its scope is</w:t>
      </w:r>
      <w:r w:rsidRPr="00C046F3">
        <w:rPr>
          <w:lang w:val="en-AU"/>
        </w:rPr>
        <w:t xml:space="preserve"> </w:t>
      </w:r>
      <w:r w:rsidR="00160AF0">
        <w:rPr>
          <w:lang w:val="en-AU"/>
        </w:rPr>
        <w:t>similarly</w:t>
      </w:r>
      <w:r>
        <w:rPr>
          <w:lang w:val="en-AU"/>
        </w:rPr>
        <w:t xml:space="preserve"> limited</w:t>
      </w:r>
      <w:r w:rsidRPr="009D0467">
        <w:rPr>
          <w:lang w:val="en-AU"/>
        </w:rPr>
        <w:t>.</w:t>
      </w:r>
      <w:r w:rsidRPr="009D0467">
        <w:rPr>
          <w:rStyle w:val="FootnoteReference"/>
          <w:lang w:val="en-AU"/>
        </w:rPr>
        <w:footnoteReference w:id="130"/>
      </w:r>
      <w:r w:rsidRPr="009D0467">
        <w:rPr>
          <w:lang w:val="en-AU"/>
        </w:rPr>
        <w:t xml:space="preserve"> ‘Jurisdiction’ is primarily territorial</w:t>
      </w:r>
      <w:r>
        <w:rPr>
          <w:lang w:val="en-AU"/>
        </w:rPr>
        <w:t>,</w:t>
      </w:r>
      <w:r w:rsidRPr="009D0467">
        <w:rPr>
          <w:rStyle w:val="FootnoteReference"/>
          <w:lang w:val="en-AU"/>
        </w:rPr>
        <w:footnoteReference w:id="131"/>
      </w:r>
      <w:r w:rsidRPr="009D0467">
        <w:rPr>
          <w:lang w:val="en-AU"/>
        </w:rPr>
        <w:t xml:space="preserve"> </w:t>
      </w:r>
      <w:r>
        <w:rPr>
          <w:lang w:val="en-AU"/>
        </w:rPr>
        <w:t xml:space="preserve">and only applies </w:t>
      </w:r>
      <w:r w:rsidR="00786051">
        <w:rPr>
          <w:lang w:val="en-AU"/>
        </w:rPr>
        <w:t>extraterritorially</w:t>
      </w:r>
      <w:r>
        <w:rPr>
          <w:lang w:val="en-AU"/>
        </w:rPr>
        <w:t xml:space="preserve"> in exceptional circumstances.</w:t>
      </w:r>
      <w:r w:rsidRPr="009D0467">
        <w:rPr>
          <w:rStyle w:val="FootnoteReference"/>
          <w:lang w:val="en-AU"/>
        </w:rPr>
        <w:footnoteReference w:id="132"/>
      </w:r>
      <w:r>
        <w:rPr>
          <w:lang w:val="en-AU"/>
        </w:rPr>
        <w:t xml:space="preserve"> Under the</w:t>
      </w:r>
      <w:r w:rsidRPr="009D0467">
        <w:rPr>
          <w:lang w:val="en-AU"/>
        </w:rPr>
        <w:t xml:space="preserve"> ICCPR</w:t>
      </w:r>
      <w:r>
        <w:rPr>
          <w:lang w:val="en-AU"/>
        </w:rPr>
        <w:t xml:space="preserve">, this has been when </w:t>
      </w:r>
      <w:r w:rsidRPr="009D0467">
        <w:rPr>
          <w:lang w:val="en-AU"/>
        </w:rPr>
        <w:t>a State’s agent violates an individual’s rights when acting abroad,</w:t>
      </w:r>
      <w:r w:rsidRPr="009D0467">
        <w:rPr>
          <w:rStyle w:val="FootnoteReference"/>
          <w:lang w:val="en-AU"/>
        </w:rPr>
        <w:footnoteReference w:id="133"/>
      </w:r>
      <w:r w:rsidRPr="009D0467">
        <w:rPr>
          <w:lang w:val="en-AU"/>
        </w:rPr>
        <w:t xml:space="preserve"> or when the State has effective control over the other</w:t>
      </w:r>
      <w:r w:rsidR="004B2C45">
        <w:rPr>
          <w:lang w:val="en-AU"/>
        </w:rPr>
        <w:t xml:space="preserve"> State’s</w:t>
      </w:r>
      <w:r w:rsidRPr="009D0467">
        <w:rPr>
          <w:lang w:val="en-AU"/>
        </w:rPr>
        <w:t xml:space="preserve"> territory.</w:t>
      </w:r>
      <w:r w:rsidRPr="009D0467">
        <w:rPr>
          <w:rStyle w:val="FootnoteReference"/>
          <w:lang w:val="en-AU"/>
        </w:rPr>
        <w:footnoteReference w:id="134"/>
      </w:r>
      <w:r w:rsidRPr="009D0467">
        <w:rPr>
          <w:lang w:val="en-AU"/>
        </w:rPr>
        <w:t xml:space="preserve"> These are situations of purposeful action outside the State’s territory </w:t>
      </w:r>
      <w:r w:rsidR="003D2E7B">
        <w:rPr>
          <w:lang w:val="en-AU"/>
        </w:rPr>
        <w:t>—</w:t>
      </w:r>
      <w:r w:rsidRPr="009D0467">
        <w:rPr>
          <w:lang w:val="en-AU"/>
        </w:rPr>
        <w:t xml:space="preserve"> a limit consistent with the exterritorial application of the Convention on Racial Discrimination,</w:t>
      </w:r>
      <w:r w:rsidRPr="009D0467">
        <w:rPr>
          <w:rStyle w:val="FootnoteReference"/>
          <w:lang w:val="en-AU"/>
        </w:rPr>
        <w:footnoteReference w:id="135"/>
      </w:r>
      <w:r w:rsidRPr="009D0467">
        <w:rPr>
          <w:lang w:val="en-AU"/>
        </w:rPr>
        <w:t xml:space="preserve"> and the interpretation of specific rights by the Economic and Social Committee.</w:t>
      </w:r>
      <w:r w:rsidRPr="009D0467">
        <w:rPr>
          <w:rStyle w:val="FootnoteReference"/>
          <w:lang w:val="en-AU"/>
        </w:rPr>
        <w:footnoteReference w:id="136"/>
      </w:r>
      <w:r w:rsidRPr="009D0467">
        <w:rPr>
          <w:lang w:val="en-AU"/>
        </w:rPr>
        <w:t xml:space="preserve"> There is no basis to </w:t>
      </w:r>
      <w:r w:rsidRPr="009D0467">
        <w:rPr>
          <w:lang w:val="en-AU"/>
        </w:rPr>
        <w:lastRenderedPageBreak/>
        <w:t xml:space="preserve">extend extraterritorial application to the current, incidental transboundary situations. The </w:t>
      </w:r>
      <w:r w:rsidR="00467D6B">
        <w:rPr>
          <w:lang w:val="en-AU"/>
        </w:rPr>
        <w:t>harvesting</w:t>
      </w:r>
      <w:r w:rsidRPr="009D0467">
        <w:rPr>
          <w:lang w:val="en-AU"/>
        </w:rPr>
        <w:t xml:space="preserve"> of the </w:t>
      </w:r>
      <w:r w:rsidR="005F2A9E">
        <w:rPr>
          <w:lang w:val="en-AU"/>
        </w:rPr>
        <w:t>Yak</w:t>
      </w:r>
      <w:r w:rsidRPr="009D0467">
        <w:rPr>
          <w:lang w:val="en-AU"/>
        </w:rPr>
        <w:t xml:space="preserve"> occurred within </w:t>
      </w:r>
      <w:proofErr w:type="spellStart"/>
      <w:r w:rsidRPr="009D0467">
        <w:rPr>
          <w:lang w:val="en-AU"/>
        </w:rPr>
        <w:t>Rakkab’s</w:t>
      </w:r>
      <w:proofErr w:type="spellEnd"/>
      <w:r w:rsidRPr="009D0467">
        <w:rPr>
          <w:lang w:val="en-AU"/>
        </w:rPr>
        <w:t xml:space="preserve"> borders and is protected by the doctrine of </w:t>
      </w:r>
      <w:r w:rsidR="002A5219">
        <w:rPr>
          <w:lang w:val="en-AU"/>
        </w:rPr>
        <w:t>S</w:t>
      </w:r>
      <w:r w:rsidRPr="009D0467">
        <w:rPr>
          <w:lang w:val="en-AU"/>
        </w:rPr>
        <w:t>tate sovereignty,</w:t>
      </w:r>
      <w:r w:rsidRPr="009D0467">
        <w:rPr>
          <w:rStyle w:val="FootnoteReference"/>
          <w:lang w:val="en-AU"/>
        </w:rPr>
        <w:footnoteReference w:id="137"/>
      </w:r>
      <w:r w:rsidRPr="009D0467">
        <w:rPr>
          <w:lang w:val="en-AU"/>
        </w:rPr>
        <w:t xml:space="preserve"> which extends to natural resources.</w:t>
      </w:r>
      <w:r w:rsidRPr="009D0467">
        <w:rPr>
          <w:rStyle w:val="FootnoteReference"/>
          <w:lang w:val="en-AU"/>
        </w:rPr>
        <w:footnoteReference w:id="138"/>
      </w:r>
      <w:r w:rsidRPr="009D0467">
        <w:rPr>
          <w:lang w:val="en-AU"/>
        </w:rPr>
        <w:t xml:space="preserve"> </w:t>
      </w:r>
    </w:p>
    <w:p w14:paraId="673C3C7D" w14:textId="27152B06" w:rsidR="00E44F7E" w:rsidRDefault="00EC5B59" w:rsidP="00EC5B59">
      <w:pPr>
        <w:pStyle w:val="Heading3"/>
        <w:rPr>
          <w:lang w:val="en-AU"/>
        </w:rPr>
      </w:pPr>
      <w:bookmarkStart w:id="183" w:name="_Toc534995796"/>
      <w:bookmarkStart w:id="184" w:name="_Toc535037197"/>
      <w:r w:rsidRPr="009D0467">
        <w:rPr>
          <w:lang w:val="en-AU"/>
        </w:rPr>
        <w:t xml:space="preserve">Rakkab has not violated its obligations in respect </w:t>
      </w:r>
      <w:r w:rsidR="00416F38">
        <w:rPr>
          <w:lang w:val="en-AU"/>
        </w:rPr>
        <w:t>of</w:t>
      </w:r>
      <w:r w:rsidRPr="009D0467">
        <w:rPr>
          <w:lang w:val="en-AU"/>
        </w:rPr>
        <w:t xml:space="preserve"> religious or cultural rights</w:t>
      </w:r>
      <w:bookmarkEnd w:id="183"/>
      <w:bookmarkEnd w:id="184"/>
    </w:p>
    <w:p w14:paraId="0462C625" w14:textId="77777777" w:rsidR="00401476" w:rsidRPr="009D0467" w:rsidRDefault="00401476" w:rsidP="00401476">
      <w:pPr>
        <w:rPr>
          <w:lang w:val="en-AU"/>
        </w:rPr>
      </w:pPr>
      <w:r w:rsidRPr="009D0467">
        <w:rPr>
          <w:lang w:val="en-AU"/>
        </w:rPr>
        <w:t xml:space="preserve">Rakkab has not violated its international obligations as (1) there is </w:t>
      </w:r>
      <w:r>
        <w:rPr>
          <w:lang w:val="en-AU"/>
        </w:rPr>
        <w:t>insufficient proof of harm</w:t>
      </w:r>
      <w:r w:rsidRPr="009D0467">
        <w:rPr>
          <w:lang w:val="en-AU"/>
        </w:rPr>
        <w:t xml:space="preserve">. </w:t>
      </w:r>
      <w:r>
        <w:rPr>
          <w:lang w:val="en-AU"/>
        </w:rPr>
        <w:t>Even if harm could be established</w:t>
      </w:r>
      <w:r w:rsidRPr="009D0467">
        <w:rPr>
          <w:lang w:val="en-AU"/>
        </w:rPr>
        <w:t xml:space="preserve">, the hunting of the Yak does not amount to a breach of (2) religious or (3) cultural rights. Alternatively, (4) a valid limitation has taken place. </w:t>
      </w:r>
      <w:r>
        <w:rPr>
          <w:lang w:val="en-AU"/>
        </w:rPr>
        <w:t>Finally, (5) there is no infringement on self-determination.</w:t>
      </w:r>
    </w:p>
    <w:p w14:paraId="449E34F7" w14:textId="4399AAB3" w:rsidR="00401476" w:rsidRPr="00401476" w:rsidRDefault="00401476" w:rsidP="00401476">
      <w:pPr>
        <w:pStyle w:val="Heading4"/>
        <w:numPr>
          <w:ilvl w:val="0"/>
          <w:numId w:val="39"/>
        </w:numPr>
        <w:rPr>
          <w:lang w:val="en-AU"/>
        </w:rPr>
      </w:pPr>
      <w:bookmarkStart w:id="185" w:name="_Toc535037198"/>
      <w:r>
        <w:rPr>
          <w:lang w:val="en-AU"/>
        </w:rPr>
        <w:t>Aurok has not proven hunting of the Yak in Rakkab has caused the population decrease</w:t>
      </w:r>
      <w:bookmarkEnd w:id="185"/>
    </w:p>
    <w:p w14:paraId="15AACEC4" w14:textId="61791B27" w:rsidR="00E44F7E" w:rsidRPr="00B76917" w:rsidRDefault="00E44F7E" w:rsidP="00E44F7E">
      <w:pPr>
        <w:rPr>
          <w:lang w:val="en-AU"/>
        </w:rPr>
      </w:pPr>
      <w:r>
        <w:rPr>
          <w:lang w:val="en-AU"/>
        </w:rPr>
        <w:t xml:space="preserve">As substantively discussed in </w:t>
      </w:r>
      <w:r w:rsidRPr="00C12C4C">
        <w:rPr>
          <w:lang w:val="en-AU"/>
        </w:rPr>
        <w:t>Pleading II.B.1.iii</w:t>
      </w:r>
      <w:r>
        <w:rPr>
          <w:lang w:val="en-AU"/>
        </w:rPr>
        <w:t xml:space="preserve">, </w:t>
      </w:r>
      <w:r w:rsidR="00B76917">
        <w:rPr>
          <w:lang w:val="en-AU"/>
        </w:rPr>
        <w:t>Aurok</w:t>
      </w:r>
      <w:r>
        <w:rPr>
          <w:lang w:val="en-AU"/>
        </w:rPr>
        <w:t xml:space="preserve"> has not proven that the hunting in Rakkab caused the decrease in the Yak population.</w:t>
      </w:r>
      <w:r w:rsidR="00B76917">
        <w:rPr>
          <w:lang w:val="en-AU"/>
        </w:rPr>
        <w:t xml:space="preserve"> Not only, as explained above, is the probative value of their evidence insufficient, there </w:t>
      </w:r>
      <w:r w:rsidR="00B85C8B">
        <w:rPr>
          <w:lang w:val="en-AU"/>
        </w:rPr>
        <w:t>are</w:t>
      </w:r>
      <w:r w:rsidR="00B76917">
        <w:rPr>
          <w:lang w:val="en-AU"/>
        </w:rPr>
        <w:t xml:space="preserve"> relevant contradictory facts.</w:t>
      </w:r>
      <w:r>
        <w:rPr>
          <w:lang w:val="en-AU"/>
        </w:rPr>
        <w:t xml:space="preserve"> </w:t>
      </w:r>
      <w:r w:rsidRPr="00E44F7E">
        <w:rPr>
          <w:color w:val="000000" w:themeColor="text1"/>
          <w:lang w:val="en-AU"/>
        </w:rPr>
        <w:t xml:space="preserve">Rakkab </w:t>
      </w:r>
      <w:r>
        <w:rPr>
          <w:color w:val="000000" w:themeColor="text1"/>
          <w:lang w:val="en-AU"/>
        </w:rPr>
        <w:t xml:space="preserve">has consistently </w:t>
      </w:r>
      <w:r w:rsidRPr="00E44F7E">
        <w:rPr>
          <w:color w:val="000000" w:themeColor="text1"/>
          <w:lang w:val="en-AU"/>
        </w:rPr>
        <w:t xml:space="preserve">taken fewer </w:t>
      </w:r>
      <w:r w:rsidR="005F2A9E">
        <w:rPr>
          <w:color w:val="000000" w:themeColor="text1"/>
          <w:lang w:val="en-AU"/>
        </w:rPr>
        <w:t>Yak</w:t>
      </w:r>
      <w:r w:rsidRPr="00E44F7E">
        <w:rPr>
          <w:color w:val="000000" w:themeColor="text1"/>
          <w:lang w:val="en-AU"/>
        </w:rPr>
        <w:t xml:space="preserve"> than Aurok</w:t>
      </w:r>
      <w:r>
        <w:rPr>
          <w:color w:val="000000" w:themeColor="text1"/>
          <w:lang w:val="en-AU"/>
        </w:rPr>
        <w:t>,</w:t>
      </w:r>
      <w:r w:rsidRPr="00E44F7E">
        <w:rPr>
          <w:rStyle w:val="FootnoteReference"/>
          <w:color w:val="000000" w:themeColor="text1"/>
          <w:lang w:val="en-AU"/>
        </w:rPr>
        <w:footnoteReference w:id="139"/>
      </w:r>
      <w:r w:rsidRPr="00E44F7E">
        <w:rPr>
          <w:color w:val="000000" w:themeColor="text1"/>
          <w:lang w:val="en-AU"/>
        </w:rPr>
        <w:t xml:space="preserve"> </w:t>
      </w:r>
      <w:r>
        <w:rPr>
          <w:color w:val="000000" w:themeColor="text1"/>
          <w:lang w:val="en-AU"/>
        </w:rPr>
        <w:t xml:space="preserve">and </w:t>
      </w:r>
      <w:r w:rsidRPr="00E44F7E">
        <w:rPr>
          <w:color w:val="000000" w:themeColor="text1"/>
          <w:lang w:val="en-AU"/>
        </w:rPr>
        <w:t>it has issued regulations to comply with its environmental obligations.</w:t>
      </w:r>
      <w:r w:rsidRPr="00E44F7E">
        <w:rPr>
          <w:rStyle w:val="FootnoteReference"/>
          <w:color w:val="000000" w:themeColor="text1"/>
          <w:lang w:val="en-AU"/>
        </w:rPr>
        <w:footnoteReference w:id="140"/>
      </w:r>
      <w:r w:rsidRPr="00E44F7E">
        <w:rPr>
          <w:color w:val="000000" w:themeColor="text1"/>
          <w:lang w:val="en-AU"/>
        </w:rPr>
        <w:t xml:space="preserve"> The blaming of Rakkab is largely fuelled by social media campaigns,</w:t>
      </w:r>
      <w:r w:rsidRPr="00E44F7E">
        <w:rPr>
          <w:rStyle w:val="FootnoteReference"/>
          <w:color w:val="000000" w:themeColor="text1"/>
          <w:lang w:val="en-AU"/>
        </w:rPr>
        <w:footnoteReference w:id="141"/>
      </w:r>
      <w:r w:rsidRPr="00E44F7E">
        <w:rPr>
          <w:color w:val="000000" w:themeColor="text1"/>
          <w:lang w:val="en-AU"/>
        </w:rPr>
        <w:t xml:space="preserve"> and political discord in Aurok.</w:t>
      </w:r>
      <w:r w:rsidRPr="00E44F7E">
        <w:rPr>
          <w:rStyle w:val="FootnoteReference"/>
          <w:color w:val="000000" w:themeColor="text1"/>
          <w:lang w:val="en-AU"/>
        </w:rPr>
        <w:footnoteReference w:id="142"/>
      </w:r>
      <w:r w:rsidR="00B76917">
        <w:rPr>
          <w:color w:val="000000" w:themeColor="text1"/>
          <w:lang w:val="en-AU"/>
        </w:rPr>
        <w:t xml:space="preserve"> </w:t>
      </w:r>
    </w:p>
    <w:p w14:paraId="0ED8A24A" w14:textId="77777777" w:rsidR="00EC5B59" w:rsidRPr="00401476" w:rsidRDefault="00EC5B59" w:rsidP="00401476">
      <w:pPr>
        <w:pStyle w:val="Heading4"/>
        <w:numPr>
          <w:ilvl w:val="0"/>
          <w:numId w:val="39"/>
        </w:numPr>
        <w:rPr>
          <w:lang w:val="en-AU"/>
        </w:rPr>
      </w:pPr>
      <w:bookmarkStart w:id="186" w:name="_Toc534995797"/>
      <w:bookmarkStart w:id="187" w:name="_Toc535037199"/>
      <w:r w:rsidRPr="00401476">
        <w:rPr>
          <w:lang w:val="en-AU"/>
        </w:rPr>
        <w:t>Rakkab has not breached its obligation relating to religious rights</w:t>
      </w:r>
      <w:bookmarkEnd w:id="186"/>
      <w:bookmarkEnd w:id="187"/>
      <w:r w:rsidRPr="00401476">
        <w:rPr>
          <w:lang w:val="en-AU"/>
        </w:rPr>
        <w:t xml:space="preserve"> </w:t>
      </w:r>
    </w:p>
    <w:p w14:paraId="27D69B5E" w14:textId="23FE32FC" w:rsidR="00EC5B59" w:rsidRPr="009D0467" w:rsidRDefault="00EC5B59" w:rsidP="00EC5B59">
      <w:pPr>
        <w:rPr>
          <w:lang w:val="en-AU"/>
        </w:rPr>
      </w:pPr>
      <w:r w:rsidRPr="009D0467">
        <w:rPr>
          <w:lang w:val="en-AU"/>
        </w:rPr>
        <w:t>The ICCPR protects the freedom to hold a religion and the freedom to manifest a religion.</w:t>
      </w:r>
      <w:r w:rsidRPr="009D0467">
        <w:rPr>
          <w:rStyle w:val="FootnoteReference"/>
          <w:lang w:val="en-AU"/>
        </w:rPr>
        <w:footnoteReference w:id="143"/>
      </w:r>
      <w:r w:rsidRPr="009D0467">
        <w:rPr>
          <w:lang w:val="en-AU"/>
        </w:rPr>
        <w:t xml:space="preserve"> Religious rituals, such as hunting the Yak,</w:t>
      </w:r>
      <w:r w:rsidRPr="009D0467">
        <w:rPr>
          <w:rStyle w:val="FootnoteReference"/>
          <w:lang w:val="en-AU"/>
        </w:rPr>
        <w:footnoteReference w:id="144"/>
      </w:r>
      <w:r w:rsidRPr="009D0467">
        <w:rPr>
          <w:lang w:val="en-AU"/>
        </w:rPr>
        <w:t xml:space="preserve"> are part of the manifestation of religion.</w:t>
      </w:r>
      <w:r w:rsidRPr="009D0467">
        <w:rPr>
          <w:rStyle w:val="FootnoteReference"/>
          <w:lang w:val="en-AU"/>
        </w:rPr>
        <w:footnoteReference w:id="145"/>
      </w:r>
      <w:r w:rsidRPr="009D0467">
        <w:rPr>
          <w:lang w:val="en-AU"/>
        </w:rPr>
        <w:t xml:space="preserve"> However, </w:t>
      </w:r>
      <w:r w:rsidRPr="009D0467">
        <w:rPr>
          <w:lang w:val="en-AU"/>
        </w:rPr>
        <w:lastRenderedPageBreak/>
        <w:t xml:space="preserve">this right is a </w:t>
      </w:r>
      <w:r w:rsidR="00A553EE">
        <w:rPr>
          <w:lang w:val="en-AU"/>
        </w:rPr>
        <w:t>“</w:t>
      </w:r>
      <w:r w:rsidRPr="009D0467">
        <w:rPr>
          <w:lang w:val="en-AU"/>
        </w:rPr>
        <w:t>freedom</w:t>
      </w:r>
      <w:r w:rsidR="00A553EE">
        <w:rPr>
          <w:lang w:val="en-AU"/>
        </w:rPr>
        <w:t>”.</w:t>
      </w:r>
      <w:r w:rsidRPr="009D0467">
        <w:rPr>
          <w:lang w:val="en-AU"/>
        </w:rPr>
        <w:t xml:space="preserve"> It defends individuals from direct interference,</w:t>
      </w:r>
      <w:r w:rsidRPr="009D0467">
        <w:rPr>
          <w:rStyle w:val="FootnoteReference"/>
          <w:lang w:val="en-AU"/>
        </w:rPr>
        <w:footnoteReference w:id="146"/>
      </w:r>
      <w:r w:rsidRPr="009D0467">
        <w:rPr>
          <w:lang w:val="en-AU"/>
        </w:rPr>
        <w:t xml:space="preserve"> but does not impose further positive obligations on the State.</w:t>
      </w:r>
      <w:r w:rsidRPr="009D0467">
        <w:rPr>
          <w:rStyle w:val="FootnoteReference"/>
          <w:lang w:val="en-AU"/>
        </w:rPr>
        <w:footnoteReference w:id="147"/>
      </w:r>
      <w:r w:rsidRPr="009D0467">
        <w:rPr>
          <w:lang w:val="en-AU"/>
        </w:rPr>
        <w:t xml:space="preserve"> This interpretation is supported by the fact that other ICCPR rights, in contrast, expressly require active measures by the</w:t>
      </w:r>
      <w:r w:rsidR="00615CC8">
        <w:rPr>
          <w:lang w:val="en-AU"/>
        </w:rPr>
        <w:t xml:space="preserve"> S</w:t>
      </w:r>
      <w:r w:rsidRPr="009D0467">
        <w:rPr>
          <w:lang w:val="en-AU"/>
        </w:rPr>
        <w:t>tate.</w:t>
      </w:r>
      <w:r w:rsidRPr="009D0467">
        <w:rPr>
          <w:rStyle w:val="FootnoteReference"/>
          <w:lang w:val="en-AU"/>
        </w:rPr>
        <w:footnoteReference w:id="148"/>
      </w:r>
      <w:r w:rsidRPr="009D0467">
        <w:rPr>
          <w:lang w:val="en-AU"/>
        </w:rPr>
        <w:t xml:space="preserve"> Rakkab has not directly restricted access to </w:t>
      </w:r>
      <w:r>
        <w:rPr>
          <w:lang w:val="en-AU"/>
        </w:rPr>
        <w:t>the Yak.</w:t>
      </w:r>
      <w:r w:rsidRPr="009D0467">
        <w:rPr>
          <w:lang w:val="en-AU"/>
        </w:rPr>
        <w:t xml:space="preserve"> </w:t>
      </w:r>
      <w:r>
        <w:rPr>
          <w:lang w:val="en-AU"/>
        </w:rPr>
        <w:t>W</w:t>
      </w:r>
      <w:r w:rsidRPr="009D0467">
        <w:rPr>
          <w:lang w:val="en-AU"/>
        </w:rPr>
        <w:t xml:space="preserve">hile </w:t>
      </w:r>
      <w:proofErr w:type="spellStart"/>
      <w:r w:rsidRPr="009D0467">
        <w:rPr>
          <w:lang w:val="en-AU"/>
        </w:rPr>
        <w:t>Aurokans</w:t>
      </w:r>
      <w:proofErr w:type="spellEnd"/>
      <w:r w:rsidRPr="009D0467">
        <w:rPr>
          <w:lang w:val="en-AU"/>
        </w:rPr>
        <w:t xml:space="preserve"> have the right to acquire resources such as the Yak for religious worship, Rakkab is not obligated to ensure their availability.</w:t>
      </w:r>
      <w:r w:rsidRPr="009D0467">
        <w:rPr>
          <w:rStyle w:val="FootnoteReference"/>
          <w:lang w:val="en-AU"/>
        </w:rPr>
        <w:footnoteReference w:id="149"/>
      </w:r>
      <w:r w:rsidRPr="009D0467">
        <w:rPr>
          <w:lang w:val="en-AU"/>
        </w:rPr>
        <w:t xml:space="preserve"> </w:t>
      </w:r>
    </w:p>
    <w:p w14:paraId="6F133E9C" w14:textId="77777777" w:rsidR="00EC5B59" w:rsidRPr="009D0467" w:rsidRDefault="00EC5B59" w:rsidP="00EC5B59">
      <w:pPr>
        <w:pStyle w:val="Heading4"/>
        <w:rPr>
          <w:lang w:val="en-AU"/>
        </w:rPr>
      </w:pPr>
      <w:bookmarkStart w:id="188" w:name="_Toc534995798"/>
      <w:bookmarkStart w:id="189" w:name="_Toc535037200"/>
      <w:r w:rsidRPr="009D0467">
        <w:rPr>
          <w:lang w:val="en-AU"/>
        </w:rPr>
        <w:t xml:space="preserve">Rakkab has not breached its obligations </w:t>
      </w:r>
      <w:r>
        <w:rPr>
          <w:lang w:val="en-AU"/>
        </w:rPr>
        <w:t>relating to</w:t>
      </w:r>
      <w:r w:rsidRPr="009D0467">
        <w:rPr>
          <w:lang w:val="en-AU"/>
        </w:rPr>
        <w:t xml:space="preserve"> cultural right</w:t>
      </w:r>
      <w:r>
        <w:rPr>
          <w:lang w:val="en-AU"/>
        </w:rPr>
        <w:t>s</w:t>
      </w:r>
      <w:bookmarkEnd w:id="188"/>
      <w:bookmarkEnd w:id="189"/>
      <w:r w:rsidRPr="009D0467">
        <w:rPr>
          <w:lang w:val="en-AU"/>
        </w:rPr>
        <w:t xml:space="preserve"> </w:t>
      </w:r>
    </w:p>
    <w:p w14:paraId="5055E23A" w14:textId="4AC5F602" w:rsidR="00EC5B59" w:rsidRDefault="00EC5B59" w:rsidP="00EC5B59">
      <w:pPr>
        <w:rPr>
          <w:lang w:val="en-AU"/>
        </w:rPr>
      </w:pPr>
      <w:r w:rsidRPr="009D0467">
        <w:rPr>
          <w:lang w:val="en-AU"/>
        </w:rPr>
        <w:t>The ICESCR recognises the right to cultural life.</w:t>
      </w:r>
      <w:r w:rsidRPr="009D0467">
        <w:rPr>
          <w:rStyle w:val="FootnoteReference"/>
          <w:lang w:val="en-AU"/>
        </w:rPr>
        <w:footnoteReference w:id="150"/>
      </w:r>
      <w:r w:rsidRPr="009D0467">
        <w:rPr>
          <w:lang w:val="en-AU"/>
        </w:rPr>
        <w:t xml:space="preserve"> </w:t>
      </w:r>
      <w:r>
        <w:rPr>
          <w:lang w:val="en-AU"/>
        </w:rPr>
        <w:t>W</w:t>
      </w:r>
      <w:r w:rsidRPr="009D0467">
        <w:rPr>
          <w:lang w:val="en-AU"/>
        </w:rPr>
        <w:t xml:space="preserve">hile States </w:t>
      </w:r>
      <w:r w:rsidR="008C1658">
        <w:rPr>
          <w:lang w:val="en-AU"/>
        </w:rPr>
        <w:t>have an obligation to</w:t>
      </w:r>
      <w:r w:rsidRPr="009D0467">
        <w:rPr>
          <w:lang w:val="en-AU"/>
        </w:rPr>
        <w:t xml:space="preserve"> </w:t>
      </w:r>
      <w:r w:rsidR="00416F38">
        <w:rPr>
          <w:lang w:val="en-AU"/>
        </w:rPr>
        <w:t>facilitate and fulfil</w:t>
      </w:r>
      <w:r w:rsidRPr="009D0467">
        <w:rPr>
          <w:lang w:val="en-AU"/>
        </w:rPr>
        <w:t xml:space="preserve"> </w:t>
      </w:r>
      <w:r w:rsidR="008C1658">
        <w:rPr>
          <w:lang w:val="en-AU"/>
        </w:rPr>
        <w:t xml:space="preserve">this </w:t>
      </w:r>
      <w:r w:rsidRPr="009D0467">
        <w:rPr>
          <w:lang w:val="en-AU"/>
        </w:rPr>
        <w:t>right,</w:t>
      </w:r>
      <w:r w:rsidRPr="009D0467">
        <w:rPr>
          <w:rStyle w:val="FootnoteReference"/>
          <w:lang w:val="en-AU"/>
        </w:rPr>
        <w:footnoteReference w:id="151"/>
      </w:r>
      <w:r w:rsidRPr="009D0467">
        <w:rPr>
          <w:lang w:val="en-AU"/>
        </w:rPr>
        <w:t xml:space="preserve"> Rakkab is only </w:t>
      </w:r>
      <w:r w:rsidR="004C754C">
        <w:rPr>
          <w:lang w:val="en-AU"/>
        </w:rPr>
        <w:t>obligated</w:t>
      </w:r>
      <w:r w:rsidRPr="009D0467">
        <w:rPr>
          <w:lang w:val="en-AU"/>
        </w:rPr>
        <w:t xml:space="preserve"> to take “appropriate” steps.</w:t>
      </w:r>
      <w:r w:rsidRPr="009D0467">
        <w:rPr>
          <w:rStyle w:val="FootnoteReference"/>
          <w:lang w:val="en-AU"/>
        </w:rPr>
        <w:footnoteReference w:id="152"/>
      </w:r>
      <w:r w:rsidRPr="009D0467">
        <w:rPr>
          <w:lang w:val="en-AU"/>
        </w:rPr>
        <w:t xml:space="preserve"> Appropriateness allows consideration of other protected rights.</w:t>
      </w:r>
      <w:r w:rsidRPr="009D0467">
        <w:rPr>
          <w:rStyle w:val="FootnoteReference"/>
          <w:lang w:val="en-AU"/>
        </w:rPr>
        <w:footnoteReference w:id="153"/>
      </w:r>
      <w:r w:rsidRPr="009D0467">
        <w:rPr>
          <w:lang w:val="en-AU"/>
        </w:rPr>
        <w:t xml:space="preserve"> Gallvectra is </w:t>
      </w:r>
      <w:r w:rsidR="005E6645">
        <w:rPr>
          <w:lang w:val="en-AU"/>
        </w:rPr>
        <w:t>an essential drug</w:t>
      </w:r>
      <w:r w:rsidRPr="009D0467">
        <w:rPr>
          <w:lang w:val="en-AU"/>
        </w:rPr>
        <w:t>,</w:t>
      </w:r>
      <w:r w:rsidRPr="009D0467">
        <w:rPr>
          <w:rStyle w:val="FootnoteReference"/>
          <w:lang w:val="en-AU"/>
        </w:rPr>
        <w:footnoteReference w:id="154"/>
      </w:r>
      <w:r w:rsidRPr="009D0467">
        <w:rPr>
          <w:lang w:val="en-AU"/>
        </w:rPr>
        <w:t xml:space="preserve"> and providing such drugs is part of a State’s non-</w:t>
      </w:r>
      <w:proofErr w:type="spellStart"/>
      <w:r w:rsidRPr="009D0467">
        <w:rPr>
          <w:lang w:val="en-AU"/>
        </w:rPr>
        <w:t>derogable</w:t>
      </w:r>
      <w:proofErr w:type="spellEnd"/>
      <w:r w:rsidRPr="009D0467">
        <w:rPr>
          <w:lang w:val="en-AU"/>
        </w:rPr>
        <w:t xml:space="preserve"> minimum obligations.</w:t>
      </w:r>
      <w:r w:rsidRPr="009D0467">
        <w:rPr>
          <w:rStyle w:val="FootnoteReference"/>
          <w:lang w:val="en-AU"/>
        </w:rPr>
        <w:footnoteReference w:id="155"/>
      </w:r>
      <w:r w:rsidRPr="009D0467">
        <w:rPr>
          <w:lang w:val="en-AU"/>
        </w:rPr>
        <w:t xml:space="preserve"> Without a synthetic alternative, the Yak gallbladders are needed for the continued provision of Gallvectra.</w:t>
      </w:r>
      <w:r w:rsidRPr="009D0467">
        <w:rPr>
          <w:rStyle w:val="FootnoteReference"/>
          <w:lang w:val="en-AU"/>
        </w:rPr>
        <w:footnoteReference w:id="156"/>
      </w:r>
      <w:r w:rsidRPr="009D0467">
        <w:rPr>
          <w:lang w:val="en-AU"/>
        </w:rPr>
        <w:t xml:space="preserve"> </w:t>
      </w:r>
      <w:r>
        <w:rPr>
          <w:lang w:val="en-AU"/>
        </w:rPr>
        <w:t>S</w:t>
      </w:r>
      <w:r w:rsidRPr="009D0467">
        <w:rPr>
          <w:lang w:val="en-AU"/>
        </w:rPr>
        <w:t xml:space="preserve">topping </w:t>
      </w:r>
      <w:proofErr w:type="spellStart"/>
      <w:r w:rsidRPr="009D0467">
        <w:rPr>
          <w:lang w:val="en-AU"/>
        </w:rPr>
        <w:t>Gallvectra’s</w:t>
      </w:r>
      <w:proofErr w:type="spellEnd"/>
      <w:r w:rsidRPr="009D0467">
        <w:rPr>
          <w:lang w:val="en-AU"/>
        </w:rPr>
        <w:t xml:space="preserve"> production </w:t>
      </w:r>
      <w:r>
        <w:rPr>
          <w:lang w:val="en-AU"/>
        </w:rPr>
        <w:t xml:space="preserve">will </w:t>
      </w:r>
      <w:r w:rsidRPr="009D0467">
        <w:rPr>
          <w:lang w:val="en-AU"/>
        </w:rPr>
        <w:t xml:space="preserve">regress the right to health, which there is a strong presumption </w:t>
      </w:r>
      <w:r w:rsidRPr="009D0467">
        <w:rPr>
          <w:lang w:val="en-AU"/>
        </w:rPr>
        <w:lastRenderedPageBreak/>
        <w:t>against.</w:t>
      </w:r>
      <w:r w:rsidRPr="009D0467">
        <w:rPr>
          <w:rStyle w:val="FootnoteReference"/>
          <w:lang w:val="en-AU"/>
        </w:rPr>
        <w:footnoteReference w:id="157"/>
      </w:r>
      <w:r w:rsidRPr="009D0467">
        <w:rPr>
          <w:lang w:val="en-AU"/>
        </w:rPr>
        <w:t xml:space="preserve"> </w:t>
      </w:r>
      <w:r>
        <w:rPr>
          <w:lang w:val="en-AU"/>
        </w:rPr>
        <w:t>T</w:t>
      </w:r>
      <w:r w:rsidRPr="009D0467">
        <w:rPr>
          <w:lang w:val="en-AU"/>
        </w:rPr>
        <w:t>he impact would be extensive</w:t>
      </w:r>
      <w:r>
        <w:rPr>
          <w:lang w:val="en-AU"/>
        </w:rPr>
        <w:t>.</w:t>
      </w:r>
      <w:r w:rsidRPr="009D0467">
        <w:rPr>
          <w:lang w:val="en-AU"/>
        </w:rPr>
        <w:t xml:space="preserve"> Gallvectra is used in more than eighty-five countries and countless people depend on it</w:t>
      </w:r>
      <w:r>
        <w:rPr>
          <w:lang w:val="en-AU"/>
        </w:rPr>
        <w:t xml:space="preserve"> to “protect and extend their lives.”</w:t>
      </w:r>
      <w:r w:rsidRPr="009D0467">
        <w:rPr>
          <w:rStyle w:val="FootnoteReference"/>
          <w:lang w:val="en-AU"/>
        </w:rPr>
        <w:footnoteReference w:id="158"/>
      </w:r>
      <w:r w:rsidRPr="009D0467">
        <w:rPr>
          <w:lang w:val="en-AU"/>
        </w:rPr>
        <w:t xml:space="preserve"> </w:t>
      </w:r>
      <w:r>
        <w:rPr>
          <w:lang w:val="en-AU"/>
        </w:rPr>
        <w:t>T</w:t>
      </w:r>
      <w:r w:rsidRPr="009D0467">
        <w:rPr>
          <w:lang w:val="en-AU"/>
        </w:rPr>
        <w:t xml:space="preserve">he impairment of cultural rights is </w:t>
      </w:r>
      <w:r>
        <w:rPr>
          <w:lang w:val="en-AU"/>
        </w:rPr>
        <w:t>comparatively less as</w:t>
      </w:r>
      <w:r w:rsidRPr="009D0467">
        <w:rPr>
          <w:lang w:val="en-AU"/>
        </w:rPr>
        <w:t xml:space="preserve"> it is still possible </w:t>
      </w:r>
      <w:r w:rsidR="00786051">
        <w:rPr>
          <w:lang w:val="en-AU"/>
        </w:rPr>
        <w:t xml:space="preserve">for </w:t>
      </w:r>
      <w:proofErr w:type="spellStart"/>
      <w:r w:rsidR="00786051">
        <w:rPr>
          <w:lang w:val="en-AU"/>
        </w:rPr>
        <w:t>Aurokans</w:t>
      </w:r>
      <w:proofErr w:type="spellEnd"/>
      <w:r w:rsidR="00786051">
        <w:rPr>
          <w:lang w:val="en-AU"/>
        </w:rPr>
        <w:t xml:space="preserve"> to hunt the Yak</w:t>
      </w:r>
      <w:r w:rsidRPr="009D0467">
        <w:rPr>
          <w:lang w:val="en-AU"/>
        </w:rPr>
        <w:t>.</w:t>
      </w:r>
      <w:r w:rsidRPr="009D0467">
        <w:rPr>
          <w:rStyle w:val="FootnoteReference"/>
          <w:lang w:val="en-AU"/>
        </w:rPr>
        <w:footnoteReference w:id="159"/>
      </w:r>
      <w:r w:rsidRPr="009D0467">
        <w:rPr>
          <w:lang w:val="en-AU"/>
        </w:rPr>
        <w:t xml:space="preserve"> Rakkab has neither acted unreasonably or discriminatorily, and the </w:t>
      </w:r>
      <w:r>
        <w:rPr>
          <w:lang w:val="en-AU"/>
        </w:rPr>
        <w:t>C</w:t>
      </w:r>
      <w:r w:rsidRPr="009D0467">
        <w:rPr>
          <w:lang w:val="en-AU"/>
        </w:rPr>
        <w:t xml:space="preserve">ourt should respect </w:t>
      </w:r>
      <w:r w:rsidR="00B01F36">
        <w:rPr>
          <w:lang w:val="en-AU"/>
        </w:rPr>
        <w:t>its</w:t>
      </w:r>
      <w:r w:rsidRPr="009D0467">
        <w:rPr>
          <w:lang w:val="en-AU"/>
        </w:rPr>
        <w:t xml:space="preserve"> policy-making discretion.</w:t>
      </w:r>
      <w:r w:rsidRPr="009D0467">
        <w:rPr>
          <w:rStyle w:val="FootnoteReference"/>
          <w:lang w:val="en-AU"/>
        </w:rPr>
        <w:footnoteReference w:id="160"/>
      </w:r>
      <w:r w:rsidR="003B22AA">
        <w:rPr>
          <w:lang w:val="en-AU"/>
        </w:rPr>
        <w:t xml:space="preserve"> </w:t>
      </w:r>
    </w:p>
    <w:p w14:paraId="06C50558" w14:textId="77777777" w:rsidR="00414D2E" w:rsidRPr="009D0467" w:rsidRDefault="00414D2E" w:rsidP="00EC5B59">
      <w:pPr>
        <w:rPr>
          <w:lang w:val="en-AU"/>
        </w:rPr>
      </w:pPr>
    </w:p>
    <w:p w14:paraId="09D4B925" w14:textId="77777777" w:rsidR="00EC5B59" w:rsidRPr="009D0467" w:rsidRDefault="00EC5B59" w:rsidP="00EC5B59">
      <w:pPr>
        <w:pStyle w:val="Heading4"/>
        <w:rPr>
          <w:lang w:val="en-AU"/>
        </w:rPr>
      </w:pPr>
      <w:bookmarkStart w:id="190" w:name="_Toc534995799"/>
      <w:bookmarkStart w:id="191" w:name="_Toc535037201"/>
      <w:r w:rsidRPr="009D0467">
        <w:rPr>
          <w:lang w:val="en-AU"/>
        </w:rPr>
        <w:t>Alternatively, religious and cultural rights were validly limited</w:t>
      </w:r>
      <w:bookmarkEnd w:id="190"/>
      <w:bookmarkEnd w:id="191"/>
      <w:r w:rsidRPr="009D0467">
        <w:rPr>
          <w:lang w:val="en-AU"/>
        </w:rPr>
        <w:t xml:space="preserve"> </w:t>
      </w:r>
    </w:p>
    <w:p w14:paraId="40CF6D66" w14:textId="49666BBD" w:rsidR="00EC5B59" w:rsidRDefault="00EC5B59" w:rsidP="00EC5B59">
      <w:pPr>
        <w:rPr>
          <w:lang w:val="en-AU"/>
        </w:rPr>
      </w:pPr>
      <w:r w:rsidRPr="009D0467">
        <w:rPr>
          <w:lang w:val="en-AU"/>
        </w:rPr>
        <w:t xml:space="preserve">Freedom to manifest one’s religion and </w:t>
      </w:r>
      <w:r w:rsidR="00503E13">
        <w:rPr>
          <w:lang w:val="en-AU"/>
        </w:rPr>
        <w:t xml:space="preserve">the </w:t>
      </w:r>
      <w:r w:rsidRPr="009D0467">
        <w:rPr>
          <w:lang w:val="en-AU"/>
        </w:rPr>
        <w:t>right to cultur</w:t>
      </w:r>
      <w:r w:rsidR="00662686">
        <w:rPr>
          <w:lang w:val="en-AU"/>
        </w:rPr>
        <w:t>al life</w:t>
      </w:r>
      <w:r w:rsidRPr="009D0467">
        <w:rPr>
          <w:lang w:val="en-AU"/>
        </w:rPr>
        <w:t xml:space="preserve"> can be subject to limitations.</w:t>
      </w:r>
      <w:r w:rsidRPr="009D0467">
        <w:rPr>
          <w:rStyle w:val="FootnoteReference"/>
          <w:lang w:val="en-AU"/>
        </w:rPr>
        <w:footnoteReference w:id="161"/>
      </w:r>
      <w:r w:rsidRPr="009D0467">
        <w:rPr>
          <w:lang w:val="en-AU"/>
        </w:rPr>
        <w:t xml:space="preserve"> There are three requirements for justified limitations.</w:t>
      </w:r>
      <w:r w:rsidRPr="009D0467">
        <w:rPr>
          <w:rStyle w:val="FootnoteReference"/>
          <w:lang w:val="en-AU"/>
        </w:rPr>
        <w:footnoteReference w:id="162"/>
      </w:r>
      <w:r w:rsidRPr="009D0467">
        <w:rPr>
          <w:lang w:val="en-AU"/>
        </w:rPr>
        <w:t xml:space="preserve"> First, that </w:t>
      </w:r>
      <w:r>
        <w:rPr>
          <w:lang w:val="en-AU"/>
        </w:rPr>
        <w:t xml:space="preserve">limitations </w:t>
      </w:r>
      <w:r w:rsidRPr="009D0467">
        <w:rPr>
          <w:lang w:val="en-AU"/>
        </w:rPr>
        <w:t>must be prescribed by</w:t>
      </w:r>
      <w:r>
        <w:rPr>
          <w:lang w:val="en-AU"/>
        </w:rPr>
        <w:t xml:space="preserve"> law</w:t>
      </w:r>
      <w:r w:rsidR="003C36F4">
        <w:rPr>
          <w:lang w:val="en-AU"/>
        </w:rPr>
        <w:t xml:space="preserve"> that is</w:t>
      </w:r>
      <w:r>
        <w:rPr>
          <w:lang w:val="en-AU"/>
        </w:rPr>
        <w:t xml:space="preserve"> </w:t>
      </w:r>
      <w:r w:rsidRPr="009D0467">
        <w:rPr>
          <w:lang w:val="en-AU"/>
        </w:rPr>
        <w:t>clear and accessible.</w:t>
      </w:r>
      <w:r w:rsidRPr="009D0467">
        <w:rPr>
          <w:rStyle w:val="FootnoteReference"/>
          <w:lang w:val="en-AU"/>
        </w:rPr>
        <w:footnoteReference w:id="163"/>
      </w:r>
      <w:r w:rsidRPr="009D0467">
        <w:rPr>
          <w:lang w:val="en-AU"/>
        </w:rPr>
        <w:t xml:space="preserve"> The hunting of the </w:t>
      </w:r>
      <w:r w:rsidR="005F2A9E">
        <w:rPr>
          <w:lang w:val="en-AU"/>
        </w:rPr>
        <w:t>Yak</w:t>
      </w:r>
      <w:r w:rsidRPr="009D0467">
        <w:rPr>
          <w:lang w:val="en-AU"/>
        </w:rPr>
        <w:t xml:space="preserve"> has always been done under legal licences that were publicly accessible.</w:t>
      </w:r>
      <w:r w:rsidRPr="009D0467">
        <w:rPr>
          <w:rStyle w:val="FootnoteReference"/>
          <w:lang w:val="en-AU"/>
        </w:rPr>
        <w:footnoteReference w:id="164"/>
      </w:r>
      <w:r w:rsidRPr="009D0467">
        <w:rPr>
          <w:lang w:val="en-AU"/>
        </w:rPr>
        <w:t xml:space="preserve"> </w:t>
      </w:r>
      <w:r>
        <w:rPr>
          <w:lang w:val="en-AU"/>
        </w:rPr>
        <w:t>Second, limitations must be for a</w:t>
      </w:r>
      <w:r w:rsidRPr="009D0467">
        <w:rPr>
          <w:lang w:val="en-AU"/>
        </w:rPr>
        <w:t xml:space="preserve"> legitimate purpose, as prescribed by the relevant treaty. </w:t>
      </w:r>
      <w:r>
        <w:rPr>
          <w:lang w:val="en-AU"/>
        </w:rPr>
        <w:t>T</w:t>
      </w:r>
      <w:r w:rsidRPr="009D0467">
        <w:rPr>
          <w:lang w:val="en-AU"/>
        </w:rPr>
        <w:t>he production of Gallvectra protects health globally. This meets the purpose of ‘public health’ under the ICCPR,</w:t>
      </w:r>
      <w:r w:rsidRPr="009D0467">
        <w:rPr>
          <w:rStyle w:val="FootnoteReference"/>
          <w:lang w:val="en-AU"/>
        </w:rPr>
        <w:footnoteReference w:id="165"/>
      </w:r>
      <w:r w:rsidRPr="009D0467">
        <w:rPr>
          <w:lang w:val="en-AU"/>
        </w:rPr>
        <w:t xml:space="preserve"> and promoting the “general welfare” under </w:t>
      </w:r>
      <w:r>
        <w:rPr>
          <w:lang w:val="en-AU"/>
        </w:rPr>
        <w:t xml:space="preserve">the </w:t>
      </w:r>
      <w:r w:rsidRPr="009D0467">
        <w:rPr>
          <w:lang w:val="en-AU"/>
        </w:rPr>
        <w:t>ICESCR.</w:t>
      </w:r>
      <w:r w:rsidRPr="009D0467">
        <w:rPr>
          <w:rStyle w:val="FootnoteReference"/>
          <w:lang w:val="en-AU"/>
        </w:rPr>
        <w:footnoteReference w:id="166"/>
      </w:r>
      <w:r w:rsidRPr="009D0467">
        <w:rPr>
          <w:lang w:val="en-AU"/>
        </w:rPr>
        <w:t xml:space="preserve"> The final requirement is that the limitation is necessary and proportionate.</w:t>
      </w:r>
      <w:r w:rsidRPr="009D0467">
        <w:rPr>
          <w:rStyle w:val="FootnoteReference"/>
          <w:lang w:val="en-AU"/>
        </w:rPr>
        <w:footnoteReference w:id="167"/>
      </w:r>
      <w:r w:rsidRPr="009D0467">
        <w:rPr>
          <w:lang w:val="en-AU"/>
        </w:rPr>
        <w:t xml:space="preserve"> The largescale risk to the health of the public means that </w:t>
      </w:r>
      <w:proofErr w:type="spellStart"/>
      <w:r w:rsidRPr="009D0467">
        <w:rPr>
          <w:lang w:val="en-AU"/>
        </w:rPr>
        <w:t>Rakkab’s</w:t>
      </w:r>
      <w:proofErr w:type="spellEnd"/>
      <w:r w:rsidRPr="009D0467">
        <w:rPr>
          <w:lang w:val="en-AU"/>
        </w:rPr>
        <w:t xml:space="preserve"> hunting laws </w:t>
      </w:r>
      <w:r>
        <w:rPr>
          <w:lang w:val="en-AU"/>
        </w:rPr>
        <w:t xml:space="preserve">meet </w:t>
      </w:r>
      <w:r w:rsidR="00C200E8">
        <w:rPr>
          <w:lang w:val="en-AU"/>
        </w:rPr>
        <w:t>this criterion</w:t>
      </w:r>
      <w:r w:rsidRPr="009D0467">
        <w:rPr>
          <w:lang w:val="en-AU"/>
        </w:rPr>
        <w:t>.</w:t>
      </w:r>
      <w:r w:rsidRPr="009D0467">
        <w:rPr>
          <w:rStyle w:val="FootnoteReference"/>
          <w:lang w:val="en-AU"/>
        </w:rPr>
        <w:footnoteReference w:id="168"/>
      </w:r>
    </w:p>
    <w:p w14:paraId="70A4BB4B" w14:textId="14473B59" w:rsidR="00EC5B59" w:rsidRDefault="00EC5B59" w:rsidP="00EC5B59">
      <w:pPr>
        <w:pStyle w:val="Heading4"/>
        <w:rPr>
          <w:lang w:val="en-AU"/>
        </w:rPr>
      </w:pPr>
      <w:bookmarkStart w:id="192" w:name="_Toc534995800"/>
      <w:bookmarkStart w:id="193" w:name="_Toc535037202"/>
      <w:r>
        <w:rPr>
          <w:lang w:val="en-AU"/>
        </w:rPr>
        <w:t>There has been no breach of the cultural aspect of self-determination</w:t>
      </w:r>
      <w:bookmarkEnd w:id="192"/>
      <w:bookmarkEnd w:id="193"/>
    </w:p>
    <w:p w14:paraId="7AB212E5" w14:textId="3A48BE30" w:rsidR="00EC5B59" w:rsidRDefault="00EC5B59" w:rsidP="00EC5B59">
      <w:pPr>
        <w:rPr>
          <w:lang w:val="en-AU"/>
        </w:rPr>
      </w:pPr>
      <w:r w:rsidRPr="009871A4">
        <w:rPr>
          <w:lang w:val="en-AU"/>
        </w:rPr>
        <w:lastRenderedPageBreak/>
        <w:t>Finally, while the Aurokan people’s right to self-determination includes the right to freely pursue cultural development,</w:t>
      </w:r>
      <w:r w:rsidRPr="009871A4">
        <w:rPr>
          <w:rStyle w:val="FootnoteReference"/>
          <w:lang w:val="en-AU"/>
        </w:rPr>
        <w:footnoteReference w:id="169"/>
      </w:r>
      <w:r w:rsidRPr="009871A4">
        <w:rPr>
          <w:lang w:val="en-AU"/>
        </w:rPr>
        <w:t xml:space="preserve"> this only means </w:t>
      </w:r>
      <w:r>
        <w:rPr>
          <w:lang w:val="en-AU"/>
        </w:rPr>
        <w:t xml:space="preserve">that they must be </w:t>
      </w:r>
      <w:r w:rsidRPr="009871A4">
        <w:rPr>
          <w:lang w:val="en-AU"/>
        </w:rPr>
        <w:t xml:space="preserve">free from </w:t>
      </w:r>
      <w:r>
        <w:rPr>
          <w:lang w:val="en-AU"/>
        </w:rPr>
        <w:t xml:space="preserve">direct </w:t>
      </w:r>
      <w:r w:rsidRPr="009871A4">
        <w:rPr>
          <w:lang w:val="en-AU"/>
        </w:rPr>
        <w:t>external or domestic interference.</w:t>
      </w:r>
      <w:r w:rsidRPr="009871A4">
        <w:rPr>
          <w:rStyle w:val="FootnoteReference"/>
          <w:lang w:val="en-AU"/>
        </w:rPr>
        <w:footnoteReference w:id="170"/>
      </w:r>
      <w:r w:rsidRPr="009871A4">
        <w:rPr>
          <w:lang w:val="en-AU"/>
        </w:rPr>
        <w:t xml:space="preserve"> </w:t>
      </w:r>
      <w:r>
        <w:rPr>
          <w:lang w:val="en-AU"/>
        </w:rPr>
        <w:t>As discussed above, Rakkab has not directly restricted the Aurokan people’s ability to make decisions regarding their culture,</w:t>
      </w:r>
      <w:r>
        <w:rPr>
          <w:rStyle w:val="FootnoteReference"/>
          <w:lang w:val="en-AU"/>
        </w:rPr>
        <w:footnoteReference w:id="171"/>
      </w:r>
      <w:r>
        <w:rPr>
          <w:lang w:val="en-AU"/>
        </w:rPr>
        <w:t xml:space="preserve"> or made the hunting of the Yak impossible. </w:t>
      </w:r>
    </w:p>
    <w:p w14:paraId="1C8BD5B4" w14:textId="32CCA935" w:rsidR="00EC5B59" w:rsidRPr="00E34747" w:rsidRDefault="00EC5B59" w:rsidP="00EC5B59">
      <w:pPr>
        <w:pStyle w:val="Heading3"/>
        <w:rPr>
          <w:lang w:val="en-AU"/>
        </w:rPr>
      </w:pPr>
      <w:bookmarkStart w:id="194" w:name="_Toc534995801"/>
      <w:bookmarkStart w:id="195" w:name="_Toc535037203"/>
      <w:r w:rsidRPr="00E34747">
        <w:rPr>
          <w:lang w:val="en-AU"/>
        </w:rPr>
        <w:t xml:space="preserve">There </w:t>
      </w:r>
      <w:r>
        <w:rPr>
          <w:lang w:val="en-AU"/>
        </w:rPr>
        <w:t>are</w:t>
      </w:r>
      <w:r w:rsidRPr="00E34747">
        <w:rPr>
          <w:lang w:val="en-AU"/>
        </w:rPr>
        <w:t xml:space="preserve"> no additional obligations </w:t>
      </w:r>
      <w:r w:rsidR="009E64F2">
        <w:rPr>
          <w:lang w:val="en-AU"/>
        </w:rPr>
        <w:t xml:space="preserve">in respect to cultural or religious rights </w:t>
      </w:r>
      <w:r w:rsidRPr="00E34747">
        <w:rPr>
          <w:lang w:val="en-AU"/>
        </w:rPr>
        <w:t xml:space="preserve">because </w:t>
      </w:r>
      <w:r>
        <w:rPr>
          <w:lang w:val="en-AU"/>
        </w:rPr>
        <w:t xml:space="preserve">of the </w:t>
      </w:r>
      <w:r w:rsidR="00A553EE">
        <w:rPr>
          <w:lang w:val="en-AU"/>
        </w:rPr>
        <w:t>Aurokan</w:t>
      </w:r>
      <w:r>
        <w:rPr>
          <w:lang w:val="en-AU"/>
        </w:rPr>
        <w:t xml:space="preserve"> population</w:t>
      </w:r>
      <w:r w:rsidR="00FC4901">
        <w:rPr>
          <w:lang w:val="en-AU"/>
        </w:rPr>
        <w:t>’</w:t>
      </w:r>
      <w:r>
        <w:rPr>
          <w:lang w:val="en-AU"/>
        </w:rPr>
        <w:t>s connection with the Yak</w:t>
      </w:r>
      <w:bookmarkEnd w:id="194"/>
      <w:bookmarkEnd w:id="195"/>
    </w:p>
    <w:p w14:paraId="3B920D44" w14:textId="44E6BAE9" w:rsidR="00EC5B59" w:rsidRPr="009D0467" w:rsidRDefault="00EC5B59" w:rsidP="00EC5B59">
      <w:pPr>
        <w:rPr>
          <w:lang w:val="en-AU"/>
        </w:rPr>
      </w:pPr>
      <w:r w:rsidRPr="009D0467">
        <w:rPr>
          <w:lang w:val="en-AU"/>
        </w:rPr>
        <w:t xml:space="preserve">The people of Aurok (1) should not be considered indigenous under international law. Regardless, (2) </w:t>
      </w:r>
      <w:r>
        <w:rPr>
          <w:lang w:val="en-AU"/>
        </w:rPr>
        <w:t xml:space="preserve">Rakkab owes no additional obligation to protect indigenous culture or religion. </w:t>
      </w:r>
      <w:r w:rsidRPr="009D0467">
        <w:rPr>
          <w:lang w:val="en-AU"/>
        </w:rPr>
        <w:t xml:space="preserve">Alternatively, (3) </w:t>
      </w:r>
      <w:r w:rsidRPr="00C200E8">
        <w:rPr>
          <w:lang w:val="en-AU"/>
        </w:rPr>
        <w:t xml:space="preserve">any </w:t>
      </w:r>
      <w:r w:rsidR="00ED11D3">
        <w:rPr>
          <w:lang w:val="en-AU"/>
        </w:rPr>
        <w:t>further protection only amounted to a right to be consulted, which Rakkab satisfied.</w:t>
      </w:r>
      <w:r w:rsidRPr="009D0467">
        <w:rPr>
          <w:lang w:val="en-AU"/>
        </w:rPr>
        <w:t xml:space="preserve"> </w:t>
      </w:r>
    </w:p>
    <w:p w14:paraId="6D13D05A" w14:textId="77777777" w:rsidR="00EC5B59" w:rsidRPr="00F62191" w:rsidRDefault="00EC5B59" w:rsidP="00A553EE">
      <w:pPr>
        <w:pStyle w:val="Heading4"/>
        <w:keepNext/>
        <w:numPr>
          <w:ilvl w:val="0"/>
          <w:numId w:val="27"/>
        </w:numPr>
        <w:rPr>
          <w:lang w:val="en-AU"/>
        </w:rPr>
      </w:pPr>
      <w:bookmarkStart w:id="196" w:name="_Toc534995802"/>
      <w:bookmarkStart w:id="197" w:name="_Toc535037204"/>
      <w:r w:rsidRPr="00F62191">
        <w:rPr>
          <w:lang w:val="en-AU"/>
        </w:rPr>
        <w:t>The people of Aurok should not be considered indigenous people under international law</w:t>
      </w:r>
      <w:bookmarkEnd w:id="196"/>
      <w:bookmarkEnd w:id="197"/>
    </w:p>
    <w:p w14:paraId="2C2D070E" w14:textId="73C25211" w:rsidR="00EC5B59" w:rsidRPr="009D0467" w:rsidRDefault="00EC5B59" w:rsidP="00EC5B59">
      <w:pPr>
        <w:rPr>
          <w:lang w:val="en-AU"/>
        </w:rPr>
      </w:pPr>
      <w:r w:rsidRPr="009D0467">
        <w:rPr>
          <w:lang w:val="en-AU"/>
        </w:rPr>
        <w:t xml:space="preserve">There is no </w:t>
      </w:r>
      <w:r>
        <w:rPr>
          <w:lang w:val="en-AU"/>
        </w:rPr>
        <w:t>single</w:t>
      </w:r>
      <w:r w:rsidRPr="009D0467">
        <w:rPr>
          <w:lang w:val="en-AU"/>
        </w:rPr>
        <w:t xml:space="preserve"> definition of indigenous peoples</w:t>
      </w:r>
      <w:r>
        <w:rPr>
          <w:lang w:val="en-AU"/>
        </w:rPr>
        <w:t xml:space="preserve"> at international law</w:t>
      </w:r>
      <w:r w:rsidRPr="009D0467">
        <w:rPr>
          <w:lang w:val="en-AU"/>
        </w:rPr>
        <w:t>.</w:t>
      </w:r>
      <w:r w:rsidRPr="009D0467">
        <w:rPr>
          <w:rStyle w:val="FootnoteReference"/>
          <w:lang w:val="en-AU"/>
        </w:rPr>
        <w:footnoteReference w:id="172"/>
      </w:r>
      <w:r w:rsidRPr="009D0467">
        <w:rPr>
          <w:lang w:val="en-AU"/>
        </w:rPr>
        <w:t xml:space="preserve"> However, proposed definitions consistently include an experience of non-dominance,</w:t>
      </w:r>
      <w:r w:rsidRPr="009D0467">
        <w:rPr>
          <w:rStyle w:val="FootnoteReference"/>
          <w:lang w:val="en-AU"/>
        </w:rPr>
        <w:footnoteReference w:id="173"/>
      </w:r>
      <w:r w:rsidRPr="009D0467">
        <w:rPr>
          <w:lang w:val="en-AU"/>
        </w:rPr>
        <w:t xml:space="preserve"> or marginalisation and discrimination.</w:t>
      </w:r>
      <w:r w:rsidRPr="009D0467">
        <w:rPr>
          <w:rStyle w:val="FootnoteReference"/>
          <w:lang w:val="en-AU"/>
        </w:rPr>
        <w:footnoteReference w:id="174"/>
      </w:r>
      <w:r w:rsidRPr="009D0467">
        <w:rPr>
          <w:lang w:val="en-AU"/>
        </w:rPr>
        <w:t xml:space="preserve"> The Aurokan people lack this vulnerability. The culture and </w:t>
      </w:r>
      <w:r>
        <w:rPr>
          <w:lang w:val="en-AU"/>
        </w:rPr>
        <w:t>descendants</w:t>
      </w:r>
      <w:r w:rsidRPr="009D0467">
        <w:rPr>
          <w:lang w:val="en-AU"/>
        </w:rPr>
        <w:t xml:space="preserve"> of the </w:t>
      </w:r>
      <w:proofErr w:type="spellStart"/>
      <w:r w:rsidRPr="009D0467">
        <w:rPr>
          <w:lang w:val="en-AU"/>
        </w:rPr>
        <w:t>Pivzao</w:t>
      </w:r>
      <w:proofErr w:type="spellEnd"/>
      <w:r w:rsidRPr="009D0467">
        <w:rPr>
          <w:lang w:val="en-AU"/>
        </w:rPr>
        <w:t xml:space="preserve"> civilisation </w:t>
      </w:r>
      <w:r>
        <w:rPr>
          <w:lang w:val="en-AU"/>
        </w:rPr>
        <w:t>are</w:t>
      </w:r>
      <w:r w:rsidRPr="009D0467">
        <w:rPr>
          <w:lang w:val="en-AU"/>
        </w:rPr>
        <w:t xml:space="preserve"> still dominant in Aurok.</w:t>
      </w:r>
      <w:r w:rsidRPr="009D0467">
        <w:rPr>
          <w:rStyle w:val="FootnoteReference"/>
          <w:lang w:val="en-AU"/>
        </w:rPr>
        <w:footnoteReference w:id="175"/>
      </w:r>
      <w:r w:rsidRPr="009D0467">
        <w:rPr>
          <w:lang w:val="en-AU"/>
        </w:rPr>
        <w:t xml:space="preserve"> There is no history of subjugation as there was minimal interference </w:t>
      </w:r>
      <w:r w:rsidRPr="00ED11D3">
        <w:rPr>
          <w:lang w:val="en-AU"/>
        </w:rPr>
        <w:t xml:space="preserve">by </w:t>
      </w:r>
      <w:bookmarkStart w:id="198" w:name="OLE_LINK1"/>
      <w:bookmarkStart w:id="199" w:name="OLE_LINK2"/>
      <w:proofErr w:type="spellStart"/>
      <w:r w:rsidRPr="00ED11D3">
        <w:rPr>
          <w:lang w:val="en-AU"/>
        </w:rPr>
        <w:t>Jerami</w:t>
      </w:r>
      <w:proofErr w:type="spellEnd"/>
      <w:r w:rsidRPr="009D0467">
        <w:rPr>
          <w:lang w:val="en-AU"/>
        </w:rPr>
        <w:t xml:space="preserve"> </w:t>
      </w:r>
      <w:bookmarkEnd w:id="198"/>
      <w:bookmarkEnd w:id="199"/>
      <w:r w:rsidRPr="009D0467">
        <w:rPr>
          <w:lang w:val="en-AU"/>
        </w:rPr>
        <w:t>colonisers,</w:t>
      </w:r>
      <w:r w:rsidRPr="009D0467">
        <w:rPr>
          <w:rStyle w:val="FootnoteReference"/>
          <w:lang w:val="en-AU"/>
        </w:rPr>
        <w:footnoteReference w:id="176"/>
      </w:r>
      <w:r w:rsidRPr="009D0467">
        <w:rPr>
          <w:lang w:val="en-AU"/>
        </w:rPr>
        <w:t xml:space="preserve"> and the current government clearly represents the population</w:t>
      </w:r>
      <w:r>
        <w:rPr>
          <w:lang w:val="en-AU"/>
        </w:rPr>
        <w:t>’</w:t>
      </w:r>
      <w:r w:rsidRPr="009D0467">
        <w:rPr>
          <w:lang w:val="en-AU"/>
        </w:rPr>
        <w:t>s cultural interests.</w:t>
      </w:r>
      <w:r w:rsidRPr="009D0467">
        <w:rPr>
          <w:rStyle w:val="FootnoteReference"/>
          <w:lang w:val="en-AU"/>
        </w:rPr>
        <w:footnoteReference w:id="177"/>
      </w:r>
      <w:r w:rsidRPr="009D0467">
        <w:rPr>
          <w:lang w:val="en-AU"/>
        </w:rPr>
        <w:t xml:space="preserve"> The policy reasons for giving specific protection for </w:t>
      </w:r>
      <w:r w:rsidR="00A553EE">
        <w:rPr>
          <w:lang w:val="en-AU"/>
        </w:rPr>
        <w:t>“</w:t>
      </w:r>
      <w:r w:rsidRPr="009D0467">
        <w:rPr>
          <w:lang w:val="en-AU"/>
        </w:rPr>
        <w:t>indigenous populations</w:t>
      </w:r>
      <w:r w:rsidR="00A553EE">
        <w:rPr>
          <w:lang w:val="en-AU"/>
        </w:rPr>
        <w:t>”</w:t>
      </w:r>
      <w:r w:rsidRPr="009D0467">
        <w:rPr>
          <w:lang w:val="en-AU"/>
        </w:rPr>
        <w:t xml:space="preserve"> do not exist for the people of Aurok, and they should not receive additional </w:t>
      </w:r>
      <w:r w:rsidR="009E64F2">
        <w:rPr>
          <w:lang w:val="en-AU"/>
        </w:rPr>
        <w:t xml:space="preserve">human </w:t>
      </w:r>
      <w:r w:rsidRPr="009D0467">
        <w:rPr>
          <w:lang w:val="en-AU"/>
        </w:rPr>
        <w:t xml:space="preserve">rights protection.  </w:t>
      </w:r>
    </w:p>
    <w:p w14:paraId="56746F63" w14:textId="77777777" w:rsidR="00EC5B59" w:rsidRPr="009D0467" w:rsidRDefault="00EC5B59" w:rsidP="00EC5B59">
      <w:pPr>
        <w:pStyle w:val="Heading4"/>
        <w:rPr>
          <w:lang w:val="en-AU"/>
        </w:rPr>
      </w:pPr>
      <w:bookmarkStart w:id="200" w:name="_Toc534995803"/>
      <w:bookmarkStart w:id="201" w:name="_Toc535037205"/>
      <w:r w:rsidRPr="009D0467">
        <w:rPr>
          <w:lang w:val="en-AU"/>
        </w:rPr>
        <w:t>There is no obligation to protect indigenous culture and religion above the standard already discussed</w:t>
      </w:r>
      <w:bookmarkEnd w:id="200"/>
      <w:bookmarkEnd w:id="201"/>
    </w:p>
    <w:p w14:paraId="4BE217DC" w14:textId="44B3B269" w:rsidR="00EC5B59" w:rsidRPr="009D0467" w:rsidRDefault="00EC5B59" w:rsidP="00EC5B59">
      <w:pPr>
        <w:rPr>
          <w:lang w:val="en-AU"/>
        </w:rPr>
      </w:pPr>
      <w:r w:rsidRPr="009D0467">
        <w:rPr>
          <w:lang w:val="en-AU"/>
        </w:rPr>
        <w:lastRenderedPageBreak/>
        <w:t xml:space="preserve">ILO Convention </w:t>
      </w:r>
      <w:r>
        <w:rPr>
          <w:lang w:val="en-AU"/>
        </w:rPr>
        <w:t xml:space="preserve">No. </w:t>
      </w:r>
      <w:r w:rsidRPr="009D0467">
        <w:rPr>
          <w:lang w:val="en-AU"/>
        </w:rPr>
        <w:t>169</w:t>
      </w:r>
      <w:r>
        <w:rPr>
          <w:lang w:val="en-AU"/>
        </w:rPr>
        <w:t xml:space="preserve"> </w:t>
      </w:r>
      <w:r w:rsidRPr="009D0467">
        <w:rPr>
          <w:lang w:val="en-AU"/>
        </w:rPr>
        <w:t>does not include special protection for indigenous cultural or religious rights.</w:t>
      </w:r>
      <w:r>
        <w:rPr>
          <w:rStyle w:val="FootnoteReference"/>
          <w:lang w:val="en-AU"/>
        </w:rPr>
        <w:footnoteReference w:id="178"/>
      </w:r>
      <w:r>
        <w:rPr>
          <w:lang w:val="en-AU"/>
        </w:rPr>
        <w:t xml:space="preserve"> While A</w:t>
      </w:r>
      <w:r w:rsidRPr="009D0467">
        <w:rPr>
          <w:lang w:val="en-AU"/>
        </w:rPr>
        <w:t xml:space="preserve">rticle 15 protects the right to natural resources such as the Yak, the </w:t>
      </w:r>
      <w:r>
        <w:rPr>
          <w:lang w:val="en-AU"/>
        </w:rPr>
        <w:t xml:space="preserve">Convention’s </w:t>
      </w:r>
      <w:r w:rsidRPr="009D0467">
        <w:rPr>
          <w:lang w:val="en-AU"/>
        </w:rPr>
        <w:t xml:space="preserve">land rights are </w:t>
      </w:r>
      <w:r>
        <w:rPr>
          <w:lang w:val="en-AU"/>
        </w:rPr>
        <w:t>intended</w:t>
      </w:r>
      <w:r w:rsidRPr="009D0467">
        <w:rPr>
          <w:lang w:val="en-AU"/>
        </w:rPr>
        <w:t xml:space="preserve"> </w:t>
      </w:r>
      <w:r>
        <w:rPr>
          <w:lang w:val="en-AU"/>
        </w:rPr>
        <w:t>as</w:t>
      </w:r>
      <w:r w:rsidRPr="009D0467">
        <w:rPr>
          <w:lang w:val="en-AU"/>
        </w:rPr>
        <w:t xml:space="preserve"> practical possessory and use rights.</w:t>
      </w:r>
      <w:r w:rsidRPr="009D0467">
        <w:rPr>
          <w:rStyle w:val="FootnoteReference"/>
          <w:lang w:val="en-AU"/>
        </w:rPr>
        <w:footnoteReference w:id="179"/>
      </w:r>
      <w:r w:rsidRPr="009D0467">
        <w:rPr>
          <w:lang w:val="en-AU"/>
        </w:rPr>
        <w:t xml:space="preserve"> These provisions are used for situations of</w:t>
      </w:r>
      <w:r>
        <w:rPr>
          <w:lang w:val="en-AU"/>
        </w:rPr>
        <w:t xml:space="preserve"> direct interference or</w:t>
      </w:r>
      <w:r w:rsidRPr="009D0467">
        <w:rPr>
          <w:lang w:val="en-AU"/>
        </w:rPr>
        <w:t xml:space="preserve"> misappropriation</w:t>
      </w:r>
      <w:r>
        <w:rPr>
          <w:lang w:val="en-AU"/>
        </w:rPr>
        <w:t xml:space="preserve"> of traditional </w:t>
      </w:r>
      <w:r w:rsidRPr="009D0467">
        <w:rPr>
          <w:lang w:val="en-AU"/>
        </w:rPr>
        <w:t>land</w:t>
      </w:r>
      <w:r>
        <w:rPr>
          <w:lang w:val="en-AU"/>
        </w:rPr>
        <w:t>s</w:t>
      </w:r>
      <w:r w:rsidRPr="009D0467">
        <w:rPr>
          <w:lang w:val="en-AU"/>
        </w:rPr>
        <w:t>.</w:t>
      </w:r>
      <w:r w:rsidRPr="009D0467">
        <w:rPr>
          <w:rStyle w:val="FootnoteReference"/>
          <w:lang w:val="en-AU"/>
        </w:rPr>
        <w:footnoteReference w:id="180"/>
      </w:r>
      <w:r w:rsidRPr="009D0467">
        <w:rPr>
          <w:lang w:val="en-AU"/>
        </w:rPr>
        <w:t xml:space="preserve"> </w:t>
      </w:r>
      <w:r>
        <w:rPr>
          <w:lang w:val="en-AU"/>
        </w:rPr>
        <w:t>Similarly, customary international law has only extended to protecting indigenous land rights.</w:t>
      </w:r>
      <w:r w:rsidRPr="009D0467">
        <w:rPr>
          <w:rStyle w:val="FootnoteReference"/>
          <w:lang w:val="en-AU"/>
        </w:rPr>
        <w:footnoteReference w:id="181"/>
      </w:r>
      <w:r>
        <w:rPr>
          <w:lang w:val="en-AU"/>
        </w:rPr>
        <w:t xml:space="preserve"> These land rights are not</w:t>
      </w:r>
      <w:r w:rsidRPr="009D0467">
        <w:rPr>
          <w:lang w:val="en-AU"/>
        </w:rPr>
        <w:t xml:space="preserve"> consistent with the content of </w:t>
      </w:r>
      <w:r w:rsidR="000F1CC7">
        <w:rPr>
          <w:lang w:val="en-AU"/>
        </w:rPr>
        <w:t>Question</w:t>
      </w:r>
      <w:r w:rsidRPr="009D0467">
        <w:rPr>
          <w:lang w:val="en-AU"/>
        </w:rPr>
        <w:t xml:space="preserve"> </w:t>
      </w:r>
      <w:r w:rsidR="006D1E49">
        <w:rPr>
          <w:lang w:val="en-AU"/>
        </w:rPr>
        <w:t>III</w:t>
      </w:r>
      <w:r w:rsidRPr="009D0467">
        <w:rPr>
          <w:lang w:val="en-AU"/>
        </w:rPr>
        <w:t xml:space="preserve">. The complaints by both the Aurokan public and government have been that </w:t>
      </w:r>
      <w:r>
        <w:rPr>
          <w:lang w:val="en-AU"/>
        </w:rPr>
        <w:t xml:space="preserve">the </w:t>
      </w:r>
      <w:r w:rsidRPr="009D0467">
        <w:rPr>
          <w:lang w:val="en-AU"/>
        </w:rPr>
        <w:t xml:space="preserve">hunting is </w:t>
      </w:r>
      <w:r>
        <w:rPr>
          <w:lang w:val="en-AU"/>
        </w:rPr>
        <w:t>harming</w:t>
      </w:r>
      <w:r w:rsidRPr="009D0467">
        <w:rPr>
          <w:lang w:val="en-AU"/>
        </w:rPr>
        <w:t xml:space="preserve"> Aurokan culture, with no argument this is interfering with a </w:t>
      </w:r>
      <w:r>
        <w:rPr>
          <w:lang w:val="en-AU"/>
        </w:rPr>
        <w:t>resource</w:t>
      </w:r>
      <w:r w:rsidRPr="009D0467">
        <w:rPr>
          <w:lang w:val="en-AU"/>
        </w:rPr>
        <w:t xml:space="preserve"> use right.</w:t>
      </w:r>
      <w:r w:rsidRPr="009D0467">
        <w:rPr>
          <w:rStyle w:val="FootnoteReference"/>
          <w:lang w:val="en-AU"/>
        </w:rPr>
        <w:footnoteReference w:id="182"/>
      </w:r>
      <w:r w:rsidRPr="009D0467">
        <w:rPr>
          <w:lang w:val="en-AU"/>
        </w:rPr>
        <w:t xml:space="preserve"> </w:t>
      </w:r>
    </w:p>
    <w:p w14:paraId="3BBA262B" w14:textId="6CCB5169" w:rsidR="00EC5B59" w:rsidRPr="009D0467" w:rsidRDefault="00EC5B59" w:rsidP="00EC5B59">
      <w:pPr>
        <w:pStyle w:val="Heading4"/>
        <w:rPr>
          <w:lang w:val="en-AU"/>
        </w:rPr>
      </w:pPr>
      <w:bookmarkStart w:id="202" w:name="_Toc534995804"/>
      <w:bookmarkStart w:id="203" w:name="_Toc535037206"/>
      <w:r w:rsidRPr="009D0467">
        <w:rPr>
          <w:lang w:val="en-AU"/>
        </w:rPr>
        <w:t>If indigenous right</w:t>
      </w:r>
      <w:r>
        <w:rPr>
          <w:lang w:val="en-AU"/>
        </w:rPr>
        <w:t>s</w:t>
      </w:r>
      <w:r w:rsidRPr="009D0467">
        <w:rPr>
          <w:lang w:val="en-AU"/>
        </w:rPr>
        <w:t xml:space="preserve"> to natural resources </w:t>
      </w:r>
      <w:r w:rsidR="008B0DE5">
        <w:rPr>
          <w:lang w:val="en-AU"/>
        </w:rPr>
        <w:t>are</w:t>
      </w:r>
      <w:r w:rsidRPr="009D0467">
        <w:rPr>
          <w:lang w:val="en-AU"/>
        </w:rPr>
        <w:t xml:space="preserve"> applicable, </w:t>
      </w:r>
      <w:r w:rsidR="009F51BA">
        <w:rPr>
          <w:lang w:val="en-AU"/>
        </w:rPr>
        <w:t>they</w:t>
      </w:r>
      <w:r w:rsidRPr="009D0467">
        <w:rPr>
          <w:lang w:val="en-AU"/>
        </w:rPr>
        <w:t xml:space="preserve"> only amount to </w:t>
      </w:r>
      <w:r w:rsidR="00617F54">
        <w:rPr>
          <w:lang w:val="en-AU"/>
        </w:rPr>
        <w:t xml:space="preserve">a </w:t>
      </w:r>
      <w:r w:rsidRPr="009D0467">
        <w:rPr>
          <w:lang w:val="en-AU"/>
        </w:rPr>
        <w:t>right to be consulted</w:t>
      </w:r>
      <w:bookmarkEnd w:id="202"/>
      <w:bookmarkEnd w:id="203"/>
    </w:p>
    <w:p w14:paraId="6F5711E4" w14:textId="4C2DA2C4" w:rsidR="00EC5B59" w:rsidRPr="009D0467" w:rsidRDefault="00EC5B59" w:rsidP="00EC5B59">
      <w:pPr>
        <w:rPr>
          <w:lang w:val="en-AU"/>
        </w:rPr>
      </w:pPr>
      <w:r>
        <w:rPr>
          <w:lang w:val="en-AU"/>
        </w:rPr>
        <w:t xml:space="preserve">The Aurokan people do not have exclusive use of the Yak as Rakkab also </w:t>
      </w:r>
      <w:r w:rsidRPr="009D0467">
        <w:rPr>
          <w:lang w:val="en-AU"/>
        </w:rPr>
        <w:t>retains</w:t>
      </w:r>
      <w:r>
        <w:rPr>
          <w:lang w:val="en-AU"/>
        </w:rPr>
        <w:t xml:space="preserve"> sovereign</w:t>
      </w:r>
      <w:r w:rsidRPr="009D0467">
        <w:rPr>
          <w:lang w:val="en-AU"/>
        </w:rPr>
        <w:t xml:space="preserve"> rights to the Yak</w:t>
      </w:r>
      <w:r>
        <w:rPr>
          <w:lang w:val="en-AU"/>
        </w:rPr>
        <w:t>.</w:t>
      </w:r>
      <w:r w:rsidRPr="009D0467">
        <w:rPr>
          <w:rStyle w:val="FootnoteReference"/>
          <w:lang w:val="en-AU"/>
        </w:rPr>
        <w:footnoteReference w:id="183"/>
      </w:r>
      <w:r w:rsidRPr="009D0467">
        <w:rPr>
          <w:lang w:val="en-AU"/>
        </w:rPr>
        <w:t xml:space="preserve"> </w:t>
      </w:r>
      <w:r>
        <w:rPr>
          <w:lang w:val="en-AU"/>
        </w:rPr>
        <w:t xml:space="preserve">Therefore, </w:t>
      </w:r>
      <w:r w:rsidRPr="009D0467">
        <w:rPr>
          <w:lang w:val="en-AU"/>
        </w:rPr>
        <w:t xml:space="preserve">ILO Convention </w:t>
      </w:r>
      <w:r>
        <w:rPr>
          <w:lang w:val="en-AU"/>
        </w:rPr>
        <w:t xml:space="preserve">No. </w:t>
      </w:r>
      <w:r w:rsidRPr="009D0467">
        <w:rPr>
          <w:lang w:val="en-AU"/>
        </w:rPr>
        <w:t xml:space="preserve">169 only requires Rakkab to consult indigenous peoples affected by </w:t>
      </w:r>
      <w:r w:rsidR="004030A5">
        <w:rPr>
          <w:lang w:val="en-AU"/>
        </w:rPr>
        <w:t>its</w:t>
      </w:r>
      <w:r w:rsidRPr="009D0467">
        <w:rPr>
          <w:lang w:val="en-AU"/>
        </w:rPr>
        <w:t xml:space="preserve"> activities.</w:t>
      </w:r>
      <w:r w:rsidRPr="009D0467">
        <w:rPr>
          <w:rStyle w:val="FootnoteReference"/>
          <w:lang w:val="en-AU"/>
        </w:rPr>
        <w:footnoteReference w:id="184"/>
      </w:r>
      <w:r w:rsidRPr="009D0467">
        <w:rPr>
          <w:lang w:val="en-AU"/>
        </w:rPr>
        <w:t xml:space="preserve"> While consultation must be in good faith,</w:t>
      </w:r>
      <w:r w:rsidRPr="009D0467">
        <w:rPr>
          <w:rStyle w:val="FootnoteReference"/>
          <w:lang w:val="en-AU"/>
        </w:rPr>
        <w:footnoteReference w:id="185"/>
      </w:r>
      <w:r w:rsidRPr="009D0467">
        <w:rPr>
          <w:lang w:val="en-AU"/>
        </w:rPr>
        <w:t xml:space="preserve"> </w:t>
      </w:r>
      <w:r>
        <w:rPr>
          <w:lang w:val="en-AU"/>
        </w:rPr>
        <w:t>the method of consultation can be</w:t>
      </w:r>
      <w:r w:rsidRPr="009D0467">
        <w:rPr>
          <w:lang w:val="en-AU"/>
        </w:rPr>
        <w:t xml:space="preserve"> flexibly</w:t>
      </w:r>
      <w:r>
        <w:rPr>
          <w:lang w:val="en-AU"/>
        </w:rPr>
        <w:t xml:space="preserve"> applied</w:t>
      </w:r>
      <w:r w:rsidRPr="009D0467">
        <w:rPr>
          <w:lang w:val="en-AU"/>
        </w:rPr>
        <w:t>.</w:t>
      </w:r>
      <w:r w:rsidRPr="009D0467">
        <w:rPr>
          <w:rStyle w:val="FootnoteReference"/>
          <w:lang w:val="en-AU"/>
        </w:rPr>
        <w:footnoteReference w:id="186"/>
      </w:r>
      <w:r w:rsidRPr="009D0467">
        <w:rPr>
          <w:lang w:val="en-AU"/>
        </w:rPr>
        <w:t xml:space="preserve"> Given </w:t>
      </w:r>
      <w:r w:rsidR="00ED11D3">
        <w:rPr>
          <w:lang w:val="en-AU"/>
        </w:rPr>
        <w:t xml:space="preserve">that </w:t>
      </w:r>
      <w:r w:rsidRPr="009D0467">
        <w:rPr>
          <w:lang w:val="en-AU"/>
        </w:rPr>
        <w:t xml:space="preserve">nearly all </w:t>
      </w:r>
      <w:proofErr w:type="spellStart"/>
      <w:r w:rsidRPr="009D0467">
        <w:rPr>
          <w:lang w:val="en-AU"/>
        </w:rPr>
        <w:t>Aurokans</w:t>
      </w:r>
      <w:proofErr w:type="spellEnd"/>
      <w:r w:rsidRPr="009D0467">
        <w:rPr>
          <w:lang w:val="en-AU"/>
        </w:rPr>
        <w:t xml:space="preserve"> identify as indigenous,</w:t>
      </w:r>
      <w:r w:rsidRPr="009D0467">
        <w:rPr>
          <w:rStyle w:val="FootnoteReference"/>
          <w:lang w:val="en-AU"/>
        </w:rPr>
        <w:footnoteReference w:id="187"/>
      </w:r>
      <w:r w:rsidRPr="009D0467">
        <w:rPr>
          <w:lang w:val="en-AU"/>
        </w:rPr>
        <w:t xml:space="preserve"> the government of Aurok accurately represents </w:t>
      </w:r>
      <w:r w:rsidR="007D0F7E">
        <w:rPr>
          <w:lang w:val="en-AU"/>
        </w:rPr>
        <w:t>their</w:t>
      </w:r>
      <w:r w:rsidRPr="009D0467">
        <w:rPr>
          <w:lang w:val="en-AU"/>
        </w:rPr>
        <w:t xml:space="preserve"> cultural interests </w:t>
      </w:r>
      <w:r w:rsidR="00142780">
        <w:rPr>
          <w:lang w:val="en-AU"/>
        </w:rPr>
        <w:t xml:space="preserve">— </w:t>
      </w:r>
      <w:r w:rsidR="00957044">
        <w:rPr>
          <w:lang w:val="en-AU"/>
        </w:rPr>
        <w:t xml:space="preserve">as </w:t>
      </w:r>
      <w:r w:rsidRPr="009D0467">
        <w:rPr>
          <w:lang w:val="en-AU"/>
        </w:rPr>
        <w:t xml:space="preserve">seen in </w:t>
      </w:r>
      <w:r w:rsidR="00ED5F77">
        <w:rPr>
          <w:lang w:val="en-AU"/>
        </w:rPr>
        <w:t>its</w:t>
      </w:r>
      <w:r w:rsidRPr="009D0467">
        <w:rPr>
          <w:lang w:val="en-AU"/>
        </w:rPr>
        <w:t xml:space="preserve"> interaction with village leaders,</w:t>
      </w:r>
      <w:r w:rsidRPr="009D0467">
        <w:rPr>
          <w:rStyle w:val="FootnoteReference"/>
          <w:lang w:val="en-AU"/>
        </w:rPr>
        <w:footnoteReference w:id="188"/>
      </w:r>
      <w:r w:rsidRPr="009D0467">
        <w:rPr>
          <w:lang w:val="en-AU"/>
        </w:rPr>
        <w:t xml:space="preserve"> advocacy by Ministers against Gallvectra,</w:t>
      </w:r>
      <w:r w:rsidRPr="009D0467">
        <w:rPr>
          <w:rStyle w:val="FootnoteReference"/>
          <w:lang w:val="en-AU"/>
        </w:rPr>
        <w:footnoteReference w:id="189"/>
      </w:r>
      <w:r w:rsidRPr="009D0467">
        <w:rPr>
          <w:lang w:val="en-AU"/>
        </w:rPr>
        <w:t xml:space="preserve"> and its responsiveness to </w:t>
      </w:r>
      <w:r w:rsidRPr="009D0467">
        <w:rPr>
          <w:lang w:val="en-AU"/>
        </w:rPr>
        <w:lastRenderedPageBreak/>
        <w:t>domestic protest.</w:t>
      </w:r>
      <w:r w:rsidRPr="009D0467">
        <w:rPr>
          <w:rStyle w:val="FootnoteReference"/>
          <w:lang w:val="en-AU"/>
        </w:rPr>
        <w:footnoteReference w:id="190"/>
      </w:r>
      <w:r w:rsidRPr="009D0467">
        <w:rPr>
          <w:lang w:val="en-AU"/>
        </w:rPr>
        <w:t xml:space="preserve"> Therefore, </w:t>
      </w:r>
      <w:proofErr w:type="spellStart"/>
      <w:r>
        <w:rPr>
          <w:lang w:val="en-AU"/>
        </w:rPr>
        <w:t>Rakkab’s</w:t>
      </w:r>
      <w:proofErr w:type="spellEnd"/>
      <w:r>
        <w:rPr>
          <w:lang w:val="en-AU"/>
        </w:rPr>
        <w:t xml:space="preserve"> two consultations with the</w:t>
      </w:r>
      <w:r w:rsidRPr="009D0467">
        <w:rPr>
          <w:lang w:val="en-AU"/>
        </w:rPr>
        <w:t xml:space="preserve"> Aurokan government </w:t>
      </w:r>
      <w:r>
        <w:rPr>
          <w:lang w:val="en-AU"/>
        </w:rPr>
        <w:t xml:space="preserve">in 2016 </w:t>
      </w:r>
      <w:r w:rsidR="00957044">
        <w:rPr>
          <w:lang w:val="en-AU"/>
        </w:rPr>
        <w:t>were</w:t>
      </w:r>
      <w:r w:rsidRPr="009D0467">
        <w:rPr>
          <w:lang w:val="en-AU"/>
        </w:rPr>
        <w:t xml:space="preserve"> sufficient to satisfy </w:t>
      </w:r>
      <w:proofErr w:type="spellStart"/>
      <w:r w:rsidRPr="009D0467">
        <w:rPr>
          <w:lang w:val="en-AU"/>
        </w:rPr>
        <w:t>Rakkab’s</w:t>
      </w:r>
      <w:proofErr w:type="spellEnd"/>
      <w:r w:rsidRPr="009D0467">
        <w:rPr>
          <w:lang w:val="en-AU"/>
        </w:rPr>
        <w:t xml:space="preserve"> obligations.</w:t>
      </w:r>
      <w:r w:rsidRPr="009D0467">
        <w:rPr>
          <w:rStyle w:val="FootnoteReference"/>
          <w:lang w:val="en-AU"/>
        </w:rPr>
        <w:footnoteReference w:id="191"/>
      </w:r>
      <w:r w:rsidRPr="009D0467">
        <w:rPr>
          <w:lang w:val="en-AU"/>
        </w:rPr>
        <w:t xml:space="preserve"> </w:t>
      </w:r>
      <w:r>
        <w:rPr>
          <w:lang w:val="en-AU"/>
        </w:rPr>
        <w:t xml:space="preserve">The consultation was not invalid because </w:t>
      </w:r>
      <w:r w:rsidR="00E53C7C">
        <w:rPr>
          <w:lang w:val="en-AU"/>
        </w:rPr>
        <w:t>no</w:t>
      </w:r>
      <w:r>
        <w:rPr>
          <w:lang w:val="en-AU"/>
        </w:rPr>
        <w:t xml:space="preserve"> agreement was reached</w:t>
      </w:r>
      <w:r w:rsidRPr="009D0467">
        <w:rPr>
          <w:lang w:val="en-AU"/>
        </w:rPr>
        <w:t>. No bad faith is described.</w:t>
      </w:r>
      <w:r w:rsidRPr="009D0467">
        <w:rPr>
          <w:rStyle w:val="FootnoteReference"/>
          <w:lang w:val="en-AU"/>
        </w:rPr>
        <w:footnoteReference w:id="192"/>
      </w:r>
      <w:r w:rsidRPr="009D0467">
        <w:rPr>
          <w:lang w:val="en-AU"/>
        </w:rPr>
        <w:t xml:space="preserve"> Additionally, indigenous populations </w:t>
      </w:r>
      <w:r>
        <w:rPr>
          <w:lang w:val="en-AU"/>
        </w:rPr>
        <w:t xml:space="preserve">must also act in good faith and </w:t>
      </w:r>
      <w:r w:rsidRPr="009D0467">
        <w:rPr>
          <w:lang w:val="en-AU"/>
        </w:rPr>
        <w:t>have</w:t>
      </w:r>
      <w:r>
        <w:rPr>
          <w:lang w:val="en-AU"/>
        </w:rPr>
        <w:t xml:space="preserve"> no</w:t>
      </w:r>
      <w:r w:rsidRPr="009D0467">
        <w:rPr>
          <w:lang w:val="en-AU"/>
        </w:rPr>
        <w:t xml:space="preserve"> right of denial when the other party is acting </w:t>
      </w:r>
      <w:r w:rsidR="00621825">
        <w:rPr>
          <w:lang w:val="en-AU"/>
        </w:rPr>
        <w:t>in</w:t>
      </w:r>
      <w:r w:rsidRPr="009D0467">
        <w:rPr>
          <w:lang w:val="en-AU"/>
        </w:rPr>
        <w:t xml:space="preserve"> </w:t>
      </w:r>
      <w:r w:rsidR="00621825">
        <w:rPr>
          <w:lang w:val="en-AU"/>
        </w:rPr>
        <w:t>the</w:t>
      </w:r>
      <w:r w:rsidRPr="009D0467">
        <w:rPr>
          <w:lang w:val="en-AU"/>
        </w:rPr>
        <w:t xml:space="preserve"> legitimate public interest.</w:t>
      </w:r>
      <w:r w:rsidRPr="009D0467">
        <w:rPr>
          <w:rStyle w:val="FootnoteReference"/>
          <w:lang w:val="en-AU"/>
        </w:rPr>
        <w:footnoteReference w:id="193"/>
      </w:r>
      <w:r w:rsidRPr="009D0467">
        <w:rPr>
          <w:lang w:val="en-AU"/>
        </w:rPr>
        <w:t xml:space="preserve"> Because of the lifesaving quality of Gallvectra, Rakkab and DORTA’s refusal to stop hunting</w:t>
      </w:r>
      <w:r>
        <w:rPr>
          <w:lang w:val="en-AU"/>
        </w:rPr>
        <w:t>,</w:t>
      </w:r>
      <w:r w:rsidRPr="009D0467">
        <w:rPr>
          <w:lang w:val="en-AU"/>
        </w:rPr>
        <w:t xml:space="preserve"> while </w:t>
      </w:r>
      <w:r>
        <w:rPr>
          <w:lang w:val="en-AU"/>
        </w:rPr>
        <w:t>still agreeing to take</w:t>
      </w:r>
      <w:r w:rsidRPr="009D0467">
        <w:rPr>
          <w:lang w:val="en-AU"/>
        </w:rPr>
        <w:t xml:space="preserve"> steps to protect the Yak’s sustainability such as initiating breeding programs</w:t>
      </w:r>
      <w:r>
        <w:rPr>
          <w:lang w:val="en-AU"/>
        </w:rPr>
        <w:t>, is reasonable.</w:t>
      </w:r>
      <w:r w:rsidRPr="009D0467">
        <w:rPr>
          <w:rStyle w:val="FootnoteReference"/>
          <w:lang w:val="en-AU"/>
        </w:rPr>
        <w:footnoteReference w:id="194"/>
      </w:r>
      <w:r w:rsidRPr="009D0467">
        <w:rPr>
          <w:lang w:val="en-AU"/>
        </w:rPr>
        <w:t xml:space="preserve">  </w:t>
      </w:r>
    </w:p>
    <w:p w14:paraId="7D5C342A" w14:textId="7D67D21B" w:rsidR="00EC5B59" w:rsidRPr="00ED11D3" w:rsidRDefault="00EC5B59" w:rsidP="00621825">
      <w:pPr>
        <w:pStyle w:val="Heading2"/>
      </w:pPr>
      <w:bookmarkStart w:id="204" w:name="_Toc534995805"/>
      <w:bookmarkStart w:id="205" w:name="_Toc535037207"/>
      <w:r w:rsidRPr="00ED11D3">
        <w:t>traditional knowledge</w:t>
      </w:r>
      <w:r w:rsidR="007D3BB7">
        <w:t xml:space="preserve"> has not been used</w:t>
      </w:r>
      <w:r w:rsidR="00B43B88">
        <w:t xml:space="preserve"> contrary to international law</w:t>
      </w:r>
      <w:r w:rsidRPr="00ED11D3">
        <w:t xml:space="preserve"> and </w:t>
      </w:r>
      <w:r w:rsidR="005B3624">
        <w:t xml:space="preserve">rakkab </w:t>
      </w:r>
      <w:r w:rsidRPr="00ED11D3">
        <w:t>does not owe aurok a portion of the profits</w:t>
      </w:r>
      <w:bookmarkEnd w:id="204"/>
      <w:bookmarkEnd w:id="205"/>
    </w:p>
    <w:p w14:paraId="554A33BB" w14:textId="77777777" w:rsidR="00EC5B59" w:rsidRDefault="00EC5B59" w:rsidP="00EC5B59">
      <w:r>
        <w:t xml:space="preserve">Compensation for the use of traditional knowledge is referred to as benefit sharing. Rakkab was not required to ensure benefit sharing as (A) no international obligations to do so existed at the time of use. Alternatively, (B) Rakkab did not breach any obligations relating to benefit sharing. Finally, (C) even if a breach has occurred a portion of the profits is not an appropriate remedy. </w:t>
      </w:r>
    </w:p>
    <w:p w14:paraId="1AAF6C2C" w14:textId="46C88120" w:rsidR="00EC5B59" w:rsidRDefault="00EC5B59" w:rsidP="00F62191">
      <w:pPr>
        <w:pStyle w:val="Heading3"/>
        <w:numPr>
          <w:ilvl w:val="0"/>
          <w:numId w:val="28"/>
        </w:numPr>
      </w:pPr>
      <w:bookmarkStart w:id="206" w:name="_Toc534995806"/>
      <w:bookmarkStart w:id="207" w:name="_Toc535037208"/>
      <w:r>
        <w:t xml:space="preserve">There was no international obligation requiring Rakkab to ensure benefit sharing with the </w:t>
      </w:r>
      <w:bookmarkEnd w:id="206"/>
      <w:bookmarkEnd w:id="207"/>
      <w:r w:rsidR="00A553EE">
        <w:t>Aurok</w:t>
      </w:r>
    </w:p>
    <w:p w14:paraId="56D5824A" w14:textId="77777777" w:rsidR="00EC5B59" w:rsidRDefault="00EC5B59" w:rsidP="00EC5B59">
      <w:r>
        <w:t xml:space="preserve">(1) The Convention on Biological Diversity (“CBD”) does not require benefit sharing, and (2) the Nagoya Protocol cannot be applied retroactively to the present use. Additionally, (3) there is no applicable customary international law rule. </w:t>
      </w:r>
    </w:p>
    <w:p w14:paraId="57F43476" w14:textId="77777777" w:rsidR="00EC5B59" w:rsidRDefault="00EC5B59" w:rsidP="00F62191">
      <w:pPr>
        <w:pStyle w:val="Heading4"/>
        <w:numPr>
          <w:ilvl w:val="0"/>
          <w:numId w:val="29"/>
        </w:numPr>
      </w:pPr>
      <w:bookmarkStart w:id="208" w:name="_Toc534995807"/>
      <w:bookmarkStart w:id="209" w:name="_Toc535037209"/>
      <w:r>
        <w:t>The CBD does not require Rakkab to share benefits from the utilisation of traditional knowledge</w:t>
      </w:r>
      <w:bookmarkEnd w:id="208"/>
      <w:bookmarkEnd w:id="209"/>
    </w:p>
    <w:p w14:paraId="4E8D7C11" w14:textId="3F2915CE" w:rsidR="00EC5B59" w:rsidRDefault="00EC5B59" w:rsidP="00EC5B59">
      <w:r>
        <w:t xml:space="preserve">Article 8(j) deals with traditional knowledge. It uses </w:t>
      </w:r>
      <w:r w:rsidR="00621825">
        <w:t>qualified</w:t>
      </w:r>
      <w:r>
        <w:t xml:space="preserve"> language; States are only required to act “subject to their national legislation” and only to “encourage” benefit sharing.</w:t>
      </w:r>
      <w:r>
        <w:rPr>
          <w:rStyle w:val="FootnoteReference"/>
        </w:rPr>
        <w:footnoteReference w:id="195"/>
      </w:r>
      <w:r>
        <w:t xml:space="preserve"> </w:t>
      </w:r>
      <w:r>
        <w:lastRenderedPageBreak/>
        <w:t>Accordingly, the provision does not impose substantive benefit sharing obligations for the use of traditional knowledge.</w:t>
      </w:r>
      <w:r>
        <w:rPr>
          <w:rStyle w:val="FootnoteReference"/>
        </w:rPr>
        <w:footnoteReference w:id="196"/>
      </w:r>
      <w:r>
        <w:t xml:space="preserve"> No other articles of the CBD impose applicable requirements.</w:t>
      </w:r>
      <w:r>
        <w:rPr>
          <w:rStyle w:val="FootnoteReference"/>
        </w:rPr>
        <w:footnoteReference w:id="197"/>
      </w:r>
    </w:p>
    <w:p w14:paraId="24DD72EA" w14:textId="77777777" w:rsidR="00EC5B59" w:rsidRDefault="00EC5B59" w:rsidP="00EC5B59">
      <w:pPr>
        <w:pStyle w:val="Heading4"/>
        <w:numPr>
          <w:ilvl w:val="0"/>
          <w:numId w:val="6"/>
        </w:numPr>
      </w:pPr>
      <w:bookmarkStart w:id="210" w:name="_Toc534995808"/>
      <w:bookmarkStart w:id="211" w:name="_Toc535037210"/>
      <w:r>
        <w:t>The Nagoya Protocol does not apply because it was not in force at the time of use</w:t>
      </w:r>
      <w:bookmarkEnd w:id="210"/>
      <w:bookmarkEnd w:id="211"/>
    </w:p>
    <w:p w14:paraId="5E8E5392" w14:textId="2C9D870A" w:rsidR="00EC5B59" w:rsidRDefault="00EC5B59" w:rsidP="00EC5B59">
      <w:r>
        <w:t>While the Nagoya Protocol develops clearer obligations than the CBD,</w:t>
      </w:r>
      <w:r>
        <w:rPr>
          <w:rStyle w:val="FootnoteReference"/>
        </w:rPr>
        <w:footnoteReference w:id="198"/>
      </w:r>
      <w:r>
        <w:t xml:space="preserve"> a treaty generally does not apply to events that occurred before it entered into force.</w:t>
      </w:r>
      <w:r>
        <w:rPr>
          <w:rStyle w:val="FootnoteReference"/>
        </w:rPr>
        <w:footnoteReference w:id="199"/>
      </w:r>
      <w:r>
        <w:t xml:space="preserve"> A treaty will only apply retroactively if an intention to do so appears either in the treaty or is otherwise established.</w:t>
      </w:r>
      <w:r>
        <w:rPr>
          <w:rStyle w:val="FootnoteReference"/>
        </w:rPr>
        <w:footnoteReference w:id="200"/>
      </w:r>
      <w:r>
        <w:t xml:space="preserve"> </w:t>
      </w:r>
    </w:p>
    <w:p w14:paraId="32525B68" w14:textId="77777777" w:rsidR="00EE51D5" w:rsidRDefault="00EE51D5" w:rsidP="00EC5B59"/>
    <w:p w14:paraId="1528FCB5" w14:textId="77777777" w:rsidR="00EC5B59" w:rsidRDefault="00EC5B59" w:rsidP="00F62191">
      <w:pPr>
        <w:pStyle w:val="Heading5"/>
        <w:numPr>
          <w:ilvl w:val="0"/>
          <w:numId w:val="30"/>
        </w:numPr>
      </w:pPr>
      <w:bookmarkStart w:id="212" w:name="_Toc534995809"/>
      <w:bookmarkStart w:id="213" w:name="_Toc535037211"/>
      <w:r>
        <w:t>Any alleged use of traditional knowledge took place before the Nagoya Protocol came into force</w:t>
      </w:r>
      <w:bookmarkEnd w:id="212"/>
      <w:bookmarkEnd w:id="213"/>
    </w:p>
    <w:p w14:paraId="6073581C" w14:textId="741048A3" w:rsidR="00EC5B59" w:rsidRDefault="00EC5B59" w:rsidP="00EC5B59">
      <w:r>
        <w:t>The Nagoya Protocol requires States to take steps in order that the benefits arising from the “utilization of traditional knowledge” is shared with the indigenous or local communities.</w:t>
      </w:r>
      <w:r>
        <w:rPr>
          <w:rStyle w:val="FootnoteReference"/>
        </w:rPr>
        <w:footnoteReference w:id="201"/>
      </w:r>
      <w:r>
        <w:t xml:space="preserve"> Rakkab accepts, for the purposes of this prayer, </w:t>
      </w:r>
      <w:r w:rsidR="00017AA8">
        <w:t xml:space="preserve">that </w:t>
      </w:r>
      <w:r>
        <w:t>there was utilisation of traditional knowledge.  That utilisation, however, occurred prior to the Nagoya Protocol’s entry into force in 2014.</w:t>
      </w:r>
      <w:r w:rsidRPr="00BA4C1D">
        <w:rPr>
          <w:rStyle w:val="FootnoteReference"/>
        </w:rPr>
        <w:footnoteReference w:id="202"/>
      </w:r>
      <w:r>
        <w:t xml:space="preserve"> </w:t>
      </w:r>
      <w:proofErr w:type="spellStart"/>
      <w:r>
        <w:t>Dr</w:t>
      </w:r>
      <w:r w:rsidR="00314598">
        <w:t>.</w:t>
      </w:r>
      <w:proofErr w:type="spellEnd"/>
      <w:r>
        <w:t xml:space="preserve"> Bello’s discovery of the medical properties of the gallbladder, the </w:t>
      </w:r>
      <w:r w:rsidR="00911C4C">
        <w:t>isolation</w:t>
      </w:r>
      <w:r>
        <w:t xml:space="preserve"> of the enzyme, the testing process and the patenting of Gallvectra was between 2001 and 2006,</w:t>
      </w:r>
      <w:r>
        <w:rPr>
          <w:rStyle w:val="FootnoteReference"/>
        </w:rPr>
        <w:footnoteReference w:id="203"/>
      </w:r>
      <w:r>
        <w:t xml:space="preserve"> and the marketing and global expansion occurred in 2011.</w:t>
      </w:r>
      <w:r>
        <w:rPr>
          <w:rStyle w:val="FootnoteReference"/>
        </w:rPr>
        <w:footnoteReference w:id="204"/>
      </w:r>
      <w:r>
        <w:t xml:space="preserve"> Those actions comprise the utilisation.</w:t>
      </w:r>
      <w:r>
        <w:rPr>
          <w:rStyle w:val="FootnoteReference"/>
        </w:rPr>
        <w:footnoteReference w:id="205"/>
      </w:r>
      <w:r>
        <w:t xml:space="preserve"> The ordinary meaning of “utilisation” requires actual interaction with the traditional knowledge. Utilisation is </w:t>
      </w:r>
      <w:r>
        <w:lastRenderedPageBreak/>
        <w:t>not an ongoing act;</w:t>
      </w:r>
      <w:r>
        <w:rPr>
          <w:rStyle w:val="FootnoteReference"/>
        </w:rPr>
        <w:footnoteReference w:id="206"/>
      </w:r>
      <w:r>
        <w:t xml:space="preserve"> it only has continuing effects.</w:t>
      </w:r>
      <w:r>
        <w:rPr>
          <w:rStyle w:val="FootnoteReference"/>
        </w:rPr>
        <w:footnoteReference w:id="207"/>
      </w:r>
      <w:r>
        <w:t xml:space="preserve"> While the production and profits of Gallvectra continue,</w:t>
      </w:r>
      <w:r>
        <w:rPr>
          <w:rStyle w:val="FootnoteReference"/>
        </w:rPr>
        <w:footnoteReference w:id="208"/>
      </w:r>
      <w:r>
        <w:t xml:space="preserve"> these are effects or consequences of the initial utilisation, after which DORTA has simply been reproducing the drug it developed.</w:t>
      </w:r>
      <w:r w:rsidR="00464D2C">
        <w:rPr>
          <w:rStyle w:val="FootnoteReference"/>
        </w:rPr>
        <w:footnoteReference w:id="209"/>
      </w:r>
    </w:p>
    <w:p w14:paraId="44081864" w14:textId="77777777" w:rsidR="00EC5B59" w:rsidRPr="00644A46" w:rsidRDefault="00EC5B59" w:rsidP="00EC5B59">
      <w:pPr>
        <w:pStyle w:val="Heading5"/>
      </w:pPr>
      <w:bookmarkStart w:id="214" w:name="_Toc534995810"/>
      <w:bookmarkStart w:id="215" w:name="_Toc535037212"/>
      <w:r>
        <w:t>The Nagoya Protocol should not be applied retroactively as such application was not intended by the parties</w:t>
      </w:r>
      <w:bookmarkEnd w:id="214"/>
      <w:bookmarkEnd w:id="215"/>
    </w:p>
    <w:p w14:paraId="059C9597" w14:textId="505B85FC" w:rsidR="00EC5B59" w:rsidRPr="00AA1878" w:rsidRDefault="00EC5B59" w:rsidP="00EC5B59">
      <w:r>
        <w:t>First, there is no express intention in the treaty for it to apply retroactively. Four proposed provisions on retroactive application were abandoned, showing there was no implicit intention either.</w:t>
      </w:r>
      <w:r>
        <w:rPr>
          <w:rStyle w:val="FootnoteReference"/>
        </w:rPr>
        <w:footnoteReference w:id="210"/>
      </w:r>
      <w:r>
        <w:t xml:space="preserve"> Second, “otherwise established” applies when retroactivity is required by the nature or object of the treaty.</w:t>
      </w:r>
      <w:r>
        <w:rPr>
          <w:rStyle w:val="FootnoteReference"/>
        </w:rPr>
        <w:footnoteReference w:id="211"/>
      </w:r>
      <w:r>
        <w:t xml:space="preserve"> The mandate that led to the Nagoya Protocol was to create a new regime on access and benefit sharing.</w:t>
      </w:r>
      <w:r>
        <w:rPr>
          <w:rStyle w:val="FootnoteReference"/>
        </w:rPr>
        <w:footnoteReference w:id="212"/>
      </w:r>
      <w:r>
        <w:t xml:space="preserve"> Its purpose was </w:t>
      </w:r>
      <w:r w:rsidR="00E86C70">
        <w:t>neither</w:t>
      </w:r>
      <w:r>
        <w:t xml:space="preserve"> interpretive</w:t>
      </w:r>
      <w:r>
        <w:rPr>
          <w:rStyle w:val="FootnoteReference"/>
        </w:rPr>
        <w:footnoteReference w:id="213"/>
      </w:r>
      <w:r>
        <w:t xml:space="preserve"> </w:t>
      </w:r>
      <w:r w:rsidR="00E86C70">
        <w:t>n</w:t>
      </w:r>
      <w:r>
        <w:t>or to deal with past situations.</w:t>
      </w:r>
      <w:r>
        <w:rPr>
          <w:rStyle w:val="FootnoteReference"/>
        </w:rPr>
        <w:footnoteReference w:id="214"/>
      </w:r>
      <w:r>
        <w:t xml:space="preserve"> </w:t>
      </w:r>
      <w:r w:rsidRPr="00A97188">
        <w:t>Rakkab and DORTA were acting in accordance with the international and domestic obligations at the time</w:t>
      </w:r>
      <w:r>
        <w:t>, and it would be unjust</w:t>
      </w:r>
      <w:r w:rsidRPr="00A97188">
        <w:t xml:space="preserve"> to impose these obligations retroactively.</w:t>
      </w:r>
      <w:r>
        <w:rPr>
          <w:rStyle w:val="FootnoteReference"/>
        </w:rPr>
        <w:footnoteReference w:id="215"/>
      </w:r>
      <w:r>
        <w:t xml:space="preserve"> </w:t>
      </w:r>
    </w:p>
    <w:p w14:paraId="63236C7D" w14:textId="783BCC23" w:rsidR="00EC5B59" w:rsidRDefault="00EC5B59" w:rsidP="00EC5B59">
      <w:pPr>
        <w:pStyle w:val="Heading4"/>
      </w:pPr>
      <w:bookmarkStart w:id="216" w:name="_Toc534995811"/>
      <w:bookmarkStart w:id="217" w:name="_Toc535037213"/>
      <w:r>
        <w:t>There is no customary international law obligation to share benefits</w:t>
      </w:r>
      <w:bookmarkEnd w:id="216"/>
      <w:bookmarkEnd w:id="217"/>
    </w:p>
    <w:p w14:paraId="6105DECF" w14:textId="0AB45114" w:rsidR="00EC5B59" w:rsidRPr="0000464B" w:rsidRDefault="00EC5B59" w:rsidP="00EC5B59">
      <w:r>
        <w:t xml:space="preserve">Customary international law requires “virtually uniform” state practice and </w:t>
      </w:r>
      <w:proofErr w:type="spellStart"/>
      <w:r>
        <w:rPr>
          <w:i/>
        </w:rPr>
        <w:t>opinio</w:t>
      </w:r>
      <w:proofErr w:type="spellEnd"/>
      <w:r>
        <w:rPr>
          <w:i/>
        </w:rPr>
        <w:t xml:space="preserve"> juris, </w:t>
      </w:r>
      <w:r>
        <w:t>belief their conduct is rendered obligatory.</w:t>
      </w:r>
      <w:r>
        <w:rPr>
          <w:rStyle w:val="FootnoteReference"/>
        </w:rPr>
        <w:footnoteReference w:id="216"/>
      </w:r>
      <w:r>
        <w:t xml:space="preserve"> Developments in benefit sharing norms in the indigenous rights field have been exclusively limited to misappropriated land or physical resources.</w:t>
      </w:r>
      <w:r>
        <w:rPr>
          <w:rStyle w:val="FootnoteReference"/>
        </w:rPr>
        <w:footnoteReference w:id="217"/>
      </w:r>
      <w:r>
        <w:t xml:space="preserve"> While </w:t>
      </w:r>
      <w:r>
        <w:lastRenderedPageBreak/>
        <w:t xml:space="preserve">benefit sharing for traditional knowledge has occurred, there is insufficient </w:t>
      </w:r>
      <w:proofErr w:type="spellStart"/>
      <w:r>
        <w:rPr>
          <w:i/>
        </w:rPr>
        <w:t>opinio</w:t>
      </w:r>
      <w:proofErr w:type="spellEnd"/>
      <w:r>
        <w:rPr>
          <w:i/>
        </w:rPr>
        <w:t xml:space="preserve"> juris</w:t>
      </w:r>
      <w:r>
        <w:t>. Benefit sharing requirements are established to be in conformity with the CBD regime, not because of a belief that a rule existed beyond this.</w:t>
      </w:r>
      <w:r>
        <w:rPr>
          <w:rStyle w:val="FootnoteReference"/>
        </w:rPr>
        <w:footnoteReference w:id="218"/>
      </w:r>
      <w:r>
        <w:t xml:space="preserve"> Examples outside the treaty’s scope are for non-legal reasons, such as media pressure,</w:t>
      </w:r>
      <w:r>
        <w:rPr>
          <w:rStyle w:val="FootnoteReference"/>
        </w:rPr>
        <w:footnoteReference w:id="219"/>
      </w:r>
      <w:r>
        <w:t xml:space="preserve"> or as an internal policy decision.</w:t>
      </w:r>
      <w:r>
        <w:rPr>
          <w:rStyle w:val="FootnoteReference"/>
        </w:rPr>
        <w:footnoteReference w:id="220"/>
      </w:r>
      <w:r>
        <w:t xml:space="preserve"> Moreover, States </w:t>
      </w:r>
      <w:r w:rsidR="00FD55B8">
        <w:t>that</w:t>
      </w:r>
      <w:r>
        <w:t xml:space="preserve"> act inconsistently </w:t>
      </w:r>
      <w:r w:rsidR="0089764A">
        <w:t xml:space="preserve">and do not enforce benefit sharing </w:t>
      </w:r>
      <w:r>
        <w:t>are not considered in breach of international law.</w:t>
      </w:r>
      <w:r>
        <w:rPr>
          <w:rStyle w:val="FootnoteReference"/>
        </w:rPr>
        <w:footnoteReference w:id="221"/>
      </w:r>
      <w:r>
        <w:t xml:space="preserve"> </w:t>
      </w:r>
      <w:r>
        <w:rPr>
          <w:i/>
        </w:rPr>
        <w:t xml:space="preserve"> </w:t>
      </w:r>
      <w:r>
        <w:t xml:space="preserve"> </w:t>
      </w:r>
    </w:p>
    <w:p w14:paraId="39419E84" w14:textId="77777777" w:rsidR="00EC5B59" w:rsidRDefault="00EC5B59" w:rsidP="00EC5B59">
      <w:pPr>
        <w:pStyle w:val="Heading3"/>
      </w:pPr>
      <w:bookmarkStart w:id="218" w:name="_Toc534995812"/>
      <w:bookmarkStart w:id="219" w:name="_Toc535037214"/>
      <w:r>
        <w:t>Alternatively, Rakkab was not required under the Nagoya Protocol to ensure compensation for the use of traditional knowledge</w:t>
      </w:r>
      <w:bookmarkEnd w:id="218"/>
      <w:bookmarkEnd w:id="219"/>
    </w:p>
    <w:p w14:paraId="256AF656" w14:textId="1511B140" w:rsidR="00EC5B59" w:rsidRPr="007540AD" w:rsidRDefault="00EC5B59" w:rsidP="00EC5B59">
      <w:r>
        <w:t xml:space="preserve">Even if the Nagoya Protocol applies, (1) </w:t>
      </w:r>
      <w:proofErr w:type="spellStart"/>
      <w:r>
        <w:t>Aurok’s</w:t>
      </w:r>
      <w:proofErr w:type="spellEnd"/>
      <w:r>
        <w:t xml:space="preserve"> lack of national standards means Rakkab </w:t>
      </w:r>
      <w:r w:rsidR="0089764A">
        <w:t>is not in breach</w:t>
      </w:r>
      <w:r>
        <w:t xml:space="preserve">. Alternatively, (2) this was a transboundary situation that should be dealt with under </w:t>
      </w:r>
      <w:r w:rsidR="00F31631">
        <w:t>A</w:t>
      </w:r>
      <w:r>
        <w:t xml:space="preserve">rticle 11. </w:t>
      </w:r>
    </w:p>
    <w:p w14:paraId="1379068E" w14:textId="77777777" w:rsidR="00EC5B59" w:rsidRDefault="00EC5B59" w:rsidP="00F62191">
      <w:pPr>
        <w:pStyle w:val="Heading4"/>
        <w:numPr>
          <w:ilvl w:val="0"/>
          <w:numId w:val="31"/>
        </w:numPr>
      </w:pPr>
      <w:bookmarkStart w:id="220" w:name="_Toc534995813"/>
      <w:bookmarkStart w:id="221" w:name="_Toc535037215"/>
      <w:r>
        <w:t>There was no requirement to share benefits as Aurok has not put in place requirements to do so</w:t>
      </w:r>
      <w:bookmarkEnd w:id="220"/>
      <w:bookmarkEnd w:id="221"/>
      <w:r>
        <w:t xml:space="preserve"> </w:t>
      </w:r>
    </w:p>
    <w:p w14:paraId="24FD29BD" w14:textId="544C1CFA" w:rsidR="00EC5B59" w:rsidRDefault="00EC5B59" w:rsidP="00EC5B59">
      <w:r>
        <w:t xml:space="preserve">Countries where traditional knowledge is used </w:t>
      </w:r>
      <w:r w:rsidR="00391F85">
        <w:t>(</w:t>
      </w:r>
      <w:r>
        <w:t>“user countr</w:t>
      </w:r>
      <w:r w:rsidR="0090208D">
        <w:t>y</w:t>
      </w:r>
      <w:r>
        <w:t>”</w:t>
      </w:r>
      <w:r w:rsidR="00391F85">
        <w:t>)</w:t>
      </w:r>
      <w:r>
        <w:t xml:space="preserve"> have no “self-standing” obligation to ensure benefit sharing.</w:t>
      </w:r>
      <w:r>
        <w:rPr>
          <w:rStyle w:val="FootnoteReference"/>
        </w:rPr>
        <w:footnoteReference w:id="222"/>
      </w:r>
      <w:r>
        <w:t xml:space="preserve"> Article 5(5) imposes obligations on States to ensure benefit sharing for the use of traditional knowledge by implementing domestic standards.</w:t>
      </w:r>
      <w:r>
        <w:rPr>
          <w:rStyle w:val="FootnoteReference"/>
        </w:rPr>
        <w:footnoteReference w:id="223"/>
      </w:r>
      <w:r>
        <w:t xml:space="preserve"> However, this requirement must be read in context, specifically in light of </w:t>
      </w:r>
      <w:r w:rsidR="00AF373B">
        <w:t>A</w:t>
      </w:r>
      <w:r>
        <w:t>rticle 16(1).</w:t>
      </w:r>
      <w:r>
        <w:rPr>
          <w:rStyle w:val="FootnoteReference"/>
        </w:rPr>
        <w:footnoteReference w:id="224"/>
      </w:r>
      <w:r>
        <w:t xml:space="preserve"> This provision establishes that the obligation on the user country, Rakkab, is only to enact “appropriate” measures to ensure compliance with the benefit sharing requirements of the State where the </w:t>
      </w:r>
      <w:r w:rsidR="00391F85">
        <w:t>traditiona</w:t>
      </w:r>
      <w:r w:rsidR="00A81DD3">
        <w:t>l</w:t>
      </w:r>
      <w:r w:rsidR="00391F85">
        <w:t xml:space="preserve"> knowledge</w:t>
      </w:r>
      <w:r>
        <w:t xml:space="preserve"> is located (“provider country”), Aurok.</w:t>
      </w:r>
      <w:r>
        <w:rPr>
          <w:rStyle w:val="FootnoteReference"/>
        </w:rPr>
        <w:footnoteReference w:id="225"/>
      </w:r>
      <w:r>
        <w:t xml:space="preserve"> Aurok had the primary responsibility for </w:t>
      </w:r>
      <w:r>
        <w:lastRenderedPageBreak/>
        <w:t xml:space="preserve">establishing standards to protect traditional knowledge, and failed to enact any access of benefit sharing requirements. There was no “appropriate” steps Rakkab could have taken, meaning </w:t>
      </w:r>
      <w:r w:rsidR="00957044">
        <w:t xml:space="preserve"> that </w:t>
      </w:r>
      <w:r>
        <w:t xml:space="preserve">they are not in breach of their obligations as a user country. </w:t>
      </w:r>
    </w:p>
    <w:p w14:paraId="1F36FB53" w14:textId="40B6DBE2" w:rsidR="00EC5B59" w:rsidRDefault="00EC5B59" w:rsidP="00927AF8">
      <w:pPr>
        <w:ind w:firstLine="567"/>
      </w:pPr>
      <w:r>
        <w:t xml:space="preserve">Under </w:t>
      </w:r>
      <w:r w:rsidR="00D40EA0">
        <w:t>A</w:t>
      </w:r>
      <w:r>
        <w:t>rticle 5(5), a provider country may establish benefit sharing requirements through any “policy measures.” However, the Nagoya Protocol aims to create legal certainty.</w:t>
      </w:r>
      <w:r>
        <w:rPr>
          <w:rStyle w:val="FootnoteReference"/>
        </w:rPr>
        <w:footnoteReference w:id="226"/>
      </w:r>
      <w:r>
        <w:t xml:space="preserve"> Therefore, any valid domestic measures should articulate user requirements in a clear and accessible manner.</w:t>
      </w:r>
      <w:r>
        <w:rPr>
          <w:rStyle w:val="FootnoteReference"/>
        </w:rPr>
        <w:footnoteReference w:id="227"/>
      </w:r>
      <w:r>
        <w:t xml:space="preserve"> The Aurokan Minister of Intellectual Property’s complaint during the patenting process does not meet this standard.</w:t>
      </w:r>
      <w:r>
        <w:rPr>
          <w:rStyle w:val="FootnoteReference"/>
        </w:rPr>
        <w:footnoteReference w:id="228"/>
      </w:r>
      <w:r>
        <w:t xml:space="preserve"> The focus of the Minister’s letter was on the validity of the patent</w:t>
      </w:r>
      <w:r w:rsidR="00C7449D">
        <w:t>:</w:t>
      </w:r>
      <w:r>
        <w:t xml:space="preserve"> there was no mention of the CBD regime or benefit sharing. Ambiguous denunciation on the part of Aurok is insufficient to discharge its obligations under </w:t>
      </w:r>
      <w:r w:rsidR="00590692">
        <w:t>A</w:t>
      </w:r>
      <w:r>
        <w:t>rticle 5(5).</w:t>
      </w:r>
    </w:p>
    <w:p w14:paraId="421E527B" w14:textId="77777777" w:rsidR="002A4C38" w:rsidRDefault="002A4C38" w:rsidP="00A553EE"/>
    <w:p w14:paraId="1B545374" w14:textId="77777777" w:rsidR="00EC5B59" w:rsidRDefault="00EC5B59" w:rsidP="00EC5B59">
      <w:pPr>
        <w:pStyle w:val="Heading4"/>
      </w:pPr>
      <w:bookmarkStart w:id="222" w:name="_Toc534995814"/>
      <w:bookmarkStart w:id="223" w:name="_Toc535037216"/>
      <w:r>
        <w:t>Alternatively, the traditional knowledge should be dealt with under the express provision regarding transboundary situations</w:t>
      </w:r>
      <w:bookmarkEnd w:id="222"/>
      <w:bookmarkEnd w:id="223"/>
      <w:r>
        <w:t xml:space="preserve"> </w:t>
      </w:r>
    </w:p>
    <w:p w14:paraId="0D125ABE" w14:textId="6687ED57" w:rsidR="00EC5B59" w:rsidRDefault="00EC5B59" w:rsidP="00EC5B59">
      <w:r>
        <w:t xml:space="preserve">Article 11 of the Nagoya Protocol </w:t>
      </w:r>
      <w:r w:rsidR="00676068">
        <w:t>deals with</w:t>
      </w:r>
      <w:r>
        <w:t xml:space="preserve"> transboundary situations.</w:t>
      </w:r>
      <w:r>
        <w:rPr>
          <w:rStyle w:val="FootnoteReference"/>
        </w:rPr>
        <w:footnoteReference w:id="229"/>
      </w:r>
      <w:r>
        <w:t xml:space="preserve"> This expressly uses the lesser requirement</w:t>
      </w:r>
      <w:r w:rsidR="004536B8">
        <w:t xml:space="preserve"> to</w:t>
      </w:r>
      <w:r>
        <w:t xml:space="preserve"> </w:t>
      </w:r>
      <w:r w:rsidR="000851B1">
        <w:t>“</w:t>
      </w:r>
      <w:r>
        <w:t>endeavour to cooperate”, meaning there is no obligation for mutually agreed terms on benefit sharing.</w:t>
      </w:r>
      <w:r>
        <w:rPr>
          <w:rStyle w:val="FootnoteReference"/>
        </w:rPr>
        <w:footnoteReference w:id="230"/>
      </w:r>
      <w:r>
        <w:t xml:space="preserve"> Any requirement to </w:t>
      </w:r>
      <w:r w:rsidR="00F6262E">
        <w:t>cooperate through negotiation</w:t>
      </w:r>
      <w:r>
        <w:t xml:space="preserve"> only requires good faith.</w:t>
      </w:r>
      <w:r>
        <w:rPr>
          <w:rStyle w:val="FootnoteReference"/>
        </w:rPr>
        <w:footnoteReference w:id="231"/>
      </w:r>
    </w:p>
    <w:p w14:paraId="142FD716" w14:textId="564B8272" w:rsidR="00EC5B59" w:rsidRDefault="00EC5B59" w:rsidP="006C1E13">
      <w:pPr>
        <w:ind w:firstLine="567"/>
      </w:pPr>
      <w:r>
        <w:t xml:space="preserve">There are still adherents to the </w:t>
      </w:r>
      <w:proofErr w:type="spellStart"/>
      <w:r>
        <w:t>Pivzao</w:t>
      </w:r>
      <w:proofErr w:type="spellEnd"/>
      <w:r>
        <w:t xml:space="preserve"> traditions in </w:t>
      </w:r>
      <w:proofErr w:type="spellStart"/>
      <w:r>
        <w:t>Rakkab</w:t>
      </w:r>
      <w:proofErr w:type="spellEnd"/>
      <w:r>
        <w:t xml:space="preserve"> who share Aurokan traditional knowledge.</w:t>
      </w:r>
      <w:r>
        <w:rPr>
          <w:rStyle w:val="FootnoteReference"/>
        </w:rPr>
        <w:footnoteReference w:id="232"/>
      </w:r>
      <w:r>
        <w:t xml:space="preserve"> Rakkab had an inbuilt online mechanism to allow the public to comment on patent applications.</w:t>
      </w:r>
      <w:r>
        <w:rPr>
          <w:rStyle w:val="FootnoteReference"/>
        </w:rPr>
        <w:footnoteReference w:id="233"/>
      </w:r>
      <w:r>
        <w:t xml:space="preserve"> Through this, the Aurokan Minister of Intellectual </w:t>
      </w:r>
      <w:r w:rsidR="00F30B43">
        <w:t>P</w:t>
      </w:r>
      <w:r>
        <w:t xml:space="preserve">roperty and </w:t>
      </w:r>
      <w:r w:rsidR="00E723B2">
        <w:t xml:space="preserve">the Aurokan </w:t>
      </w:r>
      <w:r>
        <w:lastRenderedPageBreak/>
        <w:t xml:space="preserve">society </w:t>
      </w:r>
      <w:r w:rsidR="00C237DF">
        <w:t>was</w:t>
      </w:r>
      <w:r>
        <w:t xml:space="preserve"> able to engage,</w:t>
      </w:r>
      <w:r>
        <w:rPr>
          <w:rStyle w:val="FootnoteReference"/>
        </w:rPr>
        <w:footnoteReference w:id="234"/>
      </w:r>
      <w:r>
        <w:t xml:space="preserve"> and DORTA responded to their concerns.</w:t>
      </w:r>
      <w:r>
        <w:rPr>
          <w:rStyle w:val="FootnoteReference"/>
        </w:rPr>
        <w:footnoteReference w:id="235"/>
      </w:r>
      <w:r>
        <w:t xml:space="preserve"> Even if the people of Aurok disagree with the decision to continue </w:t>
      </w:r>
      <w:r w:rsidR="00064237">
        <w:t xml:space="preserve">producing </w:t>
      </w:r>
      <w:r>
        <w:t>Gallvectra,</w:t>
      </w:r>
      <w:r>
        <w:rPr>
          <w:rStyle w:val="FootnoteReference"/>
        </w:rPr>
        <w:footnoteReference w:id="236"/>
      </w:r>
      <w:r>
        <w:t xml:space="preserve"> </w:t>
      </w:r>
      <w:r w:rsidR="00540771">
        <w:t>the obligation</w:t>
      </w:r>
      <w:r>
        <w:t xml:space="preserve"> to negotiate do</w:t>
      </w:r>
      <w:r w:rsidR="00812FD1">
        <w:t>es</w:t>
      </w:r>
      <w:r>
        <w:t xml:space="preserve"> not require agreement.</w:t>
      </w:r>
      <w:r>
        <w:rPr>
          <w:rStyle w:val="FootnoteReference"/>
        </w:rPr>
        <w:footnoteReference w:id="237"/>
      </w:r>
      <w:r>
        <w:t xml:space="preserve"> Rakkab met its obligations, and there was no additional duty </w:t>
      </w:r>
      <w:r w:rsidR="00676068">
        <w:t>of</w:t>
      </w:r>
      <w:r>
        <w:t xml:space="preserve"> compensation.</w:t>
      </w:r>
    </w:p>
    <w:p w14:paraId="0A5B12FB" w14:textId="77777777" w:rsidR="00EC5B59" w:rsidRDefault="00EC5B59" w:rsidP="00EC5B59">
      <w:pPr>
        <w:pStyle w:val="Heading3"/>
      </w:pPr>
      <w:bookmarkStart w:id="224" w:name="_Toc534995815"/>
      <w:bookmarkStart w:id="225" w:name="_Toc535037217"/>
      <w:r>
        <w:t xml:space="preserve">Even if there was a breach of </w:t>
      </w:r>
      <w:proofErr w:type="spellStart"/>
      <w:r>
        <w:t>Rakkab’s</w:t>
      </w:r>
      <w:proofErr w:type="spellEnd"/>
      <w:r>
        <w:t xml:space="preserve"> benefit sharing obligations, Aurok is not entitled to a portion of the Gallvectra profits</w:t>
      </w:r>
      <w:bookmarkEnd w:id="224"/>
      <w:bookmarkEnd w:id="225"/>
    </w:p>
    <w:p w14:paraId="62F3CC32" w14:textId="39A6E6AA" w:rsidR="00EC5B59" w:rsidRDefault="00EC5B59" w:rsidP="00EC5B59">
      <w:r>
        <w:t>An international</w:t>
      </w:r>
      <w:r w:rsidR="00CA14FF">
        <w:t>ly</w:t>
      </w:r>
      <w:r>
        <w:t xml:space="preserve"> wrongful act creates an obligation to make adequate</w:t>
      </w:r>
      <w:r w:rsidR="00B96701">
        <w:t xml:space="preserve"> and appropriate</w:t>
      </w:r>
      <w:r>
        <w:t xml:space="preserve"> reparation, either in the form of restitution, compensation or satisfaction.</w:t>
      </w:r>
      <w:r>
        <w:rPr>
          <w:rStyle w:val="FootnoteReference"/>
        </w:rPr>
        <w:footnoteReference w:id="238"/>
      </w:r>
      <w:r>
        <w:t xml:space="preserve"> However, (1) “profits” are not an appropriate form of reparation. If it were, (2) Aurok has suffered no loss that would justify such an award.  </w:t>
      </w:r>
    </w:p>
    <w:p w14:paraId="52EBDFCC" w14:textId="77777777" w:rsidR="00197EB5" w:rsidRDefault="00197EB5" w:rsidP="00EC5B59"/>
    <w:p w14:paraId="3DED9007" w14:textId="77777777" w:rsidR="00EC5B59" w:rsidRDefault="00EC5B59" w:rsidP="00F62191">
      <w:pPr>
        <w:pStyle w:val="Heading4"/>
        <w:numPr>
          <w:ilvl w:val="0"/>
          <w:numId w:val="32"/>
        </w:numPr>
      </w:pPr>
      <w:bookmarkStart w:id="226" w:name="_Toc534995816"/>
      <w:bookmarkStart w:id="227" w:name="_Toc535037218"/>
      <w:r>
        <w:t>A portion of the profits is not an appropriate form of reparation</w:t>
      </w:r>
      <w:bookmarkEnd w:id="226"/>
      <w:bookmarkEnd w:id="227"/>
    </w:p>
    <w:p w14:paraId="5DBB2BAA" w14:textId="737E2FDA" w:rsidR="00EC5B59" w:rsidRPr="000509F7" w:rsidRDefault="00EC5B59" w:rsidP="00EC5B59">
      <w:pPr>
        <w:pStyle w:val="NormalWeb"/>
      </w:pPr>
      <w:r>
        <w:t xml:space="preserve">Parties are only required to give reparation in an “adequate” form: what is adequate </w:t>
      </w:r>
      <w:r w:rsidR="00FB525D">
        <w:t>depends</w:t>
      </w:r>
      <w:r>
        <w:t xml:space="preserve"> on the</w:t>
      </w:r>
      <w:r w:rsidR="00D80039">
        <w:t xml:space="preserve"> particular</w:t>
      </w:r>
      <w:r>
        <w:t xml:space="preserve"> case.</w:t>
      </w:r>
      <w:r>
        <w:rPr>
          <w:rStyle w:val="FootnoteReference"/>
        </w:rPr>
        <w:footnoteReference w:id="239"/>
      </w:r>
      <w:r>
        <w:t xml:space="preserve"> All forms of reparation must be proportionate.</w:t>
      </w:r>
      <w:r>
        <w:rPr>
          <w:rStyle w:val="FootnoteReference"/>
        </w:rPr>
        <w:footnoteReference w:id="240"/>
      </w:r>
      <w:r>
        <w:t xml:space="preserve"> The only situation where </w:t>
      </w:r>
      <w:r>
        <w:br/>
        <w:t>“profits” have been given concerns lost profits,</w:t>
      </w:r>
      <w:r>
        <w:rPr>
          <w:rStyle w:val="FootnoteReference"/>
        </w:rPr>
        <w:footnoteReference w:id="241"/>
      </w:r>
      <w:r>
        <w:t xml:space="preserve"> which are proportionate because the injured party owned or had an interest in </w:t>
      </w:r>
      <w:r w:rsidR="00564D90">
        <w:t xml:space="preserve">the </w:t>
      </w:r>
      <w:r>
        <w:t>value</w:t>
      </w:r>
      <w:r w:rsidR="00FB525D">
        <w:t>-</w:t>
      </w:r>
      <w:r>
        <w:t>producing asset.</w:t>
      </w:r>
      <w:r>
        <w:rPr>
          <w:rStyle w:val="FootnoteReference"/>
        </w:rPr>
        <w:footnoteReference w:id="242"/>
      </w:r>
      <w:r>
        <w:t xml:space="preserve"> The Aurokan people have not, and would not have, gained financially from their knowledge of the health benefits of </w:t>
      </w:r>
      <w:proofErr w:type="spellStart"/>
      <w:r w:rsidRPr="00AB7821">
        <w:rPr>
          <w:rFonts w:ascii="TimesNewRomanPS" w:eastAsia="Times New Roman" w:hAnsi="TimesNewRomanPS"/>
          <w:i/>
          <w:iCs/>
        </w:rPr>
        <w:t>Tirhinga</w:t>
      </w:r>
      <w:proofErr w:type="spellEnd"/>
      <w:r w:rsidRPr="00AB7821">
        <w:rPr>
          <w:rFonts w:ascii="TimesNewRomanPS" w:eastAsia="Times New Roman" w:hAnsi="TimesNewRomanPS"/>
          <w:i/>
          <w:iCs/>
        </w:rPr>
        <w:t xml:space="preserve"> Nos </w:t>
      </w:r>
      <w:proofErr w:type="spellStart"/>
      <w:r w:rsidRPr="00AB7821">
        <w:rPr>
          <w:rFonts w:ascii="TimesNewRomanPS" w:eastAsia="Times New Roman" w:hAnsi="TimesNewRomanPS"/>
          <w:i/>
          <w:iCs/>
        </w:rPr>
        <w:t>Lustuk</w:t>
      </w:r>
      <w:proofErr w:type="spellEnd"/>
      <w:r>
        <w:rPr>
          <w:rFonts w:ascii="TimesNewRomanPS" w:eastAsia="Times New Roman" w:hAnsi="TimesNewRomanPS"/>
          <w:iCs/>
        </w:rPr>
        <w:t>.</w:t>
      </w:r>
      <w:r>
        <w:rPr>
          <w:rStyle w:val="FootnoteReference"/>
          <w:rFonts w:ascii="TimesNewRomanPS" w:eastAsia="Times New Roman" w:hAnsi="TimesNewRomanPS"/>
          <w:iCs/>
        </w:rPr>
        <w:footnoteReference w:id="243"/>
      </w:r>
      <w:r>
        <w:rPr>
          <w:rFonts w:ascii="TimesNewRomanPS" w:eastAsia="Times New Roman" w:hAnsi="TimesNewRomanPS"/>
          <w:iCs/>
        </w:rPr>
        <w:t xml:space="preserve"> The scientifically created drug is what has value.</w:t>
      </w:r>
      <w:r>
        <w:rPr>
          <w:rStyle w:val="FootnoteReference"/>
          <w:rFonts w:ascii="TimesNewRomanPS" w:eastAsia="Times New Roman" w:hAnsi="TimesNewRomanPS"/>
          <w:iCs/>
        </w:rPr>
        <w:footnoteReference w:id="244"/>
      </w:r>
      <w:r>
        <w:rPr>
          <w:rFonts w:ascii="TimesNewRomanPS" w:eastAsia="Times New Roman" w:hAnsi="TimesNewRomanPS"/>
          <w:iCs/>
        </w:rPr>
        <w:t xml:space="preserve"> The drug was the result of an </w:t>
      </w:r>
      <w:r>
        <w:rPr>
          <w:rFonts w:ascii="TimesNewRomanPS" w:eastAsia="Times New Roman" w:hAnsi="TimesNewRomanPS"/>
          <w:iCs/>
        </w:rPr>
        <w:lastRenderedPageBreak/>
        <w:t>approximately four year research and testing process.</w:t>
      </w:r>
      <w:r>
        <w:rPr>
          <w:rStyle w:val="FootnoteReference"/>
          <w:rFonts w:ascii="TimesNewRomanPS" w:eastAsia="Times New Roman" w:hAnsi="TimesNewRomanPS"/>
          <w:iCs/>
        </w:rPr>
        <w:footnoteReference w:id="245"/>
      </w:r>
      <w:r w:rsidRPr="00A1542A">
        <w:t xml:space="preserve"> </w:t>
      </w:r>
      <w:r>
        <w:t xml:space="preserve">To give profits would not be </w:t>
      </w:r>
      <w:r w:rsidR="00FB525D">
        <w:t>restoring</w:t>
      </w:r>
      <w:r>
        <w:t xml:space="preserve"> what is owed to the Aurokan people, but </w:t>
      </w:r>
      <w:r w:rsidR="00DB4260">
        <w:t xml:space="preserve">be </w:t>
      </w:r>
      <w:r>
        <w:t>an unjustified disgorgement of profits earned by DORTA. There is no established norm for this in international law, as this Court has never given a share of the profits created by the other party.</w:t>
      </w:r>
    </w:p>
    <w:p w14:paraId="708711C4" w14:textId="77777777" w:rsidR="00EC5B59" w:rsidRDefault="00EC5B59" w:rsidP="00EC5B59">
      <w:pPr>
        <w:pStyle w:val="Heading4"/>
      </w:pPr>
      <w:bookmarkStart w:id="228" w:name="_Toc534995817"/>
      <w:bookmarkStart w:id="229" w:name="_Toc535037219"/>
      <w:r>
        <w:t>Aurok has suffered no loss that would justify giving a portion of the profits</w:t>
      </w:r>
      <w:bookmarkEnd w:id="228"/>
      <w:bookmarkEnd w:id="229"/>
    </w:p>
    <w:p w14:paraId="08C17375" w14:textId="70510750" w:rsidR="00EC5B59" w:rsidRDefault="000A17A2" w:rsidP="00EC5B59">
      <w:r>
        <w:t>I</w:t>
      </w:r>
      <w:r w:rsidR="00EC5B59">
        <w:t>f</w:t>
      </w:r>
      <w:r>
        <w:t xml:space="preserve"> a</w:t>
      </w:r>
      <w:r w:rsidR="00EC5B59">
        <w:t xml:space="preserve"> portion of the profits could be awarded, it would still not be appropriate reparation because (</w:t>
      </w:r>
      <w:proofErr w:type="spellStart"/>
      <w:r w:rsidR="00EC5B59">
        <w:t>i</w:t>
      </w:r>
      <w:proofErr w:type="spellEnd"/>
      <w:r w:rsidR="00EC5B59">
        <w:t xml:space="preserve">) </w:t>
      </w:r>
      <w:proofErr w:type="spellStart"/>
      <w:r w:rsidR="00EC5B59">
        <w:t>Auork</w:t>
      </w:r>
      <w:proofErr w:type="spellEnd"/>
      <w:r w:rsidR="00EC5B59">
        <w:t xml:space="preserve"> has not proven any pecuniary loss, and (ii) any moral damage is insufficient.</w:t>
      </w:r>
    </w:p>
    <w:p w14:paraId="00770EAC" w14:textId="77777777" w:rsidR="00EC5B59" w:rsidRPr="000828F1" w:rsidRDefault="00EC5B59" w:rsidP="00F62191">
      <w:pPr>
        <w:pStyle w:val="Heading5"/>
        <w:numPr>
          <w:ilvl w:val="0"/>
          <w:numId w:val="33"/>
        </w:numPr>
      </w:pPr>
      <w:bookmarkStart w:id="230" w:name="_Toc534995818"/>
      <w:bookmarkStart w:id="231" w:name="_Toc535037220"/>
      <w:r>
        <w:t>Aurok cannot factually show it has suffered a pecuniary loss</w:t>
      </w:r>
      <w:bookmarkEnd w:id="230"/>
      <w:bookmarkEnd w:id="231"/>
    </w:p>
    <w:p w14:paraId="727A94AE" w14:textId="56E13E7F" w:rsidR="00EC5B59" w:rsidRDefault="00EC5B59" w:rsidP="00EC5B59">
      <w:r>
        <w:t>A State can only seek compensation for damages if it establishes a loss or injury,</w:t>
      </w:r>
      <w:r>
        <w:rPr>
          <w:rStyle w:val="FootnoteReference"/>
        </w:rPr>
        <w:footnoteReference w:id="246"/>
      </w:r>
      <w:r>
        <w:t xml:space="preserve"> and shows </w:t>
      </w:r>
      <w:r w:rsidR="00457C8B">
        <w:t>that the</w:t>
      </w:r>
      <w:r w:rsidR="00A92E13">
        <w:t xml:space="preserve"> </w:t>
      </w:r>
      <w:r w:rsidR="00457C8B">
        <w:t>damage</w:t>
      </w:r>
      <w:r>
        <w:t xml:space="preserve"> is more than speculative.</w:t>
      </w:r>
      <w:r w:rsidRPr="00307968">
        <w:rPr>
          <w:rStyle w:val="FootnoteReference"/>
        </w:rPr>
        <w:t xml:space="preserve"> </w:t>
      </w:r>
      <w:r>
        <w:rPr>
          <w:rStyle w:val="FootnoteReference"/>
        </w:rPr>
        <w:footnoteReference w:id="247"/>
      </w:r>
      <w:r>
        <w:t xml:space="preserve"> A pecuniary loss is the difference in their financial position because of the wrongful act.</w:t>
      </w:r>
      <w:r>
        <w:rPr>
          <w:rStyle w:val="FootnoteReference"/>
        </w:rPr>
        <w:footnoteReference w:id="248"/>
      </w:r>
      <w:r>
        <w:t xml:space="preserve"> This requires Aurok to prove it would have received a portion of the profits had the benefit sharing obligations been followed.</w:t>
      </w:r>
      <w:r>
        <w:rPr>
          <w:rStyle w:val="FootnoteReference"/>
        </w:rPr>
        <w:footnoteReference w:id="249"/>
      </w:r>
      <w:r>
        <w:t xml:space="preserve"> </w:t>
      </w:r>
    </w:p>
    <w:p w14:paraId="63A6B9E4" w14:textId="7FD4C64E" w:rsidR="00EC5B59" w:rsidRDefault="00EC5B59" w:rsidP="00457C8B">
      <w:pPr>
        <w:ind w:firstLine="720"/>
      </w:pPr>
      <w:r>
        <w:t>The Nagoya Protocol does not impose an obligation to share commercial profits.</w:t>
      </w:r>
      <w:r>
        <w:rPr>
          <w:rStyle w:val="FootnoteReference"/>
        </w:rPr>
        <w:footnoteReference w:id="250"/>
      </w:r>
      <w:r>
        <w:t xml:space="preserve"> Benefits could be either monetary or non-monetary, </w:t>
      </w:r>
      <w:r w:rsidR="009333B4">
        <w:t>so</w:t>
      </w:r>
      <w:r>
        <w:t xml:space="preserve"> Aurok had no certain claim to any money.</w:t>
      </w:r>
      <w:r>
        <w:rPr>
          <w:rStyle w:val="FootnoteReference"/>
        </w:rPr>
        <w:footnoteReference w:id="251"/>
      </w:r>
      <w:r>
        <w:t xml:space="preserve"> Benefit sharing is flexible depending on what would be fair and equitable in each specific case.</w:t>
      </w:r>
      <w:r w:rsidRPr="00A3655D">
        <w:rPr>
          <w:rStyle w:val="FootnoteReference"/>
        </w:rPr>
        <w:footnoteReference w:id="252"/>
      </w:r>
      <w:r w:rsidRPr="00A3655D">
        <w:t xml:space="preserve"> The </w:t>
      </w:r>
      <w:proofErr w:type="spellStart"/>
      <w:r w:rsidRPr="00A3655D">
        <w:t>Aurokan</w:t>
      </w:r>
      <w:proofErr w:type="spellEnd"/>
      <w:r w:rsidRPr="00A3655D">
        <w:t xml:space="preserve"> people only knew </w:t>
      </w:r>
      <w:proofErr w:type="spellStart"/>
      <w:r w:rsidRPr="00A3655D">
        <w:rPr>
          <w:i/>
          <w:lang w:val="en-US"/>
        </w:rPr>
        <w:t>Tirhinga</w:t>
      </w:r>
      <w:proofErr w:type="spellEnd"/>
      <w:r w:rsidRPr="00A3655D">
        <w:rPr>
          <w:i/>
          <w:lang w:val="en-US"/>
        </w:rPr>
        <w:t xml:space="preserve"> Nos </w:t>
      </w:r>
      <w:proofErr w:type="spellStart"/>
      <w:r w:rsidRPr="00A3655D">
        <w:rPr>
          <w:i/>
          <w:lang w:val="en-US"/>
        </w:rPr>
        <w:t>Lustuk</w:t>
      </w:r>
      <w:proofErr w:type="spellEnd"/>
      <w:r w:rsidRPr="00A3655D">
        <w:rPr>
          <w:lang w:val="en-US"/>
        </w:rPr>
        <w:t xml:space="preserve"> had general health benefits.</w:t>
      </w:r>
      <w:r w:rsidRPr="00A3655D">
        <w:rPr>
          <w:rStyle w:val="FootnoteReference"/>
          <w:lang w:val="en-US"/>
        </w:rPr>
        <w:footnoteReference w:id="253"/>
      </w:r>
      <w:r w:rsidRPr="00A3655D">
        <w:rPr>
          <w:lang w:val="en-US"/>
        </w:rPr>
        <w:t xml:space="preserve"> </w:t>
      </w:r>
      <w:r>
        <w:t xml:space="preserve">The financial success of Gallvectra is due to the significant effort of DORTA in studying the cause of </w:t>
      </w:r>
      <w:proofErr w:type="spellStart"/>
      <w:r>
        <w:t>Aurokans</w:t>
      </w:r>
      <w:proofErr w:type="spellEnd"/>
      <w:r w:rsidR="00D12A7C">
        <w:t>’</w:t>
      </w:r>
      <w:r>
        <w:t xml:space="preserve"> lower diabetes and obesity rates, isolating the enzyme, and testing </w:t>
      </w:r>
      <w:r>
        <w:lastRenderedPageBreak/>
        <w:t>the drug.</w:t>
      </w:r>
      <w:r>
        <w:rPr>
          <w:rStyle w:val="FootnoteReference"/>
        </w:rPr>
        <w:footnoteReference w:id="254"/>
      </w:r>
      <w:r>
        <w:t xml:space="preserve"> Given the comparably minimal contribution by the Aurokan people, it would be disproportionate and inequitable to give Aurok a portion of the profits.</w:t>
      </w:r>
      <w:r>
        <w:rPr>
          <w:rStyle w:val="FootnoteReference"/>
        </w:rPr>
        <w:footnoteReference w:id="255"/>
      </w:r>
      <w:r>
        <w:t xml:space="preserve"> Non-monetary methods</w:t>
      </w:r>
      <w:r w:rsidR="004E0165">
        <w:t xml:space="preserve"> of benefit sharing</w:t>
      </w:r>
      <w:r>
        <w:t xml:space="preserve">, such as official acknowledgement of the traditional knowledge or sharing Gallvectra with the people of Aurok at a reduced cost, would be more appropriate.  </w:t>
      </w:r>
    </w:p>
    <w:p w14:paraId="0E364DC0" w14:textId="77777777" w:rsidR="00EC5B59" w:rsidRDefault="00EC5B59" w:rsidP="00EC5B59">
      <w:pPr>
        <w:pStyle w:val="Heading5"/>
      </w:pPr>
      <w:bookmarkStart w:id="232" w:name="_Toc534995819"/>
      <w:bookmarkStart w:id="233" w:name="_Toc535037221"/>
      <w:r>
        <w:t>Any moral damage does not justify financial reparation</w:t>
      </w:r>
      <w:bookmarkEnd w:id="232"/>
      <w:bookmarkEnd w:id="233"/>
    </w:p>
    <w:p w14:paraId="54518422" w14:textId="4D8E5701" w:rsidR="00EC5B59" w:rsidRDefault="00EC5B59" w:rsidP="00EC5B59">
      <w:r>
        <w:t xml:space="preserve">Compensation for </w:t>
      </w:r>
      <w:r w:rsidR="00C629BF">
        <w:t>“</w:t>
      </w:r>
      <w:r>
        <w:t>moral</w:t>
      </w:r>
      <w:r w:rsidR="00C629BF">
        <w:t xml:space="preserve">” </w:t>
      </w:r>
      <w:r>
        <w:t>injuries is limited to real mental or psychological suffering,</w:t>
      </w:r>
      <w:r>
        <w:rPr>
          <w:rStyle w:val="FootnoteReference"/>
        </w:rPr>
        <w:footnoteReference w:id="256"/>
      </w:r>
      <w:r>
        <w:t xml:space="preserve"> and must be equitable.</w:t>
      </w:r>
      <w:r>
        <w:rPr>
          <w:rStyle w:val="FootnoteReference"/>
        </w:rPr>
        <w:footnoteReference w:id="257"/>
      </w:r>
      <w:r>
        <w:t xml:space="preserve"> This includes wrongful death of loved ones,</w:t>
      </w:r>
      <w:r>
        <w:rPr>
          <w:rStyle w:val="FootnoteReference"/>
        </w:rPr>
        <w:footnoteReference w:id="258"/>
      </w:r>
      <w:r>
        <w:t xml:space="preserve"> and serious human rights breaches.</w:t>
      </w:r>
      <w:r>
        <w:rPr>
          <w:rStyle w:val="FootnoteReference"/>
        </w:rPr>
        <w:footnoteReference w:id="259"/>
      </w:r>
      <w:r>
        <w:t xml:space="preserve"> Using someone’s traditional knowledge without sharing benefits does not meet this high standard as there is no evidence of any psychological harm. Compensation cannot be punitive,</w:t>
      </w:r>
      <w:r>
        <w:rPr>
          <w:rStyle w:val="FootnoteReference"/>
        </w:rPr>
        <w:footnoteReference w:id="260"/>
      </w:r>
      <w:r>
        <w:t xml:space="preserve"> which is all an award would be in this context. </w:t>
      </w:r>
    </w:p>
    <w:p w14:paraId="5646EDD5" w14:textId="038164CF" w:rsidR="00EC5B59" w:rsidRPr="0039146E" w:rsidRDefault="00EC5B59" w:rsidP="009B075E">
      <w:pPr>
        <w:ind w:firstLine="720"/>
        <w:rPr>
          <w:b/>
        </w:rPr>
      </w:pPr>
      <w:r>
        <w:t xml:space="preserve">Finally, while satisfaction could take monetary form, it is limited to moral injuries which are an affront to a State or </w:t>
      </w:r>
      <w:r w:rsidR="009B075E">
        <w:t>its</w:t>
      </w:r>
      <w:r>
        <w:t xml:space="preserve"> reputation.</w:t>
      </w:r>
      <w:r>
        <w:rPr>
          <w:rStyle w:val="FootnoteReference"/>
        </w:rPr>
        <w:footnoteReference w:id="261"/>
      </w:r>
      <w:r>
        <w:t xml:space="preserve"> It is</w:t>
      </w:r>
      <w:r w:rsidR="009B075E">
        <w:t>,</w:t>
      </w:r>
      <w:r>
        <w:t xml:space="preserve"> therefore</w:t>
      </w:r>
      <w:r w:rsidR="009B075E">
        <w:t>,</w:t>
      </w:r>
      <w:r>
        <w:t xml:space="preserve"> inappropriate reparation for a breach of benefit sharing obligations. A more appropriate form of reparation would be satisfaction in the form of a declaration of a breach.</w:t>
      </w:r>
      <w:r>
        <w:rPr>
          <w:rStyle w:val="FootnoteReference"/>
        </w:rPr>
        <w:footnoteReference w:id="262"/>
      </w:r>
    </w:p>
    <w:p w14:paraId="7A1EEA47" w14:textId="77777777" w:rsidR="00EC5B59" w:rsidRPr="00570B38" w:rsidRDefault="00EC5B59" w:rsidP="00EC5B59"/>
    <w:p w14:paraId="448D3C1A" w14:textId="5166E34A" w:rsidR="00EC5B59" w:rsidRDefault="00EC5B59" w:rsidP="00EC5B59">
      <w:pPr>
        <w:rPr>
          <w:lang w:val="en-AU"/>
        </w:rPr>
      </w:pPr>
    </w:p>
    <w:p w14:paraId="732A7F65" w14:textId="77777777" w:rsidR="00F62191" w:rsidRDefault="00F62191" w:rsidP="00EC5B59">
      <w:pPr>
        <w:rPr>
          <w:lang w:val="en-AU"/>
        </w:rPr>
      </w:pPr>
    </w:p>
    <w:p w14:paraId="72BD8A07" w14:textId="77777777" w:rsidR="00F62191" w:rsidRDefault="00F62191" w:rsidP="00EC5B59">
      <w:pPr>
        <w:pStyle w:val="Heading1"/>
      </w:pPr>
      <w:r>
        <w:lastRenderedPageBreak/>
        <w:br w:type="page"/>
      </w:r>
    </w:p>
    <w:p w14:paraId="159B67E9" w14:textId="2FA547BA" w:rsidR="00EC5B59" w:rsidRDefault="00EC5B59" w:rsidP="00EC5B59">
      <w:pPr>
        <w:pStyle w:val="Heading1"/>
      </w:pPr>
      <w:bookmarkStart w:id="234" w:name="_Toc534995820"/>
      <w:bookmarkStart w:id="235" w:name="_Toc535037222"/>
      <w:r>
        <w:lastRenderedPageBreak/>
        <w:t>Conclusion and prayer for relief</w:t>
      </w:r>
      <w:bookmarkEnd w:id="234"/>
      <w:bookmarkEnd w:id="235"/>
    </w:p>
    <w:p w14:paraId="05EE1689" w14:textId="77777777" w:rsidR="00EC5B59" w:rsidRDefault="00EC5B59" w:rsidP="00EC5B59">
      <w:r>
        <w:t>Rakkab respectfully requests the Court to:</w:t>
      </w:r>
    </w:p>
    <w:p w14:paraId="19E344C9" w14:textId="77777777" w:rsidR="00EC5B59" w:rsidRDefault="00EC5B59" w:rsidP="00EC5B59">
      <w:pPr>
        <w:pStyle w:val="ListParagraph"/>
        <w:numPr>
          <w:ilvl w:val="0"/>
          <w:numId w:val="12"/>
        </w:numPr>
      </w:pPr>
      <w:r w:rsidRPr="000B4330">
        <w:rPr>
          <w:b/>
        </w:rPr>
        <w:t>DECLARE</w:t>
      </w:r>
      <w:r>
        <w:rPr>
          <w:b/>
        </w:rPr>
        <w:t xml:space="preserve"> </w:t>
      </w:r>
      <w:r>
        <w:t>that DORTA’s actions are not attributable to Rakkab and Rakkab is not responsible for failing to prevent DORTA’s actions.</w:t>
      </w:r>
    </w:p>
    <w:p w14:paraId="3ED2A3A5" w14:textId="77777777" w:rsidR="00EC5B59" w:rsidRDefault="00EC5B59" w:rsidP="00EC5B59">
      <w:pPr>
        <w:pStyle w:val="ListParagraph"/>
      </w:pPr>
    </w:p>
    <w:p w14:paraId="31DCB581" w14:textId="77777777" w:rsidR="00EC5B59" w:rsidRDefault="00EC5B59" w:rsidP="00EC5B59">
      <w:pPr>
        <w:pStyle w:val="ListParagraph"/>
        <w:numPr>
          <w:ilvl w:val="0"/>
          <w:numId w:val="12"/>
        </w:numPr>
      </w:pPr>
      <w:r>
        <w:rPr>
          <w:b/>
        </w:rPr>
        <w:t xml:space="preserve">DECLARE </w:t>
      </w:r>
      <w:r>
        <w:t xml:space="preserve">the harvesting of the Yak does not violate </w:t>
      </w:r>
      <w:proofErr w:type="spellStart"/>
      <w:r>
        <w:t>Rakkab’s</w:t>
      </w:r>
      <w:proofErr w:type="spellEnd"/>
      <w:r>
        <w:t xml:space="preserve"> international obligations relating to the environment or the protection of endangered species. </w:t>
      </w:r>
    </w:p>
    <w:p w14:paraId="7B2BD10E" w14:textId="77777777" w:rsidR="00EC5B59" w:rsidRDefault="00EC5B59" w:rsidP="00EC5B59">
      <w:pPr>
        <w:pStyle w:val="ListParagraph"/>
      </w:pPr>
    </w:p>
    <w:p w14:paraId="5AFFF2F5" w14:textId="77777777" w:rsidR="00EC5B59" w:rsidRDefault="00EC5B59" w:rsidP="00EC5B59">
      <w:pPr>
        <w:pStyle w:val="ListParagraph"/>
        <w:numPr>
          <w:ilvl w:val="0"/>
          <w:numId w:val="12"/>
        </w:numPr>
      </w:pPr>
      <w:r>
        <w:rPr>
          <w:b/>
        </w:rPr>
        <w:t xml:space="preserve">DECLARE </w:t>
      </w:r>
      <w:r>
        <w:t xml:space="preserve">the harvesting of the Yak does not violate </w:t>
      </w:r>
      <w:proofErr w:type="spellStart"/>
      <w:r>
        <w:t>Rakkab’s</w:t>
      </w:r>
      <w:proofErr w:type="spellEnd"/>
      <w:r>
        <w:t xml:space="preserve"> obligations to protect cultural or religious rights. </w:t>
      </w:r>
    </w:p>
    <w:p w14:paraId="281877FF" w14:textId="77777777" w:rsidR="00EC5B59" w:rsidRDefault="00EC5B59" w:rsidP="00EC5B59">
      <w:pPr>
        <w:pStyle w:val="ListParagraph"/>
      </w:pPr>
    </w:p>
    <w:p w14:paraId="4DC0470E" w14:textId="77777777" w:rsidR="00EC5B59" w:rsidRDefault="00EC5B59" w:rsidP="00EC5B59">
      <w:pPr>
        <w:pStyle w:val="ListParagraph"/>
        <w:numPr>
          <w:ilvl w:val="0"/>
          <w:numId w:val="12"/>
        </w:numPr>
      </w:pPr>
      <w:r>
        <w:rPr>
          <w:b/>
        </w:rPr>
        <w:t xml:space="preserve">DECLARE </w:t>
      </w:r>
      <w:r>
        <w:t xml:space="preserve">Rakkab was not required to ensure benefit sharing for the use of traditional knowledge and is not required to pay a portion of the Gallvectra profits.  </w:t>
      </w:r>
    </w:p>
    <w:p w14:paraId="6472C09F" w14:textId="77777777" w:rsidR="00EC5B59" w:rsidRPr="000B4330" w:rsidRDefault="00EC5B59" w:rsidP="00EC5B59"/>
    <w:p w14:paraId="21547A1E" w14:textId="77777777" w:rsidR="00EC5B59" w:rsidRPr="002362F4" w:rsidRDefault="00EC5B59" w:rsidP="00EC5B59"/>
    <w:p w14:paraId="4A32B01F" w14:textId="77777777" w:rsidR="00EC5B59" w:rsidRPr="00EC5B59" w:rsidRDefault="00EC5B59" w:rsidP="00EC5B59">
      <w:pPr>
        <w:rPr>
          <w:lang w:val="en-AU"/>
        </w:rPr>
      </w:pPr>
    </w:p>
    <w:sectPr w:rsidR="00EC5B59" w:rsidRPr="00EC5B59" w:rsidSect="002362F4">
      <w:footerReference w:type="default" r:id="rId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1B1BB" w14:textId="77777777" w:rsidR="0001407C" w:rsidRDefault="0001407C" w:rsidP="00B2616D">
      <w:pPr>
        <w:spacing w:after="0" w:line="240" w:lineRule="auto"/>
      </w:pPr>
      <w:r>
        <w:separator/>
      </w:r>
    </w:p>
  </w:endnote>
  <w:endnote w:type="continuationSeparator" w:id="0">
    <w:p w14:paraId="5E9A140A" w14:textId="77777777" w:rsidR="0001407C" w:rsidRDefault="0001407C" w:rsidP="00B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NewRomanP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745514"/>
      <w:docPartObj>
        <w:docPartGallery w:val="Page Numbers (Bottom of Page)"/>
        <w:docPartUnique/>
      </w:docPartObj>
    </w:sdtPr>
    <w:sdtEndPr>
      <w:rPr>
        <w:noProof/>
      </w:rPr>
    </w:sdtEndPr>
    <w:sdtContent>
      <w:p w14:paraId="0B3396E3" w14:textId="77777777" w:rsidR="009A7F82" w:rsidRDefault="009A7F82">
        <w:pPr>
          <w:pStyle w:val="Footer"/>
          <w:jc w:val="right"/>
        </w:pPr>
        <w:r w:rsidRPr="001414A1">
          <w:rPr>
            <w:sz w:val="20"/>
          </w:rPr>
          <w:fldChar w:fldCharType="begin"/>
        </w:r>
        <w:r w:rsidRPr="001414A1">
          <w:rPr>
            <w:sz w:val="20"/>
          </w:rPr>
          <w:instrText xml:space="preserve"> PAGE   \* MERGEFORMAT </w:instrText>
        </w:r>
        <w:r w:rsidRPr="001414A1">
          <w:rPr>
            <w:sz w:val="20"/>
          </w:rPr>
          <w:fldChar w:fldCharType="separate"/>
        </w:r>
        <w:r>
          <w:rPr>
            <w:noProof/>
            <w:sz w:val="20"/>
          </w:rPr>
          <w:t>1</w:t>
        </w:r>
        <w:r w:rsidRPr="001414A1">
          <w:rPr>
            <w:noProof/>
            <w:sz w:val="20"/>
          </w:rPr>
          <w:fldChar w:fldCharType="end"/>
        </w:r>
      </w:p>
    </w:sdtContent>
  </w:sdt>
  <w:p w14:paraId="553047B3" w14:textId="77777777" w:rsidR="009A7F82" w:rsidRDefault="009A7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0F6B0" w14:textId="77777777" w:rsidR="0001407C" w:rsidRDefault="0001407C" w:rsidP="00B2616D">
      <w:pPr>
        <w:spacing w:after="0" w:line="240" w:lineRule="auto"/>
      </w:pPr>
      <w:r>
        <w:separator/>
      </w:r>
    </w:p>
  </w:footnote>
  <w:footnote w:type="continuationSeparator" w:id="0">
    <w:p w14:paraId="298DB8F6" w14:textId="77777777" w:rsidR="0001407C" w:rsidRDefault="0001407C" w:rsidP="00B2616D">
      <w:pPr>
        <w:spacing w:after="0" w:line="240" w:lineRule="auto"/>
      </w:pPr>
      <w:r>
        <w:continuationSeparator/>
      </w:r>
    </w:p>
  </w:footnote>
  <w:footnote w:id="1">
    <w:p w14:paraId="2978ABF1" w14:textId="77777777" w:rsidR="009A7F82" w:rsidRPr="000356C6" w:rsidRDefault="009A7F82" w:rsidP="00A629B5">
      <w:pPr>
        <w:pStyle w:val="FootnoteText"/>
      </w:pPr>
      <w:r>
        <w:rPr>
          <w:rStyle w:val="FootnoteReference"/>
        </w:rPr>
        <w:footnoteRef/>
      </w:r>
      <w:r>
        <w:t xml:space="preserve"> </w:t>
      </w:r>
      <w:r w:rsidRPr="00DF11A3">
        <w:t>ASR</w:t>
      </w:r>
      <w:r>
        <w:t>, art 4(1).</w:t>
      </w:r>
    </w:p>
  </w:footnote>
  <w:footnote w:id="2">
    <w:p w14:paraId="156914AB" w14:textId="77777777" w:rsidR="009A7F82" w:rsidRPr="000356C6" w:rsidRDefault="009A7F82" w:rsidP="00A629B5">
      <w:pPr>
        <w:pStyle w:val="FootnoteText"/>
      </w:pPr>
      <w:r>
        <w:rPr>
          <w:rStyle w:val="FootnoteReference"/>
        </w:rPr>
        <w:footnoteRef/>
      </w:r>
      <w:r>
        <w:t xml:space="preserve"> </w:t>
      </w:r>
      <w:r w:rsidRPr="00DF11A3">
        <w:t>ASR</w:t>
      </w:r>
      <w:r>
        <w:t xml:space="preserve">, art 4(2); </w:t>
      </w:r>
      <w:r>
        <w:rPr>
          <w:i/>
          <w:color w:val="000000"/>
        </w:rPr>
        <w:t>State Responsibility: Comments and Observations from Governments</w:t>
      </w:r>
      <w:r>
        <w:rPr>
          <w:color w:val="000000"/>
        </w:rPr>
        <w:t>, Comment from Poland, 48.</w:t>
      </w:r>
    </w:p>
  </w:footnote>
  <w:footnote w:id="3">
    <w:p w14:paraId="7B4AAEF9" w14:textId="77777777" w:rsidR="009A7F82" w:rsidRPr="000356C6" w:rsidRDefault="009A7F82" w:rsidP="00A629B5">
      <w:pPr>
        <w:pStyle w:val="FootnoteText"/>
      </w:pPr>
      <w:r>
        <w:rPr>
          <w:rStyle w:val="FootnoteReference"/>
        </w:rPr>
        <w:footnoteRef/>
      </w:r>
      <w:r>
        <w:t xml:space="preserve"> </w:t>
      </w:r>
      <w:r w:rsidRPr="00D4014B">
        <w:rPr>
          <w:i/>
        </w:rPr>
        <w:t>Compromis</w:t>
      </w:r>
      <w:r>
        <w:t>, [10].</w:t>
      </w:r>
    </w:p>
  </w:footnote>
  <w:footnote w:id="4">
    <w:p w14:paraId="7B2771E7" w14:textId="77777777" w:rsidR="009A7F82" w:rsidRPr="00947173" w:rsidRDefault="009A7F82" w:rsidP="00A629B5">
      <w:pPr>
        <w:pStyle w:val="FootnoteText"/>
        <w:rPr>
          <w:lang w:val="en-AU"/>
        </w:rPr>
      </w:pPr>
      <w:r>
        <w:rPr>
          <w:rStyle w:val="FootnoteReference"/>
        </w:rPr>
        <w:footnoteRef/>
      </w:r>
      <w:r>
        <w:t xml:space="preserve"> </w:t>
      </w:r>
      <w:r w:rsidRPr="00D67951">
        <w:t xml:space="preserve">ASR Commentary, </w:t>
      </w:r>
      <w:r>
        <w:rPr>
          <w:lang w:val="en-AU"/>
        </w:rPr>
        <w:t>art 4, [3]. See also ASR Commentary, footnotes 107–108.</w:t>
      </w:r>
    </w:p>
  </w:footnote>
  <w:footnote w:id="5">
    <w:p w14:paraId="3349970A" w14:textId="77777777" w:rsidR="009A7F82" w:rsidRPr="00674E29" w:rsidRDefault="009A7F82" w:rsidP="00A629B5">
      <w:pPr>
        <w:pStyle w:val="FootnoteText"/>
      </w:pPr>
      <w:r>
        <w:rPr>
          <w:rStyle w:val="FootnoteReference"/>
        </w:rPr>
        <w:footnoteRef/>
      </w:r>
      <w:r>
        <w:t xml:space="preserve"> </w:t>
      </w:r>
      <w:r w:rsidRPr="00D30C2E">
        <w:rPr>
          <w:i/>
        </w:rPr>
        <w:t>Compromis</w:t>
      </w:r>
      <w:r>
        <w:t>, [11].</w:t>
      </w:r>
    </w:p>
  </w:footnote>
  <w:footnote w:id="6">
    <w:p w14:paraId="293438AB" w14:textId="1AB304AB" w:rsidR="009A7F82" w:rsidRPr="00A414B0" w:rsidRDefault="009A7F82" w:rsidP="00A629B5">
      <w:pPr>
        <w:pStyle w:val="FootnoteText"/>
        <w:rPr>
          <w:lang w:val="en-AU"/>
        </w:rPr>
      </w:pPr>
      <w:r w:rsidRPr="00AA0964">
        <w:rPr>
          <w:rStyle w:val="FootnoteReference"/>
        </w:rPr>
        <w:footnoteRef/>
      </w:r>
      <w:r w:rsidRPr="00AA0964">
        <w:t xml:space="preserve"> </w:t>
      </w:r>
      <w:r>
        <w:rPr>
          <w:lang w:val="en-AU"/>
        </w:rPr>
        <w:t xml:space="preserve">Kolb (2013), 935; </w:t>
      </w:r>
      <w:r>
        <w:rPr>
          <w:i/>
          <w:lang w:val="en-AU"/>
        </w:rPr>
        <w:t>Asylum Case</w:t>
      </w:r>
      <w:r>
        <w:rPr>
          <w:lang w:val="en-AU"/>
        </w:rPr>
        <w:t>, 276.</w:t>
      </w:r>
    </w:p>
  </w:footnote>
  <w:footnote w:id="7">
    <w:p w14:paraId="536ED063" w14:textId="77777777" w:rsidR="009A7F82" w:rsidRPr="00B44B4C" w:rsidRDefault="009A7F82" w:rsidP="00A629B5">
      <w:pPr>
        <w:pStyle w:val="FootnoteText"/>
      </w:pPr>
      <w:r>
        <w:rPr>
          <w:rStyle w:val="FootnoteReference"/>
        </w:rPr>
        <w:footnoteRef/>
      </w:r>
      <w:r>
        <w:t xml:space="preserve"> </w:t>
      </w:r>
      <w:r w:rsidRPr="001577DC">
        <w:rPr>
          <w:i/>
        </w:rPr>
        <w:t>North Sea Continental Shelf</w:t>
      </w:r>
      <w:r>
        <w:t>, [77]; Shaw (2017), 54–56.</w:t>
      </w:r>
    </w:p>
  </w:footnote>
  <w:footnote w:id="8">
    <w:p w14:paraId="5D3D3EC1" w14:textId="77777777" w:rsidR="009A7F82" w:rsidRPr="00C247AE" w:rsidRDefault="009A7F82" w:rsidP="00A629B5">
      <w:pPr>
        <w:pStyle w:val="FootnoteText"/>
      </w:pPr>
      <w:r>
        <w:rPr>
          <w:rStyle w:val="FootnoteReference"/>
        </w:rPr>
        <w:footnoteRef/>
      </w:r>
      <w:r>
        <w:t xml:space="preserve"> </w:t>
      </w:r>
      <w:r w:rsidRPr="001577DC">
        <w:rPr>
          <w:i/>
        </w:rPr>
        <w:t>North Sea Continental Shelf</w:t>
      </w:r>
      <w:r>
        <w:t>, [74].</w:t>
      </w:r>
    </w:p>
  </w:footnote>
  <w:footnote w:id="9">
    <w:p w14:paraId="119D5552" w14:textId="4E93FAE6" w:rsidR="009A7F82" w:rsidRPr="00793687" w:rsidRDefault="009A7F82" w:rsidP="00A629B5">
      <w:pPr>
        <w:pStyle w:val="FootnoteText"/>
      </w:pPr>
      <w:r>
        <w:rPr>
          <w:rStyle w:val="FootnoteReference"/>
        </w:rPr>
        <w:footnoteRef/>
      </w:r>
      <w:r>
        <w:t xml:space="preserve"> </w:t>
      </w:r>
      <w:r>
        <w:rPr>
          <w:i/>
        </w:rPr>
        <w:t>Fifty-Fifth Session Topical Summary</w:t>
      </w:r>
      <w:r>
        <w:t>, [17].</w:t>
      </w:r>
    </w:p>
  </w:footnote>
  <w:footnote w:id="10">
    <w:p w14:paraId="5BDEF125" w14:textId="77777777" w:rsidR="009A7F82" w:rsidRPr="008E4B8A" w:rsidRDefault="009A7F82" w:rsidP="00A629B5">
      <w:pPr>
        <w:pStyle w:val="FootnoteText"/>
      </w:pPr>
      <w:r>
        <w:rPr>
          <w:rStyle w:val="FootnoteReference"/>
        </w:rPr>
        <w:footnoteRef/>
      </w:r>
      <w:r>
        <w:t xml:space="preserve"> </w:t>
      </w:r>
      <w:r>
        <w:rPr>
          <w:i/>
          <w:color w:val="000000"/>
        </w:rPr>
        <w:t>State Responsibility: Comments and Observations from Governments</w:t>
      </w:r>
      <w:r>
        <w:rPr>
          <w:color w:val="000000"/>
        </w:rPr>
        <w:t>, Comments from Japan, Netherland, United Kingdom, Northern Ireland, 48–49</w:t>
      </w:r>
      <w:r>
        <w:t>; Moya (2015)</w:t>
      </w:r>
      <w:r>
        <w:rPr>
          <w:lang w:val="en-US"/>
        </w:rPr>
        <w:t xml:space="preserve">, </w:t>
      </w:r>
      <w:r>
        <w:t>827–828.</w:t>
      </w:r>
    </w:p>
  </w:footnote>
  <w:footnote w:id="11">
    <w:p w14:paraId="12D607CA" w14:textId="77777777" w:rsidR="009A7F82" w:rsidRPr="009F5F3B" w:rsidRDefault="009A7F82" w:rsidP="00A629B5">
      <w:pPr>
        <w:pStyle w:val="FootnoteText"/>
      </w:pPr>
      <w:r w:rsidRPr="009F5F3B">
        <w:rPr>
          <w:rStyle w:val="FootnoteReference"/>
        </w:rPr>
        <w:footnoteRef/>
      </w:r>
      <w:r w:rsidRPr="009F5F3B">
        <w:t xml:space="preserve"> ASR Commentary, art 5, [6].</w:t>
      </w:r>
    </w:p>
  </w:footnote>
  <w:footnote w:id="12">
    <w:p w14:paraId="37F580B6" w14:textId="77777777" w:rsidR="009A7F82" w:rsidRPr="009F5F3B" w:rsidRDefault="009A7F82" w:rsidP="00A629B5">
      <w:pPr>
        <w:pStyle w:val="FootnoteText"/>
        <w:rPr>
          <w:lang w:val="en-AU"/>
        </w:rPr>
      </w:pPr>
      <w:r w:rsidRPr="009F5F3B">
        <w:rPr>
          <w:rStyle w:val="FootnoteReference"/>
        </w:rPr>
        <w:footnoteRef/>
      </w:r>
      <w:r w:rsidRPr="009F5F3B">
        <w:t xml:space="preserve"> </w:t>
      </w:r>
      <w:r w:rsidRPr="009F5F3B">
        <w:rPr>
          <w:lang w:val="en-AU"/>
        </w:rPr>
        <w:t>ASR Commentary, art 5, [7].</w:t>
      </w:r>
    </w:p>
  </w:footnote>
  <w:footnote w:id="13">
    <w:p w14:paraId="6057A606" w14:textId="77777777" w:rsidR="009A7F82" w:rsidRPr="009F5F3B" w:rsidRDefault="009A7F82" w:rsidP="00A629B5">
      <w:pPr>
        <w:pStyle w:val="FootnoteText"/>
      </w:pPr>
      <w:r w:rsidRPr="009F5F3B">
        <w:rPr>
          <w:rStyle w:val="FootnoteReference"/>
        </w:rPr>
        <w:footnoteRef/>
      </w:r>
      <w:r w:rsidRPr="009F5F3B">
        <w:t xml:space="preserve"> </w:t>
      </w:r>
      <w:r w:rsidRPr="009F5F3B">
        <w:rPr>
          <w:lang w:val="en-AU"/>
        </w:rPr>
        <w:t>ASR Commentary, art 5, [7].</w:t>
      </w:r>
    </w:p>
  </w:footnote>
  <w:footnote w:id="14">
    <w:p w14:paraId="1D892134" w14:textId="77777777" w:rsidR="009A7F82" w:rsidRPr="00360178" w:rsidRDefault="009A7F82" w:rsidP="00A629B5">
      <w:pPr>
        <w:pStyle w:val="FootnoteText"/>
        <w:rPr>
          <w:lang w:val="en-AU"/>
        </w:rPr>
      </w:pPr>
      <w:r w:rsidRPr="009F5F3B">
        <w:rPr>
          <w:rStyle w:val="FootnoteReference"/>
        </w:rPr>
        <w:footnoteRef/>
      </w:r>
      <w:r w:rsidRPr="009F5F3B">
        <w:t xml:space="preserve"> </w:t>
      </w:r>
      <w:r w:rsidRPr="009F5F3B">
        <w:rPr>
          <w:lang w:val="en-AU"/>
        </w:rPr>
        <w:t>ASR Commentary, art 5, [6]</w:t>
      </w:r>
      <w:r>
        <w:rPr>
          <w:lang w:val="en-AU"/>
        </w:rPr>
        <w:t xml:space="preserve">; </w:t>
      </w:r>
      <w:r w:rsidRPr="00843E25">
        <w:rPr>
          <w:lang w:val="en-AU"/>
        </w:rPr>
        <w:t>Crawford (2013), 129</w:t>
      </w:r>
      <w:r>
        <w:rPr>
          <w:lang w:val="en-AU"/>
        </w:rPr>
        <w:t>.</w:t>
      </w:r>
    </w:p>
  </w:footnote>
  <w:footnote w:id="15">
    <w:p w14:paraId="754FD384" w14:textId="77777777" w:rsidR="005B4DBF" w:rsidRPr="00E713F1" w:rsidRDefault="005B4DBF" w:rsidP="005B4DBF">
      <w:pPr>
        <w:pStyle w:val="FootnoteText"/>
        <w:rPr>
          <w:lang w:val="en-AU"/>
        </w:rPr>
      </w:pPr>
      <w:r>
        <w:rPr>
          <w:rStyle w:val="FootnoteReference"/>
        </w:rPr>
        <w:footnoteRef/>
      </w:r>
      <w:r>
        <w:t xml:space="preserve"> </w:t>
      </w:r>
      <w:r>
        <w:rPr>
          <w:i/>
          <w:lang w:val="en-AU"/>
        </w:rPr>
        <w:t>Compromis</w:t>
      </w:r>
      <w:r>
        <w:rPr>
          <w:lang w:val="en-AU"/>
        </w:rPr>
        <w:t>, [11], [21], [38].</w:t>
      </w:r>
    </w:p>
  </w:footnote>
  <w:footnote w:id="16">
    <w:p w14:paraId="12727767" w14:textId="77777777" w:rsidR="005B4DBF" w:rsidRPr="00BF7DDF" w:rsidRDefault="005B4DBF" w:rsidP="005B4DBF">
      <w:pPr>
        <w:pStyle w:val="FootnoteText"/>
        <w:rPr>
          <w:lang w:val="en-AU"/>
        </w:rPr>
      </w:pPr>
      <w:r>
        <w:rPr>
          <w:rStyle w:val="FootnoteReference"/>
        </w:rPr>
        <w:footnoteRef/>
      </w:r>
      <w:r>
        <w:t xml:space="preserve"> </w:t>
      </w:r>
      <w:r>
        <w:rPr>
          <w:iCs/>
          <w:color w:val="000000"/>
        </w:rPr>
        <w:t xml:space="preserve">WHO </w:t>
      </w:r>
      <w:r w:rsidRPr="00C90BF7">
        <w:rPr>
          <w:i/>
          <w:iCs/>
          <w:color w:val="000000"/>
        </w:rPr>
        <w:t>Public-Private Roles in the Pharmaceutical Sector</w:t>
      </w:r>
      <w:r>
        <w:t>, [3.4], 30</w:t>
      </w:r>
      <w:r>
        <w:rPr>
          <w:lang w:val="en-AU"/>
        </w:rPr>
        <w:t>.</w:t>
      </w:r>
    </w:p>
  </w:footnote>
  <w:footnote w:id="17">
    <w:p w14:paraId="133D9D9C" w14:textId="7947570D" w:rsidR="009A7F82" w:rsidRPr="00DE4CE2" w:rsidRDefault="009A7F82" w:rsidP="00A629B5">
      <w:pPr>
        <w:pStyle w:val="FootnoteText"/>
        <w:rPr>
          <w:lang w:val="en-AU"/>
        </w:rPr>
      </w:pPr>
      <w:r w:rsidRPr="00F408DE">
        <w:rPr>
          <w:rStyle w:val="FootnoteReference"/>
        </w:rPr>
        <w:footnoteRef/>
      </w:r>
      <w:r w:rsidRPr="00F408DE">
        <w:t xml:space="preserve"> </w:t>
      </w:r>
      <w:r w:rsidRPr="00F408DE">
        <w:rPr>
          <w:lang w:val="en-AU"/>
        </w:rPr>
        <w:t>ASR Commentary, art 5, [5]</w:t>
      </w:r>
      <w:r>
        <w:rPr>
          <w:lang w:val="en-AU"/>
        </w:rPr>
        <w:t xml:space="preserve">; </w:t>
      </w:r>
      <w:r>
        <w:rPr>
          <w:i/>
          <w:lang w:val="en-AU"/>
        </w:rPr>
        <w:t>United Parcels Service Inc v Canada</w:t>
      </w:r>
      <w:r>
        <w:rPr>
          <w:lang w:val="en-AU"/>
        </w:rPr>
        <w:t>, [63].</w:t>
      </w:r>
    </w:p>
  </w:footnote>
  <w:footnote w:id="18">
    <w:p w14:paraId="3DD4223E" w14:textId="77777777" w:rsidR="009A7F82" w:rsidRPr="00B0496A" w:rsidRDefault="009A7F82" w:rsidP="00A629B5">
      <w:pPr>
        <w:pStyle w:val="FootnoteText"/>
        <w:rPr>
          <w:i/>
        </w:rPr>
      </w:pPr>
      <w:r>
        <w:rPr>
          <w:rStyle w:val="FootnoteReference"/>
        </w:rPr>
        <w:footnoteRef/>
      </w:r>
      <w:r>
        <w:t xml:space="preserve"> </w:t>
      </w:r>
      <w:r>
        <w:rPr>
          <w:iCs/>
          <w:color w:val="000000"/>
        </w:rPr>
        <w:t xml:space="preserve">WHO </w:t>
      </w:r>
      <w:r w:rsidRPr="00C90BF7">
        <w:rPr>
          <w:i/>
          <w:iCs/>
          <w:color w:val="000000"/>
        </w:rPr>
        <w:t>Public-Private Roles in the Pharmaceutical Sector</w:t>
      </w:r>
      <w:r>
        <w:t>, [3.4].</w:t>
      </w:r>
    </w:p>
  </w:footnote>
  <w:footnote w:id="19">
    <w:p w14:paraId="0E3283B0" w14:textId="312036CD" w:rsidR="009A7F82" w:rsidRPr="009F3328" w:rsidRDefault="009A7F82" w:rsidP="00A629B5">
      <w:pPr>
        <w:pStyle w:val="FootnoteText"/>
      </w:pPr>
      <w:r>
        <w:rPr>
          <w:rStyle w:val="FootnoteReference"/>
        </w:rPr>
        <w:footnoteRef/>
      </w:r>
      <w:r>
        <w:t xml:space="preserve"> ASR Commentary, art 8, [6]. See generally </w:t>
      </w:r>
      <w:r>
        <w:rPr>
          <w:i/>
        </w:rPr>
        <w:t>Foremost Tehran Inc v Iran</w:t>
      </w:r>
      <w:r>
        <w:t>.</w:t>
      </w:r>
    </w:p>
  </w:footnote>
  <w:footnote w:id="20">
    <w:p w14:paraId="42F29E46" w14:textId="77777777" w:rsidR="009A7F82" w:rsidRPr="00E33963" w:rsidRDefault="009A7F82" w:rsidP="00A629B5">
      <w:pPr>
        <w:pStyle w:val="FootnoteText"/>
        <w:rPr>
          <w:lang w:val="en-AU"/>
        </w:rPr>
      </w:pPr>
      <w:r>
        <w:rPr>
          <w:rStyle w:val="FootnoteReference"/>
        </w:rPr>
        <w:footnoteRef/>
      </w:r>
      <w:r>
        <w:t xml:space="preserve"> </w:t>
      </w:r>
      <w:r>
        <w:rPr>
          <w:i/>
          <w:lang w:val="en-AU"/>
        </w:rPr>
        <w:t>Clarifications</w:t>
      </w:r>
      <w:r>
        <w:rPr>
          <w:lang w:val="en-AU"/>
        </w:rPr>
        <w:t>, [4].</w:t>
      </w:r>
    </w:p>
  </w:footnote>
  <w:footnote w:id="21">
    <w:p w14:paraId="70AECB21" w14:textId="77777777" w:rsidR="009A7F82" w:rsidRPr="00DA655A" w:rsidRDefault="009A7F82" w:rsidP="00A629B5">
      <w:pPr>
        <w:pStyle w:val="FootnoteText"/>
        <w:rPr>
          <w:lang w:val="en-AU"/>
        </w:rPr>
      </w:pPr>
      <w:r>
        <w:rPr>
          <w:rStyle w:val="FootnoteReference"/>
        </w:rPr>
        <w:footnoteRef/>
      </w:r>
      <w:r>
        <w:t xml:space="preserve"> </w:t>
      </w:r>
      <w:r>
        <w:rPr>
          <w:i/>
          <w:lang w:val="en-AU"/>
        </w:rPr>
        <w:t>Nicaragua</w:t>
      </w:r>
      <w:r>
        <w:rPr>
          <w:lang w:val="en-AU"/>
        </w:rPr>
        <w:t>, [62], [64]</w:t>
      </w:r>
      <w:r>
        <w:rPr>
          <w:lang w:val="en-AU"/>
        </w:rPr>
        <w:t>–[65], [86], [109], [115]; ASR Commentary, art 8, [4].</w:t>
      </w:r>
    </w:p>
  </w:footnote>
  <w:footnote w:id="22">
    <w:p w14:paraId="7CB399CF" w14:textId="2C477C3E" w:rsidR="009A7F82" w:rsidRPr="00AD52E8" w:rsidRDefault="009A7F82" w:rsidP="00A629B5">
      <w:pPr>
        <w:pStyle w:val="FootnoteText"/>
      </w:pPr>
      <w:r>
        <w:rPr>
          <w:rStyle w:val="FootnoteReference"/>
        </w:rPr>
        <w:footnoteRef/>
      </w:r>
      <w:r>
        <w:t xml:space="preserve"> ASR Commentary, art 8, [4]; </w:t>
      </w:r>
      <w:r>
        <w:rPr>
          <w:i/>
        </w:rPr>
        <w:t>Nicaragua</w:t>
      </w:r>
      <w:r>
        <w:t>, [109]–[115].</w:t>
      </w:r>
    </w:p>
  </w:footnote>
  <w:footnote w:id="23">
    <w:p w14:paraId="11209EE7" w14:textId="77777777" w:rsidR="009A7F82" w:rsidRPr="00A121AB" w:rsidRDefault="009A7F82" w:rsidP="00A629B5">
      <w:pPr>
        <w:pStyle w:val="FootnoteText"/>
      </w:pPr>
      <w:r>
        <w:rPr>
          <w:rStyle w:val="FootnoteReference"/>
        </w:rPr>
        <w:footnoteRef/>
      </w:r>
      <w:r>
        <w:t xml:space="preserve"> </w:t>
      </w:r>
      <w:r w:rsidRPr="004862F5">
        <w:rPr>
          <w:i/>
        </w:rPr>
        <w:t>Clarifications</w:t>
      </w:r>
      <w:r>
        <w:t>, [4].</w:t>
      </w:r>
    </w:p>
  </w:footnote>
  <w:footnote w:id="24">
    <w:p w14:paraId="2B7CAB68" w14:textId="77777777" w:rsidR="009A7F82" w:rsidRPr="00D175E2" w:rsidRDefault="009A7F82" w:rsidP="00A629B5">
      <w:pPr>
        <w:pStyle w:val="FootnoteText"/>
      </w:pPr>
      <w:r>
        <w:rPr>
          <w:rStyle w:val="FootnoteReference"/>
        </w:rPr>
        <w:footnoteRef/>
      </w:r>
      <w:r>
        <w:t xml:space="preserve"> </w:t>
      </w:r>
      <w:r>
        <w:rPr>
          <w:i/>
        </w:rPr>
        <w:t>Compromis</w:t>
      </w:r>
      <w:r>
        <w:t>, [11].</w:t>
      </w:r>
    </w:p>
  </w:footnote>
  <w:footnote w:id="25">
    <w:p w14:paraId="68C8840E" w14:textId="77777777" w:rsidR="009A7F82" w:rsidRPr="00D175E2" w:rsidRDefault="009A7F82" w:rsidP="00A629B5">
      <w:pPr>
        <w:pStyle w:val="FootnoteText"/>
      </w:pPr>
      <w:r>
        <w:rPr>
          <w:rStyle w:val="FootnoteReference"/>
        </w:rPr>
        <w:footnoteRef/>
      </w:r>
      <w:r>
        <w:t xml:space="preserve"> For example, the President of the United States meets with representatives from Silicon Valley: </w:t>
      </w:r>
      <w:r>
        <w:t>Streitfeld (2016). See also Gude and others (2015); Pennington (2018).</w:t>
      </w:r>
    </w:p>
  </w:footnote>
  <w:footnote w:id="26">
    <w:p w14:paraId="6F7EEDAA" w14:textId="77777777" w:rsidR="009A7F82" w:rsidRPr="00D175E2" w:rsidRDefault="009A7F82" w:rsidP="00A629B5">
      <w:pPr>
        <w:pStyle w:val="FootnoteText"/>
      </w:pPr>
      <w:r>
        <w:rPr>
          <w:rStyle w:val="FootnoteReference"/>
        </w:rPr>
        <w:footnoteRef/>
      </w:r>
      <w:r>
        <w:t xml:space="preserve"> </w:t>
      </w:r>
      <w:r w:rsidRPr="000C2ED7">
        <w:rPr>
          <w:i/>
        </w:rPr>
        <w:t>Clarifications</w:t>
      </w:r>
      <w:r>
        <w:t>, [4].</w:t>
      </w:r>
    </w:p>
  </w:footnote>
  <w:footnote w:id="27">
    <w:p w14:paraId="73709821" w14:textId="3999202C" w:rsidR="009A7F82" w:rsidRPr="00430FC2" w:rsidRDefault="009A7F82" w:rsidP="00A629B5">
      <w:pPr>
        <w:pStyle w:val="FootnoteText"/>
      </w:pPr>
      <w:r>
        <w:rPr>
          <w:rStyle w:val="FootnoteReference"/>
        </w:rPr>
        <w:footnoteRef/>
      </w:r>
      <w:r>
        <w:t xml:space="preserve"> </w:t>
      </w:r>
      <w:r w:rsidRPr="00D92114">
        <w:rPr>
          <w:bCs/>
          <w:i/>
        </w:rPr>
        <w:t>Genocide Case (Bosnia v Serbia)</w:t>
      </w:r>
      <w:r>
        <w:t xml:space="preserve">, [400]; </w:t>
      </w:r>
      <w:r w:rsidRPr="009705F3">
        <w:rPr>
          <w:i/>
        </w:rPr>
        <w:t>Nicaragua</w:t>
      </w:r>
      <w:r>
        <w:t xml:space="preserve">, [109], [115]; </w:t>
      </w:r>
      <w:r>
        <w:rPr>
          <w:i/>
        </w:rPr>
        <w:t>Tadić</w:t>
      </w:r>
      <w:r>
        <w:t>, [118]–[119], [141].</w:t>
      </w:r>
    </w:p>
  </w:footnote>
  <w:footnote w:id="28">
    <w:p w14:paraId="4189101E" w14:textId="77777777" w:rsidR="009A7F82" w:rsidRPr="007D548A" w:rsidRDefault="009A7F82" w:rsidP="00A629B5">
      <w:pPr>
        <w:pStyle w:val="FootnoteText"/>
        <w:rPr>
          <w:lang w:val="en-AU"/>
        </w:rPr>
      </w:pPr>
      <w:r>
        <w:rPr>
          <w:rStyle w:val="FootnoteReference"/>
        </w:rPr>
        <w:footnoteRef/>
      </w:r>
      <w:r>
        <w:t xml:space="preserve"> </w:t>
      </w:r>
      <w:r>
        <w:rPr>
          <w:i/>
          <w:lang w:val="en-AU"/>
        </w:rPr>
        <w:t>Compromis</w:t>
      </w:r>
      <w:r>
        <w:rPr>
          <w:lang w:val="en-AU"/>
        </w:rPr>
        <w:t>, [10].</w:t>
      </w:r>
    </w:p>
  </w:footnote>
  <w:footnote w:id="29">
    <w:p w14:paraId="423C188E" w14:textId="77777777" w:rsidR="009A7F82" w:rsidRPr="007D548A" w:rsidRDefault="009A7F82" w:rsidP="00A629B5">
      <w:pPr>
        <w:pStyle w:val="FootnoteText"/>
      </w:pPr>
      <w:r>
        <w:rPr>
          <w:rStyle w:val="FootnoteReference"/>
        </w:rPr>
        <w:footnoteRef/>
      </w:r>
      <w:r>
        <w:t xml:space="preserve"> </w:t>
      </w:r>
      <w:r>
        <w:rPr>
          <w:i/>
        </w:rPr>
        <w:t>Compromis</w:t>
      </w:r>
      <w:r>
        <w:t>, [11].</w:t>
      </w:r>
    </w:p>
  </w:footnote>
  <w:footnote w:id="30">
    <w:p w14:paraId="1686C845" w14:textId="6DD86549" w:rsidR="009A7F82" w:rsidRPr="00F74012" w:rsidRDefault="009A7F82" w:rsidP="00A629B5">
      <w:pPr>
        <w:pStyle w:val="FootnoteText"/>
        <w:rPr>
          <w:lang w:val="en-AU"/>
        </w:rPr>
      </w:pPr>
      <w:r>
        <w:rPr>
          <w:rStyle w:val="FootnoteReference"/>
        </w:rPr>
        <w:footnoteRef/>
      </w:r>
      <w:r>
        <w:t xml:space="preserve"> </w:t>
      </w:r>
      <w:r w:rsidRPr="00D92114">
        <w:rPr>
          <w:bCs/>
          <w:i/>
        </w:rPr>
        <w:t>Genocide Case (Bosnia v Serbia)</w:t>
      </w:r>
      <w:r w:rsidRPr="00373CE0">
        <w:t xml:space="preserve">, </w:t>
      </w:r>
      <w:r>
        <w:t>[403]–[407]</w:t>
      </w:r>
      <w:r w:rsidRPr="00373CE0">
        <w:t>;</w:t>
      </w:r>
      <w:r>
        <w:rPr>
          <w:i/>
        </w:rPr>
        <w:t xml:space="preserve"> </w:t>
      </w:r>
      <w:r>
        <w:rPr>
          <w:i/>
          <w:lang w:val="en-AU"/>
        </w:rPr>
        <w:t>Tadić</w:t>
      </w:r>
      <w:r>
        <w:rPr>
          <w:lang w:val="en-AU"/>
        </w:rPr>
        <w:t xml:space="preserve"> (Separate Opinion of Judge Shahabuddeen), [14], [18]; ASR Commentary, art 8, [5].</w:t>
      </w:r>
    </w:p>
  </w:footnote>
  <w:footnote w:id="31">
    <w:p w14:paraId="4BBDB9E2" w14:textId="77777777" w:rsidR="009A7F82" w:rsidRPr="00552B7B" w:rsidRDefault="009A7F82" w:rsidP="00A629B5">
      <w:pPr>
        <w:pStyle w:val="FootnoteText"/>
        <w:rPr>
          <w:lang w:val="en-AU"/>
        </w:rPr>
      </w:pPr>
      <w:r>
        <w:rPr>
          <w:rStyle w:val="FootnoteReference"/>
        </w:rPr>
        <w:footnoteRef/>
      </w:r>
      <w:r>
        <w:t xml:space="preserve"> </w:t>
      </w:r>
      <w:r>
        <w:rPr>
          <w:i/>
          <w:lang w:val="en-AU"/>
        </w:rPr>
        <w:t>Tadić</w:t>
      </w:r>
      <w:r>
        <w:rPr>
          <w:lang w:val="en-AU"/>
        </w:rPr>
        <w:t xml:space="preserve"> (Separate Opinion of Judge Shahabuddenn), [18].</w:t>
      </w:r>
    </w:p>
  </w:footnote>
  <w:footnote w:id="32">
    <w:p w14:paraId="4891037E" w14:textId="77777777" w:rsidR="009A7F82" w:rsidRPr="00A86183" w:rsidRDefault="009A7F82" w:rsidP="00A629B5">
      <w:pPr>
        <w:pStyle w:val="FootnoteText"/>
        <w:rPr>
          <w:lang w:val="en-AU"/>
        </w:rPr>
      </w:pPr>
      <w:r>
        <w:rPr>
          <w:rStyle w:val="FootnoteReference"/>
        </w:rPr>
        <w:footnoteRef/>
      </w:r>
      <w:r>
        <w:t xml:space="preserve"> </w:t>
      </w:r>
      <w:r>
        <w:rPr>
          <w:i/>
          <w:lang w:val="en-AU"/>
        </w:rPr>
        <w:t>Tadić</w:t>
      </w:r>
      <w:r>
        <w:rPr>
          <w:lang w:val="en-AU"/>
        </w:rPr>
        <w:t>, [131]; Milanović (2009), 13.</w:t>
      </w:r>
    </w:p>
  </w:footnote>
  <w:footnote w:id="33">
    <w:p w14:paraId="7E3FE44B" w14:textId="77777777" w:rsidR="009A7F82" w:rsidRPr="00481FBA" w:rsidRDefault="009A7F82" w:rsidP="00A629B5">
      <w:pPr>
        <w:pStyle w:val="FootnoteText"/>
        <w:rPr>
          <w:lang w:val="en-AU"/>
        </w:rPr>
      </w:pPr>
      <w:r>
        <w:rPr>
          <w:rStyle w:val="FootnoteReference"/>
        </w:rPr>
        <w:footnoteRef/>
      </w:r>
      <w:r>
        <w:t xml:space="preserve"> </w:t>
      </w:r>
      <w:r>
        <w:rPr>
          <w:i/>
          <w:lang w:val="en-AU"/>
        </w:rPr>
        <w:t>Tadić</w:t>
      </w:r>
      <w:r>
        <w:rPr>
          <w:lang w:val="en-AU"/>
        </w:rPr>
        <w:t>, [155].</w:t>
      </w:r>
    </w:p>
  </w:footnote>
  <w:footnote w:id="34">
    <w:p w14:paraId="7426042F" w14:textId="77777777" w:rsidR="009A7F82" w:rsidRPr="0086254D" w:rsidRDefault="009A7F82" w:rsidP="00A629B5">
      <w:pPr>
        <w:pStyle w:val="FootnoteText"/>
        <w:rPr>
          <w:i/>
          <w:lang w:val="en-AU"/>
        </w:rPr>
      </w:pPr>
      <w:r>
        <w:rPr>
          <w:rStyle w:val="FootnoteReference"/>
        </w:rPr>
        <w:footnoteRef/>
      </w:r>
      <w:r>
        <w:t xml:space="preserve"> </w:t>
      </w:r>
      <w:r>
        <w:rPr>
          <w:i/>
          <w:lang w:val="en-AU"/>
        </w:rPr>
        <w:t>Corfu Channel</w:t>
      </w:r>
      <w:r>
        <w:rPr>
          <w:lang w:val="en-AU"/>
        </w:rPr>
        <w:t xml:space="preserve">, 21–22; </w:t>
      </w:r>
      <w:r>
        <w:rPr>
          <w:i/>
          <w:lang w:val="en-AU"/>
        </w:rPr>
        <w:t>Trail Smelter</w:t>
      </w:r>
      <w:r>
        <w:rPr>
          <w:lang w:val="en-AU"/>
        </w:rPr>
        <w:t xml:space="preserve">, 1965; </w:t>
      </w:r>
      <w:r>
        <w:rPr>
          <w:i/>
          <w:lang w:val="en-AU"/>
        </w:rPr>
        <w:t xml:space="preserve">Lake </w:t>
      </w:r>
      <w:r>
        <w:rPr>
          <w:i/>
          <w:lang w:val="en-AU"/>
        </w:rPr>
        <w:t>Lanoux</w:t>
      </w:r>
      <w:r>
        <w:rPr>
          <w:lang w:val="en-AU"/>
        </w:rPr>
        <w:t xml:space="preserve">, [22]; </w:t>
      </w:r>
      <w:r>
        <w:rPr>
          <w:i/>
          <w:lang w:val="en-AU"/>
        </w:rPr>
        <w:t>Nuclear Weapons</w:t>
      </w:r>
      <w:r>
        <w:rPr>
          <w:lang w:val="en-AU"/>
        </w:rPr>
        <w:t xml:space="preserve">, [29]; </w:t>
      </w:r>
      <w:r>
        <w:rPr>
          <w:i/>
          <w:lang w:val="en-AU"/>
        </w:rPr>
        <w:t>Gabčíkovo-Nagymaros</w:t>
      </w:r>
      <w:r>
        <w:rPr>
          <w:lang w:val="en-AU"/>
        </w:rPr>
        <w:t xml:space="preserve">, [140]; </w:t>
      </w:r>
      <w:r>
        <w:rPr>
          <w:i/>
          <w:lang w:val="en-AU"/>
        </w:rPr>
        <w:t>Pulp Mills</w:t>
      </w:r>
      <w:r>
        <w:rPr>
          <w:lang w:val="en-AU"/>
        </w:rPr>
        <w:t>, [203]</w:t>
      </w:r>
      <w:r>
        <w:rPr>
          <w:lang w:val="en-AU"/>
        </w:rPr>
        <w:t>–[205]; Koivurova (2013), [15].</w:t>
      </w:r>
    </w:p>
  </w:footnote>
  <w:footnote w:id="35">
    <w:p w14:paraId="717B717D" w14:textId="2F937114" w:rsidR="009A7F82" w:rsidRPr="008F3427" w:rsidRDefault="009A7F82" w:rsidP="00A629B5">
      <w:pPr>
        <w:pStyle w:val="FootnoteText"/>
      </w:pPr>
      <w:r>
        <w:rPr>
          <w:rStyle w:val="FootnoteReference"/>
        </w:rPr>
        <w:footnoteRef/>
      </w:r>
      <w:r>
        <w:t xml:space="preserve"> </w:t>
      </w:r>
      <w:r w:rsidRPr="00D92114">
        <w:rPr>
          <w:bCs/>
          <w:i/>
        </w:rPr>
        <w:t>Genocide Case (Bosnia v Serbia)</w:t>
      </w:r>
      <w:r>
        <w:t xml:space="preserve">, [430]; </w:t>
      </w:r>
      <w:r>
        <w:rPr>
          <w:i/>
        </w:rPr>
        <w:t xml:space="preserve">Pulp </w:t>
      </w:r>
      <w:r w:rsidRPr="00D25EA4">
        <w:rPr>
          <w:i/>
        </w:rPr>
        <w:t>Mills</w:t>
      </w:r>
      <w:r>
        <w:t xml:space="preserve">, [187]; </w:t>
      </w:r>
      <w:r>
        <w:rPr>
          <w:i/>
        </w:rPr>
        <w:t xml:space="preserve">Alabama </w:t>
      </w:r>
      <w:r w:rsidRPr="0086254D">
        <w:rPr>
          <w:i/>
        </w:rPr>
        <w:t>Arbitration</w:t>
      </w:r>
      <w:r>
        <w:t xml:space="preserve">; </w:t>
      </w:r>
      <w:r w:rsidRPr="0086254D">
        <w:rPr>
          <w:i/>
        </w:rPr>
        <w:t>ILA</w:t>
      </w:r>
      <w:r>
        <w:rPr>
          <w:i/>
        </w:rPr>
        <w:t xml:space="preserve"> Study Group</w:t>
      </w:r>
      <w:r>
        <w:t xml:space="preserve">, </w:t>
      </w:r>
      <w:r w:rsidRPr="00A2661B">
        <w:t>952</w:t>
      </w:r>
      <w:r>
        <w:t xml:space="preserve">; </w:t>
      </w:r>
      <w:r w:rsidRPr="00E22055">
        <w:t>Pisillo-Mazzeschi</w:t>
      </w:r>
      <w:r>
        <w:t xml:space="preserve"> (1992), 26; Heathcote (2012), 307–308.</w:t>
      </w:r>
    </w:p>
  </w:footnote>
  <w:footnote w:id="36">
    <w:p w14:paraId="27BDB056" w14:textId="3DDCBD61" w:rsidR="009A7F82" w:rsidRPr="003F639D" w:rsidRDefault="009A7F82" w:rsidP="00A629B5">
      <w:pPr>
        <w:pStyle w:val="FootnoteText"/>
        <w:rPr>
          <w:iCs/>
        </w:rPr>
      </w:pPr>
      <w:r>
        <w:rPr>
          <w:rStyle w:val="FootnoteReference"/>
        </w:rPr>
        <w:footnoteRef/>
      </w:r>
      <w:r>
        <w:t xml:space="preserve"> </w:t>
      </w:r>
      <w:r>
        <w:rPr>
          <w:i/>
        </w:rPr>
        <w:t xml:space="preserve">Trail </w:t>
      </w:r>
      <w:r w:rsidRPr="009F2B6E">
        <w:rPr>
          <w:i/>
        </w:rPr>
        <w:t>Smelter</w:t>
      </w:r>
      <w:r>
        <w:t xml:space="preserve">, 641; </w:t>
      </w:r>
      <w:r w:rsidR="00AF1405" w:rsidRPr="00A52483">
        <w:rPr>
          <w:i/>
        </w:rPr>
        <w:t>Veládquez Rodríguez v Honduras</w:t>
      </w:r>
      <w:r>
        <w:rPr>
          <w:iCs/>
          <w:color w:val="000000"/>
        </w:rPr>
        <w:t xml:space="preserve">, [76]; </w:t>
      </w:r>
      <w:r w:rsidRPr="009974F0">
        <w:rPr>
          <w:i/>
          <w:lang w:val="en-US"/>
        </w:rPr>
        <w:t>Gabčíkovo-Nagymaros</w:t>
      </w:r>
      <w:r>
        <w:rPr>
          <w:iCs/>
        </w:rPr>
        <w:t xml:space="preserve">, [112]–[113]; </w:t>
      </w:r>
      <w:r>
        <w:rPr>
          <w:i/>
          <w:iCs/>
        </w:rPr>
        <w:t>Construction of a Road</w:t>
      </w:r>
      <w:r>
        <w:rPr>
          <w:iCs/>
        </w:rPr>
        <w:t xml:space="preserve">, [104]–[105]; </w:t>
      </w:r>
      <w:r>
        <w:rPr>
          <w:i/>
        </w:rPr>
        <w:t>Advisory Opinion OC-23/17</w:t>
      </w:r>
      <w:r>
        <w:rPr>
          <w:iCs/>
        </w:rPr>
        <w:t xml:space="preserve">, [95], [97], [101]–[104]; </w:t>
      </w:r>
      <w:r>
        <w:rPr>
          <w:iCs/>
          <w:color w:val="000000"/>
        </w:rPr>
        <w:t xml:space="preserve">Stockholm Declaration, art 21; CBD, art 3; </w:t>
      </w:r>
      <w:r w:rsidRPr="009F2B6E">
        <w:rPr>
          <w:color w:val="000000" w:themeColor="text1"/>
        </w:rPr>
        <w:t>Birnie</w:t>
      </w:r>
      <w:r w:rsidRPr="00413BC5">
        <w:rPr>
          <w:color w:val="000000" w:themeColor="text1"/>
        </w:rPr>
        <w:t>, Boyle and Redgwell (2009</w:t>
      </w:r>
      <w:r>
        <w:rPr>
          <w:color w:val="000000" w:themeColor="text1"/>
        </w:rPr>
        <w:t xml:space="preserve">), </w:t>
      </w:r>
      <w:r>
        <w:rPr>
          <w:lang w:val="en-GB"/>
        </w:rPr>
        <w:t>185.</w:t>
      </w:r>
    </w:p>
  </w:footnote>
  <w:footnote w:id="37">
    <w:p w14:paraId="3322AAAF" w14:textId="4AEE9E63" w:rsidR="009A7F82" w:rsidRPr="00BA3859" w:rsidRDefault="009A7F82" w:rsidP="00A629B5">
      <w:pPr>
        <w:pStyle w:val="FootnoteText"/>
      </w:pPr>
      <w:r>
        <w:rPr>
          <w:rStyle w:val="FootnoteReference"/>
        </w:rPr>
        <w:footnoteRef/>
      </w:r>
      <w:r>
        <w:t xml:space="preserve"> </w:t>
      </w:r>
      <w:r>
        <w:rPr>
          <w:lang w:val="en-AU"/>
        </w:rPr>
        <w:t xml:space="preserve">Rio Declaration, art 19; </w:t>
      </w:r>
      <w:r w:rsidRPr="00950B45">
        <w:rPr>
          <w:i/>
          <w:lang w:val="en-AU"/>
        </w:rPr>
        <w:t>Construction of a Road</w:t>
      </w:r>
      <w:r>
        <w:rPr>
          <w:lang w:val="en-AU"/>
        </w:rPr>
        <w:t xml:space="preserve">, [104], [153], [161], [168]; </w:t>
      </w:r>
      <w:r>
        <w:rPr>
          <w:i/>
          <w:lang w:val="en-AU"/>
        </w:rPr>
        <w:t>Pulp Mills</w:t>
      </w:r>
      <w:r>
        <w:rPr>
          <w:lang w:val="en-AU"/>
        </w:rPr>
        <w:t xml:space="preserve">, [204]; </w:t>
      </w:r>
      <w:r>
        <w:rPr>
          <w:i/>
          <w:lang w:val="en-AU"/>
        </w:rPr>
        <w:t>Seabed Mining (Opinion)</w:t>
      </w:r>
      <w:r>
        <w:rPr>
          <w:lang w:val="en-AU"/>
        </w:rPr>
        <w:t>, [145].</w:t>
      </w:r>
    </w:p>
  </w:footnote>
  <w:footnote w:id="38">
    <w:p w14:paraId="53FAD470" w14:textId="1732D652" w:rsidR="009A7F82" w:rsidRPr="00BA3859" w:rsidRDefault="009A7F82" w:rsidP="00A629B5">
      <w:pPr>
        <w:pStyle w:val="FootnoteText"/>
      </w:pPr>
      <w:r>
        <w:rPr>
          <w:rStyle w:val="FootnoteReference"/>
        </w:rPr>
        <w:footnoteRef/>
      </w:r>
      <w:r>
        <w:t xml:space="preserve"> </w:t>
      </w:r>
      <w:r>
        <w:rPr>
          <w:i/>
        </w:rPr>
        <w:t>Seabed Mining (Opinion)</w:t>
      </w:r>
      <w:r>
        <w:t>, [115]–[120].</w:t>
      </w:r>
    </w:p>
  </w:footnote>
  <w:footnote w:id="39">
    <w:p w14:paraId="58B4B6DC" w14:textId="5AAA05B6" w:rsidR="009A7F82" w:rsidRPr="00BA3859" w:rsidRDefault="009A7F82" w:rsidP="00A629B5">
      <w:pPr>
        <w:pStyle w:val="FootnoteText"/>
      </w:pPr>
      <w:r>
        <w:rPr>
          <w:rStyle w:val="FootnoteReference"/>
        </w:rPr>
        <w:footnoteRef/>
      </w:r>
      <w:r>
        <w:t xml:space="preserve"> </w:t>
      </w:r>
      <w:r>
        <w:rPr>
          <w:i/>
        </w:rPr>
        <w:t>Seabed Mining (Opinion)</w:t>
      </w:r>
      <w:r>
        <w:t>, [131], [135].</w:t>
      </w:r>
    </w:p>
  </w:footnote>
  <w:footnote w:id="40">
    <w:p w14:paraId="27D7FE86" w14:textId="77777777" w:rsidR="009A7F82" w:rsidRPr="00760B65" w:rsidRDefault="009A7F82" w:rsidP="00A629B5">
      <w:pPr>
        <w:pStyle w:val="FootnoteText"/>
        <w:rPr>
          <w:lang w:val="en-AU"/>
        </w:rPr>
      </w:pPr>
      <w:r>
        <w:rPr>
          <w:rStyle w:val="FootnoteReference"/>
        </w:rPr>
        <w:footnoteRef/>
      </w:r>
      <w:r>
        <w:t xml:space="preserve"> </w:t>
      </w:r>
      <w:r>
        <w:rPr>
          <w:i/>
          <w:lang w:val="en-AU"/>
        </w:rPr>
        <w:t>Clarifications</w:t>
      </w:r>
      <w:r>
        <w:rPr>
          <w:lang w:val="en-AU"/>
        </w:rPr>
        <w:t>, [7].</w:t>
      </w:r>
    </w:p>
  </w:footnote>
  <w:footnote w:id="41">
    <w:p w14:paraId="244C2409" w14:textId="77777777" w:rsidR="009A7F82" w:rsidRPr="001678F9" w:rsidRDefault="009A7F82" w:rsidP="00A629B5">
      <w:pPr>
        <w:pStyle w:val="FootnoteText"/>
        <w:rPr>
          <w:lang w:val="en-AU"/>
        </w:rPr>
      </w:pPr>
      <w:r>
        <w:rPr>
          <w:rStyle w:val="FootnoteReference"/>
        </w:rPr>
        <w:footnoteRef/>
      </w:r>
      <w:r>
        <w:t xml:space="preserve"> </w:t>
      </w:r>
      <w:r>
        <w:rPr>
          <w:i/>
          <w:lang w:val="en-AU"/>
        </w:rPr>
        <w:t>Clarifications</w:t>
      </w:r>
      <w:r>
        <w:rPr>
          <w:lang w:val="en-AU"/>
        </w:rPr>
        <w:t xml:space="preserve">, [7]; </w:t>
      </w:r>
      <w:r>
        <w:rPr>
          <w:i/>
          <w:lang w:val="en-AU"/>
        </w:rPr>
        <w:t>Compromis</w:t>
      </w:r>
      <w:r>
        <w:rPr>
          <w:lang w:val="en-AU"/>
        </w:rPr>
        <w:t>, [44]</w:t>
      </w:r>
      <w:r>
        <w:rPr>
          <w:lang w:val="en-AU"/>
        </w:rPr>
        <w:t>–[45].</w:t>
      </w:r>
    </w:p>
  </w:footnote>
  <w:footnote w:id="42">
    <w:p w14:paraId="180F4071" w14:textId="77777777" w:rsidR="009A7F82" w:rsidRPr="003F5672" w:rsidRDefault="009A7F82" w:rsidP="00A629B5">
      <w:pPr>
        <w:pStyle w:val="FootnoteText"/>
        <w:rPr>
          <w:lang w:val="en-AU"/>
        </w:rPr>
      </w:pPr>
      <w:r>
        <w:rPr>
          <w:rStyle w:val="FootnoteReference"/>
        </w:rPr>
        <w:footnoteRef/>
      </w:r>
      <w:r>
        <w:t xml:space="preserve"> </w:t>
      </w:r>
      <w:r>
        <w:rPr>
          <w:i/>
          <w:lang w:val="en-AU"/>
        </w:rPr>
        <w:t>Compromis</w:t>
      </w:r>
      <w:r>
        <w:rPr>
          <w:lang w:val="en-AU"/>
        </w:rPr>
        <w:t>, [46].</w:t>
      </w:r>
    </w:p>
  </w:footnote>
  <w:footnote w:id="43">
    <w:p w14:paraId="1C27FA5B" w14:textId="77777777" w:rsidR="009A7F82" w:rsidRPr="005B5499" w:rsidRDefault="009A7F82" w:rsidP="00A629B5">
      <w:pPr>
        <w:pStyle w:val="FootnoteText"/>
      </w:pPr>
      <w:r>
        <w:rPr>
          <w:rStyle w:val="FootnoteReference"/>
        </w:rPr>
        <w:footnoteRef/>
      </w:r>
      <w:r>
        <w:t xml:space="preserve"> </w:t>
      </w:r>
      <w:r>
        <w:rPr>
          <w:i/>
        </w:rPr>
        <w:t>Clarifications</w:t>
      </w:r>
      <w:r>
        <w:t xml:space="preserve">, [7]; </w:t>
      </w:r>
      <w:r w:rsidRPr="00DC3F48">
        <w:t>Rio Declaration</w:t>
      </w:r>
      <w:r>
        <w:t xml:space="preserve">, art 15; Nanda and </w:t>
      </w:r>
      <w:r>
        <w:t>Pring (2013), [2.2.3].</w:t>
      </w:r>
    </w:p>
  </w:footnote>
  <w:footnote w:id="44">
    <w:p w14:paraId="44BC3D97" w14:textId="77777777" w:rsidR="009A7F82" w:rsidRPr="00C37C51" w:rsidRDefault="009A7F82" w:rsidP="00A629B5">
      <w:pPr>
        <w:pStyle w:val="FootnoteText"/>
      </w:pPr>
      <w:r>
        <w:rPr>
          <w:rStyle w:val="FootnoteReference"/>
        </w:rPr>
        <w:footnoteRef/>
      </w:r>
      <w:r>
        <w:t xml:space="preserve"> ICCPR, art 2; ICESCR, art 2; </w:t>
      </w:r>
      <w:r w:rsidRPr="00C46AAB">
        <w:rPr>
          <w:bCs/>
          <w:lang w:val="en-GB"/>
        </w:rPr>
        <w:t xml:space="preserve">Maastricht </w:t>
      </w:r>
      <w:r>
        <w:rPr>
          <w:bCs/>
          <w:lang w:val="en-GB"/>
        </w:rPr>
        <w:t xml:space="preserve">Principles, [3]–[4]; </w:t>
      </w:r>
      <w:r>
        <w:rPr>
          <w:lang w:val="en-US"/>
        </w:rPr>
        <w:t>Pisillo-Mazzeschi (1992), 26</w:t>
      </w:r>
      <w:r>
        <w:rPr>
          <w:bCs/>
          <w:lang w:val="en-GB"/>
        </w:rPr>
        <w:t>.</w:t>
      </w:r>
    </w:p>
  </w:footnote>
  <w:footnote w:id="45">
    <w:p w14:paraId="04939D1B" w14:textId="1C80E050" w:rsidR="009A7F82" w:rsidRPr="00A95217" w:rsidRDefault="009A7F82" w:rsidP="00A629B5">
      <w:pPr>
        <w:pStyle w:val="FootnoteText"/>
      </w:pPr>
      <w:r>
        <w:rPr>
          <w:rStyle w:val="FootnoteReference"/>
        </w:rPr>
        <w:footnoteRef/>
      </w:r>
      <w:r>
        <w:t xml:space="preserve"> HRC </w:t>
      </w:r>
      <w:r w:rsidR="005626C2">
        <w:t>General Comment</w:t>
      </w:r>
      <w:r>
        <w:t xml:space="preserve"> 31, [8]; CESCR </w:t>
      </w:r>
      <w:r w:rsidR="005626C2">
        <w:t>General Comment</w:t>
      </w:r>
      <w:r>
        <w:t xml:space="preserve"> 21, [44]–[50]; CESCR </w:t>
      </w:r>
      <w:r w:rsidR="005626C2">
        <w:t>General Comment</w:t>
      </w:r>
      <w:r>
        <w:t xml:space="preserve"> 24, [11], [14]; </w:t>
      </w:r>
      <w:r>
        <w:rPr>
          <w:i/>
        </w:rPr>
        <w:t>Responsibilities of Transnational Corporations</w:t>
      </w:r>
      <w:r>
        <w:t>, [1]</w:t>
      </w:r>
      <w:r>
        <w:rPr>
          <w:lang w:val="en-AU"/>
        </w:rPr>
        <w:t>.</w:t>
      </w:r>
    </w:p>
  </w:footnote>
  <w:footnote w:id="46">
    <w:p w14:paraId="2DFEC0B8" w14:textId="7B3E9CC2" w:rsidR="009A7F82" w:rsidRPr="00A42028" w:rsidRDefault="009A7F82" w:rsidP="00A629B5">
      <w:pPr>
        <w:pStyle w:val="FootnoteText"/>
        <w:rPr>
          <w:lang w:val="en-AU"/>
        </w:rPr>
      </w:pPr>
      <w:r>
        <w:rPr>
          <w:rStyle w:val="FootnoteReference"/>
        </w:rPr>
        <w:footnoteRef/>
      </w:r>
      <w:r>
        <w:t xml:space="preserve"> HRC </w:t>
      </w:r>
      <w:r w:rsidR="005626C2">
        <w:t>General Comment</w:t>
      </w:r>
      <w:r>
        <w:t xml:space="preserve"> 31, [8]; CESCR </w:t>
      </w:r>
      <w:r w:rsidR="005626C2">
        <w:rPr>
          <w:lang w:val="en-US"/>
        </w:rPr>
        <w:t>General Comment</w:t>
      </w:r>
      <w:r>
        <w:rPr>
          <w:lang w:val="en-US"/>
        </w:rPr>
        <w:t xml:space="preserve"> 21, [48]; CESCR </w:t>
      </w:r>
      <w:r w:rsidR="005626C2">
        <w:rPr>
          <w:lang w:val="en-US"/>
        </w:rPr>
        <w:t>General Comment</w:t>
      </w:r>
      <w:r>
        <w:rPr>
          <w:lang w:val="en-US"/>
        </w:rPr>
        <w:t xml:space="preserve"> 24, [14]–[16].</w:t>
      </w:r>
    </w:p>
  </w:footnote>
  <w:footnote w:id="47">
    <w:p w14:paraId="21341741" w14:textId="6B3A7719" w:rsidR="009A7F82" w:rsidRPr="004420A2" w:rsidRDefault="009A7F82" w:rsidP="00A629B5">
      <w:pPr>
        <w:pStyle w:val="FootnoteText"/>
        <w:rPr>
          <w:lang w:val="en-AU"/>
        </w:rPr>
      </w:pPr>
      <w:r>
        <w:rPr>
          <w:rStyle w:val="FootnoteReference"/>
        </w:rPr>
        <w:footnoteRef/>
      </w:r>
      <w:r>
        <w:t xml:space="preserve"> </w:t>
      </w:r>
      <w:r w:rsidR="00EB7FDE">
        <w:t xml:space="preserve">CESCR </w:t>
      </w:r>
      <w:r w:rsidR="005626C2">
        <w:t>General Comment</w:t>
      </w:r>
      <w:r w:rsidR="00EB7FDE">
        <w:t xml:space="preserve"> 21</w:t>
      </w:r>
      <w:r w:rsidR="005B4DBF">
        <w:t>,</w:t>
      </w:r>
      <w:r w:rsidR="00EB7FDE">
        <w:t xml:space="preserve"> [66]; </w:t>
      </w:r>
      <w:r w:rsidR="00EB7FDE" w:rsidRPr="006B3069">
        <w:rPr>
          <w:i/>
        </w:rPr>
        <w:t>Evaluation of the Obligation to Take Steps</w:t>
      </w:r>
      <w:r w:rsidR="00EB7FDE">
        <w:rPr>
          <w:i/>
        </w:rPr>
        <w:t xml:space="preserve"> to the Maximum of Available Resources</w:t>
      </w:r>
      <w:r w:rsidR="00EB7FDE">
        <w:t>, [2] and [11].</w:t>
      </w:r>
    </w:p>
  </w:footnote>
  <w:footnote w:id="48">
    <w:p w14:paraId="666CEC3B" w14:textId="3D2EC1F3" w:rsidR="009A7F82" w:rsidRPr="00697921" w:rsidRDefault="009A7F82" w:rsidP="00A629B5">
      <w:pPr>
        <w:pStyle w:val="FootnoteText"/>
        <w:rPr>
          <w:lang w:val="en-AU"/>
        </w:rPr>
      </w:pPr>
      <w:r>
        <w:rPr>
          <w:rStyle w:val="FootnoteReference"/>
        </w:rPr>
        <w:footnoteRef/>
      </w:r>
      <w:r>
        <w:t xml:space="preserve"> </w:t>
      </w:r>
      <w:r>
        <w:rPr>
          <w:i/>
          <w:lang w:val="en-AU"/>
        </w:rPr>
        <w:t>Compromis</w:t>
      </w:r>
      <w:r>
        <w:rPr>
          <w:lang w:val="en-AU"/>
        </w:rPr>
        <w:t xml:space="preserve">, [44]; </w:t>
      </w:r>
      <w:r>
        <w:rPr>
          <w:i/>
          <w:lang w:val="en-AU"/>
        </w:rPr>
        <w:t>Clarifications</w:t>
      </w:r>
      <w:r>
        <w:rPr>
          <w:lang w:val="en-AU"/>
        </w:rPr>
        <w:t xml:space="preserve">, [8]. The imposition of criminal sanctions and enabling of civil suits is recommended: CESCR </w:t>
      </w:r>
      <w:r w:rsidR="005626C2">
        <w:rPr>
          <w:lang w:val="en-AU"/>
        </w:rPr>
        <w:t>General Comment</w:t>
      </w:r>
      <w:r>
        <w:rPr>
          <w:lang w:val="en-AU"/>
        </w:rPr>
        <w:t xml:space="preserve"> 24, [15].</w:t>
      </w:r>
    </w:p>
  </w:footnote>
  <w:footnote w:id="49">
    <w:p w14:paraId="7BAF888B" w14:textId="77777777" w:rsidR="009A7F82" w:rsidRPr="00792516" w:rsidRDefault="009A7F82" w:rsidP="00A629B5">
      <w:pPr>
        <w:pStyle w:val="FootnoteText"/>
        <w:rPr>
          <w:lang w:val="en-AU"/>
        </w:rPr>
      </w:pPr>
      <w:r>
        <w:rPr>
          <w:rStyle w:val="FootnoteReference"/>
        </w:rPr>
        <w:footnoteRef/>
      </w:r>
      <w:r>
        <w:t xml:space="preserve"> </w:t>
      </w:r>
      <w:r>
        <w:rPr>
          <w:i/>
          <w:lang w:val="en-AU"/>
        </w:rPr>
        <w:t>Compromis</w:t>
      </w:r>
      <w:r>
        <w:rPr>
          <w:lang w:val="en-AU"/>
        </w:rPr>
        <w:t>, [46].</w:t>
      </w:r>
    </w:p>
  </w:footnote>
  <w:footnote w:id="50">
    <w:p w14:paraId="27969730" w14:textId="2171D3CD" w:rsidR="009A7F82" w:rsidRPr="00F43F02" w:rsidRDefault="009A7F82" w:rsidP="00A629B5">
      <w:pPr>
        <w:pStyle w:val="FootnoteText"/>
        <w:rPr>
          <w:lang w:val="en-AU"/>
        </w:rPr>
      </w:pPr>
      <w:r>
        <w:rPr>
          <w:rStyle w:val="FootnoteReference"/>
        </w:rPr>
        <w:footnoteRef/>
      </w:r>
      <w:r>
        <w:t xml:space="preserve"> </w:t>
      </w:r>
      <w:r>
        <w:rPr>
          <w:lang w:val="en-US"/>
        </w:rPr>
        <w:t xml:space="preserve">See </w:t>
      </w:r>
      <w:r w:rsidRPr="008D5D05">
        <w:rPr>
          <w:bCs/>
        </w:rPr>
        <w:t>Pauchard (2017), 5</w:t>
      </w:r>
      <w:r>
        <w:rPr>
          <w:bCs/>
        </w:rPr>
        <w:t xml:space="preserve">; </w:t>
      </w:r>
      <w:r>
        <w:rPr>
          <w:lang w:val="en-US"/>
        </w:rPr>
        <w:t xml:space="preserve">Tandon, Parasaran, and Luthra (2018), 118; </w:t>
      </w:r>
      <w:r w:rsidRPr="00887298">
        <w:rPr>
          <w:i/>
        </w:rPr>
        <w:t>COP 10 Highlights: 20 October 2010</w:t>
      </w:r>
      <w:r w:rsidRPr="00987272">
        <w:t>,</w:t>
      </w:r>
      <w:r w:rsidRPr="00887298">
        <w:rPr>
          <w:i/>
        </w:rPr>
        <w:t xml:space="preserve"> </w:t>
      </w:r>
      <w:r w:rsidRPr="00887298">
        <w:t>3.</w:t>
      </w:r>
    </w:p>
  </w:footnote>
  <w:footnote w:id="51">
    <w:p w14:paraId="5732D784" w14:textId="77777777" w:rsidR="009A7F82" w:rsidRPr="0059188D" w:rsidRDefault="009A7F82" w:rsidP="00A629B5">
      <w:pPr>
        <w:pStyle w:val="FootnoteText"/>
      </w:pPr>
      <w:r>
        <w:rPr>
          <w:rStyle w:val="FootnoteReference"/>
        </w:rPr>
        <w:footnoteRef/>
      </w:r>
      <w:r>
        <w:t xml:space="preserve"> </w:t>
      </w:r>
      <w:r>
        <w:rPr>
          <w:lang w:val="en-AU"/>
        </w:rPr>
        <w:t xml:space="preserve">Nagoya Protocol, art 11; </w:t>
      </w:r>
      <w:r w:rsidRPr="00FA15BB">
        <w:rPr>
          <w:i/>
        </w:rPr>
        <w:t>Gabčíkovo-Nagymaros</w:t>
      </w:r>
      <w:r>
        <w:t xml:space="preserve">, [112]; </w:t>
      </w:r>
      <w:r>
        <w:rPr>
          <w:i/>
        </w:rPr>
        <w:t xml:space="preserve">Interpretation of the Agreement, </w:t>
      </w:r>
      <w:r>
        <w:t xml:space="preserve">[49]; </w:t>
      </w:r>
      <w:r>
        <w:rPr>
          <w:i/>
        </w:rPr>
        <w:t xml:space="preserve">Southern Bluefin Tuna, </w:t>
      </w:r>
      <w:r>
        <w:t>[90].</w:t>
      </w:r>
    </w:p>
  </w:footnote>
  <w:footnote w:id="52">
    <w:p w14:paraId="5482BCF1" w14:textId="77777777" w:rsidR="009A7F82" w:rsidRPr="00EA057C" w:rsidRDefault="009A7F82" w:rsidP="00A629B5">
      <w:pPr>
        <w:pStyle w:val="FootnoteText"/>
        <w:rPr>
          <w:lang w:val="en-AU"/>
        </w:rPr>
      </w:pPr>
      <w:r>
        <w:rPr>
          <w:rStyle w:val="FootnoteReference"/>
        </w:rPr>
        <w:footnoteRef/>
      </w:r>
      <w:r>
        <w:t xml:space="preserve"> </w:t>
      </w:r>
      <w:r>
        <w:rPr>
          <w:i/>
          <w:lang w:val="en-AU"/>
        </w:rPr>
        <w:t>Compromis</w:t>
      </w:r>
      <w:r>
        <w:rPr>
          <w:lang w:val="en-AU"/>
        </w:rPr>
        <w:t>, [43].</w:t>
      </w:r>
    </w:p>
  </w:footnote>
  <w:footnote w:id="53">
    <w:p w14:paraId="36974929" w14:textId="77777777" w:rsidR="009A7F82" w:rsidRPr="00A8590F" w:rsidRDefault="009A7F82" w:rsidP="00A629B5">
      <w:pPr>
        <w:pStyle w:val="FootnoteText"/>
      </w:pPr>
      <w:r>
        <w:rPr>
          <w:rStyle w:val="FootnoteReference"/>
        </w:rPr>
        <w:footnoteRef/>
      </w:r>
      <w:r>
        <w:t xml:space="preserve"> </w:t>
      </w:r>
      <w:r>
        <w:rPr>
          <w:i/>
        </w:rPr>
        <w:t>Whaling in the Antarctic</w:t>
      </w:r>
      <w:r>
        <w:t xml:space="preserve">, [70]–[97]. This Court was required to interpret the words “for purposes of scientific research”: International Convention for the Regulation of Whaling (“ICRW”), art VIII. This is different to “for scientific purposes”. Therefore, whilst the analysis in the </w:t>
      </w:r>
      <w:r>
        <w:rPr>
          <w:i/>
        </w:rPr>
        <w:t>Whaling in the Antarctic</w:t>
      </w:r>
      <w:r>
        <w:t xml:space="preserve"> case is helpful, any analogy is imperfect as the language in the CMS is broader than that in the ICRW.</w:t>
      </w:r>
    </w:p>
  </w:footnote>
  <w:footnote w:id="54">
    <w:p w14:paraId="64DE7B0A" w14:textId="77777777" w:rsidR="009A7F82" w:rsidRPr="00EF689E" w:rsidRDefault="009A7F82" w:rsidP="00A629B5">
      <w:pPr>
        <w:pStyle w:val="FootnoteText"/>
      </w:pPr>
      <w:r>
        <w:rPr>
          <w:rStyle w:val="FootnoteReference"/>
        </w:rPr>
        <w:footnoteRef/>
      </w:r>
      <w:r>
        <w:t xml:space="preserve"> </w:t>
      </w:r>
      <w:r>
        <w:rPr>
          <w:i/>
        </w:rPr>
        <w:t>Whaling in the Antarctic</w:t>
      </w:r>
      <w:r>
        <w:t xml:space="preserve">, [127]–[227]; </w:t>
      </w:r>
      <w:r>
        <w:t>Telesetsky, Anton and Koivurova (2014), 333.</w:t>
      </w:r>
    </w:p>
  </w:footnote>
  <w:footnote w:id="55">
    <w:p w14:paraId="462323F8" w14:textId="77777777" w:rsidR="009A7F82" w:rsidRPr="00476423" w:rsidRDefault="009A7F82" w:rsidP="00A629B5">
      <w:pPr>
        <w:pStyle w:val="FootnoteText"/>
      </w:pPr>
      <w:r>
        <w:rPr>
          <w:rStyle w:val="FootnoteReference"/>
        </w:rPr>
        <w:footnoteRef/>
      </w:r>
      <w:r>
        <w:t xml:space="preserve"> </w:t>
      </w:r>
      <w:r>
        <w:rPr>
          <w:i/>
        </w:rPr>
        <w:t>Compromis</w:t>
      </w:r>
      <w:r>
        <w:t>, [9].</w:t>
      </w:r>
    </w:p>
  </w:footnote>
  <w:footnote w:id="56">
    <w:p w14:paraId="4D27CC2A" w14:textId="77777777" w:rsidR="009A7F82" w:rsidRPr="009F7868" w:rsidRDefault="009A7F82" w:rsidP="00A629B5">
      <w:pPr>
        <w:pStyle w:val="FootnoteText"/>
      </w:pPr>
      <w:r>
        <w:rPr>
          <w:rStyle w:val="FootnoteReference"/>
        </w:rPr>
        <w:footnoteRef/>
      </w:r>
      <w:r>
        <w:t xml:space="preserve"> </w:t>
      </w:r>
      <w:r>
        <w:rPr>
          <w:i/>
        </w:rPr>
        <w:t>Compromis</w:t>
      </w:r>
      <w:r>
        <w:t>, [26], [33].</w:t>
      </w:r>
    </w:p>
  </w:footnote>
  <w:footnote w:id="57">
    <w:p w14:paraId="0AD056C1" w14:textId="77777777" w:rsidR="009A7F82" w:rsidRPr="002A7CB5" w:rsidRDefault="009A7F82" w:rsidP="00A629B5">
      <w:pPr>
        <w:pStyle w:val="FootnoteText"/>
        <w:rPr>
          <w:lang w:val="en-AU"/>
        </w:rPr>
      </w:pPr>
      <w:r>
        <w:rPr>
          <w:rStyle w:val="FootnoteReference"/>
        </w:rPr>
        <w:footnoteRef/>
      </w:r>
      <w:r>
        <w:t xml:space="preserve"> </w:t>
      </w:r>
      <w:r>
        <w:rPr>
          <w:lang w:val="en-AU"/>
        </w:rPr>
        <w:t>VCLT, art 31.</w:t>
      </w:r>
    </w:p>
  </w:footnote>
  <w:footnote w:id="58">
    <w:p w14:paraId="759CE860" w14:textId="77777777" w:rsidR="009A7F82" w:rsidRPr="008C3CC2" w:rsidRDefault="009A7F82" w:rsidP="00A629B5">
      <w:pPr>
        <w:pStyle w:val="FootnoteText"/>
        <w:rPr>
          <w:lang w:val="en-AU"/>
        </w:rPr>
      </w:pPr>
      <w:r>
        <w:rPr>
          <w:rStyle w:val="FootnoteReference"/>
        </w:rPr>
        <w:footnoteRef/>
      </w:r>
      <w:r>
        <w:t xml:space="preserve"> </w:t>
      </w:r>
      <w:r>
        <w:rPr>
          <w:i/>
          <w:lang w:val="en-AU"/>
        </w:rPr>
        <w:t>Compromis</w:t>
      </w:r>
      <w:r>
        <w:rPr>
          <w:lang w:val="en-AU"/>
        </w:rPr>
        <w:t>, [45].</w:t>
      </w:r>
    </w:p>
  </w:footnote>
  <w:footnote w:id="59">
    <w:p w14:paraId="1F8BA8E8" w14:textId="77777777" w:rsidR="009A7F82" w:rsidRPr="0010356B" w:rsidRDefault="009A7F82" w:rsidP="00A629B5">
      <w:pPr>
        <w:pStyle w:val="FootnoteText"/>
        <w:rPr>
          <w:lang w:val="en-AU"/>
        </w:rPr>
      </w:pPr>
      <w:r>
        <w:rPr>
          <w:rStyle w:val="FootnoteReference"/>
        </w:rPr>
        <w:footnoteRef/>
      </w:r>
      <w:r>
        <w:t xml:space="preserve"> </w:t>
      </w:r>
      <w:r>
        <w:rPr>
          <w:lang w:val="en-AU"/>
        </w:rPr>
        <w:t xml:space="preserve">CMS, preamble. See also </w:t>
      </w:r>
      <w:r w:rsidRPr="0047186E">
        <w:rPr>
          <w:lang w:val="en-AU"/>
        </w:rPr>
        <w:t>Manila Declaration</w:t>
      </w:r>
      <w:r>
        <w:rPr>
          <w:lang w:val="en-AU"/>
        </w:rPr>
        <w:t>, preamble: “</w:t>
      </w:r>
      <w:r w:rsidRPr="00371B85">
        <w:rPr>
          <w:lang w:val="en-AU"/>
        </w:rPr>
        <w:t>the indispensable contributions of wild animals to sustainable development and the many socioeconomic benefits people derive from them in the form</w:t>
      </w:r>
      <w:r>
        <w:rPr>
          <w:lang w:val="en-AU"/>
        </w:rPr>
        <w:t xml:space="preserve"> of</w:t>
      </w:r>
      <w:r w:rsidRPr="00371B85">
        <w:rPr>
          <w:lang w:val="en-AU"/>
        </w:rPr>
        <w:t xml:space="preserve"> </w:t>
      </w:r>
      <w:r>
        <w:rPr>
          <w:lang w:val="en-AU"/>
        </w:rPr>
        <w:t xml:space="preserve">… </w:t>
      </w:r>
      <w:r w:rsidRPr="00371B85">
        <w:rPr>
          <w:lang w:val="en-AU"/>
        </w:rPr>
        <w:t>medicinal and genetic resources</w:t>
      </w:r>
      <w:r>
        <w:rPr>
          <w:lang w:val="en-AU"/>
        </w:rPr>
        <w:t>”.</w:t>
      </w:r>
    </w:p>
  </w:footnote>
  <w:footnote w:id="60">
    <w:p w14:paraId="4BDB93D6" w14:textId="77777777" w:rsidR="009A7F82" w:rsidRPr="00A6472C" w:rsidRDefault="009A7F82" w:rsidP="00A629B5">
      <w:pPr>
        <w:pStyle w:val="FootnoteText"/>
        <w:rPr>
          <w:lang w:val="en-AU"/>
        </w:rPr>
      </w:pPr>
      <w:r>
        <w:rPr>
          <w:rStyle w:val="FootnoteReference"/>
        </w:rPr>
        <w:footnoteRef/>
      </w:r>
      <w:r>
        <w:t xml:space="preserve"> CMS, preamble.</w:t>
      </w:r>
    </w:p>
  </w:footnote>
  <w:footnote w:id="61">
    <w:p w14:paraId="41C3647D" w14:textId="77777777" w:rsidR="009A7F82" w:rsidRPr="004E71AB" w:rsidRDefault="009A7F82" w:rsidP="00A629B5">
      <w:pPr>
        <w:pStyle w:val="FootnoteText"/>
        <w:rPr>
          <w:lang w:val="en-AU"/>
        </w:rPr>
      </w:pPr>
      <w:r>
        <w:rPr>
          <w:rStyle w:val="FootnoteReference"/>
        </w:rPr>
        <w:footnoteRef/>
      </w:r>
      <w:r>
        <w:t xml:space="preserve"> </w:t>
      </w:r>
      <w:r>
        <w:rPr>
          <w:i/>
          <w:lang w:val="en-AU"/>
        </w:rPr>
        <w:t>Compromis</w:t>
      </w:r>
      <w:r>
        <w:rPr>
          <w:lang w:val="en-AU"/>
        </w:rPr>
        <w:t>, [37].</w:t>
      </w:r>
    </w:p>
  </w:footnote>
  <w:footnote w:id="62">
    <w:p w14:paraId="7FF2F0E3" w14:textId="59588C89" w:rsidR="009A7F82" w:rsidRPr="00255C20" w:rsidRDefault="009A7F82" w:rsidP="00A629B5">
      <w:pPr>
        <w:pStyle w:val="FootnoteText"/>
        <w:rPr>
          <w:lang w:val="en-AU"/>
        </w:rPr>
      </w:pPr>
      <w:r>
        <w:rPr>
          <w:rStyle w:val="FootnoteReference"/>
        </w:rPr>
        <w:footnoteRef/>
      </w:r>
      <w:r>
        <w:t xml:space="preserve"> CESCR</w:t>
      </w:r>
      <w:r>
        <w:rPr>
          <w:lang w:val="en-AU"/>
        </w:rPr>
        <w:t xml:space="preserve"> </w:t>
      </w:r>
      <w:r w:rsidR="005626C2">
        <w:rPr>
          <w:lang w:val="en-AU"/>
        </w:rPr>
        <w:t>General Comment</w:t>
      </w:r>
      <w:r>
        <w:rPr>
          <w:lang w:val="en-AU"/>
        </w:rPr>
        <w:t xml:space="preserve"> 14, [1], [12(a)].</w:t>
      </w:r>
    </w:p>
  </w:footnote>
  <w:footnote w:id="63">
    <w:p w14:paraId="261040BC" w14:textId="77777777" w:rsidR="009A7F82" w:rsidRPr="00030964" w:rsidRDefault="009A7F82" w:rsidP="00A629B5">
      <w:pPr>
        <w:pStyle w:val="FootnoteText"/>
        <w:rPr>
          <w:lang w:val="en-AU"/>
        </w:rPr>
      </w:pPr>
      <w:r>
        <w:rPr>
          <w:rStyle w:val="FootnoteReference"/>
        </w:rPr>
        <w:footnoteRef/>
      </w:r>
      <w:r>
        <w:t xml:space="preserve"> </w:t>
      </w:r>
      <w:r>
        <w:rPr>
          <w:i/>
          <w:lang w:val="en-AU"/>
        </w:rPr>
        <w:t>Compromis</w:t>
      </w:r>
      <w:r>
        <w:rPr>
          <w:lang w:val="en-AU"/>
        </w:rPr>
        <w:t>, [12], [43].</w:t>
      </w:r>
    </w:p>
  </w:footnote>
  <w:footnote w:id="64">
    <w:p w14:paraId="589020F8" w14:textId="77777777" w:rsidR="009A7F82" w:rsidRPr="00121994" w:rsidRDefault="009A7F82" w:rsidP="00A629B5">
      <w:pPr>
        <w:pStyle w:val="FootnoteText"/>
      </w:pPr>
      <w:r>
        <w:rPr>
          <w:rStyle w:val="FootnoteReference"/>
        </w:rPr>
        <w:footnoteRef/>
      </w:r>
      <w:r>
        <w:t xml:space="preserve"> VCLT, art 31; </w:t>
      </w:r>
      <w:r>
        <w:t>Trouwborst (2014), 44.</w:t>
      </w:r>
    </w:p>
  </w:footnote>
  <w:footnote w:id="65">
    <w:p w14:paraId="2C4DBE89" w14:textId="77777777" w:rsidR="009A7F82" w:rsidRPr="00B321C7" w:rsidRDefault="009A7F82" w:rsidP="00A629B5">
      <w:pPr>
        <w:pStyle w:val="FootnoteText"/>
        <w:rPr>
          <w:lang w:val="en-AU"/>
        </w:rPr>
      </w:pPr>
      <w:r>
        <w:rPr>
          <w:rStyle w:val="FootnoteReference"/>
        </w:rPr>
        <w:footnoteRef/>
      </w:r>
      <w:r>
        <w:t xml:space="preserve"> </w:t>
      </w:r>
      <w:r>
        <w:rPr>
          <w:i/>
          <w:lang w:val="en-AU"/>
        </w:rPr>
        <w:t>Compromis</w:t>
      </w:r>
      <w:r>
        <w:rPr>
          <w:lang w:val="en-AU"/>
        </w:rPr>
        <w:t>, [26], [33].</w:t>
      </w:r>
    </w:p>
  </w:footnote>
  <w:footnote w:id="66">
    <w:p w14:paraId="3D934B96" w14:textId="77777777" w:rsidR="009A7F82" w:rsidRPr="00112E16" w:rsidRDefault="009A7F82" w:rsidP="00A629B5">
      <w:pPr>
        <w:pStyle w:val="FootnoteText"/>
        <w:rPr>
          <w:lang w:val="en-AU"/>
        </w:rPr>
      </w:pPr>
      <w:r>
        <w:rPr>
          <w:rStyle w:val="FootnoteReference"/>
        </w:rPr>
        <w:footnoteRef/>
      </w:r>
      <w:r>
        <w:t xml:space="preserve"> </w:t>
      </w:r>
      <w:r>
        <w:rPr>
          <w:i/>
          <w:lang w:val="en-AU"/>
        </w:rPr>
        <w:t>Compromis</w:t>
      </w:r>
      <w:r>
        <w:rPr>
          <w:lang w:val="en-AU"/>
        </w:rPr>
        <w:t>, [45].</w:t>
      </w:r>
    </w:p>
  </w:footnote>
  <w:footnote w:id="67">
    <w:p w14:paraId="56C78DB6" w14:textId="77777777" w:rsidR="009A7F82" w:rsidRPr="00112E16" w:rsidRDefault="009A7F82" w:rsidP="00A629B5">
      <w:pPr>
        <w:pStyle w:val="FootnoteText"/>
        <w:rPr>
          <w:lang w:val="en-AU"/>
        </w:rPr>
      </w:pPr>
      <w:r>
        <w:rPr>
          <w:rStyle w:val="FootnoteReference"/>
        </w:rPr>
        <w:footnoteRef/>
      </w:r>
      <w:r>
        <w:t xml:space="preserve"> </w:t>
      </w:r>
      <w:r>
        <w:rPr>
          <w:i/>
          <w:lang w:val="en-AU"/>
        </w:rPr>
        <w:t>Compromis</w:t>
      </w:r>
      <w:r>
        <w:rPr>
          <w:lang w:val="en-AU"/>
        </w:rPr>
        <w:t>, [45].</w:t>
      </w:r>
    </w:p>
  </w:footnote>
  <w:footnote w:id="68">
    <w:p w14:paraId="40945F40" w14:textId="77777777" w:rsidR="009A7F82" w:rsidRPr="000D73CA" w:rsidRDefault="009A7F82" w:rsidP="00A629B5">
      <w:pPr>
        <w:pStyle w:val="FootnoteText"/>
        <w:rPr>
          <w:lang w:val="en-AU"/>
        </w:rPr>
      </w:pPr>
      <w:r>
        <w:rPr>
          <w:rStyle w:val="FootnoteReference"/>
        </w:rPr>
        <w:footnoteRef/>
      </w:r>
      <w:r>
        <w:t xml:space="preserve"> </w:t>
      </w:r>
      <w:r w:rsidRPr="00552998">
        <w:rPr>
          <w:lang w:val="en-AU"/>
        </w:rPr>
        <w:t>CMS</w:t>
      </w:r>
      <w:r>
        <w:rPr>
          <w:lang w:val="en-AU"/>
        </w:rPr>
        <w:t xml:space="preserve">, art I(1)(c)(4); VCLT, art 31; </w:t>
      </w:r>
      <w:r>
        <w:rPr>
          <w:lang w:val="en-AU"/>
        </w:rPr>
        <w:t>Fischman and Hyman (2010), 199.</w:t>
      </w:r>
    </w:p>
  </w:footnote>
  <w:footnote w:id="69">
    <w:p w14:paraId="1716F5D1" w14:textId="77777777" w:rsidR="009A7F82" w:rsidRPr="00DE51F9" w:rsidRDefault="009A7F82" w:rsidP="00A629B5">
      <w:pPr>
        <w:pStyle w:val="FootnoteText"/>
        <w:rPr>
          <w:lang w:val="en-AU"/>
        </w:rPr>
      </w:pPr>
      <w:r>
        <w:rPr>
          <w:rStyle w:val="FootnoteReference"/>
        </w:rPr>
        <w:footnoteRef/>
      </w:r>
      <w:r>
        <w:t xml:space="preserve"> </w:t>
      </w:r>
      <w:r>
        <w:rPr>
          <w:lang w:val="en-AU"/>
        </w:rPr>
        <w:t>Fischman and Hyman (2010), 195, 198.</w:t>
      </w:r>
    </w:p>
  </w:footnote>
  <w:footnote w:id="70">
    <w:p w14:paraId="66E1050D" w14:textId="77777777" w:rsidR="009A7F82" w:rsidRPr="002B627D" w:rsidRDefault="009A7F82" w:rsidP="00A629B5">
      <w:pPr>
        <w:pStyle w:val="FootnoteText"/>
        <w:rPr>
          <w:lang w:val="en-AU"/>
        </w:rPr>
      </w:pPr>
      <w:r>
        <w:rPr>
          <w:rStyle w:val="FootnoteReference"/>
        </w:rPr>
        <w:footnoteRef/>
      </w:r>
      <w:r>
        <w:t xml:space="preserve"> </w:t>
      </w:r>
      <w:r>
        <w:rPr>
          <w:lang w:val="en-AU"/>
        </w:rPr>
        <w:t>Fischman and Hyman (2010), 198.</w:t>
      </w:r>
    </w:p>
  </w:footnote>
  <w:footnote w:id="71">
    <w:p w14:paraId="618BB16A" w14:textId="77777777" w:rsidR="009A7F82" w:rsidRPr="006F03B8" w:rsidRDefault="009A7F82" w:rsidP="00A629B5">
      <w:pPr>
        <w:pStyle w:val="FootnoteText"/>
        <w:rPr>
          <w:lang w:val="en-AU"/>
        </w:rPr>
      </w:pPr>
      <w:r>
        <w:rPr>
          <w:rStyle w:val="FootnoteReference"/>
        </w:rPr>
        <w:footnoteRef/>
      </w:r>
      <w:r>
        <w:t xml:space="preserve"> </w:t>
      </w:r>
      <w:r>
        <w:rPr>
          <w:lang w:val="en-AU"/>
        </w:rPr>
        <w:t>Fischman and Hyman (2010), 195.</w:t>
      </w:r>
    </w:p>
  </w:footnote>
  <w:footnote w:id="72">
    <w:p w14:paraId="47222CB6" w14:textId="77777777" w:rsidR="009A7F82" w:rsidRPr="006F03B8" w:rsidRDefault="009A7F82" w:rsidP="00A629B5">
      <w:pPr>
        <w:pStyle w:val="FootnoteText"/>
        <w:rPr>
          <w:lang w:val="en-AU"/>
        </w:rPr>
      </w:pPr>
      <w:r>
        <w:rPr>
          <w:rStyle w:val="FootnoteReference"/>
        </w:rPr>
        <w:footnoteRef/>
      </w:r>
      <w:r>
        <w:t xml:space="preserve"> CMS, preamble. As it is consistent with the purpose of the CMS, the suggested interpretation is an appropriate one in the context: VCLT, art 31.</w:t>
      </w:r>
    </w:p>
  </w:footnote>
  <w:footnote w:id="73">
    <w:p w14:paraId="051A2FF7" w14:textId="77777777" w:rsidR="009A7F82" w:rsidRPr="00391512" w:rsidRDefault="009A7F82" w:rsidP="00A629B5">
      <w:pPr>
        <w:pStyle w:val="FootnoteText"/>
        <w:rPr>
          <w:lang w:val="en-AU"/>
        </w:rPr>
      </w:pPr>
      <w:r>
        <w:rPr>
          <w:rStyle w:val="FootnoteReference"/>
        </w:rPr>
        <w:footnoteRef/>
      </w:r>
      <w:r>
        <w:t xml:space="preserve"> </w:t>
      </w:r>
      <w:r w:rsidRPr="00253F7E">
        <w:rPr>
          <w:i/>
          <w:lang w:val="en-AU"/>
        </w:rPr>
        <w:t>Clarifications</w:t>
      </w:r>
      <w:r>
        <w:rPr>
          <w:lang w:val="en-AU"/>
        </w:rPr>
        <w:t>, [7].</w:t>
      </w:r>
    </w:p>
  </w:footnote>
  <w:footnote w:id="74">
    <w:p w14:paraId="58AED525" w14:textId="77777777" w:rsidR="009A7F82" w:rsidRPr="002352AC" w:rsidRDefault="009A7F82" w:rsidP="00A629B5">
      <w:pPr>
        <w:pStyle w:val="FootnoteText"/>
      </w:pPr>
      <w:r>
        <w:rPr>
          <w:rStyle w:val="FootnoteReference"/>
        </w:rPr>
        <w:footnoteRef/>
      </w:r>
      <w:r>
        <w:t xml:space="preserve"> </w:t>
      </w:r>
      <w:r>
        <w:rPr>
          <w:i/>
        </w:rPr>
        <w:t>Compromis</w:t>
      </w:r>
      <w:r>
        <w:t>, [40].</w:t>
      </w:r>
    </w:p>
  </w:footnote>
  <w:footnote w:id="75">
    <w:p w14:paraId="4633D20B" w14:textId="77777777" w:rsidR="009A7F82" w:rsidRPr="00FD17E4" w:rsidRDefault="009A7F82" w:rsidP="00A629B5">
      <w:pPr>
        <w:pStyle w:val="FootnoteText"/>
        <w:rPr>
          <w:lang w:val="en-AU"/>
        </w:rPr>
      </w:pPr>
      <w:r>
        <w:rPr>
          <w:rStyle w:val="FootnoteReference"/>
        </w:rPr>
        <w:footnoteRef/>
      </w:r>
      <w:r>
        <w:t xml:space="preserve"> </w:t>
      </w:r>
      <w:r w:rsidRPr="00AB1CC5">
        <w:rPr>
          <w:lang w:val="en-AU"/>
        </w:rPr>
        <w:t>CITES</w:t>
      </w:r>
      <w:r>
        <w:rPr>
          <w:lang w:val="en-AU"/>
        </w:rPr>
        <w:t xml:space="preserve">, art </w:t>
      </w:r>
      <w:r>
        <w:rPr>
          <w:lang w:val="en-AU"/>
        </w:rPr>
        <w:t>V(2); IUCN CITES Guidelines, 29.</w:t>
      </w:r>
    </w:p>
  </w:footnote>
  <w:footnote w:id="76">
    <w:p w14:paraId="4D0DD586" w14:textId="77777777" w:rsidR="009A7F82" w:rsidRPr="00B446BB" w:rsidRDefault="009A7F82" w:rsidP="00A629B5">
      <w:pPr>
        <w:pStyle w:val="FootnoteText"/>
        <w:rPr>
          <w:lang w:val="en-AU"/>
        </w:rPr>
      </w:pPr>
      <w:r>
        <w:rPr>
          <w:rStyle w:val="FootnoteReference"/>
        </w:rPr>
        <w:footnoteRef/>
      </w:r>
      <w:r>
        <w:t xml:space="preserve"> </w:t>
      </w:r>
      <w:r>
        <w:rPr>
          <w:i/>
          <w:lang w:val="en-AU"/>
        </w:rPr>
        <w:t>Compromis</w:t>
      </w:r>
      <w:r>
        <w:rPr>
          <w:lang w:val="en-AU"/>
        </w:rPr>
        <w:t>, [40].</w:t>
      </w:r>
    </w:p>
  </w:footnote>
  <w:footnote w:id="77">
    <w:p w14:paraId="26C5543E" w14:textId="77777777" w:rsidR="009A7F82" w:rsidRPr="00207016" w:rsidRDefault="009A7F82" w:rsidP="00A629B5">
      <w:pPr>
        <w:pStyle w:val="FootnoteText"/>
        <w:rPr>
          <w:lang w:val="en-AU"/>
        </w:rPr>
      </w:pPr>
      <w:r>
        <w:rPr>
          <w:rStyle w:val="FootnoteReference"/>
        </w:rPr>
        <w:footnoteRef/>
      </w:r>
      <w:r>
        <w:t xml:space="preserve"> </w:t>
      </w:r>
      <w:r w:rsidRPr="00620FE6">
        <w:rPr>
          <w:i/>
          <w:lang w:val="en-AU"/>
        </w:rPr>
        <w:t>Clarifications</w:t>
      </w:r>
      <w:r>
        <w:rPr>
          <w:lang w:val="en-AU"/>
        </w:rPr>
        <w:t>, [6].</w:t>
      </w:r>
    </w:p>
  </w:footnote>
  <w:footnote w:id="78">
    <w:p w14:paraId="7B3D8AD6" w14:textId="18AA476B" w:rsidR="009A7F82" w:rsidRPr="00D73448" w:rsidRDefault="009A7F82" w:rsidP="00A629B5">
      <w:pPr>
        <w:pStyle w:val="FootnoteText"/>
        <w:rPr>
          <w:lang w:val="en-AU"/>
        </w:rPr>
      </w:pPr>
      <w:r>
        <w:rPr>
          <w:rStyle w:val="FootnoteReference"/>
        </w:rPr>
        <w:footnoteRef/>
      </w:r>
      <w:r>
        <w:t xml:space="preserve"> </w:t>
      </w:r>
      <w:r w:rsidRPr="005B3668">
        <w:t>CITES</w:t>
      </w:r>
      <w:r>
        <w:t>, preamble</w:t>
      </w:r>
      <w:r w:rsidRPr="00A629B5">
        <w:t xml:space="preserve">; </w:t>
      </w:r>
      <w:r w:rsidRPr="00A629B5">
        <w:t>Lyster (2010), 486</w:t>
      </w:r>
      <w:r>
        <w:t>. The ceasing of manufacturing derivative products is not a remedy available under CITES and is not referred to in the IUCN CITES Guidelines.</w:t>
      </w:r>
    </w:p>
  </w:footnote>
  <w:footnote w:id="79">
    <w:p w14:paraId="03043C6A" w14:textId="77777777" w:rsidR="009A7F82" w:rsidRPr="00B819D3" w:rsidRDefault="009A7F82" w:rsidP="00A629B5">
      <w:pPr>
        <w:pStyle w:val="FootnoteText"/>
        <w:rPr>
          <w:lang w:val="en-AU"/>
        </w:rPr>
      </w:pPr>
      <w:r w:rsidRPr="005B3668">
        <w:rPr>
          <w:rStyle w:val="FootnoteReference"/>
        </w:rPr>
        <w:footnoteRef/>
      </w:r>
      <w:r w:rsidRPr="005B3668">
        <w:t xml:space="preserve"> </w:t>
      </w:r>
      <w:r w:rsidRPr="005B3668">
        <w:rPr>
          <w:lang w:val="en-AU"/>
        </w:rPr>
        <w:t>CITES</w:t>
      </w:r>
      <w:r>
        <w:rPr>
          <w:lang w:val="en-AU"/>
        </w:rPr>
        <w:t>,</w:t>
      </w:r>
      <w:r w:rsidRPr="005B3668">
        <w:rPr>
          <w:lang w:val="en-AU"/>
        </w:rPr>
        <w:t xml:space="preserve"> </w:t>
      </w:r>
      <w:r>
        <w:rPr>
          <w:lang w:val="en-AU"/>
        </w:rPr>
        <w:t xml:space="preserve">art V(2)(a); </w:t>
      </w:r>
      <w:r>
        <w:rPr>
          <w:i/>
          <w:lang w:val="en-AU"/>
        </w:rPr>
        <w:t>Compromis</w:t>
      </w:r>
      <w:r>
        <w:rPr>
          <w:lang w:val="en-AU"/>
        </w:rPr>
        <w:t>, [44]</w:t>
      </w:r>
      <w:r>
        <w:rPr>
          <w:lang w:val="en-AU"/>
        </w:rPr>
        <w:t>–[45].</w:t>
      </w:r>
    </w:p>
  </w:footnote>
  <w:footnote w:id="80">
    <w:p w14:paraId="548E6DF9" w14:textId="0C0AA775" w:rsidR="009A7F82" w:rsidRPr="0094586A" w:rsidRDefault="009A7F82" w:rsidP="00A629B5">
      <w:pPr>
        <w:pStyle w:val="FootnoteText"/>
        <w:rPr>
          <w:iCs/>
          <w:color w:val="000000"/>
        </w:rPr>
      </w:pPr>
      <w:r>
        <w:rPr>
          <w:rStyle w:val="FootnoteReference"/>
        </w:rPr>
        <w:footnoteRef/>
      </w:r>
      <w:r>
        <w:t xml:space="preserve"> </w:t>
      </w:r>
      <w:r>
        <w:rPr>
          <w:i/>
        </w:rPr>
        <w:t xml:space="preserve">Trail </w:t>
      </w:r>
      <w:r w:rsidRPr="009F2B6E">
        <w:rPr>
          <w:i/>
        </w:rPr>
        <w:t>Smelter</w:t>
      </w:r>
      <w:r>
        <w:t xml:space="preserve">, 641; </w:t>
      </w:r>
      <w:r>
        <w:rPr>
          <w:i/>
          <w:iCs/>
        </w:rPr>
        <w:t>Construction of a Road</w:t>
      </w:r>
      <w:r>
        <w:rPr>
          <w:iCs/>
        </w:rPr>
        <w:t xml:space="preserve">, [104]–[105]; </w:t>
      </w:r>
      <w:r>
        <w:rPr>
          <w:i/>
        </w:rPr>
        <w:t>Advisory Opinion OC-23/17</w:t>
      </w:r>
      <w:r>
        <w:rPr>
          <w:iCs/>
        </w:rPr>
        <w:t xml:space="preserve">, [95], [97]; </w:t>
      </w:r>
      <w:r>
        <w:rPr>
          <w:iCs/>
          <w:color w:val="000000"/>
        </w:rPr>
        <w:t xml:space="preserve">Stockholm Declaration, art 21; </w:t>
      </w:r>
      <w:r>
        <w:rPr>
          <w:i/>
          <w:iCs/>
          <w:color w:val="000000"/>
        </w:rPr>
        <w:t>Prevention Articles</w:t>
      </w:r>
      <w:r>
        <w:rPr>
          <w:iCs/>
          <w:color w:val="000000"/>
        </w:rPr>
        <w:t xml:space="preserve">, art 3; </w:t>
      </w:r>
      <w:r w:rsidRPr="009F2B6E">
        <w:rPr>
          <w:color w:val="000000" w:themeColor="text1"/>
        </w:rPr>
        <w:t>Birnie</w:t>
      </w:r>
      <w:r w:rsidRPr="00413BC5">
        <w:rPr>
          <w:color w:val="000000" w:themeColor="text1"/>
        </w:rPr>
        <w:t>, Boyle and Redgwell (2009</w:t>
      </w:r>
      <w:r>
        <w:rPr>
          <w:color w:val="000000" w:themeColor="text1"/>
        </w:rPr>
        <w:t xml:space="preserve">), </w:t>
      </w:r>
      <w:r>
        <w:rPr>
          <w:lang w:val="en-GB"/>
        </w:rPr>
        <w:t>185.</w:t>
      </w:r>
    </w:p>
  </w:footnote>
  <w:footnote w:id="81">
    <w:p w14:paraId="771DBD87" w14:textId="68D4E62A" w:rsidR="009A7F82" w:rsidRPr="002863B5" w:rsidRDefault="009A7F82" w:rsidP="00A629B5">
      <w:pPr>
        <w:pStyle w:val="FootnoteText"/>
      </w:pPr>
      <w:r>
        <w:rPr>
          <w:rStyle w:val="FootnoteReference"/>
        </w:rPr>
        <w:footnoteRef/>
      </w:r>
      <w:r>
        <w:t xml:space="preserve"> Stockholm Declaration, art 21; Rio Declaration, art 2; </w:t>
      </w:r>
      <w:r w:rsidRPr="00A84905">
        <w:t>Duvic-Paoli</w:t>
      </w:r>
      <w:r>
        <w:t xml:space="preserve"> and Viñuales (2015), [2.1.2.2]; </w:t>
      </w:r>
      <w:r w:rsidRPr="00CC1D73">
        <w:rPr>
          <w:i/>
          <w:iCs/>
          <w:color w:val="000000"/>
          <w:lang w:val="en-GB"/>
        </w:rPr>
        <w:t>Sovereignty Over Natural Resources</w:t>
      </w:r>
      <w:r>
        <w:rPr>
          <w:iCs/>
          <w:color w:val="000000"/>
          <w:lang w:val="en-GB"/>
        </w:rPr>
        <w:t>.</w:t>
      </w:r>
    </w:p>
  </w:footnote>
  <w:footnote w:id="82">
    <w:p w14:paraId="4AFCCD3E" w14:textId="5ABDB231" w:rsidR="009A7F82" w:rsidRPr="009047EC" w:rsidRDefault="009A7F82" w:rsidP="00A629B5">
      <w:pPr>
        <w:pStyle w:val="FootnoteText"/>
      </w:pPr>
      <w:r>
        <w:rPr>
          <w:rStyle w:val="FootnoteReference"/>
        </w:rPr>
        <w:footnoteRef/>
      </w:r>
      <w:r>
        <w:t xml:space="preserve"> </w:t>
      </w:r>
      <w:r w:rsidRPr="00712D0D">
        <w:rPr>
          <w:i/>
        </w:rPr>
        <w:t>Trail Smelter</w:t>
      </w:r>
      <w:r>
        <w:t xml:space="preserve">, 1965; </w:t>
      </w:r>
      <w:r>
        <w:rPr>
          <w:i/>
        </w:rPr>
        <w:t>Nuclear Weapons</w:t>
      </w:r>
      <w:r>
        <w:t xml:space="preserve">, [29]; </w:t>
      </w:r>
      <w:r w:rsidRPr="00D92114">
        <w:rPr>
          <w:bCs/>
          <w:i/>
        </w:rPr>
        <w:t>Genocide Case (Bosnia v Serbia)</w:t>
      </w:r>
      <w:r>
        <w:rPr>
          <w:lang w:val="en-US"/>
        </w:rPr>
        <w:t xml:space="preserve">, [430]; </w:t>
      </w:r>
      <w:r>
        <w:rPr>
          <w:i/>
          <w:lang w:val="en-AU"/>
        </w:rPr>
        <w:t>Pulp Mills</w:t>
      </w:r>
      <w:r>
        <w:rPr>
          <w:lang w:val="en-AU"/>
        </w:rPr>
        <w:t xml:space="preserve">, [187]; </w:t>
      </w:r>
      <w:r w:rsidRPr="00E13658">
        <w:rPr>
          <w:i/>
          <w:lang w:val="en-AU"/>
        </w:rPr>
        <w:t>Seabed</w:t>
      </w:r>
      <w:r>
        <w:rPr>
          <w:i/>
          <w:lang w:val="en-AU"/>
        </w:rPr>
        <w:t xml:space="preserve"> Mining (Opinion)</w:t>
      </w:r>
      <w:r>
        <w:rPr>
          <w:lang w:val="en-AU"/>
        </w:rPr>
        <w:t xml:space="preserve">, [110]–[111], [223]; </w:t>
      </w:r>
      <w:r>
        <w:rPr>
          <w:i/>
        </w:rPr>
        <w:t>Advisory Opinion OC-23/17</w:t>
      </w:r>
      <w:r>
        <w:rPr>
          <w:lang w:val="en-AU"/>
        </w:rPr>
        <w:t xml:space="preserve">, [103]–[104]; </w:t>
      </w:r>
      <w:r>
        <w:rPr>
          <w:i/>
          <w:lang w:val="en-AU"/>
        </w:rPr>
        <w:t xml:space="preserve">ILA Study </w:t>
      </w:r>
      <w:r w:rsidRPr="00085619">
        <w:rPr>
          <w:i/>
          <w:lang w:val="en-AU"/>
        </w:rPr>
        <w:t>Group</w:t>
      </w:r>
      <w:r>
        <w:rPr>
          <w:lang w:val="en-AU"/>
        </w:rPr>
        <w:t xml:space="preserve">, </w:t>
      </w:r>
      <w:r w:rsidRPr="00085619">
        <w:rPr>
          <w:lang w:val="en-AU"/>
        </w:rPr>
        <w:t>974</w:t>
      </w:r>
      <w:r>
        <w:rPr>
          <w:lang w:val="en-AU"/>
        </w:rPr>
        <w:t>.</w:t>
      </w:r>
    </w:p>
  </w:footnote>
  <w:footnote w:id="83">
    <w:p w14:paraId="5F5A9E43" w14:textId="77777777" w:rsidR="009A7F82" w:rsidRPr="002D49BE" w:rsidRDefault="009A7F82" w:rsidP="00A629B5">
      <w:pPr>
        <w:pStyle w:val="FootnoteText"/>
      </w:pPr>
      <w:r>
        <w:rPr>
          <w:rStyle w:val="FootnoteReference"/>
        </w:rPr>
        <w:footnoteRef/>
      </w:r>
      <w:r>
        <w:t xml:space="preserve"> </w:t>
      </w:r>
      <w:r w:rsidRPr="00D358EC">
        <w:rPr>
          <w:i/>
        </w:rPr>
        <w:t>Pulp Mills</w:t>
      </w:r>
      <w:r>
        <w:t xml:space="preserve">, [187]; </w:t>
      </w:r>
      <w:r>
        <w:rPr>
          <w:i/>
        </w:rPr>
        <w:t>Seabed Mining (Opinion)</w:t>
      </w:r>
      <w:r>
        <w:t xml:space="preserve">, [110]; </w:t>
      </w:r>
      <w:r>
        <w:t>Birnie, Boyle and Redgwell (2009), 218.</w:t>
      </w:r>
    </w:p>
  </w:footnote>
  <w:footnote w:id="84">
    <w:p w14:paraId="327648E8" w14:textId="77777777" w:rsidR="009A7F82" w:rsidRPr="00CB3A87" w:rsidRDefault="009A7F82" w:rsidP="00A629B5">
      <w:pPr>
        <w:pStyle w:val="FootnoteText"/>
        <w:rPr>
          <w:lang w:val="en-AU"/>
        </w:rPr>
      </w:pPr>
      <w:r>
        <w:rPr>
          <w:rStyle w:val="FootnoteReference"/>
        </w:rPr>
        <w:footnoteRef/>
      </w:r>
      <w:r>
        <w:t xml:space="preserve"> </w:t>
      </w:r>
      <w:r>
        <w:rPr>
          <w:lang w:val="en-AU"/>
        </w:rPr>
        <w:t xml:space="preserve">Rio Declaration, art 19; </w:t>
      </w:r>
      <w:r w:rsidRPr="00950B45">
        <w:rPr>
          <w:i/>
          <w:lang w:val="en-AU"/>
        </w:rPr>
        <w:t>Construction of a Road</w:t>
      </w:r>
      <w:r>
        <w:rPr>
          <w:lang w:val="en-AU"/>
        </w:rPr>
        <w:t>, [161].</w:t>
      </w:r>
    </w:p>
  </w:footnote>
  <w:footnote w:id="85">
    <w:p w14:paraId="7ED7BA94" w14:textId="77777777" w:rsidR="009A7F82" w:rsidRPr="00EE10C0" w:rsidRDefault="009A7F82" w:rsidP="00A629B5">
      <w:pPr>
        <w:pStyle w:val="FootnoteText"/>
        <w:rPr>
          <w:lang w:val="en-AU"/>
        </w:rPr>
      </w:pPr>
      <w:r>
        <w:rPr>
          <w:rStyle w:val="FootnoteReference"/>
        </w:rPr>
        <w:footnoteRef/>
      </w:r>
      <w:r>
        <w:t xml:space="preserve"> </w:t>
      </w:r>
      <w:r w:rsidRPr="009C725A">
        <w:rPr>
          <w:i/>
          <w:lang w:val="en-AU"/>
        </w:rPr>
        <w:t>Construction of a Road</w:t>
      </w:r>
      <w:r>
        <w:rPr>
          <w:lang w:val="en-AU"/>
        </w:rPr>
        <w:t>, [104].</w:t>
      </w:r>
    </w:p>
  </w:footnote>
  <w:footnote w:id="86">
    <w:p w14:paraId="351DB8DA" w14:textId="77777777" w:rsidR="009A7F82" w:rsidRPr="00D927F4" w:rsidRDefault="009A7F82" w:rsidP="00A629B5">
      <w:pPr>
        <w:pStyle w:val="FootnoteText"/>
        <w:rPr>
          <w:lang w:val="en-AU"/>
        </w:rPr>
      </w:pPr>
      <w:r>
        <w:rPr>
          <w:rStyle w:val="FootnoteReference"/>
        </w:rPr>
        <w:footnoteRef/>
      </w:r>
      <w:r>
        <w:t xml:space="preserve"> </w:t>
      </w:r>
      <w:r>
        <w:rPr>
          <w:i/>
        </w:rPr>
        <w:t>Pulp Mills</w:t>
      </w:r>
      <w:r>
        <w:t>, [205]</w:t>
      </w:r>
      <w:r>
        <w:rPr>
          <w:lang w:val="en-AU"/>
        </w:rPr>
        <w:t>.</w:t>
      </w:r>
    </w:p>
  </w:footnote>
  <w:footnote w:id="87">
    <w:p w14:paraId="50494B0D" w14:textId="7D8B1018" w:rsidR="009A7F82" w:rsidRPr="006909E5" w:rsidRDefault="009A7F82" w:rsidP="00A629B5">
      <w:pPr>
        <w:pStyle w:val="FootnoteText"/>
        <w:rPr>
          <w:lang w:val="en-AU"/>
        </w:rPr>
      </w:pPr>
      <w:r>
        <w:rPr>
          <w:rStyle w:val="FootnoteReference"/>
        </w:rPr>
        <w:footnoteRef/>
      </w:r>
      <w:r>
        <w:t xml:space="preserve"> </w:t>
      </w:r>
      <w:r>
        <w:rPr>
          <w:i/>
          <w:lang w:val="en-AU"/>
        </w:rPr>
        <w:t>Pulp Mills</w:t>
      </w:r>
      <w:r>
        <w:rPr>
          <w:lang w:val="en-AU"/>
        </w:rPr>
        <w:t>, [205]</w:t>
      </w:r>
      <w:r w:rsidR="005B4DBF">
        <w:rPr>
          <w:lang w:val="en-AU"/>
        </w:rPr>
        <w:t xml:space="preserve">; </w:t>
      </w:r>
      <w:r w:rsidR="005B4DBF" w:rsidRPr="000401D0">
        <w:t>EIA Convention</w:t>
      </w:r>
      <w:r w:rsidR="005B4DBF">
        <w:t>, art 2.</w:t>
      </w:r>
    </w:p>
  </w:footnote>
  <w:footnote w:id="88">
    <w:p w14:paraId="26D112FB" w14:textId="464E4C45" w:rsidR="009A7F82" w:rsidRPr="000401D0" w:rsidRDefault="009A7F82" w:rsidP="00A629B5">
      <w:pPr>
        <w:pStyle w:val="FootnoteText"/>
      </w:pPr>
      <w:r>
        <w:rPr>
          <w:rStyle w:val="FootnoteReference"/>
        </w:rPr>
        <w:footnoteRef/>
      </w:r>
      <w:r>
        <w:t xml:space="preserve"> </w:t>
      </w:r>
      <w:r w:rsidRPr="006278D9">
        <w:rPr>
          <w:i/>
        </w:rPr>
        <w:t>Clarifications</w:t>
      </w:r>
      <w:r>
        <w:t>, [7].</w:t>
      </w:r>
    </w:p>
  </w:footnote>
  <w:footnote w:id="89">
    <w:p w14:paraId="3DD1F82E" w14:textId="77777777" w:rsidR="009A7F82" w:rsidRPr="00C45EF5" w:rsidRDefault="009A7F82" w:rsidP="00A629B5">
      <w:pPr>
        <w:pStyle w:val="FootnoteText"/>
      </w:pPr>
      <w:r>
        <w:rPr>
          <w:rStyle w:val="FootnoteReference"/>
        </w:rPr>
        <w:footnoteRef/>
      </w:r>
      <w:r>
        <w:t xml:space="preserve"> </w:t>
      </w:r>
      <w:r w:rsidRPr="006278D9">
        <w:rPr>
          <w:i/>
        </w:rPr>
        <w:t>Clarifications</w:t>
      </w:r>
      <w:r>
        <w:t xml:space="preserve">, [7]; </w:t>
      </w:r>
      <w:r w:rsidRPr="006278D9">
        <w:rPr>
          <w:i/>
        </w:rPr>
        <w:t>Construction of a Road</w:t>
      </w:r>
      <w:r>
        <w:t>, [101]–[105].</w:t>
      </w:r>
    </w:p>
  </w:footnote>
  <w:footnote w:id="90">
    <w:p w14:paraId="3B2AE41D" w14:textId="77777777" w:rsidR="009A7F82" w:rsidRPr="00EE10C0" w:rsidRDefault="009A7F82" w:rsidP="00A629B5">
      <w:pPr>
        <w:pStyle w:val="FootnoteText"/>
        <w:rPr>
          <w:lang w:val="en-AU"/>
        </w:rPr>
      </w:pPr>
      <w:r>
        <w:rPr>
          <w:rStyle w:val="FootnoteReference"/>
        </w:rPr>
        <w:footnoteRef/>
      </w:r>
      <w:r>
        <w:t xml:space="preserve"> </w:t>
      </w:r>
      <w:r w:rsidRPr="009C725A">
        <w:rPr>
          <w:i/>
          <w:lang w:val="en-AU"/>
        </w:rPr>
        <w:t>Construction of a Road</w:t>
      </w:r>
      <w:r>
        <w:rPr>
          <w:lang w:val="en-AU"/>
        </w:rPr>
        <w:t>, [104].</w:t>
      </w:r>
    </w:p>
  </w:footnote>
  <w:footnote w:id="91">
    <w:p w14:paraId="777DF97C" w14:textId="77777777" w:rsidR="009A7F82" w:rsidRPr="00DA7A16" w:rsidRDefault="009A7F82" w:rsidP="00A629B5">
      <w:pPr>
        <w:pStyle w:val="FootnoteText"/>
      </w:pPr>
      <w:r>
        <w:rPr>
          <w:rStyle w:val="FootnoteReference"/>
        </w:rPr>
        <w:footnoteRef/>
      </w:r>
      <w:r>
        <w:t xml:space="preserve"> </w:t>
      </w:r>
      <w:r w:rsidRPr="00365D2A">
        <w:rPr>
          <w:i/>
        </w:rPr>
        <w:t>Clarifications</w:t>
      </w:r>
      <w:r>
        <w:t>, [7].</w:t>
      </w:r>
    </w:p>
  </w:footnote>
  <w:footnote w:id="92">
    <w:p w14:paraId="36D8F8CB" w14:textId="77777777" w:rsidR="009A7F82" w:rsidRPr="00DE67D8" w:rsidRDefault="009A7F82" w:rsidP="00A629B5">
      <w:pPr>
        <w:pStyle w:val="FootnoteText"/>
      </w:pPr>
      <w:r>
        <w:rPr>
          <w:rStyle w:val="FootnoteReference"/>
        </w:rPr>
        <w:footnoteRef/>
      </w:r>
      <w:r>
        <w:t xml:space="preserve"> </w:t>
      </w:r>
      <w:r>
        <w:rPr>
          <w:i/>
        </w:rPr>
        <w:t>Compromis</w:t>
      </w:r>
      <w:r>
        <w:t xml:space="preserve">, [17]. </w:t>
      </w:r>
      <w:r>
        <w:t>Rakkab’s activities were publicly announced and Aurok responded, thus, demonstrating that it was aware of Rakkab’s activities.</w:t>
      </w:r>
    </w:p>
  </w:footnote>
  <w:footnote w:id="93">
    <w:p w14:paraId="3CCD4935" w14:textId="77777777" w:rsidR="009A7F82" w:rsidRPr="001E2068" w:rsidRDefault="009A7F82" w:rsidP="00A629B5">
      <w:pPr>
        <w:pStyle w:val="FootnoteText"/>
      </w:pPr>
      <w:r>
        <w:rPr>
          <w:rStyle w:val="FootnoteReference"/>
        </w:rPr>
        <w:footnoteRef/>
      </w:r>
      <w:r>
        <w:t xml:space="preserve"> </w:t>
      </w:r>
      <w:r>
        <w:rPr>
          <w:i/>
        </w:rPr>
        <w:t>Compromis</w:t>
      </w:r>
      <w:r>
        <w:t xml:space="preserve">, [18], [26], [31], [42]; </w:t>
      </w:r>
      <w:r>
        <w:rPr>
          <w:i/>
        </w:rPr>
        <w:t>Clarifications</w:t>
      </w:r>
      <w:r>
        <w:t>, [7].</w:t>
      </w:r>
    </w:p>
  </w:footnote>
  <w:footnote w:id="94">
    <w:p w14:paraId="2A7E3858" w14:textId="77777777" w:rsidR="009A7F82" w:rsidRPr="00365D2A" w:rsidRDefault="009A7F82" w:rsidP="00A629B5">
      <w:pPr>
        <w:pStyle w:val="FootnoteText"/>
      </w:pPr>
      <w:r>
        <w:rPr>
          <w:rStyle w:val="FootnoteReference"/>
        </w:rPr>
        <w:footnoteRef/>
      </w:r>
      <w:r>
        <w:t xml:space="preserve"> </w:t>
      </w:r>
      <w:r>
        <w:rPr>
          <w:i/>
        </w:rPr>
        <w:t xml:space="preserve">Lake </w:t>
      </w:r>
      <w:r>
        <w:rPr>
          <w:i/>
        </w:rPr>
        <w:t>Lanoux</w:t>
      </w:r>
      <w:r>
        <w:t xml:space="preserve">, 308; </w:t>
      </w:r>
      <w:r>
        <w:rPr>
          <w:i/>
        </w:rPr>
        <w:t>Railway Traffic</w:t>
      </w:r>
      <w:r>
        <w:t xml:space="preserve">, [31]; </w:t>
      </w:r>
      <w:r w:rsidRPr="00EF3A8C">
        <w:t>Boisson de Chazournes</w:t>
      </w:r>
      <w:r>
        <w:t xml:space="preserve"> and </w:t>
      </w:r>
      <w:r w:rsidRPr="00EF3A8C">
        <w:t>Sangbana</w:t>
      </w:r>
      <w:r>
        <w:t xml:space="preserve"> (2015), [2.2.3.2].</w:t>
      </w:r>
    </w:p>
  </w:footnote>
  <w:footnote w:id="95">
    <w:p w14:paraId="47444363" w14:textId="77777777" w:rsidR="009A7F82" w:rsidRPr="00091359" w:rsidRDefault="009A7F82" w:rsidP="00A629B5">
      <w:pPr>
        <w:pStyle w:val="FootnoteText"/>
      </w:pPr>
      <w:r>
        <w:rPr>
          <w:rStyle w:val="FootnoteReference"/>
        </w:rPr>
        <w:footnoteRef/>
      </w:r>
      <w:r>
        <w:t xml:space="preserve"> </w:t>
      </w:r>
      <w:r>
        <w:rPr>
          <w:i/>
        </w:rPr>
        <w:t>Fisheries Jurisdiction</w:t>
      </w:r>
      <w:r>
        <w:t xml:space="preserve"> (Declaration by Judge Singh), 41; Nanda and </w:t>
      </w:r>
      <w:r>
        <w:t>Pring (2013), [2.2.2].</w:t>
      </w:r>
    </w:p>
  </w:footnote>
  <w:footnote w:id="96">
    <w:p w14:paraId="20DA0861" w14:textId="77777777" w:rsidR="009A7F82" w:rsidRPr="00BB6A0A" w:rsidRDefault="009A7F82" w:rsidP="00A629B5">
      <w:pPr>
        <w:pStyle w:val="FootnoteText"/>
      </w:pPr>
      <w:r>
        <w:rPr>
          <w:rStyle w:val="FootnoteReference"/>
        </w:rPr>
        <w:footnoteRef/>
      </w:r>
      <w:r>
        <w:t xml:space="preserve"> </w:t>
      </w:r>
      <w:r>
        <w:rPr>
          <w:i/>
        </w:rPr>
        <w:t>Compromis</w:t>
      </w:r>
      <w:r>
        <w:t xml:space="preserve">, [45]; </w:t>
      </w:r>
      <w:r>
        <w:rPr>
          <w:i/>
        </w:rPr>
        <w:t>Pulp Mills</w:t>
      </w:r>
      <w:r>
        <w:t>, [205]; UNEP EIA Principles, principle 10.</w:t>
      </w:r>
    </w:p>
  </w:footnote>
  <w:footnote w:id="97">
    <w:p w14:paraId="67803BCA" w14:textId="77777777" w:rsidR="009A7F82" w:rsidRPr="00BB6A0A" w:rsidRDefault="009A7F82" w:rsidP="00A629B5">
      <w:pPr>
        <w:pStyle w:val="FootnoteText"/>
      </w:pPr>
      <w:r>
        <w:rPr>
          <w:rStyle w:val="FootnoteReference"/>
        </w:rPr>
        <w:footnoteRef/>
      </w:r>
      <w:r>
        <w:t xml:space="preserve"> </w:t>
      </w:r>
      <w:r>
        <w:rPr>
          <w:i/>
        </w:rPr>
        <w:t>Compromis</w:t>
      </w:r>
      <w:r>
        <w:t>, [34].</w:t>
      </w:r>
    </w:p>
  </w:footnote>
  <w:footnote w:id="98">
    <w:p w14:paraId="3D82AA52" w14:textId="77777777" w:rsidR="009A7F82" w:rsidRPr="008A52DF" w:rsidRDefault="009A7F82" w:rsidP="00A629B5">
      <w:pPr>
        <w:pStyle w:val="FootnoteText"/>
        <w:rPr>
          <w:lang w:val="en-AU"/>
        </w:rPr>
      </w:pPr>
      <w:r>
        <w:rPr>
          <w:rStyle w:val="FootnoteReference"/>
        </w:rPr>
        <w:footnoteRef/>
      </w:r>
      <w:r>
        <w:t xml:space="preserve"> </w:t>
      </w:r>
      <w:r>
        <w:rPr>
          <w:lang w:val="en-AU"/>
        </w:rPr>
        <w:t xml:space="preserve">Jervan (2014), [3.2.2]; </w:t>
      </w:r>
      <w:r w:rsidRPr="00A553EE">
        <w:rPr>
          <w:lang w:val="en-AU"/>
        </w:rPr>
        <w:t>Lefeber (1996), 87–89.</w:t>
      </w:r>
    </w:p>
  </w:footnote>
  <w:footnote w:id="99">
    <w:p w14:paraId="58CCE1E1" w14:textId="77777777" w:rsidR="009A7F82" w:rsidRPr="00150BE1" w:rsidRDefault="009A7F82" w:rsidP="00A629B5">
      <w:pPr>
        <w:pStyle w:val="FootnoteText"/>
        <w:rPr>
          <w:lang w:val="en-AU"/>
        </w:rPr>
      </w:pPr>
      <w:r>
        <w:rPr>
          <w:rStyle w:val="FootnoteReference"/>
        </w:rPr>
        <w:footnoteRef/>
      </w:r>
      <w:r>
        <w:t xml:space="preserve"> </w:t>
      </w:r>
      <w:r>
        <w:rPr>
          <w:i/>
          <w:lang w:val="en-AU"/>
        </w:rPr>
        <w:t>Compromis</w:t>
      </w:r>
      <w:r>
        <w:rPr>
          <w:lang w:val="en-AU"/>
        </w:rPr>
        <w:t>, [12], [37], [43].</w:t>
      </w:r>
    </w:p>
  </w:footnote>
  <w:footnote w:id="100">
    <w:p w14:paraId="470269A0" w14:textId="77777777" w:rsidR="009A7F82" w:rsidRPr="0022314C" w:rsidRDefault="009A7F82" w:rsidP="00A629B5">
      <w:pPr>
        <w:pStyle w:val="FootnoteText"/>
      </w:pPr>
      <w:r>
        <w:rPr>
          <w:rStyle w:val="FootnoteReference"/>
        </w:rPr>
        <w:footnoteRef/>
      </w:r>
      <w:r>
        <w:t xml:space="preserve"> </w:t>
      </w:r>
      <w:r w:rsidRPr="005966B5">
        <w:rPr>
          <w:i/>
        </w:rPr>
        <w:t>Clarifications</w:t>
      </w:r>
      <w:r>
        <w:t xml:space="preserve">, [7]. In fact, Aurok hunts a significantly larger number of Yak than Rakkab each year: </w:t>
      </w:r>
      <w:r w:rsidRPr="005C4833">
        <w:rPr>
          <w:i/>
        </w:rPr>
        <w:t>Compromis</w:t>
      </w:r>
      <w:r>
        <w:t>, [27].</w:t>
      </w:r>
    </w:p>
  </w:footnote>
  <w:footnote w:id="101">
    <w:p w14:paraId="429B06C0" w14:textId="77777777" w:rsidR="009A7F82" w:rsidRPr="00424B2C" w:rsidRDefault="009A7F82" w:rsidP="00A629B5">
      <w:pPr>
        <w:pStyle w:val="FootnoteText"/>
        <w:rPr>
          <w:lang w:val="en-US"/>
        </w:rPr>
      </w:pPr>
      <w:r>
        <w:rPr>
          <w:rStyle w:val="FootnoteReference"/>
        </w:rPr>
        <w:footnoteRef/>
      </w:r>
      <w:r>
        <w:t xml:space="preserve"> </w:t>
      </w:r>
      <w:r w:rsidRPr="00F208AA">
        <w:rPr>
          <w:i/>
        </w:rPr>
        <w:t>Pulp Mills</w:t>
      </w:r>
      <w:r>
        <w:rPr>
          <w:i/>
        </w:rPr>
        <w:t>,</w:t>
      </w:r>
      <w:r>
        <w:t xml:space="preserve"> [162]; </w:t>
      </w:r>
      <w:r>
        <w:t>Kokott (1998); Kolb (2013), 935.</w:t>
      </w:r>
    </w:p>
  </w:footnote>
  <w:footnote w:id="102">
    <w:p w14:paraId="505ED59B" w14:textId="77777777" w:rsidR="009A7F82" w:rsidRPr="00CF3BF4" w:rsidRDefault="009A7F82" w:rsidP="00A629B5">
      <w:pPr>
        <w:pStyle w:val="FootnoteText"/>
        <w:rPr>
          <w:lang w:val="en-US"/>
        </w:rPr>
      </w:pPr>
      <w:r>
        <w:rPr>
          <w:rStyle w:val="FootnoteReference"/>
        </w:rPr>
        <w:footnoteRef/>
      </w:r>
      <w:r>
        <w:t xml:space="preserve"> </w:t>
      </w:r>
      <w:r>
        <w:rPr>
          <w:bCs/>
          <w:i/>
        </w:rPr>
        <w:t xml:space="preserve">Armed Activities, </w:t>
      </w:r>
      <w:r>
        <w:rPr>
          <w:bCs/>
        </w:rPr>
        <w:t xml:space="preserve">[58]; </w:t>
      </w:r>
      <w:r>
        <w:rPr>
          <w:bCs/>
          <w:i/>
        </w:rPr>
        <w:t xml:space="preserve">Genocide Case (Bosnia v Serbia), </w:t>
      </w:r>
      <w:r>
        <w:rPr>
          <w:bCs/>
        </w:rPr>
        <w:t xml:space="preserve">[213]; </w:t>
      </w:r>
      <w:r>
        <w:rPr>
          <w:bCs/>
          <w:i/>
        </w:rPr>
        <w:t xml:space="preserve">Pulp Mills, </w:t>
      </w:r>
      <w:r>
        <w:rPr>
          <w:bCs/>
        </w:rPr>
        <w:t xml:space="preserve">[168]; </w:t>
      </w:r>
      <w:r>
        <w:rPr>
          <w:bCs/>
          <w:i/>
        </w:rPr>
        <w:t xml:space="preserve">Construction of a Road, </w:t>
      </w:r>
      <w:r>
        <w:rPr>
          <w:bCs/>
        </w:rPr>
        <w:t>[176].</w:t>
      </w:r>
    </w:p>
  </w:footnote>
  <w:footnote w:id="103">
    <w:p w14:paraId="61357DB0" w14:textId="4840FB66" w:rsidR="009A7F82" w:rsidRPr="00EE102D" w:rsidRDefault="009A7F82" w:rsidP="00A629B5">
      <w:pPr>
        <w:pStyle w:val="FootnoteText"/>
      </w:pPr>
      <w:r>
        <w:rPr>
          <w:rStyle w:val="FootnoteReference"/>
        </w:rPr>
        <w:footnoteRef/>
      </w:r>
      <w:r>
        <w:t xml:space="preserve"> </w:t>
      </w:r>
      <w:r w:rsidRPr="00D92114">
        <w:rPr>
          <w:bCs/>
          <w:i/>
        </w:rPr>
        <w:t>Genocide Case (Bosnia v Serbia)</w:t>
      </w:r>
      <w:r>
        <w:t>, [227].</w:t>
      </w:r>
    </w:p>
  </w:footnote>
  <w:footnote w:id="104">
    <w:p w14:paraId="5C23B5BB" w14:textId="77777777" w:rsidR="009A7F82" w:rsidRPr="00EB7A48" w:rsidRDefault="009A7F82" w:rsidP="00A629B5">
      <w:pPr>
        <w:pStyle w:val="FootnoteText"/>
      </w:pPr>
      <w:r>
        <w:rPr>
          <w:rStyle w:val="FootnoteReference"/>
        </w:rPr>
        <w:footnoteRef/>
      </w:r>
      <w:r>
        <w:t xml:space="preserve"> </w:t>
      </w:r>
      <w:r>
        <w:rPr>
          <w:i/>
        </w:rPr>
        <w:t>Compromis</w:t>
      </w:r>
      <w:r>
        <w:t>, [27], [45].</w:t>
      </w:r>
    </w:p>
  </w:footnote>
  <w:footnote w:id="105">
    <w:p w14:paraId="60FFBD3E" w14:textId="77777777" w:rsidR="009A7F82" w:rsidRPr="00511491" w:rsidRDefault="009A7F82" w:rsidP="00A629B5">
      <w:pPr>
        <w:pStyle w:val="FootnoteText"/>
      </w:pPr>
      <w:r>
        <w:rPr>
          <w:rStyle w:val="FootnoteReference"/>
        </w:rPr>
        <w:footnoteRef/>
      </w:r>
      <w:r>
        <w:t xml:space="preserve"> </w:t>
      </w:r>
      <w:r>
        <w:rPr>
          <w:i/>
        </w:rPr>
        <w:t>Compromis</w:t>
      </w:r>
      <w:r>
        <w:t>, [28].</w:t>
      </w:r>
    </w:p>
  </w:footnote>
  <w:footnote w:id="106">
    <w:p w14:paraId="4E0BEC75" w14:textId="77777777" w:rsidR="009A7F82" w:rsidRPr="008413BC" w:rsidRDefault="009A7F82" w:rsidP="00A629B5">
      <w:pPr>
        <w:pStyle w:val="FootnoteText"/>
        <w:rPr>
          <w:lang w:val="en-US"/>
        </w:rPr>
      </w:pPr>
      <w:r>
        <w:rPr>
          <w:rStyle w:val="FootnoteReference"/>
        </w:rPr>
        <w:footnoteRef/>
      </w:r>
      <w:r>
        <w:t xml:space="preserve"> </w:t>
      </w:r>
      <w:r>
        <w:rPr>
          <w:i/>
        </w:rPr>
        <w:t xml:space="preserve">Nicaragua, </w:t>
      </w:r>
      <w:r>
        <w:t xml:space="preserve">[63]; </w:t>
      </w:r>
      <w:r>
        <w:rPr>
          <w:i/>
        </w:rPr>
        <w:t xml:space="preserve">Armed Activities, </w:t>
      </w:r>
      <w:r>
        <w:t>[61].</w:t>
      </w:r>
    </w:p>
  </w:footnote>
  <w:footnote w:id="107">
    <w:p w14:paraId="3A7B24CA" w14:textId="701B09B5" w:rsidR="009A7F82" w:rsidRPr="00143465" w:rsidRDefault="009A7F82" w:rsidP="00A629B5">
      <w:pPr>
        <w:pStyle w:val="FootnoteText"/>
      </w:pPr>
      <w:r>
        <w:rPr>
          <w:rStyle w:val="FootnoteReference"/>
        </w:rPr>
        <w:footnoteRef/>
      </w:r>
      <w:r>
        <w:t xml:space="preserve"> </w:t>
      </w:r>
      <w:r w:rsidRPr="00477553">
        <w:t>UNEP Principles o</w:t>
      </w:r>
      <w:r>
        <w:t>n</w:t>
      </w:r>
      <w:r w:rsidRPr="00477553">
        <w:t xml:space="preserve"> Shared Natural Resources</w:t>
      </w:r>
      <w:r>
        <w:t xml:space="preserve">, principle 1; WCED Final Report, [9]; </w:t>
      </w:r>
      <w:r>
        <w:t xml:space="preserve">Birnie, Boyle and Redgwell (2009), 202; </w:t>
      </w:r>
      <w:r w:rsidRPr="007A5015">
        <w:t>Castillo­Laborde</w:t>
      </w:r>
      <w:r>
        <w:t xml:space="preserve"> (2010), [10]–[15].</w:t>
      </w:r>
    </w:p>
  </w:footnote>
  <w:footnote w:id="108">
    <w:p w14:paraId="213F1C85" w14:textId="77777777" w:rsidR="009A7F82" w:rsidRPr="009B0F9A" w:rsidRDefault="009A7F82" w:rsidP="00A629B5">
      <w:pPr>
        <w:pStyle w:val="FootnoteText"/>
        <w:rPr>
          <w:lang w:val="en-AU"/>
        </w:rPr>
      </w:pPr>
      <w:r>
        <w:rPr>
          <w:rStyle w:val="FootnoteReference"/>
        </w:rPr>
        <w:footnoteRef/>
      </w:r>
      <w:r>
        <w:t xml:space="preserve"> </w:t>
      </w:r>
      <w:r w:rsidRPr="00735DAB">
        <w:rPr>
          <w:lang w:val="en-AU"/>
        </w:rPr>
        <w:t>Rio Declaration</w:t>
      </w:r>
      <w:r>
        <w:rPr>
          <w:lang w:val="en-AU"/>
        </w:rPr>
        <w:t xml:space="preserve">, art 8; </w:t>
      </w:r>
      <w:r w:rsidRPr="0003465E">
        <w:rPr>
          <w:lang w:val="en-AU"/>
        </w:rPr>
        <w:t>CBD</w:t>
      </w:r>
      <w:r>
        <w:rPr>
          <w:lang w:val="en-AU"/>
        </w:rPr>
        <w:t xml:space="preserve">, arts 2, 6, 8, 10; </w:t>
      </w:r>
      <w:r>
        <w:rPr>
          <w:lang w:val="en-AU"/>
        </w:rPr>
        <w:t>Birnie, Boyle and Redgwell (2009), 199.</w:t>
      </w:r>
    </w:p>
  </w:footnote>
  <w:footnote w:id="109">
    <w:p w14:paraId="0D35EA91" w14:textId="77777777" w:rsidR="009A7F82" w:rsidRPr="006D5444" w:rsidRDefault="009A7F82" w:rsidP="00A629B5">
      <w:pPr>
        <w:pStyle w:val="FootnoteText"/>
      </w:pPr>
      <w:r>
        <w:rPr>
          <w:rStyle w:val="FootnoteReference"/>
        </w:rPr>
        <w:footnoteRef/>
      </w:r>
      <w:r>
        <w:t xml:space="preserve"> Shaw (2017), 54–56.</w:t>
      </w:r>
    </w:p>
  </w:footnote>
  <w:footnote w:id="110">
    <w:p w14:paraId="687484C1" w14:textId="77777777" w:rsidR="009A7F82" w:rsidRPr="00666379" w:rsidRDefault="009A7F82" w:rsidP="00A629B5">
      <w:pPr>
        <w:pStyle w:val="FootnoteText"/>
        <w:rPr>
          <w:i/>
        </w:rPr>
      </w:pPr>
      <w:r>
        <w:rPr>
          <w:rStyle w:val="FootnoteReference"/>
        </w:rPr>
        <w:footnoteRef/>
      </w:r>
      <w:r>
        <w:t xml:space="preserve"> </w:t>
      </w:r>
      <w:r>
        <w:t xml:space="preserve">Birnie, Boyle and Redgwell (2009), 193. States were reluctant to recognise even oil and gas as a shared natural resource, commenting that the principles relating to the shared natural resource of groundwater did not equally apply to oil and gas due to different environmental considerations: </w:t>
      </w:r>
      <w:r>
        <w:rPr>
          <w:i/>
        </w:rPr>
        <w:t>Shared Natural Resources Comments: Aquifers</w:t>
      </w:r>
      <w:r>
        <w:t>, [A.6.3], [A.7.4], [A.12.5].</w:t>
      </w:r>
    </w:p>
  </w:footnote>
  <w:footnote w:id="111">
    <w:p w14:paraId="5915D646" w14:textId="77777777" w:rsidR="009A7F82" w:rsidRPr="002F3FFC" w:rsidRDefault="009A7F82" w:rsidP="00A629B5">
      <w:pPr>
        <w:pStyle w:val="FootnoteText"/>
        <w:rPr>
          <w:lang w:val="en-AU"/>
        </w:rPr>
      </w:pPr>
      <w:r>
        <w:rPr>
          <w:rStyle w:val="FootnoteReference"/>
        </w:rPr>
        <w:footnoteRef/>
      </w:r>
      <w:r>
        <w:t xml:space="preserve"> </w:t>
      </w:r>
      <w:r>
        <w:rPr>
          <w:lang w:val="en-AU"/>
        </w:rPr>
        <w:t>De Klemm (1989), 952.</w:t>
      </w:r>
    </w:p>
  </w:footnote>
  <w:footnote w:id="112">
    <w:p w14:paraId="35CA266E" w14:textId="7C094EC8" w:rsidR="009A7F82" w:rsidRPr="00091B7F" w:rsidRDefault="009A7F82" w:rsidP="00A629B5">
      <w:pPr>
        <w:pStyle w:val="FootnoteText"/>
      </w:pPr>
      <w:r>
        <w:rPr>
          <w:rStyle w:val="FootnoteReference"/>
        </w:rPr>
        <w:footnoteRef/>
      </w:r>
      <w:r>
        <w:t xml:space="preserve"> </w:t>
      </w:r>
      <w:r w:rsidR="00D84664">
        <w:t>De Klemm (1989), 952, footnote 41. See Article II.1 and the third paragraph of the preamble of the draft originally prepared by the International Union for the Conservation of Nature (“IUCN”) in 1975, at the request of the Federal Republic of Germany</w:t>
      </w:r>
      <w:r>
        <w:rPr>
          <w:lang w:val="en-AU"/>
        </w:rPr>
        <w:t>.</w:t>
      </w:r>
    </w:p>
  </w:footnote>
  <w:footnote w:id="113">
    <w:p w14:paraId="27310C20" w14:textId="77777777" w:rsidR="009A7F82" w:rsidRPr="00515231" w:rsidRDefault="009A7F82" w:rsidP="00A629B5">
      <w:pPr>
        <w:pStyle w:val="FootnoteText"/>
        <w:rPr>
          <w:lang w:val="en-AU"/>
        </w:rPr>
      </w:pPr>
      <w:r>
        <w:rPr>
          <w:rStyle w:val="FootnoteReference"/>
        </w:rPr>
        <w:footnoteRef/>
      </w:r>
      <w:r>
        <w:t xml:space="preserve"> </w:t>
      </w:r>
      <w:r>
        <w:rPr>
          <w:lang w:val="en-AU"/>
        </w:rPr>
        <w:t>De Klemm, 952–953.</w:t>
      </w:r>
    </w:p>
  </w:footnote>
  <w:footnote w:id="114">
    <w:p w14:paraId="1FAAEA04" w14:textId="77777777" w:rsidR="009A7F82" w:rsidRPr="006E3DEE" w:rsidRDefault="009A7F82" w:rsidP="00A629B5">
      <w:pPr>
        <w:pStyle w:val="FootnoteText"/>
      </w:pPr>
      <w:r>
        <w:rPr>
          <w:rStyle w:val="FootnoteReference"/>
        </w:rPr>
        <w:footnoteRef/>
      </w:r>
      <w:r>
        <w:t xml:space="preserve"> </w:t>
      </w:r>
      <w:r>
        <w:rPr>
          <w:lang w:val="en-AU"/>
        </w:rPr>
        <w:t xml:space="preserve">De Klemm, 951. </w:t>
      </w:r>
    </w:p>
  </w:footnote>
  <w:footnote w:id="115">
    <w:p w14:paraId="7AE04C61" w14:textId="77777777" w:rsidR="009A7F82" w:rsidRPr="00D37072" w:rsidRDefault="009A7F82" w:rsidP="00A629B5">
      <w:pPr>
        <w:pStyle w:val="FootnoteText"/>
        <w:rPr>
          <w:lang w:val="en-AU"/>
        </w:rPr>
      </w:pPr>
      <w:r>
        <w:rPr>
          <w:rStyle w:val="FootnoteReference"/>
        </w:rPr>
        <w:footnoteRef/>
      </w:r>
      <w:r>
        <w:t xml:space="preserve"> The Convention on the Law of the Sea (“UNCLOS”) establishes a requirement for cooperation between coastal States harvesting the same stock, namely a shared natural resource, in or between the high seas and Exclusive Economic Zones: see, for example, UNCLOS, arts 118–119. However, this cooperation requirement does not apply to resources confined to the territorial sea or internal waters due to concerns of territorial sovereignty: De Klemm, 951.</w:t>
      </w:r>
    </w:p>
  </w:footnote>
  <w:footnote w:id="116">
    <w:p w14:paraId="09DF1689" w14:textId="77777777" w:rsidR="009A7F82" w:rsidRPr="007A1D0E" w:rsidRDefault="009A7F82" w:rsidP="00A629B5">
      <w:pPr>
        <w:pStyle w:val="FootnoteText"/>
        <w:rPr>
          <w:lang w:val="en-AU"/>
        </w:rPr>
      </w:pPr>
      <w:r>
        <w:rPr>
          <w:rStyle w:val="FootnoteReference"/>
        </w:rPr>
        <w:footnoteRef/>
      </w:r>
      <w:r>
        <w:t xml:space="preserve"> </w:t>
      </w:r>
      <w:r>
        <w:rPr>
          <w:lang w:val="en-AU"/>
        </w:rPr>
        <w:t>De Klemm, 949–951.</w:t>
      </w:r>
    </w:p>
  </w:footnote>
  <w:footnote w:id="117">
    <w:p w14:paraId="4E702B75" w14:textId="65F5CCAE" w:rsidR="009A7F82" w:rsidRPr="00FD6FE6" w:rsidRDefault="009A7F82" w:rsidP="00A629B5">
      <w:pPr>
        <w:pStyle w:val="FootnoteText"/>
        <w:rPr>
          <w:lang w:val="en-AU"/>
        </w:rPr>
      </w:pPr>
      <w:r>
        <w:rPr>
          <w:rStyle w:val="FootnoteReference"/>
        </w:rPr>
        <w:footnoteRef/>
      </w:r>
      <w:r>
        <w:t xml:space="preserve"> </w:t>
      </w:r>
      <w:r>
        <w:rPr>
          <w:i/>
        </w:rPr>
        <w:t xml:space="preserve">Pulp </w:t>
      </w:r>
      <w:r w:rsidRPr="00823144">
        <w:rPr>
          <w:i/>
        </w:rPr>
        <w:t>Mills</w:t>
      </w:r>
      <w:r>
        <w:t xml:space="preserve">, [175]; </w:t>
      </w:r>
      <w:r w:rsidRPr="00823144">
        <w:rPr>
          <w:lang w:val="en-AU"/>
        </w:rPr>
        <w:t>Birnie</w:t>
      </w:r>
      <w:r>
        <w:rPr>
          <w:lang w:val="en-AU"/>
        </w:rPr>
        <w:t xml:space="preserve">, Boyle and Redgwell (2009), 202; </w:t>
      </w:r>
      <w:r w:rsidRPr="007A5015">
        <w:t>Castil</w:t>
      </w:r>
      <w:r>
        <w:t>l</w:t>
      </w:r>
      <w:r w:rsidRPr="007A5015">
        <w:t>o­Laborde</w:t>
      </w:r>
      <w:r>
        <w:t xml:space="preserve"> (2010), [25].</w:t>
      </w:r>
    </w:p>
  </w:footnote>
  <w:footnote w:id="118">
    <w:p w14:paraId="7499E674" w14:textId="31CEAE6F" w:rsidR="009A7F82" w:rsidRPr="008A7E12" w:rsidRDefault="009A7F82" w:rsidP="00A629B5">
      <w:pPr>
        <w:pStyle w:val="FootnoteText"/>
        <w:rPr>
          <w:lang w:val="en-AU"/>
        </w:rPr>
      </w:pPr>
      <w:r>
        <w:rPr>
          <w:rStyle w:val="FootnoteReference"/>
        </w:rPr>
        <w:footnoteRef/>
      </w:r>
      <w:r>
        <w:t xml:space="preserve"> </w:t>
      </w:r>
      <w:r>
        <w:rPr>
          <w:i/>
          <w:lang w:val="en-AU"/>
        </w:rPr>
        <w:t>Compromis</w:t>
      </w:r>
      <w:r>
        <w:rPr>
          <w:lang w:val="en-AU"/>
        </w:rPr>
        <w:t>, [24], [27]. DORTA takes approximately 4% of the total Yak population.</w:t>
      </w:r>
    </w:p>
  </w:footnote>
  <w:footnote w:id="119">
    <w:p w14:paraId="4F2AEC85" w14:textId="77777777" w:rsidR="009A7F82" w:rsidRPr="004E6041" w:rsidRDefault="009A7F82" w:rsidP="00A629B5">
      <w:pPr>
        <w:pStyle w:val="FootnoteText"/>
        <w:rPr>
          <w:lang w:val="en-AU"/>
        </w:rPr>
      </w:pPr>
      <w:r>
        <w:rPr>
          <w:rStyle w:val="FootnoteReference"/>
        </w:rPr>
        <w:footnoteRef/>
      </w:r>
      <w:r>
        <w:t xml:space="preserve"> </w:t>
      </w:r>
      <w:r>
        <w:rPr>
          <w:i/>
          <w:lang w:val="en-AU"/>
        </w:rPr>
        <w:t>Compromis</w:t>
      </w:r>
      <w:r>
        <w:rPr>
          <w:lang w:val="en-AU"/>
        </w:rPr>
        <w:t>, [1], [7].</w:t>
      </w:r>
    </w:p>
  </w:footnote>
  <w:footnote w:id="120">
    <w:p w14:paraId="7A564299" w14:textId="4D6C83DD" w:rsidR="009A7F82" w:rsidRPr="00CF09E2" w:rsidRDefault="009A7F82" w:rsidP="00EC5B59">
      <w:pPr>
        <w:pStyle w:val="FootnoteText"/>
        <w:rPr>
          <w:lang w:val="en-US"/>
        </w:rPr>
      </w:pPr>
      <w:r>
        <w:rPr>
          <w:rStyle w:val="FootnoteReference"/>
        </w:rPr>
        <w:footnoteRef/>
      </w:r>
      <w:r>
        <w:t xml:space="preserve"> </w:t>
      </w:r>
      <w:r w:rsidRPr="00747CA0">
        <w:rPr>
          <w:i/>
          <w:lang w:val="en-US"/>
        </w:rPr>
        <w:t>South West Africa</w:t>
      </w:r>
      <w:r>
        <w:t>, [49]</w:t>
      </w:r>
      <w:r>
        <w:t>–[50].</w:t>
      </w:r>
    </w:p>
  </w:footnote>
  <w:footnote w:id="121">
    <w:p w14:paraId="5A45E1A4" w14:textId="77777777" w:rsidR="009A7F82" w:rsidRPr="00C72A2B" w:rsidRDefault="009A7F82" w:rsidP="00EC5B59">
      <w:pPr>
        <w:pStyle w:val="FootnoteText"/>
        <w:rPr>
          <w:lang w:val="en-US"/>
        </w:rPr>
      </w:pPr>
      <w:r>
        <w:rPr>
          <w:rStyle w:val="FootnoteReference"/>
        </w:rPr>
        <w:footnoteRef/>
      </w:r>
      <w:r>
        <w:t xml:space="preserve"> </w:t>
      </w:r>
      <w:r w:rsidRPr="002C21C2">
        <w:rPr>
          <w:lang w:val="en-US"/>
        </w:rPr>
        <w:t>ASR</w:t>
      </w:r>
      <w:r>
        <w:rPr>
          <w:i/>
          <w:lang w:val="en-US"/>
        </w:rPr>
        <w:t>,</w:t>
      </w:r>
      <w:r>
        <w:rPr>
          <w:lang w:val="en-US"/>
        </w:rPr>
        <w:t xml:space="preserve"> art 42(a); Crawford, Pellet and </w:t>
      </w:r>
      <w:r>
        <w:rPr>
          <w:lang w:val="en-US"/>
        </w:rPr>
        <w:t>Olleson (2010), 942.</w:t>
      </w:r>
    </w:p>
  </w:footnote>
  <w:footnote w:id="122">
    <w:p w14:paraId="45EE265F" w14:textId="20F4FD08" w:rsidR="009A7F82" w:rsidRPr="00AB1C72" w:rsidRDefault="009A7F82" w:rsidP="00EC5B59">
      <w:pPr>
        <w:pStyle w:val="FootnoteText"/>
        <w:rPr>
          <w:lang w:val="en-US"/>
        </w:rPr>
      </w:pPr>
      <w:r>
        <w:rPr>
          <w:rStyle w:val="FootnoteReference"/>
        </w:rPr>
        <w:footnoteRef/>
      </w:r>
      <w:r>
        <w:t xml:space="preserve"> </w:t>
      </w:r>
      <w:r>
        <w:rPr>
          <w:lang w:val="en-US"/>
        </w:rPr>
        <w:t xml:space="preserve">HRC </w:t>
      </w:r>
      <w:r w:rsidR="005626C2">
        <w:rPr>
          <w:lang w:val="en-US"/>
        </w:rPr>
        <w:t>General Comment</w:t>
      </w:r>
      <w:r>
        <w:rPr>
          <w:lang w:val="en-US"/>
        </w:rPr>
        <w:t xml:space="preserve"> 31, [9]; HRC </w:t>
      </w:r>
      <w:r w:rsidR="005626C2">
        <w:rPr>
          <w:lang w:val="en-US"/>
        </w:rPr>
        <w:t>General Comment</w:t>
      </w:r>
      <w:r>
        <w:rPr>
          <w:lang w:val="en-US"/>
        </w:rPr>
        <w:t xml:space="preserve"> 24, [17]; </w:t>
      </w:r>
      <w:r>
        <w:rPr>
          <w:bCs/>
        </w:rPr>
        <w:t>Kotuby and Sobota (2017), 19, 106.</w:t>
      </w:r>
    </w:p>
  </w:footnote>
  <w:footnote w:id="123">
    <w:p w14:paraId="5C42E386" w14:textId="77777777" w:rsidR="009A7F82" w:rsidRPr="00744414" w:rsidRDefault="009A7F82" w:rsidP="00EC5B59">
      <w:pPr>
        <w:pStyle w:val="FootnoteText"/>
      </w:pPr>
      <w:r>
        <w:rPr>
          <w:rStyle w:val="FootnoteReference"/>
        </w:rPr>
        <w:footnoteRef/>
      </w:r>
      <w:r>
        <w:t xml:space="preserve"> </w:t>
      </w:r>
      <w:r w:rsidRPr="003215BA">
        <w:rPr>
          <w:lang w:val="en-US"/>
        </w:rPr>
        <w:t>ASR</w:t>
      </w:r>
      <w:r>
        <w:rPr>
          <w:i/>
          <w:lang w:val="en-US"/>
        </w:rPr>
        <w:t xml:space="preserve">, </w:t>
      </w:r>
      <w:r>
        <w:rPr>
          <w:lang w:val="en-US"/>
        </w:rPr>
        <w:t xml:space="preserve">art 48(1)(a); </w:t>
      </w:r>
      <w:r>
        <w:rPr>
          <w:i/>
        </w:rPr>
        <w:t>Obligation to Prosecute or Extradite</w:t>
      </w:r>
      <w:r>
        <w:t xml:space="preserve">, [68]; </w:t>
      </w:r>
      <w:r w:rsidRPr="0061222E">
        <w:rPr>
          <w:bCs/>
          <w:i/>
        </w:rPr>
        <w:t>Blaškić</w:t>
      </w:r>
      <w:r w:rsidRPr="00744414">
        <w:t>, [26</w:t>
      </w:r>
      <w:r>
        <w:t>].</w:t>
      </w:r>
    </w:p>
  </w:footnote>
  <w:footnote w:id="124">
    <w:p w14:paraId="0D1F83CB" w14:textId="77777777" w:rsidR="009A7F82" w:rsidRPr="00861EA6" w:rsidRDefault="009A7F82" w:rsidP="00EC5B59">
      <w:pPr>
        <w:pStyle w:val="FootnoteText"/>
        <w:rPr>
          <w:lang w:val="en-US"/>
        </w:rPr>
      </w:pPr>
      <w:r>
        <w:rPr>
          <w:rStyle w:val="FootnoteReference"/>
        </w:rPr>
        <w:footnoteRef/>
      </w:r>
      <w:r>
        <w:t xml:space="preserve"> </w:t>
      </w:r>
      <w:r>
        <w:rPr>
          <w:i/>
        </w:rPr>
        <w:t>Obligation to Prosecute or Extradite,</w:t>
      </w:r>
      <w:r>
        <w:t xml:space="preserve"> </w:t>
      </w:r>
      <w:r>
        <w:rPr>
          <w:lang w:val="en-US"/>
        </w:rPr>
        <w:t xml:space="preserve">[69]; </w:t>
      </w:r>
      <w:r>
        <w:t>Crawford: Third Report on State Responsibility, [92].</w:t>
      </w:r>
    </w:p>
  </w:footnote>
  <w:footnote w:id="125">
    <w:p w14:paraId="0D0FBCBE" w14:textId="77777777" w:rsidR="009A7F82" w:rsidRPr="003B4C79" w:rsidRDefault="009A7F82" w:rsidP="00EC5B59">
      <w:pPr>
        <w:pStyle w:val="FootnoteText"/>
        <w:rPr>
          <w:lang w:val="en-US"/>
        </w:rPr>
      </w:pPr>
      <w:r>
        <w:rPr>
          <w:rStyle w:val="FootnoteReference"/>
        </w:rPr>
        <w:footnoteRef/>
      </w:r>
      <w:r>
        <w:t xml:space="preserve"> </w:t>
      </w:r>
      <w:r>
        <w:rPr>
          <w:lang w:val="en-US"/>
        </w:rPr>
        <w:t>Compared with CAT which creates a</w:t>
      </w:r>
      <w:r w:rsidRPr="00FB68EE">
        <w:rPr>
          <w:lang w:val="en-US"/>
        </w:rPr>
        <w:t xml:space="preserve"> regime </w:t>
      </w:r>
      <w:r>
        <w:rPr>
          <w:lang w:val="en-US"/>
        </w:rPr>
        <w:t xml:space="preserve">for the </w:t>
      </w:r>
      <w:r w:rsidRPr="00FB68EE">
        <w:rPr>
          <w:lang w:val="en-US"/>
        </w:rPr>
        <w:t xml:space="preserve">protection of a single right, see </w:t>
      </w:r>
      <w:r>
        <w:rPr>
          <w:i/>
        </w:rPr>
        <w:t>Obligation to Prosecute or Extradite</w:t>
      </w:r>
      <w:r w:rsidRPr="00FB68EE">
        <w:rPr>
          <w:lang w:val="en-US"/>
        </w:rPr>
        <w:t>.</w:t>
      </w:r>
    </w:p>
  </w:footnote>
  <w:footnote w:id="126">
    <w:p w14:paraId="2FC88F21" w14:textId="77777777" w:rsidR="009A7F82" w:rsidRPr="00040843" w:rsidRDefault="009A7F82" w:rsidP="00EC5B59">
      <w:pPr>
        <w:pStyle w:val="FootnoteText"/>
        <w:rPr>
          <w:lang w:val="en-US"/>
        </w:rPr>
      </w:pPr>
      <w:r>
        <w:rPr>
          <w:rStyle w:val="FootnoteReference"/>
        </w:rPr>
        <w:footnoteRef/>
      </w:r>
      <w:r>
        <w:t xml:space="preserve"> </w:t>
      </w:r>
      <w:r>
        <w:rPr>
          <w:i/>
          <w:lang w:val="en-US"/>
        </w:rPr>
        <w:t xml:space="preserve">Barcelona Traction, </w:t>
      </w:r>
      <w:r>
        <w:rPr>
          <w:lang w:val="en-US"/>
        </w:rPr>
        <w:t xml:space="preserve">[33]; </w:t>
      </w:r>
      <w:r w:rsidRPr="003215BA">
        <w:rPr>
          <w:lang w:val="en-US"/>
        </w:rPr>
        <w:t>ASR</w:t>
      </w:r>
      <w:r>
        <w:rPr>
          <w:lang w:val="en-US"/>
        </w:rPr>
        <w:t>, art 48(1)(b).</w:t>
      </w:r>
    </w:p>
  </w:footnote>
  <w:footnote w:id="127">
    <w:p w14:paraId="3C27B11E" w14:textId="77777777" w:rsidR="009A7F82" w:rsidRPr="00A92165" w:rsidRDefault="009A7F82" w:rsidP="00EC5B59">
      <w:pPr>
        <w:pStyle w:val="FootnoteText"/>
        <w:rPr>
          <w:color w:val="000000" w:themeColor="text1"/>
          <w:lang w:val="en-US"/>
        </w:rPr>
      </w:pPr>
      <w:r>
        <w:rPr>
          <w:rStyle w:val="FootnoteReference"/>
        </w:rPr>
        <w:footnoteRef/>
      </w:r>
      <w:r>
        <w:t xml:space="preserve"> </w:t>
      </w:r>
      <w:r w:rsidRPr="00744414">
        <w:rPr>
          <w:color w:val="000000" w:themeColor="text1"/>
          <w:lang w:val="en-US"/>
        </w:rPr>
        <w:t>Tams (2005),</w:t>
      </w:r>
      <w:r>
        <w:rPr>
          <w:color w:val="000000" w:themeColor="text1"/>
          <w:lang w:val="en-US"/>
        </w:rPr>
        <w:t xml:space="preserve"> 117. This includes aggression, slavery, racial discrimination (</w:t>
      </w:r>
      <w:r>
        <w:rPr>
          <w:i/>
          <w:color w:val="000000" w:themeColor="text1"/>
          <w:lang w:val="en-US"/>
        </w:rPr>
        <w:t xml:space="preserve">Barcelona Traction, </w:t>
      </w:r>
      <w:r>
        <w:rPr>
          <w:color w:val="000000" w:themeColor="text1"/>
          <w:lang w:val="en-US"/>
        </w:rPr>
        <w:t>[34]), genocide (</w:t>
      </w:r>
      <w:r>
        <w:rPr>
          <w:bCs/>
          <w:i/>
        </w:rPr>
        <w:t>Armed Activities (Congo v Rwanda)</w:t>
      </w:r>
      <w:r>
        <w:rPr>
          <w:bCs/>
        </w:rPr>
        <w:t>, [71]</w:t>
      </w:r>
      <w:r w:rsidRPr="00E91FC5">
        <w:rPr>
          <w:color w:val="000000" w:themeColor="text1"/>
          <w:lang w:val="en-US"/>
        </w:rPr>
        <w:t>)</w:t>
      </w:r>
      <w:r>
        <w:rPr>
          <w:color w:val="000000" w:themeColor="text1"/>
          <w:lang w:val="en-US"/>
        </w:rPr>
        <w:t>, and self-determination (</w:t>
      </w:r>
      <w:r>
        <w:rPr>
          <w:i/>
          <w:color w:val="000000" w:themeColor="text1"/>
          <w:lang w:val="en-US"/>
        </w:rPr>
        <w:t xml:space="preserve">East Timor, </w:t>
      </w:r>
      <w:r>
        <w:rPr>
          <w:color w:val="000000" w:themeColor="text1"/>
          <w:lang w:val="en-US"/>
        </w:rPr>
        <w:t xml:space="preserve">[29]). </w:t>
      </w:r>
    </w:p>
  </w:footnote>
  <w:footnote w:id="128">
    <w:p w14:paraId="59C2945A" w14:textId="36543597" w:rsidR="009A7F82" w:rsidRPr="009F0808" w:rsidRDefault="009A7F82" w:rsidP="00EC5B59">
      <w:pPr>
        <w:pStyle w:val="FootnoteText"/>
        <w:rPr>
          <w:lang w:val="en-US"/>
        </w:rPr>
      </w:pPr>
      <w:r w:rsidRPr="00264C18">
        <w:rPr>
          <w:rStyle w:val="FootnoteReference"/>
        </w:rPr>
        <w:footnoteRef/>
      </w:r>
      <w:r w:rsidRPr="00264C18">
        <w:t xml:space="preserve"> See</w:t>
      </w:r>
      <w:r>
        <w:t xml:space="preserve"> </w:t>
      </w:r>
      <w:r w:rsidRPr="00264C18">
        <w:t xml:space="preserve">Thirlway (2014), </w:t>
      </w:r>
      <w:r w:rsidRPr="00264C18">
        <w:rPr>
          <w:lang w:val="en-US"/>
        </w:rPr>
        <w:t>147</w:t>
      </w:r>
      <w:r>
        <w:rPr>
          <w:lang w:val="en-US"/>
        </w:rPr>
        <w:t>–</w:t>
      </w:r>
      <w:r w:rsidRPr="00264C18">
        <w:rPr>
          <w:lang w:val="en-US"/>
        </w:rPr>
        <w:t>148</w:t>
      </w:r>
      <w:r>
        <w:rPr>
          <w:lang w:val="en-US"/>
        </w:rPr>
        <w:t xml:space="preserve">; </w:t>
      </w:r>
      <w:r>
        <w:rPr>
          <w:i/>
          <w:lang w:val="en-US"/>
        </w:rPr>
        <w:t>North Sea Continental Shelf</w:t>
      </w:r>
      <w:r w:rsidRPr="00743480">
        <w:rPr>
          <w:lang w:val="en-US"/>
        </w:rPr>
        <w:t>,</w:t>
      </w:r>
      <w:r>
        <w:rPr>
          <w:i/>
          <w:lang w:val="en-US"/>
        </w:rPr>
        <w:t xml:space="preserve"> </w:t>
      </w:r>
      <w:r>
        <w:rPr>
          <w:lang w:val="en-US"/>
        </w:rPr>
        <w:t>[74].</w:t>
      </w:r>
    </w:p>
  </w:footnote>
  <w:footnote w:id="129">
    <w:p w14:paraId="18C23357" w14:textId="04BCCE41" w:rsidR="009A7F82" w:rsidRPr="00902C4C" w:rsidRDefault="009A7F82" w:rsidP="00EC5B59">
      <w:pPr>
        <w:pStyle w:val="FootnoteText"/>
        <w:rPr>
          <w:lang w:val="en-US"/>
        </w:rPr>
      </w:pPr>
      <w:r>
        <w:rPr>
          <w:rStyle w:val="FootnoteReference"/>
        </w:rPr>
        <w:footnoteRef/>
      </w:r>
      <w:r>
        <w:t xml:space="preserve"> </w:t>
      </w:r>
      <w:r>
        <w:rPr>
          <w:i/>
        </w:rPr>
        <w:t>The relationship between human rights and the environment</w:t>
      </w:r>
      <w:r w:rsidRPr="00743480">
        <w:t>,</w:t>
      </w:r>
      <w:r>
        <w:rPr>
          <w:i/>
        </w:rPr>
        <w:t xml:space="preserve"> </w:t>
      </w:r>
      <w:r>
        <w:t>[</w:t>
      </w:r>
      <w:r>
        <w:rPr>
          <w:lang w:val="en-US"/>
        </w:rPr>
        <w:t xml:space="preserve">69]; HRC </w:t>
      </w:r>
      <w:r w:rsidR="005626C2">
        <w:rPr>
          <w:lang w:val="en-US"/>
        </w:rPr>
        <w:t>General Comment</w:t>
      </w:r>
      <w:r>
        <w:rPr>
          <w:lang w:val="en-US"/>
        </w:rPr>
        <w:t xml:space="preserve"> 31, [3].</w:t>
      </w:r>
    </w:p>
  </w:footnote>
  <w:footnote w:id="130">
    <w:p w14:paraId="6D3840A2" w14:textId="0B091AD2" w:rsidR="009A7F82" w:rsidRPr="004255D9" w:rsidRDefault="009A7F82" w:rsidP="00EC5B59">
      <w:pPr>
        <w:pStyle w:val="FootnoteText"/>
        <w:rPr>
          <w:lang w:val="en-US"/>
        </w:rPr>
      </w:pPr>
      <w:r>
        <w:rPr>
          <w:rStyle w:val="FootnoteReference"/>
        </w:rPr>
        <w:footnoteRef/>
      </w:r>
      <w:r>
        <w:rPr>
          <w:lang w:val="en-US"/>
        </w:rPr>
        <w:t xml:space="preserve"> See also </w:t>
      </w:r>
      <w:r w:rsidRPr="00D36785">
        <w:rPr>
          <w:i/>
        </w:rPr>
        <w:t>CESCR</w:t>
      </w:r>
      <w:r>
        <w:t xml:space="preserve"> </w:t>
      </w:r>
      <w:r w:rsidRPr="00630A0D">
        <w:rPr>
          <w:i/>
        </w:rPr>
        <w:t>Concluding Observations: Israel</w:t>
      </w:r>
      <w:r>
        <w:rPr>
          <w:i/>
        </w:rPr>
        <w:t xml:space="preserve"> </w:t>
      </w:r>
      <w:r w:rsidRPr="00630A0D">
        <w:rPr>
          <w:i/>
        </w:rPr>
        <w:t>(2003)</w:t>
      </w:r>
      <w:r>
        <w:rPr>
          <w:lang w:val="en-US"/>
        </w:rPr>
        <w:t>, [31].</w:t>
      </w:r>
    </w:p>
  </w:footnote>
  <w:footnote w:id="131">
    <w:p w14:paraId="22147140" w14:textId="77777777" w:rsidR="009A7F82" w:rsidRPr="00E25595" w:rsidRDefault="009A7F82" w:rsidP="00EC5B59">
      <w:pPr>
        <w:pStyle w:val="FootnoteText"/>
        <w:rPr>
          <w:color w:val="FF0000"/>
          <w:lang w:val="en-US"/>
        </w:rPr>
      </w:pPr>
      <w:r>
        <w:rPr>
          <w:rStyle w:val="FootnoteReference"/>
        </w:rPr>
        <w:footnoteRef/>
      </w:r>
      <w:r>
        <w:t xml:space="preserve"> </w:t>
      </w:r>
      <w:r>
        <w:rPr>
          <w:i/>
        </w:rPr>
        <w:t>Construction of a Wall,</w:t>
      </w:r>
      <w:r>
        <w:t xml:space="preserve"> [109]; </w:t>
      </w:r>
      <w:r>
        <w:rPr>
          <w:i/>
        </w:rPr>
        <w:t xml:space="preserve">Banković, </w:t>
      </w:r>
      <w:r>
        <w:t xml:space="preserve">[59]; </w:t>
      </w:r>
      <w:r>
        <w:rPr>
          <w:i/>
        </w:rPr>
        <w:t>Al-</w:t>
      </w:r>
      <w:r>
        <w:rPr>
          <w:i/>
        </w:rPr>
        <w:t xml:space="preserve">Skeini, </w:t>
      </w:r>
      <w:r>
        <w:t>[131].</w:t>
      </w:r>
    </w:p>
  </w:footnote>
  <w:footnote w:id="132">
    <w:p w14:paraId="05497B65" w14:textId="0DC5346E" w:rsidR="009A7F82" w:rsidRPr="00611F19" w:rsidRDefault="009A7F82" w:rsidP="00EC5B59">
      <w:pPr>
        <w:pStyle w:val="FootnoteText"/>
        <w:rPr>
          <w:i/>
          <w:color w:val="FF0000"/>
          <w:lang w:val="en-US"/>
        </w:rPr>
      </w:pPr>
      <w:r>
        <w:rPr>
          <w:rStyle w:val="FootnoteReference"/>
        </w:rPr>
        <w:footnoteRef/>
      </w:r>
      <w:r>
        <w:t xml:space="preserve"> </w:t>
      </w:r>
      <w:r w:rsidRPr="00264C18">
        <w:rPr>
          <w:i/>
        </w:rPr>
        <w:t>Banković</w:t>
      </w:r>
      <w:r>
        <w:t xml:space="preserve">, [61]; </w:t>
      </w:r>
      <w:r>
        <w:rPr>
          <w:i/>
        </w:rPr>
        <w:t>Advisory Opinion OC-23/17</w:t>
      </w:r>
      <w:r>
        <w:t>, [104]</w:t>
      </w:r>
      <w:r w:rsidR="00A553EE">
        <w:t>.</w:t>
      </w:r>
    </w:p>
  </w:footnote>
  <w:footnote w:id="133">
    <w:p w14:paraId="6F0F8EAE" w14:textId="07C52A4F" w:rsidR="009A7F82" w:rsidRPr="00E25595" w:rsidRDefault="009A7F82" w:rsidP="00EC5B59">
      <w:pPr>
        <w:pStyle w:val="FootnoteText"/>
        <w:rPr>
          <w:lang w:val="en-US"/>
        </w:rPr>
      </w:pPr>
      <w:r>
        <w:rPr>
          <w:rStyle w:val="FootnoteReference"/>
        </w:rPr>
        <w:footnoteRef/>
      </w:r>
      <w:r>
        <w:t xml:space="preserve"> </w:t>
      </w:r>
      <w:r w:rsidRPr="00E902AC">
        <w:rPr>
          <w:i/>
          <w:lang w:val="en-US"/>
        </w:rPr>
        <w:t>Lopez v Uruguay</w:t>
      </w:r>
      <w:r>
        <w:rPr>
          <w:lang w:val="en-US"/>
        </w:rPr>
        <w:t xml:space="preserve">; </w:t>
      </w:r>
      <w:r>
        <w:rPr>
          <w:i/>
        </w:rPr>
        <w:t xml:space="preserve">Casariego v Uruguay. </w:t>
      </w:r>
      <w:r>
        <w:t xml:space="preserve">See also </w:t>
      </w:r>
      <w:r>
        <w:rPr>
          <w:i/>
        </w:rPr>
        <w:t xml:space="preserve">Al-Skeini, </w:t>
      </w:r>
      <w:r>
        <w:t xml:space="preserve">[133]–[137]. </w:t>
      </w:r>
    </w:p>
  </w:footnote>
  <w:footnote w:id="134">
    <w:p w14:paraId="42E1A3DE" w14:textId="16BFB23B" w:rsidR="009A7F82" w:rsidRPr="00865DD9" w:rsidRDefault="009A7F82" w:rsidP="00EC5B59">
      <w:pPr>
        <w:pStyle w:val="FootnoteText"/>
        <w:rPr>
          <w:lang w:val="en-US"/>
        </w:rPr>
      </w:pPr>
      <w:r>
        <w:rPr>
          <w:rStyle w:val="FootnoteReference"/>
        </w:rPr>
        <w:footnoteRef/>
      </w:r>
      <w:r>
        <w:t xml:space="preserve"> </w:t>
      </w:r>
      <w:r w:rsidRPr="00E902AC">
        <w:rPr>
          <w:i/>
        </w:rPr>
        <w:t>Construction of a Wall</w:t>
      </w:r>
      <w:r>
        <w:rPr>
          <w:i/>
        </w:rPr>
        <w:t xml:space="preserve">, </w:t>
      </w:r>
      <w:r>
        <w:t>[110]</w:t>
      </w:r>
      <w:r>
        <w:rPr>
          <w:i/>
        </w:rPr>
        <w:t xml:space="preserve">. </w:t>
      </w:r>
      <w:r>
        <w:t>See also</w:t>
      </w:r>
      <w:r w:rsidRPr="00865DD9">
        <w:rPr>
          <w:i/>
        </w:rPr>
        <w:t xml:space="preserve"> </w:t>
      </w:r>
      <w:r>
        <w:rPr>
          <w:i/>
        </w:rPr>
        <w:t xml:space="preserve">Loizidou, </w:t>
      </w:r>
      <w:r>
        <w:t xml:space="preserve">[52]; </w:t>
      </w:r>
      <w:r>
        <w:rPr>
          <w:i/>
        </w:rPr>
        <w:t xml:space="preserve">Banković, </w:t>
      </w:r>
      <w:r>
        <w:t>[71];</w:t>
      </w:r>
      <w:r>
        <w:rPr>
          <w:i/>
        </w:rPr>
        <w:t xml:space="preserve"> Al-Skeini, </w:t>
      </w:r>
      <w:r>
        <w:t xml:space="preserve">[138]–[140]. </w:t>
      </w:r>
    </w:p>
  </w:footnote>
  <w:footnote w:id="135">
    <w:p w14:paraId="655862D3" w14:textId="77777777" w:rsidR="009A7F82" w:rsidRPr="003817A9" w:rsidRDefault="009A7F82" w:rsidP="00EC5B59">
      <w:pPr>
        <w:pStyle w:val="FootnoteText"/>
        <w:rPr>
          <w:lang w:val="en-US"/>
        </w:rPr>
      </w:pPr>
      <w:r>
        <w:rPr>
          <w:rStyle w:val="FootnoteReference"/>
        </w:rPr>
        <w:footnoteRef/>
      </w:r>
      <w:r>
        <w:t xml:space="preserve"> </w:t>
      </w:r>
      <w:r>
        <w:rPr>
          <w:bCs/>
          <w:i/>
        </w:rPr>
        <w:t>Convention on Racial Discrimination (Order)</w:t>
      </w:r>
      <w:r>
        <w:rPr>
          <w:bCs/>
        </w:rPr>
        <w:t>, [</w:t>
      </w:r>
      <w:r>
        <w:t>109].</w:t>
      </w:r>
    </w:p>
  </w:footnote>
  <w:footnote w:id="136">
    <w:p w14:paraId="0AD41711" w14:textId="0BBE0531" w:rsidR="009A7F82" w:rsidRPr="00DF6219" w:rsidRDefault="009A7F82" w:rsidP="00EC5B59">
      <w:pPr>
        <w:pStyle w:val="FootnoteText"/>
        <w:rPr>
          <w:color w:val="000000" w:themeColor="text1"/>
          <w:lang w:val="en-US"/>
        </w:rPr>
      </w:pPr>
      <w:r>
        <w:rPr>
          <w:rStyle w:val="FootnoteReference"/>
        </w:rPr>
        <w:footnoteRef/>
      </w:r>
      <w:r>
        <w:t xml:space="preserve"> CESCR </w:t>
      </w:r>
      <w:r w:rsidR="005626C2">
        <w:rPr>
          <w:color w:val="000000" w:themeColor="text1"/>
          <w:lang w:val="en-US"/>
        </w:rPr>
        <w:t>General Comment</w:t>
      </w:r>
      <w:r>
        <w:rPr>
          <w:color w:val="000000" w:themeColor="text1"/>
          <w:lang w:val="en-US"/>
        </w:rPr>
        <w:t xml:space="preserve"> 23, [70]; </w:t>
      </w:r>
      <w:r>
        <w:t xml:space="preserve">CESCR </w:t>
      </w:r>
      <w:r w:rsidR="005626C2">
        <w:rPr>
          <w:color w:val="000000" w:themeColor="text1"/>
          <w:lang w:val="en-US"/>
        </w:rPr>
        <w:t>General Comment</w:t>
      </w:r>
      <w:r>
        <w:rPr>
          <w:color w:val="000000" w:themeColor="text1"/>
          <w:lang w:val="en-US"/>
        </w:rPr>
        <w:t xml:space="preserve"> 20; </w:t>
      </w:r>
      <w:r>
        <w:t xml:space="preserve">CESCR </w:t>
      </w:r>
      <w:r w:rsidR="005626C2">
        <w:rPr>
          <w:color w:val="000000" w:themeColor="text1"/>
          <w:lang w:val="en-US"/>
        </w:rPr>
        <w:t>General Comment</w:t>
      </w:r>
      <w:r>
        <w:rPr>
          <w:color w:val="000000" w:themeColor="text1"/>
          <w:lang w:val="en-US"/>
        </w:rPr>
        <w:t xml:space="preserve"> 19; </w:t>
      </w:r>
      <w:r>
        <w:t xml:space="preserve">CESCR </w:t>
      </w:r>
      <w:r w:rsidR="005626C2">
        <w:rPr>
          <w:color w:val="000000" w:themeColor="text1"/>
          <w:lang w:val="en-US"/>
        </w:rPr>
        <w:t>General Comment</w:t>
      </w:r>
      <w:r>
        <w:rPr>
          <w:color w:val="000000" w:themeColor="text1"/>
          <w:lang w:val="en-US"/>
        </w:rPr>
        <w:t xml:space="preserve"> 14, [39].</w:t>
      </w:r>
    </w:p>
  </w:footnote>
  <w:footnote w:id="137">
    <w:p w14:paraId="0585958F" w14:textId="77777777" w:rsidR="009A7F82" w:rsidRPr="00D203F1" w:rsidRDefault="009A7F82" w:rsidP="00EC5B59">
      <w:pPr>
        <w:pStyle w:val="FootnoteText"/>
        <w:rPr>
          <w:lang w:val="en-US"/>
        </w:rPr>
      </w:pPr>
      <w:r>
        <w:rPr>
          <w:rStyle w:val="FootnoteReference"/>
        </w:rPr>
        <w:footnoteRef/>
      </w:r>
      <w:r>
        <w:t xml:space="preserve"> </w:t>
      </w:r>
      <w:r w:rsidRPr="00C166D9">
        <w:t>UN Charter</w:t>
      </w:r>
      <w:r>
        <w:t>,</w:t>
      </w:r>
      <w:r w:rsidRPr="0092460F">
        <w:t xml:space="preserve"> art 2(1)</w:t>
      </w:r>
      <w:r>
        <w:t xml:space="preserve">; </w:t>
      </w:r>
      <w:r>
        <w:rPr>
          <w:i/>
        </w:rPr>
        <w:t>Friendly Relations Declaration.</w:t>
      </w:r>
    </w:p>
  </w:footnote>
  <w:footnote w:id="138">
    <w:p w14:paraId="70C75322" w14:textId="77777777" w:rsidR="009A7F82" w:rsidRPr="00D203F1" w:rsidRDefault="009A7F82" w:rsidP="00EC5B59">
      <w:pPr>
        <w:pStyle w:val="FootnoteText"/>
        <w:rPr>
          <w:lang w:val="en-US"/>
        </w:rPr>
      </w:pPr>
      <w:r>
        <w:rPr>
          <w:rStyle w:val="FootnoteReference"/>
        </w:rPr>
        <w:footnoteRef/>
      </w:r>
      <w:r>
        <w:t xml:space="preserve"> </w:t>
      </w:r>
      <w:r>
        <w:rPr>
          <w:i/>
        </w:rPr>
        <w:t xml:space="preserve">Charter of Economic Rights and Duties, </w:t>
      </w:r>
      <w:r>
        <w:t xml:space="preserve">art 2(1); </w:t>
      </w:r>
      <w:r>
        <w:rPr>
          <w:bCs/>
          <w:i/>
        </w:rPr>
        <w:t>Armed Activities</w:t>
      </w:r>
      <w:r w:rsidRPr="00F73EB2">
        <w:rPr>
          <w:bCs/>
        </w:rPr>
        <w:t>,</w:t>
      </w:r>
      <w:r>
        <w:rPr>
          <w:bCs/>
          <w:i/>
        </w:rPr>
        <w:t xml:space="preserve"> </w:t>
      </w:r>
      <w:r>
        <w:rPr>
          <w:bCs/>
        </w:rPr>
        <w:t>[244].</w:t>
      </w:r>
    </w:p>
  </w:footnote>
  <w:footnote w:id="139">
    <w:p w14:paraId="54CAF963" w14:textId="77777777" w:rsidR="009A7F82" w:rsidRPr="005F5056" w:rsidRDefault="009A7F82" w:rsidP="00E44F7E">
      <w:pPr>
        <w:pStyle w:val="FootnoteText"/>
        <w:rPr>
          <w:lang w:val="en-US"/>
        </w:rPr>
      </w:pPr>
      <w:r>
        <w:rPr>
          <w:rStyle w:val="FootnoteReference"/>
        </w:rPr>
        <w:footnoteRef/>
      </w:r>
      <w:r>
        <w:t xml:space="preserve"> </w:t>
      </w:r>
      <w:r>
        <w:rPr>
          <w:i/>
          <w:lang w:val="en-US"/>
        </w:rPr>
        <w:t>Compromis</w:t>
      </w:r>
      <w:r w:rsidRPr="0032347D">
        <w:rPr>
          <w:lang w:val="en-US"/>
        </w:rPr>
        <w:t>,</w:t>
      </w:r>
      <w:r>
        <w:rPr>
          <w:i/>
          <w:lang w:val="en-US"/>
        </w:rPr>
        <w:t xml:space="preserve"> </w:t>
      </w:r>
      <w:r>
        <w:rPr>
          <w:lang w:val="en-US"/>
        </w:rPr>
        <w:t>[24] and [27].</w:t>
      </w:r>
    </w:p>
  </w:footnote>
  <w:footnote w:id="140">
    <w:p w14:paraId="09CE300C" w14:textId="6FACE53F" w:rsidR="009A7F82" w:rsidRPr="00202EDF" w:rsidRDefault="009A7F82" w:rsidP="00E44F7E">
      <w:pPr>
        <w:pStyle w:val="FootnoteText"/>
        <w:rPr>
          <w:lang w:val="en-US"/>
        </w:rPr>
      </w:pPr>
      <w:r>
        <w:rPr>
          <w:rStyle w:val="FootnoteReference"/>
        </w:rPr>
        <w:footnoteRef/>
      </w:r>
      <w:r>
        <w:rPr>
          <w:i/>
        </w:rPr>
        <w:t xml:space="preserve"> Compromis</w:t>
      </w:r>
      <w:r w:rsidRPr="0032347D">
        <w:t>,</w:t>
      </w:r>
      <w:r>
        <w:rPr>
          <w:i/>
        </w:rPr>
        <w:t xml:space="preserve"> </w:t>
      </w:r>
      <w:r>
        <w:t xml:space="preserve">[43]–[44]; </w:t>
      </w:r>
      <w:r>
        <w:rPr>
          <w:i/>
          <w:lang w:val="en-US"/>
        </w:rPr>
        <w:t xml:space="preserve">Clarifications, </w:t>
      </w:r>
      <w:r>
        <w:rPr>
          <w:lang w:val="en-US"/>
        </w:rPr>
        <w:t>[7]–[8]; Pleading II.A.1.</w:t>
      </w:r>
    </w:p>
  </w:footnote>
  <w:footnote w:id="141">
    <w:p w14:paraId="4615F11C" w14:textId="77777777" w:rsidR="009A7F82" w:rsidRPr="00A91B17" w:rsidRDefault="009A7F82" w:rsidP="00E44F7E">
      <w:pPr>
        <w:pStyle w:val="FootnoteText"/>
        <w:rPr>
          <w:lang w:val="en-US"/>
        </w:rPr>
      </w:pPr>
      <w:r>
        <w:rPr>
          <w:rStyle w:val="FootnoteReference"/>
        </w:rPr>
        <w:footnoteRef/>
      </w:r>
      <w:r>
        <w:t xml:space="preserve"> </w:t>
      </w:r>
      <w:r>
        <w:rPr>
          <w:i/>
          <w:lang w:val="en-US"/>
        </w:rPr>
        <w:t>Compromis</w:t>
      </w:r>
      <w:r w:rsidRPr="0032347D">
        <w:rPr>
          <w:lang w:val="en-US"/>
        </w:rPr>
        <w:t>,</w:t>
      </w:r>
      <w:r>
        <w:rPr>
          <w:i/>
          <w:lang w:val="en-US"/>
        </w:rPr>
        <w:t xml:space="preserve"> </w:t>
      </w:r>
      <w:r>
        <w:rPr>
          <w:lang w:val="en-US"/>
        </w:rPr>
        <w:t>[30].</w:t>
      </w:r>
    </w:p>
  </w:footnote>
  <w:footnote w:id="142">
    <w:p w14:paraId="52CF9437" w14:textId="77777777" w:rsidR="009A7F82" w:rsidRPr="00A91B17" w:rsidRDefault="009A7F82" w:rsidP="00E44F7E">
      <w:pPr>
        <w:pStyle w:val="FootnoteText"/>
        <w:rPr>
          <w:lang w:val="en-US"/>
        </w:rPr>
      </w:pPr>
      <w:r>
        <w:rPr>
          <w:rStyle w:val="FootnoteReference"/>
        </w:rPr>
        <w:footnoteRef/>
      </w:r>
      <w:r>
        <w:t xml:space="preserve"> </w:t>
      </w:r>
      <w:r>
        <w:rPr>
          <w:i/>
          <w:lang w:val="en-US"/>
        </w:rPr>
        <w:t>Compromis</w:t>
      </w:r>
      <w:r w:rsidRPr="0032347D">
        <w:rPr>
          <w:lang w:val="en-US"/>
        </w:rPr>
        <w:t>,</w:t>
      </w:r>
      <w:r>
        <w:rPr>
          <w:i/>
          <w:lang w:val="en-US"/>
        </w:rPr>
        <w:t xml:space="preserve"> </w:t>
      </w:r>
      <w:r>
        <w:rPr>
          <w:lang w:val="en-US"/>
        </w:rPr>
        <w:t>[32].</w:t>
      </w:r>
    </w:p>
  </w:footnote>
  <w:footnote w:id="143">
    <w:p w14:paraId="11E39682" w14:textId="29A7AD2A" w:rsidR="009A7F82" w:rsidRPr="00AC460F" w:rsidRDefault="009A7F82" w:rsidP="00EC5B59">
      <w:pPr>
        <w:pStyle w:val="FootnoteText"/>
        <w:rPr>
          <w:lang w:val="en-US"/>
        </w:rPr>
      </w:pPr>
      <w:r>
        <w:rPr>
          <w:rStyle w:val="FootnoteReference"/>
        </w:rPr>
        <w:footnoteRef/>
      </w:r>
      <w:r>
        <w:t xml:space="preserve"> ICCPR, </w:t>
      </w:r>
      <w:r>
        <w:rPr>
          <w:lang w:val="en-US"/>
        </w:rPr>
        <w:t xml:space="preserve">art 8(1); HRC </w:t>
      </w:r>
      <w:r w:rsidR="005626C2">
        <w:rPr>
          <w:lang w:val="en-US"/>
        </w:rPr>
        <w:t>General Comment</w:t>
      </w:r>
      <w:r>
        <w:rPr>
          <w:lang w:val="en-US"/>
        </w:rPr>
        <w:t xml:space="preserve"> 22, [3]; </w:t>
      </w:r>
      <w:r w:rsidRPr="0086799F">
        <w:t>Special Rapporteur on Freedom of Religion</w:t>
      </w:r>
      <w:r>
        <w:t xml:space="preserve"> </w:t>
      </w:r>
      <w:r w:rsidRPr="0086799F">
        <w:t>Report (2007)</w:t>
      </w:r>
      <w:r>
        <w:t xml:space="preserve">, [10]; </w:t>
      </w:r>
      <w:r w:rsidRPr="006B3069">
        <w:rPr>
          <w:bCs/>
          <w:iCs/>
        </w:rPr>
        <w:t>Bielefeldt</w:t>
      </w:r>
      <w:r>
        <w:rPr>
          <w:bCs/>
          <w:iCs/>
        </w:rPr>
        <w:t xml:space="preserve">, </w:t>
      </w:r>
      <w:r w:rsidRPr="006B3069">
        <w:rPr>
          <w:bCs/>
          <w:iCs/>
        </w:rPr>
        <w:t>Ghanea-Hercock</w:t>
      </w:r>
      <w:r>
        <w:rPr>
          <w:bCs/>
          <w:iCs/>
        </w:rPr>
        <w:t xml:space="preserve"> and </w:t>
      </w:r>
      <w:r w:rsidRPr="006B3069">
        <w:rPr>
          <w:bCs/>
          <w:iCs/>
        </w:rPr>
        <w:t>Wiener</w:t>
      </w:r>
      <w:r>
        <w:rPr>
          <w:bCs/>
          <w:iCs/>
        </w:rPr>
        <w:t xml:space="preserve"> (2016), 22.</w:t>
      </w:r>
    </w:p>
  </w:footnote>
  <w:footnote w:id="144">
    <w:p w14:paraId="6311AE33" w14:textId="225008CA" w:rsidR="009A7F82" w:rsidRPr="0034118A" w:rsidRDefault="009A7F82" w:rsidP="00EC5B59">
      <w:pPr>
        <w:pStyle w:val="FootnoteText"/>
        <w:rPr>
          <w:lang w:val="en-US"/>
        </w:rPr>
      </w:pPr>
      <w:r>
        <w:rPr>
          <w:rStyle w:val="FootnoteReference"/>
        </w:rPr>
        <w:footnoteRef/>
      </w:r>
      <w:r>
        <w:t xml:space="preserve"> </w:t>
      </w:r>
      <w:r>
        <w:rPr>
          <w:i/>
          <w:lang w:val="en-US"/>
        </w:rPr>
        <w:t>Compromis</w:t>
      </w:r>
      <w:r w:rsidRPr="0032347D">
        <w:rPr>
          <w:lang w:val="en-US"/>
        </w:rPr>
        <w:t>,</w:t>
      </w:r>
      <w:r>
        <w:rPr>
          <w:i/>
          <w:lang w:val="en-US"/>
        </w:rPr>
        <w:t xml:space="preserve"> </w:t>
      </w:r>
      <w:r>
        <w:rPr>
          <w:lang w:val="en-US"/>
        </w:rPr>
        <w:t>[2]</w:t>
      </w:r>
      <w:r>
        <w:rPr>
          <w:lang w:val="en-US"/>
        </w:rPr>
        <w:t>–[4].</w:t>
      </w:r>
    </w:p>
  </w:footnote>
  <w:footnote w:id="145">
    <w:p w14:paraId="3854C47A" w14:textId="77777777" w:rsidR="009A7F82" w:rsidRPr="00DB29B3" w:rsidRDefault="009A7F82" w:rsidP="00EC5B59">
      <w:pPr>
        <w:pStyle w:val="FootnoteText"/>
        <w:rPr>
          <w:lang w:val="en-US"/>
        </w:rPr>
      </w:pPr>
      <w:r>
        <w:rPr>
          <w:rStyle w:val="FootnoteReference"/>
        </w:rPr>
        <w:footnoteRef/>
      </w:r>
      <w:r>
        <w:t xml:space="preserve"> HRC</w:t>
      </w:r>
      <w:r>
        <w:rPr>
          <w:lang w:val="en-US"/>
        </w:rPr>
        <w:t xml:space="preserve"> General Comment 22, [4].</w:t>
      </w:r>
    </w:p>
  </w:footnote>
  <w:footnote w:id="146">
    <w:p w14:paraId="27025004" w14:textId="77777777" w:rsidR="009A7F82" w:rsidRPr="008A0C67" w:rsidRDefault="009A7F82" w:rsidP="00EC5B59">
      <w:pPr>
        <w:pStyle w:val="FootnoteText"/>
      </w:pPr>
      <w:r>
        <w:rPr>
          <w:rStyle w:val="FootnoteReference"/>
        </w:rPr>
        <w:footnoteRef/>
      </w:r>
      <w:r>
        <w:t xml:space="preserve"> For example, prohibiting prisoners from practising their religion</w:t>
      </w:r>
      <w:r>
        <w:rPr>
          <w:i/>
        </w:rPr>
        <w:t xml:space="preserve"> </w:t>
      </w:r>
      <w:r>
        <w:t>(</w:t>
      </w:r>
      <w:r>
        <w:rPr>
          <w:i/>
        </w:rPr>
        <w:t>Boodoo v Trinidad and Tobago; Poltoratskiy</w:t>
      </w:r>
      <w:r>
        <w:t>), making manifestations illegal (</w:t>
      </w:r>
      <w:r>
        <w:rPr>
          <w:i/>
        </w:rPr>
        <w:t>Malakhovsky v Belarus; Prince v South Africa</w:t>
      </w:r>
      <w:r>
        <w:t xml:space="preserve">; </w:t>
      </w:r>
      <w:r>
        <w:rPr>
          <w:i/>
        </w:rPr>
        <w:t>Leven v Kazakhstan</w:t>
      </w:r>
      <w:r>
        <w:t xml:space="preserve">), or directly interfering with </w:t>
      </w:r>
      <w:r>
        <w:rPr>
          <w:lang w:val="en-US"/>
        </w:rPr>
        <w:t>natural resources used in religious rituals (</w:t>
      </w:r>
      <w:r>
        <w:rPr>
          <w:i/>
        </w:rPr>
        <w:t xml:space="preserve">Ogiek Decision, </w:t>
      </w:r>
      <w:r>
        <w:t>[166]).</w:t>
      </w:r>
    </w:p>
  </w:footnote>
  <w:footnote w:id="147">
    <w:p w14:paraId="1EC47F2C" w14:textId="77777777" w:rsidR="009A7F82" w:rsidRPr="004874F0" w:rsidRDefault="009A7F82" w:rsidP="00EC5B59">
      <w:pPr>
        <w:pStyle w:val="FootnoteText"/>
      </w:pPr>
      <w:r>
        <w:rPr>
          <w:rStyle w:val="FootnoteReference"/>
        </w:rPr>
        <w:footnoteRef/>
      </w:r>
      <w:r>
        <w:t xml:space="preserve"> </w:t>
      </w:r>
      <w:r w:rsidRPr="002A78E5">
        <w:t>Nowak (2005), 411;</w:t>
      </w:r>
      <w:r>
        <w:t xml:space="preserve"> </w:t>
      </w:r>
      <w:r>
        <w:rPr>
          <w:bCs/>
        </w:rPr>
        <w:t>Kotuby and Sobota (2017), 22.</w:t>
      </w:r>
      <w:r>
        <w:t xml:space="preserve"> See also ICJ Judge </w:t>
      </w:r>
      <w:r w:rsidRPr="004874F0">
        <w:rPr>
          <w:bCs/>
        </w:rPr>
        <w:t>Sir Kenneth Keith</w:t>
      </w:r>
      <w:r>
        <w:rPr>
          <w:bCs/>
        </w:rPr>
        <w:t>’s comments</w:t>
      </w:r>
      <w:r>
        <w:t xml:space="preserve"> in </w:t>
      </w:r>
      <w:r>
        <w:rPr>
          <w:i/>
        </w:rPr>
        <w:t>Mendelssohn v A-G,</w:t>
      </w:r>
      <w:r>
        <w:t xml:space="preserve"> [14] and [16].</w:t>
      </w:r>
    </w:p>
  </w:footnote>
  <w:footnote w:id="148">
    <w:p w14:paraId="734F8D07" w14:textId="77777777" w:rsidR="009A7F82" w:rsidRPr="00D56F0C" w:rsidRDefault="009A7F82" w:rsidP="00EC5B59">
      <w:pPr>
        <w:pStyle w:val="FootnoteText"/>
        <w:rPr>
          <w:lang w:val="en-US"/>
        </w:rPr>
      </w:pPr>
      <w:r>
        <w:rPr>
          <w:rStyle w:val="FootnoteReference"/>
        </w:rPr>
        <w:footnoteRef/>
      </w:r>
      <w:r>
        <w:t xml:space="preserve"> See ICCPR, arts 6(1), 17(2), 23(1), and 24(1). </w:t>
      </w:r>
    </w:p>
  </w:footnote>
  <w:footnote w:id="149">
    <w:p w14:paraId="4DE241C6" w14:textId="77777777" w:rsidR="009A7F82" w:rsidRPr="009B1419" w:rsidRDefault="009A7F82" w:rsidP="00EC5B59">
      <w:pPr>
        <w:pStyle w:val="FootnoteText"/>
        <w:tabs>
          <w:tab w:val="left" w:pos="820"/>
        </w:tabs>
        <w:rPr>
          <w:lang w:val="en-US"/>
        </w:rPr>
      </w:pPr>
      <w:r>
        <w:rPr>
          <w:rStyle w:val="FootnoteReference"/>
        </w:rPr>
        <w:footnoteRef/>
      </w:r>
      <w:r>
        <w:t xml:space="preserve"> </w:t>
      </w:r>
      <w:r>
        <w:rPr>
          <w:i/>
        </w:rPr>
        <w:t xml:space="preserve">Declaration on the Elimination of Religious Discrimination, </w:t>
      </w:r>
      <w:r>
        <w:t xml:space="preserve">art 6. See also </w:t>
      </w:r>
      <w:r>
        <w:rPr>
          <w:i/>
        </w:rPr>
        <w:t>Special Rapporteur’s Study on Religious Discrimination</w:t>
      </w:r>
      <w:r>
        <w:t>, 36: protection of religious dietary practices does not include duty to enact positive measures.</w:t>
      </w:r>
    </w:p>
  </w:footnote>
  <w:footnote w:id="150">
    <w:p w14:paraId="7C02290F" w14:textId="77777777" w:rsidR="009A7F82" w:rsidRPr="003F48CD" w:rsidRDefault="009A7F82" w:rsidP="00EC5B59">
      <w:pPr>
        <w:pStyle w:val="FootnoteText"/>
        <w:rPr>
          <w:lang w:val="en-US"/>
        </w:rPr>
      </w:pPr>
      <w:r>
        <w:rPr>
          <w:rStyle w:val="FootnoteReference"/>
        </w:rPr>
        <w:footnoteRef/>
      </w:r>
      <w:r>
        <w:t xml:space="preserve"> ICESCR, </w:t>
      </w:r>
      <w:r>
        <w:rPr>
          <w:lang w:val="en-US"/>
        </w:rPr>
        <w:t>art 15(1)(a).</w:t>
      </w:r>
    </w:p>
  </w:footnote>
  <w:footnote w:id="151">
    <w:p w14:paraId="79EE265F" w14:textId="55D830D2" w:rsidR="009A7F82" w:rsidRPr="000A52AA" w:rsidRDefault="009A7F82" w:rsidP="00EC5B59">
      <w:pPr>
        <w:pStyle w:val="FootnoteText"/>
        <w:rPr>
          <w:lang w:val="en-US"/>
        </w:rPr>
      </w:pPr>
      <w:r>
        <w:rPr>
          <w:rStyle w:val="FootnoteReference"/>
        </w:rPr>
        <w:footnoteRef/>
      </w:r>
      <w:r>
        <w:t xml:space="preserve"> CESCR </w:t>
      </w:r>
      <w:r w:rsidR="005626C2">
        <w:t>General Comment</w:t>
      </w:r>
      <w:r>
        <w:t xml:space="preserve"> 21, [6], [48].</w:t>
      </w:r>
    </w:p>
  </w:footnote>
  <w:footnote w:id="152">
    <w:p w14:paraId="40430984" w14:textId="77777777" w:rsidR="009A7F82" w:rsidRPr="000A52AA" w:rsidRDefault="009A7F82" w:rsidP="00EC5B59">
      <w:pPr>
        <w:pStyle w:val="FootnoteText"/>
        <w:rPr>
          <w:lang w:val="en-US"/>
        </w:rPr>
      </w:pPr>
      <w:r>
        <w:rPr>
          <w:rStyle w:val="FootnoteReference"/>
        </w:rPr>
        <w:footnoteRef/>
      </w:r>
      <w:r>
        <w:t xml:space="preserve"> </w:t>
      </w:r>
      <w:r>
        <w:rPr>
          <w:lang w:val="en-US"/>
        </w:rPr>
        <w:t xml:space="preserve">ICESCR, art 2(1). </w:t>
      </w:r>
    </w:p>
  </w:footnote>
  <w:footnote w:id="153">
    <w:p w14:paraId="66D0E24B" w14:textId="61CA0F0B" w:rsidR="009A7F82" w:rsidRPr="0028236B" w:rsidRDefault="009A7F82" w:rsidP="00EC5B59">
      <w:pPr>
        <w:pStyle w:val="FootnoteText"/>
        <w:rPr>
          <w:lang w:val="en-US"/>
        </w:rPr>
      </w:pPr>
      <w:r>
        <w:rPr>
          <w:rStyle w:val="FootnoteReference"/>
        </w:rPr>
        <w:footnoteRef/>
      </w:r>
      <w:r>
        <w:t xml:space="preserve"> CESCR </w:t>
      </w:r>
      <w:r w:rsidR="005626C2">
        <w:t>General Comment</w:t>
      </w:r>
      <w:r>
        <w:t xml:space="preserve"> 21, [17].</w:t>
      </w:r>
    </w:p>
  </w:footnote>
  <w:footnote w:id="154">
    <w:p w14:paraId="7686532D" w14:textId="77777777" w:rsidR="009A7F82" w:rsidRPr="00F06BCF" w:rsidRDefault="009A7F82" w:rsidP="00EC5B59">
      <w:pPr>
        <w:pStyle w:val="FootnoteText"/>
        <w:rPr>
          <w:lang w:val="en-US"/>
        </w:rPr>
      </w:pPr>
      <w:r>
        <w:rPr>
          <w:rStyle w:val="FootnoteReference"/>
        </w:rPr>
        <w:footnoteRef/>
      </w:r>
      <w:r>
        <w:t xml:space="preserve"> </w:t>
      </w:r>
      <w:r w:rsidRPr="00AB049B">
        <w:rPr>
          <w:i/>
          <w:lang w:val="en-US"/>
        </w:rPr>
        <w:t>Compromis</w:t>
      </w:r>
      <w:r>
        <w:rPr>
          <w:i/>
          <w:lang w:val="en-US"/>
        </w:rPr>
        <w:t>,</w:t>
      </w:r>
      <w:r>
        <w:rPr>
          <w:lang w:val="en-US"/>
        </w:rPr>
        <w:t xml:space="preserve"> [37].</w:t>
      </w:r>
    </w:p>
  </w:footnote>
  <w:footnote w:id="155">
    <w:p w14:paraId="1A31CFD3" w14:textId="336271FC" w:rsidR="009A7F82" w:rsidRPr="00F252C4" w:rsidRDefault="009A7F82" w:rsidP="00EC5B59">
      <w:pPr>
        <w:pStyle w:val="FootnoteText"/>
        <w:rPr>
          <w:lang w:val="en-US"/>
        </w:rPr>
      </w:pPr>
      <w:r>
        <w:rPr>
          <w:rStyle w:val="FootnoteReference"/>
        </w:rPr>
        <w:footnoteRef/>
      </w:r>
      <w:r>
        <w:t xml:space="preserve"> ICESCR, art 12; CESCR General Comment 14, [43.d];  </w:t>
      </w:r>
      <w:r w:rsidRPr="005334E7">
        <w:rPr>
          <w:i/>
        </w:rPr>
        <w:t>Special Rapporteur Report on highest attainable standard of health</w:t>
      </w:r>
      <w:r>
        <w:t xml:space="preserve">, [56]; </w:t>
      </w:r>
      <w:r w:rsidRPr="006B3069">
        <w:rPr>
          <w:bCs/>
        </w:rPr>
        <w:t>Hogerzeil</w:t>
      </w:r>
      <w:r>
        <w:rPr>
          <w:bCs/>
        </w:rPr>
        <w:t xml:space="preserve"> and others </w:t>
      </w:r>
      <w:r w:rsidRPr="006B3069">
        <w:rPr>
          <w:bCs/>
        </w:rPr>
        <w:t>(2006)</w:t>
      </w:r>
      <w:r>
        <w:t xml:space="preserve">. Each ICESCR right contains minimum core obligations, see CESCR </w:t>
      </w:r>
      <w:r w:rsidR="005626C2">
        <w:t>General Comment</w:t>
      </w:r>
      <w:r>
        <w:t xml:space="preserve"> 3, [10]; CESCR </w:t>
      </w:r>
      <w:r w:rsidR="005626C2">
        <w:t>General Comment</w:t>
      </w:r>
      <w:r>
        <w:t xml:space="preserve"> 14, [47].</w:t>
      </w:r>
    </w:p>
  </w:footnote>
  <w:footnote w:id="156">
    <w:p w14:paraId="03FE897A" w14:textId="77777777" w:rsidR="009A7F82" w:rsidRPr="00443708" w:rsidRDefault="009A7F82" w:rsidP="00EC5B59">
      <w:pPr>
        <w:pStyle w:val="FootnoteText"/>
        <w:rPr>
          <w:lang w:val="en-US"/>
        </w:rPr>
      </w:pPr>
      <w:r>
        <w:rPr>
          <w:rStyle w:val="FootnoteReference"/>
        </w:rPr>
        <w:footnoteRef/>
      </w:r>
      <w:r>
        <w:t xml:space="preserve"> </w:t>
      </w:r>
      <w:r>
        <w:rPr>
          <w:lang w:val="en-US"/>
        </w:rPr>
        <w:t xml:space="preserve">No synthetic alternative has been found, </w:t>
      </w:r>
      <w:r>
        <w:rPr>
          <w:i/>
          <w:lang w:val="en-US"/>
        </w:rPr>
        <w:t xml:space="preserve">Compromis, </w:t>
      </w:r>
      <w:r>
        <w:rPr>
          <w:lang w:val="en-US"/>
        </w:rPr>
        <w:t>[33].</w:t>
      </w:r>
    </w:p>
  </w:footnote>
  <w:footnote w:id="157">
    <w:p w14:paraId="56ECCD28" w14:textId="52CC9D6C" w:rsidR="009A7F82" w:rsidRPr="007B4F7E" w:rsidRDefault="009A7F82" w:rsidP="00EC5B59">
      <w:pPr>
        <w:pStyle w:val="FootnoteText"/>
        <w:rPr>
          <w:lang w:val="en-US"/>
        </w:rPr>
      </w:pPr>
      <w:r>
        <w:rPr>
          <w:rStyle w:val="FootnoteReference"/>
        </w:rPr>
        <w:footnoteRef/>
      </w:r>
      <w:r>
        <w:t xml:space="preserve"> CESCR </w:t>
      </w:r>
      <w:r w:rsidR="005626C2">
        <w:t>General Comment</w:t>
      </w:r>
      <w:r>
        <w:t xml:space="preserve"> 3, </w:t>
      </w:r>
      <w:r>
        <w:rPr>
          <w:lang w:val="en-US"/>
        </w:rPr>
        <w:t xml:space="preserve">[9]. </w:t>
      </w:r>
    </w:p>
  </w:footnote>
  <w:footnote w:id="158">
    <w:p w14:paraId="55876E71" w14:textId="77777777" w:rsidR="009A7F82" w:rsidRPr="00DE6259" w:rsidRDefault="009A7F82" w:rsidP="00EC5B59">
      <w:pPr>
        <w:pStyle w:val="FootnoteText"/>
        <w:rPr>
          <w:lang w:val="en-US"/>
        </w:rPr>
      </w:pPr>
      <w:r>
        <w:rPr>
          <w:rStyle w:val="FootnoteReference"/>
        </w:rPr>
        <w:footnoteRef/>
      </w:r>
      <w:r>
        <w:t xml:space="preserve"> </w:t>
      </w:r>
      <w:r>
        <w:rPr>
          <w:i/>
          <w:lang w:val="en-US"/>
        </w:rPr>
        <w:t xml:space="preserve">Compromis, </w:t>
      </w:r>
      <w:r>
        <w:rPr>
          <w:lang w:val="en-US"/>
        </w:rPr>
        <w:t>[20] and [33].</w:t>
      </w:r>
    </w:p>
  </w:footnote>
  <w:footnote w:id="159">
    <w:p w14:paraId="47A4C901" w14:textId="77777777" w:rsidR="009A7F82" w:rsidRPr="00334AE4" w:rsidRDefault="009A7F82" w:rsidP="00EC5B59">
      <w:pPr>
        <w:pStyle w:val="FootnoteText"/>
        <w:rPr>
          <w:lang w:val="en-US"/>
        </w:rPr>
      </w:pPr>
      <w:r>
        <w:rPr>
          <w:rStyle w:val="FootnoteReference"/>
        </w:rPr>
        <w:footnoteRef/>
      </w:r>
      <w:r>
        <w:t xml:space="preserve"> </w:t>
      </w:r>
      <w:r>
        <w:rPr>
          <w:i/>
          <w:lang w:val="en-US"/>
        </w:rPr>
        <w:t xml:space="preserve">Compromis </w:t>
      </w:r>
      <w:r>
        <w:rPr>
          <w:lang w:val="en-US"/>
        </w:rPr>
        <w:t>[39].</w:t>
      </w:r>
    </w:p>
  </w:footnote>
  <w:footnote w:id="160">
    <w:p w14:paraId="17C0110B" w14:textId="7BF1F882" w:rsidR="009A7F82" w:rsidRPr="007432C7" w:rsidRDefault="009A7F82" w:rsidP="00EC5B59">
      <w:pPr>
        <w:pStyle w:val="FootnoteText"/>
        <w:rPr>
          <w:lang w:val="en-US"/>
        </w:rPr>
      </w:pPr>
      <w:r>
        <w:rPr>
          <w:rStyle w:val="FootnoteReference"/>
        </w:rPr>
        <w:footnoteRef/>
      </w:r>
      <w:r>
        <w:t xml:space="preserve"> CESCR </w:t>
      </w:r>
      <w:r w:rsidR="005626C2">
        <w:t>General Comment</w:t>
      </w:r>
      <w:r>
        <w:t xml:space="preserve"> 21. [66]; </w:t>
      </w:r>
      <w:r w:rsidRPr="006B3069">
        <w:rPr>
          <w:i/>
        </w:rPr>
        <w:t>Evaluation of the Obligation to Take Steps</w:t>
      </w:r>
      <w:r>
        <w:rPr>
          <w:i/>
        </w:rPr>
        <w:t xml:space="preserve"> to the Maximum of Available Resources</w:t>
      </w:r>
      <w:r>
        <w:t xml:space="preserve">, [2] and [11]; </w:t>
      </w:r>
      <w:r w:rsidRPr="00987272">
        <w:rPr>
          <w:bCs/>
        </w:rPr>
        <w:t>Maastricht Guidelines</w:t>
      </w:r>
      <w:r>
        <w:rPr>
          <w:bCs/>
        </w:rPr>
        <w:t>, [8].</w:t>
      </w:r>
    </w:p>
  </w:footnote>
  <w:footnote w:id="161">
    <w:p w14:paraId="3E5A9921" w14:textId="77777777" w:rsidR="009A7F82" w:rsidRPr="00E724AA" w:rsidRDefault="009A7F82" w:rsidP="00EC5B59">
      <w:pPr>
        <w:pStyle w:val="FootnoteText"/>
        <w:rPr>
          <w:lang w:val="en-US"/>
        </w:rPr>
      </w:pPr>
      <w:r>
        <w:rPr>
          <w:rStyle w:val="FootnoteReference"/>
        </w:rPr>
        <w:footnoteRef/>
      </w:r>
      <w:r>
        <w:t xml:space="preserve"> </w:t>
      </w:r>
      <w:r>
        <w:rPr>
          <w:lang w:val="en-US"/>
        </w:rPr>
        <w:t xml:space="preserve">ICCPR, art 18(3); ICESCR, art 4. </w:t>
      </w:r>
    </w:p>
  </w:footnote>
  <w:footnote w:id="162">
    <w:p w14:paraId="34B1616E" w14:textId="54196083" w:rsidR="009A7F82" w:rsidRPr="003F56BA" w:rsidRDefault="009A7F82" w:rsidP="00EC5B59">
      <w:pPr>
        <w:pStyle w:val="FootnoteText"/>
        <w:rPr>
          <w:lang w:val="en-US"/>
        </w:rPr>
      </w:pPr>
      <w:r>
        <w:rPr>
          <w:rStyle w:val="FootnoteReference"/>
        </w:rPr>
        <w:footnoteRef/>
      </w:r>
      <w:r>
        <w:t xml:space="preserve"> </w:t>
      </w:r>
      <w:r w:rsidRPr="002A78E5">
        <w:t>Nowak (2005),</w:t>
      </w:r>
      <w:r>
        <w:t xml:space="preserve"> 425; De Shutter (2014), 339.</w:t>
      </w:r>
    </w:p>
  </w:footnote>
  <w:footnote w:id="163">
    <w:p w14:paraId="13F375A8" w14:textId="77777777" w:rsidR="009A7F82" w:rsidRPr="005C6F1F" w:rsidRDefault="009A7F82" w:rsidP="00EC5B59">
      <w:pPr>
        <w:pStyle w:val="FootnoteText"/>
        <w:rPr>
          <w:lang w:val="en-US"/>
        </w:rPr>
      </w:pPr>
      <w:r>
        <w:rPr>
          <w:rStyle w:val="FootnoteReference"/>
        </w:rPr>
        <w:footnoteRef/>
      </w:r>
      <w:r>
        <w:t xml:space="preserve"> </w:t>
      </w:r>
      <w:r>
        <w:t xml:space="preserve">Siracusa Principles, [17]; </w:t>
      </w:r>
      <w:r w:rsidRPr="00932650">
        <w:t>Limburg Principles</w:t>
      </w:r>
      <w:r>
        <w:t xml:space="preserve">, [50]; </w:t>
      </w:r>
      <w:r>
        <w:rPr>
          <w:i/>
        </w:rPr>
        <w:t xml:space="preserve">Metropolitan Church of Bessarabia, </w:t>
      </w:r>
      <w:r>
        <w:t>[109].</w:t>
      </w:r>
    </w:p>
  </w:footnote>
  <w:footnote w:id="164">
    <w:p w14:paraId="7DF56673" w14:textId="2B9DFCB5" w:rsidR="009A7F82" w:rsidRPr="00C504E5" w:rsidRDefault="009A7F82" w:rsidP="00EC5B59">
      <w:pPr>
        <w:pStyle w:val="FootnoteText"/>
        <w:rPr>
          <w:lang w:val="en-US"/>
        </w:rPr>
      </w:pPr>
      <w:r>
        <w:rPr>
          <w:rStyle w:val="FootnoteReference"/>
        </w:rPr>
        <w:footnoteRef/>
      </w:r>
      <w:r>
        <w:t xml:space="preserve"> </w:t>
      </w:r>
      <w:r w:rsidR="00503E13">
        <w:rPr>
          <w:i/>
        </w:rPr>
        <w:t>C</w:t>
      </w:r>
      <w:r w:rsidR="00503E13">
        <w:rPr>
          <w:i/>
          <w:lang w:val="en-US"/>
        </w:rPr>
        <w:t>ompromis</w:t>
      </w:r>
      <w:r w:rsidR="00503E13">
        <w:rPr>
          <w:lang w:val="en-US"/>
        </w:rPr>
        <w:t>,</w:t>
      </w:r>
      <w:r w:rsidR="00503E13">
        <w:rPr>
          <w:i/>
          <w:lang w:val="en-US"/>
        </w:rPr>
        <w:t xml:space="preserve"> </w:t>
      </w:r>
      <w:r w:rsidR="00503E13">
        <w:rPr>
          <w:lang w:val="en-US"/>
        </w:rPr>
        <w:t xml:space="preserve">[23], [44]–[46]; </w:t>
      </w:r>
      <w:r w:rsidR="00503E13">
        <w:rPr>
          <w:i/>
          <w:lang w:val="en-US"/>
        </w:rPr>
        <w:t>Clarifications</w:t>
      </w:r>
      <w:r w:rsidR="00503E13">
        <w:rPr>
          <w:lang w:val="en-US"/>
        </w:rPr>
        <w:t xml:space="preserve">, [9]. See also </w:t>
      </w:r>
      <w:r w:rsidR="00503E13">
        <w:rPr>
          <w:i/>
        </w:rPr>
        <w:t xml:space="preserve">Apirana Mahuika, </w:t>
      </w:r>
      <w:r w:rsidR="00503E13">
        <w:t>where the Human Rights Committee held fishing regulations were a valid limitation.</w:t>
      </w:r>
    </w:p>
  </w:footnote>
  <w:footnote w:id="165">
    <w:p w14:paraId="4A68415D" w14:textId="5A30BAFC" w:rsidR="009A7F82" w:rsidRPr="00BC51DA" w:rsidRDefault="009A7F82" w:rsidP="00EC5B59">
      <w:pPr>
        <w:pStyle w:val="FootnoteText"/>
        <w:rPr>
          <w:lang w:val="en-US"/>
        </w:rPr>
      </w:pPr>
      <w:r>
        <w:rPr>
          <w:rStyle w:val="FootnoteReference"/>
        </w:rPr>
        <w:footnoteRef/>
      </w:r>
      <w:r>
        <w:t xml:space="preserve"> </w:t>
      </w:r>
      <w:r>
        <w:t xml:space="preserve">Siracusa Principles, [25]–[26]. </w:t>
      </w:r>
    </w:p>
  </w:footnote>
  <w:footnote w:id="166">
    <w:p w14:paraId="1CA062BB" w14:textId="77777777" w:rsidR="009A7F82" w:rsidRPr="00C04E7C" w:rsidRDefault="009A7F82" w:rsidP="00EC5B59">
      <w:pPr>
        <w:pStyle w:val="FootnoteText"/>
        <w:rPr>
          <w:lang w:val="en-US"/>
        </w:rPr>
      </w:pPr>
      <w:r>
        <w:rPr>
          <w:rStyle w:val="FootnoteReference"/>
        </w:rPr>
        <w:footnoteRef/>
      </w:r>
      <w:r>
        <w:t xml:space="preserve"> ICESCR, art 4.</w:t>
      </w:r>
    </w:p>
  </w:footnote>
  <w:footnote w:id="167">
    <w:p w14:paraId="4FF86085" w14:textId="1750C905" w:rsidR="009A7F82" w:rsidRPr="00202D73" w:rsidRDefault="009A7F82" w:rsidP="00EC5B59">
      <w:pPr>
        <w:pStyle w:val="FootnoteText"/>
        <w:rPr>
          <w:lang w:val="en-US"/>
        </w:rPr>
      </w:pPr>
      <w:r>
        <w:rPr>
          <w:rStyle w:val="FootnoteReference"/>
        </w:rPr>
        <w:footnoteRef/>
      </w:r>
      <w:r>
        <w:t xml:space="preserve"> </w:t>
      </w:r>
      <w:r w:rsidRPr="00B2289A">
        <w:t>Siracusa Principles</w:t>
      </w:r>
      <w:r>
        <w:t xml:space="preserve">, [10]; CESCR </w:t>
      </w:r>
      <w:r w:rsidR="005626C2">
        <w:t>General Comment</w:t>
      </w:r>
      <w:r>
        <w:t xml:space="preserve"> 21, [19]; HRC </w:t>
      </w:r>
      <w:r w:rsidR="005626C2">
        <w:t>General Comment</w:t>
      </w:r>
      <w:r>
        <w:t xml:space="preserve"> 22, [8]; HRC </w:t>
      </w:r>
      <w:r w:rsidR="005626C2">
        <w:t>General Comment</w:t>
      </w:r>
      <w:r>
        <w:t xml:space="preserve"> 31, [8].</w:t>
      </w:r>
    </w:p>
  </w:footnote>
  <w:footnote w:id="168">
    <w:p w14:paraId="069BBE30" w14:textId="77777777" w:rsidR="009A7F82" w:rsidRPr="002E50D2" w:rsidRDefault="009A7F82" w:rsidP="00EC5B59">
      <w:pPr>
        <w:pStyle w:val="FootnoteText"/>
        <w:rPr>
          <w:lang w:val="en-US"/>
        </w:rPr>
      </w:pPr>
      <w:r>
        <w:rPr>
          <w:rStyle w:val="FootnoteReference"/>
        </w:rPr>
        <w:footnoteRef/>
      </w:r>
      <w:r>
        <w:t xml:space="preserve">  See </w:t>
      </w:r>
      <w:r>
        <w:rPr>
          <w:i/>
        </w:rPr>
        <w:t>Prince v South Africa</w:t>
      </w:r>
      <w:r w:rsidRPr="00F73EB2">
        <w:t>,</w:t>
      </w:r>
      <w:r>
        <w:rPr>
          <w:i/>
        </w:rPr>
        <w:t xml:space="preserve"> </w:t>
      </w:r>
      <w:r>
        <w:t>[7.3].</w:t>
      </w:r>
    </w:p>
  </w:footnote>
  <w:footnote w:id="169">
    <w:p w14:paraId="1FDBF22F" w14:textId="77777777" w:rsidR="009A7F82" w:rsidRPr="00F40EA0" w:rsidRDefault="009A7F82" w:rsidP="00EC5B59">
      <w:pPr>
        <w:pStyle w:val="FootnoteText"/>
        <w:rPr>
          <w:lang w:val="en-US"/>
        </w:rPr>
      </w:pPr>
      <w:r>
        <w:rPr>
          <w:rStyle w:val="FootnoteReference"/>
        </w:rPr>
        <w:footnoteRef/>
      </w:r>
      <w:r>
        <w:t xml:space="preserve"> </w:t>
      </w:r>
      <w:r>
        <w:rPr>
          <w:lang w:val="en-US"/>
        </w:rPr>
        <w:t>ICCPR, art 1(1); ICESCR, art 1(1), UNDRIP, art 3.</w:t>
      </w:r>
    </w:p>
  </w:footnote>
  <w:footnote w:id="170">
    <w:p w14:paraId="53E6B822" w14:textId="2CA09AC0" w:rsidR="009A7F82" w:rsidRPr="00F40EA0" w:rsidRDefault="009A7F82" w:rsidP="00EC5B59">
      <w:pPr>
        <w:pStyle w:val="FootnoteText"/>
        <w:rPr>
          <w:lang w:val="en-US"/>
        </w:rPr>
      </w:pPr>
      <w:r>
        <w:rPr>
          <w:rStyle w:val="FootnoteReference"/>
        </w:rPr>
        <w:footnoteRef/>
      </w:r>
      <w:r>
        <w:t xml:space="preserve"> </w:t>
      </w:r>
      <w:r w:rsidRPr="002A78E5">
        <w:t>Nowak (2005),</w:t>
      </w:r>
      <w:r>
        <w:t xml:space="preserve"> 24; CERD General Recommendation 21, [4].</w:t>
      </w:r>
    </w:p>
  </w:footnote>
  <w:footnote w:id="171">
    <w:p w14:paraId="5532DFFE" w14:textId="77777777" w:rsidR="009A7F82" w:rsidRPr="00524575" w:rsidRDefault="009A7F82" w:rsidP="00EC5B59">
      <w:pPr>
        <w:pStyle w:val="FootnoteText"/>
        <w:rPr>
          <w:lang w:val="en-US"/>
        </w:rPr>
      </w:pPr>
      <w:r>
        <w:rPr>
          <w:rStyle w:val="FootnoteReference"/>
        </w:rPr>
        <w:footnoteRef/>
      </w:r>
      <w:r>
        <w:t xml:space="preserve"> They are still capable in participating in Aurokan government’s decisions, </w:t>
      </w:r>
      <w:r>
        <w:rPr>
          <w:i/>
        </w:rPr>
        <w:t xml:space="preserve">Compromis, </w:t>
      </w:r>
      <w:r>
        <w:t>[25].</w:t>
      </w:r>
    </w:p>
  </w:footnote>
  <w:footnote w:id="172">
    <w:p w14:paraId="1BC805D7" w14:textId="01E5074E" w:rsidR="009A7F82" w:rsidRPr="00863B97" w:rsidRDefault="009A7F82" w:rsidP="00EC5B59">
      <w:pPr>
        <w:pStyle w:val="FootnoteText"/>
        <w:rPr>
          <w:color w:val="FF0000"/>
          <w:lang w:val="en-US"/>
        </w:rPr>
      </w:pPr>
      <w:r>
        <w:rPr>
          <w:rStyle w:val="FootnoteReference"/>
        </w:rPr>
        <w:footnoteRef/>
      </w:r>
      <w:r>
        <w:t xml:space="preserve"> </w:t>
      </w:r>
      <w:r>
        <w:rPr>
          <w:i/>
        </w:rPr>
        <w:t xml:space="preserve">Ogiek Decision, </w:t>
      </w:r>
      <w:r>
        <w:t>[105]; UNDRIP Manual, 6.</w:t>
      </w:r>
    </w:p>
  </w:footnote>
  <w:footnote w:id="173">
    <w:p w14:paraId="6394D887" w14:textId="651B5DAC" w:rsidR="009A7F82" w:rsidRPr="004378E5" w:rsidRDefault="009A7F82" w:rsidP="00EC5B59">
      <w:pPr>
        <w:pStyle w:val="FootnoteText"/>
        <w:rPr>
          <w:lang w:val="en-US"/>
        </w:rPr>
      </w:pPr>
      <w:r>
        <w:rPr>
          <w:rStyle w:val="FootnoteReference"/>
        </w:rPr>
        <w:footnoteRef/>
      </w:r>
      <w:r>
        <w:t xml:space="preserve"> </w:t>
      </w:r>
      <w:r>
        <w:rPr>
          <w:i/>
          <w:iCs/>
        </w:rPr>
        <w:t>Cobo Report</w:t>
      </w:r>
      <w:r w:rsidRPr="006F27D5">
        <w:rPr>
          <w:iCs/>
        </w:rPr>
        <w:t>,</w:t>
      </w:r>
      <w:r>
        <w:rPr>
          <w:i/>
          <w:iCs/>
        </w:rPr>
        <w:t xml:space="preserve"> </w:t>
      </w:r>
      <w:r>
        <w:rPr>
          <w:iCs/>
        </w:rPr>
        <w:t>[</w:t>
      </w:r>
      <w:r>
        <w:t>37]</w:t>
      </w:r>
      <w:r>
        <w:rPr>
          <w:iCs/>
        </w:rPr>
        <w:t>; Anaya (2004), 3.</w:t>
      </w:r>
    </w:p>
  </w:footnote>
  <w:footnote w:id="174">
    <w:p w14:paraId="6043A190" w14:textId="77777777" w:rsidR="009A7F82" w:rsidRPr="00CF783E" w:rsidRDefault="009A7F82" w:rsidP="00EC5B59">
      <w:pPr>
        <w:pStyle w:val="FootnoteText"/>
        <w:rPr>
          <w:lang w:val="en-US"/>
        </w:rPr>
      </w:pPr>
      <w:r>
        <w:rPr>
          <w:rStyle w:val="FootnoteReference"/>
        </w:rPr>
        <w:footnoteRef/>
      </w:r>
      <w:r>
        <w:t xml:space="preserve"> </w:t>
      </w:r>
      <w:r w:rsidRPr="004D5574">
        <w:rPr>
          <w:i/>
        </w:rPr>
        <w:t>Daes Report</w:t>
      </w:r>
      <w:r w:rsidRPr="00A52623">
        <w:t>,</w:t>
      </w:r>
      <w:r>
        <w:t xml:space="preserve"> [69.d]; </w:t>
      </w:r>
      <w:r>
        <w:rPr>
          <w:i/>
        </w:rPr>
        <w:t>Advisory Opinion of the African Commission: UNDRIP</w:t>
      </w:r>
      <w:r w:rsidRPr="00A52623">
        <w:t>,</w:t>
      </w:r>
      <w:r>
        <w:rPr>
          <w:i/>
        </w:rPr>
        <w:t xml:space="preserve"> </w:t>
      </w:r>
      <w:r>
        <w:t xml:space="preserve">[12.c]; </w:t>
      </w:r>
      <w:r>
        <w:rPr>
          <w:i/>
        </w:rPr>
        <w:t>Ogiek Decision</w:t>
      </w:r>
      <w:r w:rsidRPr="00A52623">
        <w:t>,</w:t>
      </w:r>
      <w:r>
        <w:rPr>
          <w:i/>
        </w:rPr>
        <w:t xml:space="preserve"> </w:t>
      </w:r>
      <w:r>
        <w:t>[107].</w:t>
      </w:r>
    </w:p>
  </w:footnote>
  <w:footnote w:id="175">
    <w:p w14:paraId="1D99E815" w14:textId="77777777" w:rsidR="009A7F82" w:rsidRPr="004473BB" w:rsidRDefault="009A7F82" w:rsidP="00EC5B59">
      <w:pPr>
        <w:pStyle w:val="FootnoteText"/>
        <w:rPr>
          <w:lang w:val="en-US"/>
        </w:rPr>
      </w:pPr>
      <w:r>
        <w:rPr>
          <w:rStyle w:val="FootnoteReference"/>
        </w:rPr>
        <w:footnoteRef/>
      </w:r>
      <w:r>
        <w:t xml:space="preserve"> </w:t>
      </w:r>
      <w:r>
        <w:rPr>
          <w:i/>
          <w:lang w:val="en-US"/>
        </w:rPr>
        <w:t>Compromis</w:t>
      </w:r>
      <w:r w:rsidRPr="00E023FD">
        <w:rPr>
          <w:lang w:val="en-US"/>
        </w:rPr>
        <w:t>,</w:t>
      </w:r>
      <w:r>
        <w:rPr>
          <w:i/>
          <w:lang w:val="en-US"/>
        </w:rPr>
        <w:t xml:space="preserve"> </w:t>
      </w:r>
      <w:r>
        <w:rPr>
          <w:lang w:val="en-US"/>
        </w:rPr>
        <w:t>[7].</w:t>
      </w:r>
    </w:p>
  </w:footnote>
  <w:footnote w:id="176">
    <w:p w14:paraId="34692E25" w14:textId="77777777" w:rsidR="009A7F82" w:rsidRPr="00F77FC3" w:rsidRDefault="009A7F82" w:rsidP="00EC5B59">
      <w:pPr>
        <w:pStyle w:val="FootnoteText"/>
        <w:rPr>
          <w:lang w:val="en-US"/>
        </w:rPr>
      </w:pPr>
      <w:r>
        <w:rPr>
          <w:rStyle w:val="FootnoteReference"/>
        </w:rPr>
        <w:footnoteRef/>
      </w:r>
      <w:r>
        <w:t xml:space="preserve"> </w:t>
      </w:r>
      <w:r>
        <w:rPr>
          <w:i/>
          <w:lang w:val="en-US"/>
        </w:rPr>
        <w:t>Compromis</w:t>
      </w:r>
      <w:r w:rsidRPr="00E023FD">
        <w:rPr>
          <w:lang w:val="en-US"/>
        </w:rPr>
        <w:t>,</w:t>
      </w:r>
      <w:r>
        <w:rPr>
          <w:i/>
          <w:lang w:val="en-US"/>
        </w:rPr>
        <w:t xml:space="preserve"> </w:t>
      </w:r>
      <w:r>
        <w:rPr>
          <w:lang w:val="en-US"/>
        </w:rPr>
        <w:t>[6].</w:t>
      </w:r>
    </w:p>
  </w:footnote>
  <w:footnote w:id="177">
    <w:p w14:paraId="421C03FA" w14:textId="77777777" w:rsidR="009A7F82" w:rsidRPr="00F77FC3" w:rsidRDefault="009A7F82" w:rsidP="00EC5B59">
      <w:pPr>
        <w:pStyle w:val="FootnoteText"/>
        <w:rPr>
          <w:lang w:val="en-US"/>
        </w:rPr>
      </w:pPr>
      <w:r w:rsidRPr="00E6045B">
        <w:rPr>
          <w:rStyle w:val="FootnoteReference"/>
        </w:rPr>
        <w:footnoteRef/>
      </w:r>
      <w:r w:rsidRPr="00E6045B">
        <w:t xml:space="preserve"> </w:t>
      </w:r>
      <w:r w:rsidRPr="00E6045B">
        <w:rPr>
          <w:i/>
          <w:lang w:val="en-US"/>
        </w:rPr>
        <w:t>Compromis</w:t>
      </w:r>
      <w:r w:rsidRPr="00E023FD">
        <w:rPr>
          <w:lang w:val="en-US"/>
        </w:rPr>
        <w:t>,</w:t>
      </w:r>
      <w:r w:rsidRPr="00E6045B">
        <w:rPr>
          <w:i/>
          <w:lang w:val="en-US"/>
        </w:rPr>
        <w:t xml:space="preserve"> </w:t>
      </w:r>
      <w:r w:rsidRPr="00E6045B">
        <w:rPr>
          <w:lang w:val="en-US"/>
        </w:rPr>
        <w:t>[25].</w:t>
      </w:r>
    </w:p>
  </w:footnote>
  <w:footnote w:id="178">
    <w:p w14:paraId="47D1730C" w14:textId="086C7A17" w:rsidR="009A7F82" w:rsidRPr="00E7195E" w:rsidRDefault="009A7F82" w:rsidP="00EC5B59">
      <w:pPr>
        <w:pStyle w:val="FootnoteText"/>
        <w:rPr>
          <w:lang w:val="en-US"/>
        </w:rPr>
      </w:pPr>
      <w:r>
        <w:rPr>
          <w:rStyle w:val="FootnoteReference"/>
        </w:rPr>
        <w:footnoteRef/>
      </w:r>
      <w:r>
        <w:t xml:space="preserve"> Article 23(1) only requires recognition of the importance of hunting, with no substantive obligation.</w:t>
      </w:r>
    </w:p>
  </w:footnote>
  <w:footnote w:id="179">
    <w:p w14:paraId="49377C69" w14:textId="77777777" w:rsidR="009A7F82" w:rsidRPr="00F329B2" w:rsidRDefault="009A7F82" w:rsidP="00EC5B59">
      <w:pPr>
        <w:pStyle w:val="FootnoteText"/>
        <w:rPr>
          <w:lang w:val="en-US"/>
        </w:rPr>
      </w:pPr>
      <w:r>
        <w:rPr>
          <w:rStyle w:val="FootnoteReference"/>
        </w:rPr>
        <w:footnoteRef/>
      </w:r>
      <w:r>
        <w:t xml:space="preserve"> Anaya (2005), </w:t>
      </w:r>
      <w:r>
        <w:rPr>
          <w:lang w:val="en-US"/>
        </w:rPr>
        <w:t xml:space="preserve">9; </w:t>
      </w:r>
      <w:r w:rsidRPr="00701353">
        <w:rPr>
          <w:i/>
        </w:rPr>
        <w:t>Revision of ILO Convention No. 107</w:t>
      </w:r>
      <w:r>
        <w:t>,</w:t>
      </w:r>
      <w:r>
        <w:rPr>
          <w:lang w:val="en-US"/>
        </w:rPr>
        <w:t xml:space="preserve"> 71.</w:t>
      </w:r>
    </w:p>
  </w:footnote>
  <w:footnote w:id="180">
    <w:p w14:paraId="70AC94F2" w14:textId="52E53B32" w:rsidR="009A7F82" w:rsidRPr="008E7F65" w:rsidRDefault="009A7F82" w:rsidP="00EC5B59">
      <w:pPr>
        <w:pStyle w:val="FootnoteText"/>
        <w:rPr>
          <w:lang w:val="en-US"/>
        </w:rPr>
      </w:pPr>
      <w:r>
        <w:rPr>
          <w:rStyle w:val="FootnoteReference"/>
        </w:rPr>
        <w:footnoteRef/>
      </w:r>
      <w:r>
        <w:rPr>
          <w:lang w:val="en-US"/>
        </w:rPr>
        <w:t xml:space="preserve"> </w:t>
      </w:r>
      <w:r>
        <w:rPr>
          <w:i/>
        </w:rPr>
        <w:t>ILO Convention No. 169 Guide</w:t>
      </w:r>
      <w:r>
        <w:rPr>
          <w:lang w:val="en-US"/>
        </w:rPr>
        <w:t xml:space="preserve">, 94. For example, situations of deforestation were held in breach of the ILO Convention, see </w:t>
      </w:r>
      <w:r>
        <w:rPr>
          <w:i/>
          <w:lang w:val="en-US"/>
        </w:rPr>
        <w:t xml:space="preserve">CEACR Observance, CEACR Observations, Paraguay </w:t>
      </w:r>
      <w:r w:rsidRPr="0043737B">
        <w:rPr>
          <w:i/>
          <w:lang w:val="en-US"/>
        </w:rPr>
        <w:t>(2018)</w:t>
      </w:r>
      <w:r w:rsidRPr="00343D6C">
        <w:rPr>
          <w:lang w:val="en-US"/>
        </w:rPr>
        <w:t>.</w:t>
      </w:r>
      <w:r>
        <w:rPr>
          <w:i/>
          <w:lang w:val="en-US"/>
        </w:rPr>
        <w:t xml:space="preserve"> </w:t>
      </w:r>
    </w:p>
  </w:footnote>
  <w:footnote w:id="181">
    <w:p w14:paraId="27DAE8B9" w14:textId="77777777" w:rsidR="009A7F82" w:rsidRPr="00235766" w:rsidRDefault="009A7F82" w:rsidP="00EC5B59">
      <w:pPr>
        <w:pStyle w:val="FootnoteText"/>
        <w:rPr>
          <w:lang w:val="en-US"/>
        </w:rPr>
      </w:pPr>
      <w:r>
        <w:rPr>
          <w:rStyle w:val="FootnoteReference"/>
        </w:rPr>
        <w:footnoteRef/>
      </w:r>
      <w:r>
        <w:t xml:space="preserve"> </w:t>
      </w:r>
      <w:r>
        <w:t xml:space="preserve">Wiessner (2008); </w:t>
      </w:r>
      <w:r>
        <w:rPr>
          <w:i/>
        </w:rPr>
        <w:t xml:space="preserve">Awas Tingni </w:t>
      </w:r>
      <w:r w:rsidRPr="00343D6C">
        <w:rPr>
          <w:i/>
        </w:rPr>
        <w:t xml:space="preserve">v Nicaragua, </w:t>
      </w:r>
      <w:r w:rsidRPr="00343D6C">
        <w:t>[71];</w:t>
      </w:r>
      <w:r>
        <w:t xml:space="preserve"> </w:t>
      </w:r>
      <w:r w:rsidRPr="00343D6C">
        <w:rPr>
          <w:i/>
        </w:rPr>
        <w:t>Aurelio Cal v Attorney-General of Belize</w:t>
      </w:r>
      <w:r>
        <w:t xml:space="preserve">. </w:t>
      </w:r>
    </w:p>
  </w:footnote>
  <w:footnote w:id="182">
    <w:p w14:paraId="141ECEC3" w14:textId="4737970B" w:rsidR="009A7F82" w:rsidRPr="00CF25DA" w:rsidRDefault="009A7F82" w:rsidP="00EC5B59">
      <w:pPr>
        <w:pStyle w:val="FootnoteText"/>
        <w:rPr>
          <w:lang w:val="en-US"/>
        </w:rPr>
      </w:pPr>
      <w:r>
        <w:rPr>
          <w:rStyle w:val="FootnoteReference"/>
        </w:rPr>
        <w:footnoteRef/>
      </w:r>
      <w:r>
        <w:t xml:space="preserve"> </w:t>
      </w:r>
      <w:r>
        <w:rPr>
          <w:i/>
          <w:lang w:val="en-US"/>
        </w:rPr>
        <w:t xml:space="preserve">Compromis, </w:t>
      </w:r>
      <w:r>
        <w:rPr>
          <w:lang w:val="en-US"/>
        </w:rPr>
        <w:t>[22], [28], [30].</w:t>
      </w:r>
    </w:p>
  </w:footnote>
  <w:footnote w:id="183">
    <w:p w14:paraId="7CEEC23D" w14:textId="25EC943F" w:rsidR="009A7F82" w:rsidRPr="00C71A1A" w:rsidRDefault="009A7F82" w:rsidP="00EC5B59">
      <w:pPr>
        <w:pStyle w:val="FootnoteText"/>
        <w:rPr>
          <w:lang w:val="en-US"/>
        </w:rPr>
      </w:pPr>
      <w:r>
        <w:rPr>
          <w:rStyle w:val="FootnoteReference"/>
        </w:rPr>
        <w:footnoteRef/>
      </w:r>
      <w:r>
        <w:t xml:space="preserve"> Having undisputedly issued hunting licences since 1950</w:t>
      </w:r>
      <w:r w:rsidR="00CC62F4">
        <w:t>, see</w:t>
      </w:r>
      <w:r>
        <w:t xml:space="preserve"> </w:t>
      </w:r>
      <w:r>
        <w:rPr>
          <w:i/>
        </w:rPr>
        <w:t>Compromis</w:t>
      </w:r>
      <w:r w:rsidRPr="00D238ED">
        <w:t>,</w:t>
      </w:r>
      <w:r>
        <w:rPr>
          <w:i/>
        </w:rPr>
        <w:t xml:space="preserve"> </w:t>
      </w:r>
      <w:r>
        <w:t>[23].</w:t>
      </w:r>
    </w:p>
  </w:footnote>
  <w:footnote w:id="184">
    <w:p w14:paraId="6E9E8F39" w14:textId="4A5A3030" w:rsidR="009A7F82" w:rsidRPr="00751124" w:rsidRDefault="009A7F82" w:rsidP="00EC5B59">
      <w:pPr>
        <w:pStyle w:val="FootnoteText"/>
        <w:rPr>
          <w:color w:val="FF0000"/>
          <w:lang w:val="en-US"/>
        </w:rPr>
      </w:pPr>
      <w:r>
        <w:rPr>
          <w:rStyle w:val="FootnoteReference"/>
        </w:rPr>
        <w:footnoteRef/>
      </w:r>
      <w:r>
        <w:t xml:space="preserve"> </w:t>
      </w:r>
      <w:r w:rsidR="00390870">
        <w:t xml:space="preserve">ILO Convention No. 169, </w:t>
      </w:r>
      <w:r w:rsidR="00390870">
        <w:rPr>
          <w:lang w:val="en-US"/>
        </w:rPr>
        <w:t>art</w:t>
      </w:r>
      <w:r>
        <w:rPr>
          <w:lang w:val="en-US"/>
        </w:rPr>
        <w:t xml:space="preserve"> 15(2). Consistent with self-determination which requires indigenous participation in decisions affecting them, </w:t>
      </w:r>
      <w:r w:rsidRPr="00D130AE">
        <w:rPr>
          <w:i/>
          <w:lang w:val="en-US"/>
        </w:rPr>
        <w:t>Special Rapporteur Report (2017)</w:t>
      </w:r>
      <w:r w:rsidRPr="00A4697B">
        <w:rPr>
          <w:lang w:val="en-US"/>
        </w:rPr>
        <w:t>,</w:t>
      </w:r>
      <w:r>
        <w:rPr>
          <w:lang w:val="en-US"/>
        </w:rPr>
        <w:t xml:space="preserve"> [40].</w:t>
      </w:r>
    </w:p>
  </w:footnote>
  <w:footnote w:id="185">
    <w:p w14:paraId="53E981A8" w14:textId="5869762D" w:rsidR="009A7F82" w:rsidRPr="00EA22A4" w:rsidRDefault="009A7F82" w:rsidP="00EC5B59">
      <w:pPr>
        <w:pStyle w:val="FootnoteText"/>
      </w:pPr>
      <w:r>
        <w:rPr>
          <w:rStyle w:val="FootnoteReference"/>
        </w:rPr>
        <w:footnoteRef/>
      </w:r>
      <w:r>
        <w:t xml:space="preserve"> </w:t>
      </w:r>
      <w:r w:rsidR="00390870">
        <w:t xml:space="preserve">ILO Convention No. 169, </w:t>
      </w:r>
      <w:r w:rsidR="00390870">
        <w:rPr>
          <w:lang w:val="en-US"/>
        </w:rPr>
        <w:t>art</w:t>
      </w:r>
      <w:r>
        <w:rPr>
          <w:lang w:val="en-US"/>
        </w:rPr>
        <w:t xml:space="preserve"> 6(2)</w:t>
      </w:r>
      <w:r>
        <w:rPr>
          <w:i/>
        </w:rPr>
        <w:t>.</w:t>
      </w:r>
    </w:p>
  </w:footnote>
  <w:footnote w:id="186">
    <w:p w14:paraId="401FDEED" w14:textId="2F885C79" w:rsidR="009A7F82" w:rsidRPr="00EA22A4" w:rsidRDefault="009A7F82" w:rsidP="00EC5B59">
      <w:pPr>
        <w:pStyle w:val="FootnoteText"/>
        <w:rPr>
          <w:lang w:val="en-US"/>
        </w:rPr>
      </w:pPr>
      <w:r>
        <w:rPr>
          <w:rStyle w:val="FootnoteReference"/>
        </w:rPr>
        <w:footnoteRef/>
      </w:r>
      <w:r>
        <w:t xml:space="preserve"> </w:t>
      </w:r>
      <w:r w:rsidR="00390870">
        <w:t xml:space="preserve">ILO Convention No. 169, </w:t>
      </w:r>
      <w:r w:rsidR="00390870">
        <w:rPr>
          <w:lang w:val="en-US"/>
        </w:rPr>
        <w:t>art</w:t>
      </w:r>
      <w:r>
        <w:rPr>
          <w:lang w:val="en-US"/>
        </w:rPr>
        <w:t xml:space="preserve"> 34</w:t>
      </w:r>
      <w:r>
        <w:rPr>
          <w:i/>
          <w:lang w:val="en-US"/>
        </w:rPr>
        <w:t xml:space="preserve">. </w:t>
      </w:r>
    </w:p>
  </w:footnote>
  <w:footnote w:id="187">
    <w:p w14:paraId="21B7FC39" w14:textId="77777777" w:rsidR="009A7F82" w:rsidRPr="00CC207C" w:rsidRDefault="009A7F82" w:rsidP="00EC5B59">
      <w:pPr>
        <w:pStyle w:val="FootnoteText"/>
        <w:rPr>
          <w:lang w:val="en-US"/>
        </w:rPr>
      </w:pPr>
      <w:r>
        <w:rPr>
          <w:rStyle w:val="FootnoteReference"/>
        </w:rPr>
        <w:footnoteRef/>
      </w:r>
      <w:r>
        <w:t xml:space="preserve"> </w:t>
      </w:r>
      <w:r>
        <w:rPr>
          <w:i/>
          <w:lang w:val="en-US"/>
        </w:rPr>
        <w:t>Clarifications</w:t>
      </w:r>
      <w:r w:rsidRPr="0032347D">
        <w:rPr>
          <w:lang w:val="en-US"/>
        </w:rPr>
        <w:t xml:space="preserve">, </w:t>
      </w:r>
      <w:r>
        <w:rPr>
          <w:lang w:val="en-US"/>
        </w:rPr>
        <w:t>[1].</w:t>
      </w:r>
    </w:p>
  </w:footnote>
  <w:footnote w:id="188">
    <w:p w14:paraId="2A53CD2E" w14:textId="77777777" w:rsidR="009A7F82" w:rsidRPr="00925486" w:rsidRDefault="009A7F82" w:rsidP="00EC5B59">
      <w:pPr>
        <w:pStyle w:val="FootnoteText"/>
        <w:rPr>
          <w:lang w:val="en-US"/>
        </w:rPr>
      </w:pPr>
      <w:r>
        <w:rPr>
          <w:rStyle w:val="FootnoteReference"/>
        </w:rPr>
        <w:footnoteRef/>
      </w:r>
      <w:r>
        <w:t xml:space="preserve"> </w:t>
      </w:r>
      <w:r>
        <w:rPr>
          <w:i/>
          <w:lang w:val="en-US"/>
        </w:rPr>
        <w:t>Compromis</w:t>
      </w:r>
      <w:r w:rsidRPr="0032347D">
        <w:rPr>
          <w:lang w:val="en-US"/>
        </w:rPr>
        <w:t>,</w:t>
      </w:r>
      <w:r>
        <w:rPr>
          <w:i/>
          <w:lang w:val="en-US"/>
        </w:rPr>
        <w:t xml:space="preserve"> </w:t>
      </w:r>
      <w:r>
        <w:rPr>
          <w:lang w:val="en-US"/>
        </w:rPr>
        <w:t>[25].</w:t>
      </w:r>
    </w:p>
  </w:footnote>
  <w:footnote w:id="189">
    <w:p w14:paraId="6BF33992" w14:textId="03EC3981" w:rsidR="009A7F82" w:rsidRPr="00925486" w:rsidRDefault="009A7F82" w:rsidP="00EC5B59">
      <w:pPr>
        <w:pStyle w:val="FootnoteText"/>
        <w:rPr>
          <w:lang w:val="en-US"/>
        </w:rPr>
      </w:pPr>
      <w:r>
        <w:rPr>
          <w:rStyle w:val="FootnoteReference"/>
        </w:rPr>
        <w:footnoteRef/>
      </w:r>
      <w:r>
        <w:t xml:space="preserve"> </w:t>
      </w:r>
      <w:r>
        <w:rPr>
          <w:i/>
          <w:lang w:val="en-US"/>
        </w:rPr>
        <w:t>Compromis</w:t>
      </w:r>
      <w:r w:rsidRPr="0032347D">
        <w:rPr>
          <w:lang w:val="en-US"/>
        </w:rPr>
        <w:t>,</w:t>
      </w:r>
      <w:r>
        <w:rPr>
          <w:i/>
          <w:lang w:val="en-US"/>
        </w:rPr>
        <w:t xml:space="preserve"> </w:t>
      </w:r>
      <w:r>
        <w:rPr>
          <w:lang w:val="en-US"/>
        </w:rPr>
        <w:t>[17], [37].</w:t>
      </w:r>
    </w:p>
  </w:footnote>
  <w:footnote w:id="190">
    <w:p w14:paraId="6CF48A66" w14:textId="5DEA14F5" w:rsidR="009A7F82" w:rsidRPr="00925486" w:rsidRDefault="009A7F82" w:rsidP="00EC5B59">
      <w:pPr>
        <w:pStyle w:val="FootnoteText"/>
        <w:rPr>
          <w:lang w:val="en-US"/>
        </w:rPr>
      </w:pPr>
      <w:r w:rsidRPr="00D130AE">
        <w:rPr>
          <w:rStyle w:val="FootnoteReference"/>
        </w:rPr>
        <w:footnoteRef/>
      </w:r>
      <w:r w:rsidRPr="00D130AE">
        <w:t xml:space="preserve"> </w:t>
      </w:r>
      <w:r w:rsidRPr="00D130AE">
        <w:rPr>
          <w:i/>
          <w:lang w:val="en-US"/>
        </w:rPr>
        <w:t>Compromis</w:t>
      </w:r>
      <w:r w:rsidRPr="0032347D">
        <w:rPr>
          <w:lang w:val="en-US"/>
        </w:rPr>
        <w:t>,</w:t>
      </w:r>
      <w:r w:rsidRPr="00D130AE">
        <w:rPr>
          <w:i/>
          <w:lang w:val="en-US"/>
        </w:rPr>
        <w:t xml:space="preserve"> </w:t>
      </w:r>
      <w:r w:rsidRPr="00D130AE">
        <w:rPr>
          <w:lang w:val="en-US"/>
        </w:rPr>
        <w:t>[30]</w:t>
      </w:r>
      <w:r>
        <w:rPr>
          <w:lang w:val="en-US"/>
        </w:rPr>
        <w:t>–</w:t>
      </w:r>
      <w:r w:rsidRPr="00D130AE">
        <w:rPr>
          <w:lang w:val="en-US"/>
        </w:rPr>
        <w:t>[31].</w:t>
      </w:r>
    </w:p>
  </w:footnote>
  <w:footnote w:id="191">
    <w:p w14:paraId="7C6E6EB3" w14:textId="48CD2738" w:rsidR="009A7F82" w:rsidRPr="00AA312F" w:rsidRDefault="009A7F82" w:rsidP="00EC5B59">
      <w:pPr>
        <w:pStyle w:val="FootnoteText"/>
        <w:rPr>
          <w:lang w:val="en-US"/>
        </w:rPr>
      </w:pPr>
      <w:r>
        <w:rPr>
          <w:rStyle w:val="FootnoteReference"/>
        </w:rPr>
        <w:footnoteRef/>
      </w:r>
      <w:r>
        <w:t xml:space="preserve"> </w:t>
      </w:r>
      <w:r>
        <w:rPr>
          <w:i/>
        </w:rPr>
        <w:t>Compromis</w:t>
      </w:r>
      <w:r w:rsidRPr="0032347D">
        <w:t>,</w:t>
      </w:r>
      <w:r>
        <w:rPr>
          <w:i/>
        </w:rPr>
        <w:t xml:space="preserve"> </w:t>
      </w:r>
      <w:r>
        <w:t>[26], [31].</w:t>
      </w:r>
    </w:p>
  </w:footnote>
  <w:footnote w:id="192">
    <w:p w14:paraId="3399CEC7" w14:textId="6FB4F4B0" w:rsidR="009A7F82" w:rsidRPr="001A622F" w:rsidRDefault="009A7F82" w:rsidP="00EC5B59">
      <w:pPr>
        <w:pStyle w:val="FootnoteText"/>
        <w:rPr>
          <w:lang w:val="en-US"/>
        </w:rPr>
      </w:pPr>
      <w:r>
        <w:rPr>
          <w:rStyle w:val="FootnoteReference"/>
        </w:rPr>
        <w:footnoteRef/>
      </w:r>
      <w:r>
        <w:t xml:space="preserve"> </w:t>
      </w:r>
      <w:r>
        <w:rPr>
          <w:lang w:val="en-US"/>
        </w:rPr>
        <w:t>Lack of good faith exists in situations when a State impacts the ability of the indigenous population to meaningfully participate. See</w:t>
      </w:r>
      <w:r>
        <w:t xml:space="preserve"> </w:t>
      </w:r>
      <w:r w:rsidRPr="001A622F">
        <w:rPr>
          <w:i/>
        </w:rPr>
        <w:t>Report of the Special Rapporteur (2009),</w:t>
      </w:r>
      <w:r>
        <w:t xml:space="preserve"> [50]</w:t>
      </w:r>
      <w:r>
        <w:t>–[51].</w:t>
      </w:r>
    </w:p>
  </w:footnote>
  <w:footnote w:id="193">
    <w:p w14:paraId="2E9E649D" w14:textId="77777777" w:rsidR="009A7F82" w:rsidRPr="00AA312F" w:rsidRDefault="009A7F82" w:rsidP="00EC5B59">
      <w:pPr>
        <w:pStyle w:val="FootnoteText"/>
        <w:rPr>
          <w:color w:val="FF0000"/>
          <w:lang w:val="en-US"/>
        </w:rPr>
      </w:pPr>
      <w:r>
        <w:rPr>
          <w:rStyle w:val="FootnoteReference"/>
        </w:rPr>
        <w:footnoteRef/>
      </w:r>
      <w:r>
        <w:t xml:space="preserve"> Report of the </w:t>
      </w:r>
      <w:r w:rsidRPr="001A622F">
        <w:rPr>
          <w:i/>
        </w:rPr>
        <w:t>Special Rapporteur (2009)</w:t>
      </w:r>
      <w:r w:rsidRPr="00A4697B">
        <w:t>,</w:t>
      </w:r>
      <w:r>
        <w:t xml:space="preserve"> [49]. </w:t>
      </w:r>
    </w:p>
  </w:footnote>
  <w:footnote w:id="194">
    <w:p w14:paraId="0D8696FB" w14:textId="77777777" w:rsidR="009A7F82" w:rsidRPr="00A860FD" w:rsidRDefault="009A7F82" w:rsidP="00EC5B59">
      <w:pPr>
        <w:pStyle w:val="FootnoteText"/>
        <w:rPr>
          <w:color w:val="FF0000"/>
          <w:lang w:val="en-US"/>
        </w:rPr>
      </w:pPr>
      <w:r>
        <w:rPr>
          <w:rStyle w:val="FootnoteReference"/>
        </w:rPr>
        <w:footnoteRef/>
      </w:r>
      <w:r>
        <w:t xml:space="preserve"> </w:t>
      </w:r>
      <w:r>
        <w:rPr>
          <w:i/>
          <w:lang w:val="en-US"/>
        </w:rPr>
        <w:t xml:space="preserve">Compromis, </w:t>
      </w:r>
      <w:r>
        <w:rPr>
          <w:lang w:val="en-US"/>
        </w:rPr>
        <w:t>[26].</w:t>
      </w:r>
    </w:p>
  </w:footnote>
  <w:footnote w:id="195">
    <w:p w14:paraId="0F0EA733" w14:textId="77777777" w:rsidR="009A7F82" w:rsidRPr="007129D6" w:rsidRDefault="009A7F82" w:rsidP="00EC5B59">
      <w:pPr>
        <w:pStyle w:val="FootnoteText"/>
        <w:rPr>
          <w:lang w:val="en-US"/>
        </w:rPr>
      </w:pPr>
      <w:r>
        <w:rPr>
          <w:rStyle w:val="FootnoteReference"/>
        </w:rPr>
        <w:footnoteRef/>
      </w:r>
      <w:r>
        <w:t xml:space="preserve"> </w:t>
      </w:r>
      <w:r w:rsidRPr="000B376D">
        <w:rPr>
          <w:bCs/>
        </w:rPr>
        <w:t>VCLT</w:t>
      </w:r>
      <w:r>
        <w:rPr>
          <w:bCs/>
        </w:rPr>
        <w:t>,</w:t>
      </w:r>
      <w:r>
        <w:rPr>
          <w:bCs/>
          <w:i/>
        </w:rPr>
        <w:t xml:space="preserve"> </w:t>
      </w:r>
      <w:r>
        <w:rPr>
          <w:bCs/>
        </w:rPr>
        <w:t>art 31(1).</w:t>
      </w:r>
    </w:p>
  </w:footnote>
  <w:footnote w:id="196">
    <w:p w14:paraId="4030F751" w14:textId="3B82CA1E" w:rsidR="009A7F82" w:rsidRPr="00AC075C" w:rsidRDefault="009A7F82" w:rsidP="00EC5B59">
      <w:pPr>
        <w:pStyle w:val="FootnoteText"/>
      </w:pPr>
      <w:r>
        <w:rPr>
          <w:rStyle w:val="FootnoteReference"/>
        </w:rPr>
        <w:footnoteRef/>
      </w:r>
      <w:r>
        <w:t xml:space="preserve"> This interpretation is widely supported by the most highly qualified publicists, see </w:t>
      </w:r>
      <w:r>
        <w:t xml:space="preserve">Birnie, Boyle and Redgwell (2009), 627–628; </w:t>
      </w:r>
      <w:r>
        <w:rPr>
          <w:bCs/>
        </w:rPr>
        <w:t xml:space="preserve">Oguamanam (2006), 81; </w:t>
      </w:r>
      <w:r>
        <w:rPr>
          <w:bCs/>
          <w:iCs/>
        </w:rPr>
        <w:t xml:space="preserve">Bowman and Redgwell (1996), 266; </w:t>
      </w:r>
      <w:r>
        <w:t>von Lewinski (2008), 133</w:t>
      </w:r>
      <w:r w:rsidR="006C1C16">
        <w:t>;</w:t>
      </w:r>
      <w:r>
        <w:t xml:space="preserve"> Francioni (2007), 206; Rourke (2018), 711–712. </w:t>
      </w:r>
    </w:p>
  </w:footnote>
  <w:footnote w:id="197">
    <w:p w14:paraId="318CA336" w14:textId="251F18FD" w:rsidR="009A7F82" w:rsidRPr="006A173B" w:rsidRDefault="009A7F82" w:rsidP="00EC5B59">
      <w:pPr>
        <w:pStyle w:val="FootnoteText"/>
        <w:rPr>
          <w:lang w:val="en-US"/>
        </w:rPr>
      </w:pPr>
      <w:r>
        <w:rPr>
          <w:rStyle w:val="FootnoteReference"/>
        </w:rPr>
        <w:footnoteRef/>
      </w:r>
      <w:r>
        <w:t xml:space="preserve"> </w:t>
      </w:r>
      <w:r>
        <w:rPr>
          <w:lang w:val="en-US"/>
        </w:rPr>
        <w:t>Article 15(7)</w:t>
      </w:r>
      <w:r w:rsidR="003528EB">
        <w:rPr>
          <w:lang w:val="en-US"/>
        </w:rPr>
        <w:t xml:space="preserve"> of the CBD</w:t>
      </w:r>
      <w:r>
        <w:rPr>
          <w:lang w:val="en-US"/>
        </w:rPr>
        <w:t xml:space="preserve"> only deals with benefit sharing for the use of the genetic resource.</w:t>
      </w:r>
    </w:p>
  </w:footnote>
  <w:footnote w:id="198">
    <w:p w14:paraId="7B5E1EB6" w14:textId="77777777" w:rsidR="009A7F82" w:rsidRPr="00FC12A6" w:rsidRDefault="009A7F82" w:rsidP="00EC5B59">
      <w:pPr>
        <w:pStyle w:val="FootnoteText"/>
        <w:rPr>
          <w:lang w:val="en-US"/>
        </w:rPr>
      </w:pPr>
      <w:r>
        <w:rPr>
          <w:rStyle w:val="FootnoteReference"/>
        </w:rPr>
        <w:footnoteRef/>
      </w:r>
      <w:r>
        <w:t xml:space="preserve"> </w:t>
      </w:r>
      <w:r>
        <w:rPr>
          <w:bCs/>
          <w:iCs/>
        </w:rPr>
        <w:t xml:space="preserve">Morgera, </w:t>
      </w:r>
      <w:r w:rsidRPr="001E5BD9">
        <w:rPr>
          <w:bCs/>
        </w:rPr>
        <w:t>Tsioumani</w:t>
      </w:r>
      <w:r>
        <w:rPr>
          <w:bCs/>
        </w:rPr>
        <w:t xml:space="preserve"> and </w:t>
      </w:r>
      <w:r w:rsidRPr="001E5BD9">
        <w:rPr>
          <w:bCs/>
        </w:rPr>
        <w:t>Buck</w:t>
      </w:r>
      <w:r>
        <w:rPr>
          <w:bCs/>
        </w:rPr>
        <w:t xml:space="preserve"> (2014), 29.</w:t>
      </w:r>
    </w:p>
  </w:footnote>
  <w:footnote w:id="199">
    <w:p w14:paraId="64CD32FC" w14:textId="77777777" w:rsidR="009A7F82" w:rsidRPr="00480EEA" w:rsidRDefault="009A7F82" w:rsidP="00EC5B59">
      <w:pPr>
        <w:pStyle w:val="FootnoteText"/>
        <w:rPr>
          <w:lang w:val="en-US"/>
        </w:rPr>
      </w:pPr>
      <w:r>
        <w:rPr>
          <w:rStyle w:val="FootnoteReference"/>
        </w:rPr>
        <w:footnoteRef/>
      </w:r>
      <w:r>
        <w:t xml:space="preserve"> </w:t>
      </w:r>
      <w:r w:rsidRPr="000B376D">
        <w:t>VCLT</w:t>
      </w:r>
      <w:r>
        <w:t xml:space="preserve">, art 28; </w:t>
      </w:r>
      <w:r>
        <w:rPr>
          <w:bCs/>
          <w:i/>
        </w:rPr>
        <w:t xml:space="preserve">Ambatielos, </w:t>
      </w:r>
      <w:r>
        <w:rPr>
          <w:bCs/>
        </w:rPr>
        <w:t xml:space="preserve">40; </w:t>
      </w:r>
      <w:r>
        <w:rPr>
          <w:i/>
        </w:rPr>
        <w:t>Obligation to Prosecute or Extradite,</w:t>
      </w:r>
      <w:r>
        <w:rPr>
          <w:bCs/>
        </w:rPr>
        <w:t xml:space="preserve"> [100].</w:t>
      </w:r>
    </w:p>
  </w:footnote>
  <w:footnote w:id="200">
    <w:p w14:paraId="2F29EBF4" w14:textId="77777777" w:rsidR="009A7F82" w:rsidRPr="00480EEA" w:rsidRDefault="009A7F82" w:rsidP="00EC5B59">
      <w:pPr>
        <w:pStyle w:val="FootnoteText"/>
        <w:rPr>
          <w:lang w:val="en-US"/>
        </w:rPr>
      </w:pPr>
      <w:r>
        <w:rPr>
          <w:rStyle w:val="FootnoteReference"/>
        </w:rPr>
        <w:footnoteRef/>
      </w:r>
      <w:r>
        <w:t xml:space="preserve"> </w:t>
      </w:r>
      <w:r w:rsidRPr="000B376D">
        <w:t>VCLT</w:t>
      </w:r>
      <w:r>
        <w:t>, art 28;</w:t>
      </w:r>
      <w:r>
        <w:rPr>
          <w:bCs/>
        </w:rPr>
        <w:t xml:space="preserve"> </w:t>
      </w:r>
      <w:r>
        <w:t xml:space="preserve">Corten and Klein (2011), 725. </w:t>
      </w:r>
    </w:p>
  </w:footnote>
  <w:footnote w:id="201">
    <w:p w14:paraId="764DB386" w14:textId="77777777" w:rsidR="009A7F82" w:rsidRPr="009A3BE1" w:rsidRDefault="009A7F82" w:rsidP="00EC5B59">
      <w:pPr>
        <w:pStyle w:val="FootnoteText"/>
        <w:rPr>
          <w:lang w:val="en-US"/>
        </w:rPr>
      </w:pPr>
      <w:r>
        <w:rPr>
          <w:rStyle w:val="FootnoteReference"/>
        </w:rPr>
        <w:footnoteRef/>
      </w:r>
      <w:r>
        <w:t xml:space="preserve"> </w:t>
      </w:r>
      <w:r>
        <w:rPr>
          <w:lang w:val="en-US"/>
        </w:rPr>
        <w:t>Nagoya Protocol, art 5(5)</w:t>
      </w:r>
    </w:p>
  </w:footnote>
  <w:footnote w:id="202">
    <w:p w14:paraId="1DED0B40" w14:textId="77777777" w:rsidR="009A7F82" w:rsidRPr="00003874" w:rsidRDefault="009A7F82" w:rsidP="00EC5B59">
      <w:pPr>
        <w:pStyle w:val="FootnoteText"/>
        <w:rPr>
          <w:color w:val="FF0000"/>
          <w:lang w:val="en-US"/>
        </w:rPr>
      </w:pPr>
      <w:r w:rsidRPr="00C76CC2">
        <w:rPr>
          <w:rStyle w:val="FootnoteReference"/>
        </w:rPr>
        <w:footnoteRef/>
      </w:r>
      <w:r w:rsidRPr="00C76CC2">
        <w:t xml:space="preserve"> </w:t>
      </w:r>
      <w:r w:rsidRPr="00C76CC2">
        <w:rPr>
          <w:bCs/>
        </w:rPr>
        <w:t>Pauchard (2017)</w:t>
      </w:r>
      <w:r>
        <w:rPr>
          <w:bCs/>
        </w:rPr>
        <w:t>, 1.</w:t>
      </w:r>
    </w:p>
  </w:footnote>
  <w:footnote w:id="203">
    <w:p w14:paraId="29D55B8F" w14:textId="50DF3B4E" w:rsidR="009A7F82" w:rsidRPr="00AD4DF3" w:rsidRDefault="009A7F82" w:rsidP="00EC5B59">
      <w:pPr>
        <w:pStyle w:val="FootnoteText"/>
        <w:rPr>
          <w:lang w:val="en-US"/>
        </w:rPr>
      </w:pPr>
      <w:r>
        <w:rPr>
          <w:rStyle w:val="FootnoteReference"/>
        </w:rPr>
        <w:footnoteRef/>
      </w:r>
      <w:r>
        <w:t xml:space="preserve"> </w:t>
      </w:r>
      <w:r>
        <w:rPr>
          <w:i/>
          <w:lang w:val="en-US"/>
        </w:rPr>
        <w:t>Compromis</w:t>
      </w:r>
      <w:r w:rsidRPr="00987272">
        <w:rPr>
          <w:lang w:val="en-US"/>
        </w:rPr>
        <w:t xml:space="preserve">, </w:t>
      </w:r>
      <w:r>
        <w:rPr>
          <w:lang w:val="en-US"/>
        </w:rPr>
        <w:t>[13]</w:t>
      </w:r>
      <w:r>
        <w:rPr>
          <w:lang w:val="en-US"/>
        </w:rPr>
        <w:t>–[19].</w:t>
      </w:r>
    </w:p>
  </w:footnote>
  <w:footnote w:id="204">
    <w:p w14:paraId="79265776" w14:textId="77777777" w:rsidR="009A7F82" w:rsidRPr="00AD4DF3" w:rsidRDefault="009A7F82" w:rsidP="00EC5B59">
      <w:pPr>
        <w:pStyle w:val="FootnoteText"/>
        <w:rPr>
          <w:lang w:val="en-US"/>
        </w:rPr>
      </w:pPr>
      <w:r>
        <w:rPr>
          <w:rStyle w:val="FootnoteReference"/>
        </w:rPr>
        <w:footnoteRef/>
      </w:r>
      <w:r>
        <w:t xml:space="preserve"> </w:t>
      </w:r>
      <w:r>
        <w:rPr>
          <w:i/>
          <w:lang w:val="en-US"/>
        </w:rPr>
        <w:t>Compromis</w:t>
      </w:r>
      <w:r w:rsidRPr="00987272">
        <w:rPr>
          <w:lang w:val="en-US"/>
        </w:rPr>
        <w:t>,</w:t>
      </w:r>
      <w:r>
        <w:rPr>
          <w:i/>
          <w:lang w:val="en-US"/>
        </w:rPr>
        <w:t xml:space="preserve"> </w:t>
      </w:r>
      <w:r>
        <w:rPr>
          <w:lang w:val="en-US"/>
        </w:rPr>
        <w:t>[20].</w:t>
      </w:r>
    </w:p>
  </w:footnote>
  <w:footnote w:id="205">
    <w:p w14:paraId="4EF633E4" w14:textId="77777777" w:rsidR="009A7F82" w:rsidRPr="00CE78C3" w:rsidRDefault="009A7F82" w:rsidP="00EC5B59">
      <w:pPr>
        <w:pStyle w:val="FootnoteText"/>
        <w:rPr>
          <w:lang w:val="en-US"/>
        </w:rPr>
      </w:pPr>
      <w:r>
        <w:rPr>
          <w:rStyle w:val="FootnoteReference"/>
        </w:rPr>
        <w:footnoteRef/>
      </w:r>
      <w:r>
        <w:t xml:space="preserve"> See Nagoya Protocol, art 2(c); </w:t>
      </w:r>
      <w:r>
        <w:rPr>
          <w:i/>
        </w:rPr>
        <w:t>Like-Minded Countries Draft Articles on the Protection of Genetic Resources</w:t>
      </w:r>
      <w:r w:rsidRPr="00987272">
        <w:t>,</w:t>
      </w:r>
      <w:r>
        <w:rPr>
          <w:i/>
        </w:rPr>
        <w:t xml:space="preserve"> </w:t>
      </w:r>
      <w:r>
        <w:t>art 1(2)(e).</w:t>
      </w:r>
    </w:p>
  </w:footnote>
  <w:footnote w:id="206">
    <w:p w14:paraId="56318C91" w14:textId="77777777" w:rsidR="009A7F82" w:rsidRPr="00FD39FB" w:rsidRDefault="009A7F82" w:rsidP="00EC5B59">
      <w:pPr>
        <w:pStyle w:val="FootnoteText"/>
        <w:rPr>
          <w:lang w:val="en-US"/>
        </w:rPr>
      </w:pPr>
      <w:r>
        <w:rPr>
          <w:rStyle w:val="FootnoteReference"/>
        </w:rPr>
        <w:footnoteRef/>
      </w:r>
      <w:r>
        <w:t xml:space="preserve"> The rule against retroactivity does not apply to </w:t>
      </w:r>
      <w:r>
        <w:rPr>
          <w:lang w:val="en-US"/>
        </w:rPr>
        <w:t xml:space="preserve">ongoing incidents. See, </w:t>
      </w:r>
      <w:r>
        <w:t>ILC Commentary on the Law of Treaties, 213.</w:t>
      </w:r>
    </w:p>
  </w:footnote>
  <w:footnote w:id="207">
    <w:p w14:paraId="45EA6F3E" w14:textId="77777777" w:rsidR="009A7F82" w:rsidRPr="007D6569" w:rsidRDefault="009A7F82" w:rsidP="00EC5B59">
      <w:pPr>
        <w:pStyle w:val="FootnoteText"/>
        <w:rPr>
          <w:lang w:val="en-US"/>
        </w:rPr>
      </w:pPr>
      <w:r>
        <w:rPr>
          <w:rStyle w:val="FootnoteReference"/>
        </w:rPr>
        <w:footnoteRef/>
      </w:r>
      <w:r>
        <w:t xml:space="preserve"> </w:t>
      </w:r>
      <w:r>
        <w:rPr>
          <w:i/>
        </w:rPr>
        <w:t xml:space="preserve">Mondev International, </w:t>
      </w:r>
      <w:r>
        <w:t xml:space="preserve">[58]; </w:t>
      </w:r>
      <w:r w:rsidRPr="00895A18">
        <w:t>ASR</w:t>
      </w:r>
      <w:r>
        <w:rPr>
          <w:i/>
        </w:rPr>
        <w:t>,</w:t>
      </w:r>
      <w:r>
        <w:t xml:space="preserve"> art 14(1).</w:t>
      </w:r>
    </w:p>
  </w:footnote>
  <w:footnote w:id="208">
    <w:p w14:paraId="4DBA6BD3" w14:textId="047300BC" w:rsidR="009A7F82" w:rsidRPr="00297E95" w:rsidRDefault="009A7F82" w:rsidP="00EC5B59">
      <w:pPr>
        <w:pStyle w:val="FootnoteText"/>
        <w:rPr>
          <w:lang w:val="en-US"/>
        </w:rPr>
      </w:pPr>
      <w:r>
        <w:rPr>
          <w:rStyle w:val="FootnoteReference"/>
        </w:rPr>
        <w:footnoteRef/>
      </w:r>
      <w:r>
        <w:t xml:space="preserve"> </w:t>
      </w:r>
      <w:r>
        <w:rPr>
          <w:i/>
        </w:rPr>
        <w:t>Compromis</w:t>
      </w:r>
      <w:r w:rsidR="008F6146">
        <w:rPr>
          <w:i/>
        </w:rPr>
        <w:t>,</w:t>
      </w:r>
      <w:r>
        <w:rPr>
          <w:i/>
        </w:rPr>
        <w:t xml:space="preserve"> </w:t>
      </w:r>
      <w:r>
        <w:t xml:space="preserve">[21] and [38]; </w:t>
      </w:r>
      <w:r w:rsidRPr="003B15B7">
        <w:rPr>
          <w:i/>
        </w:rPr>
        <w:t>Clarification</w:t>
      </w:r>
      <w:r>
        <w:rPr>
          <w:i/>
        </w:rPr>
        <w:t xml:space="preserve">s, </w:t>
      </w:r>
      <w:r>
        <w:t>[5].</w:t>
      </w:r>
    </w:p>
  </w:footnote>
  <w:footnote w:id="209">
    <w:p w14:paraId="1D5FE35F" w14:textId="6F9C3E45" w:rsidR="009A7F82" w:rsidRPr="00464D2C" w:rsidRDefault="009A7F82">
      <w:pPr>
        <w:pStyle w:val="FootnoteText"/>
        <w:rPr>
          <w:lang w:val="en-US"/>
        </w:rPr>
      </w:pPr>
      <w:r>
        <w:rPr>
          <w:rStyle w:val="FootnoteReference"/>
        </w:rPr>
        <w:footnoteRef/>
      </w:r>
      <w:r>
        <w:t xml:space="preserve"> </w:t>
      </w:r>
      <w:r w:rsidR="008F6146">
        <w:t>Comparatively</w:t>
      </w:r>
      <w:r>
        <w:t xml:space="preserve">, </w:t>
      </w:r>
      <w:r>
        <w:rPr>
          <w:lang w:val="en-US"/>
        </w:rPr>
        <w:t xml:space="preserve">continuing wrongful acts have been found in situation of active continuation, see </w:t>
      </w:r>
      <w:r>
        <w:rPr>
          <w:i/>
        </w:rPr>
        <w:t>Tehran Hostages</w:t>
      </w:r>
      <w:r>
        <w:t>,</w:t>
      </w:r>
      <w:r>
        <w:rPr>
          <w:lang w:val="en-US"/>
        </w:rPr>
        <w:t xml:space="preserve"> [77].</w:t>
      </w:r>
    </w:p>
  </w:footnote>
  <w:footnote w:id="210">
    <w:p w14:paraId="03C75061" w14:textId="21502B09" w:rsidR="009A7F82" w:rsidRPr="00FE17A6" w:rsidRDefault="009A7F82" w:rsidP="00EC5B59">
      <w:pPr>
        <w:pStyle w:val="FootnoteText"/>
        <w:rPr>
          <w:lang w:val="en-US"/>
        </w:rPr>
      </w:pPr>
      <w:r>
        <w:rPr>
          <w:rStyle w:val="FootnoteReference"/>
        </w:rPr>
        <w:footnoteRef/>
      </w:r>
      <w:r>
        <w:t xml:space="preserve"> Kamau, </w:t>
      </w:r>
      <w:r>
        <w:t xml:space="preserve">Fedder and Winter (2010), </w:t>
      </w:r>
      <w:r>
        <w:rPr>
          <w:lang w:val="en-US"/>
        </w:rPr>
        <w:t xml:space="preserve">254–255. See also </w:t>
      </w:r>
      <w:r>
        <w:rPr>
          <w:bCs/>
          <w:i/>
        </w:rPr>
        <w:t xml:space="preserve">Genocide Case (Croatia v Serbia), </w:t>
      </w:r>
      <w:r>
        <w:rPr>
          <w:lang w:val="en-US"/>
        </w:rPr>
        <w:t>[99].</w:t>
      </w:r>
    </w:p>
  </w:footnote>
  <w:footnote w:id="211">
    <w:p w14:paraId="10633ABC" w14:textId="6E19994E" w:rsidR="009A7F82" w:rsidRPr="004A3353" w:rsidRDefault="009A7F82" w:rsidP="00EC5B59">
      <w:pPr>
        <w:pStyle w:val="FootnoteText"/>
        <w:rPr>
          <w:lang w:val="en-US"/>
        </w:rPr>
      </w:pPr>
      <w:r>
        <w:rPr>
          <w:rStyle w:val="FootnoteReference"/>
        </w:rPr>
        <w:footnoteRef/>
      </w:r>
      <w:r>
        <w:t xml:space="preserve"> </w:t>
      </w:r>
      <w:r w:rsidRPr="004A3353">
        <w:rPr>
          <w:i/>
        </w:rPr>
        <w:t>Mavrommatis Palestine Concessions</w:t>
      </w:r>
      <w:r>
        <w:rPr>
          <w:i/>
        </w:rPr>
        <w:t xml:space="preserve">, </w:t>
      </w:r>
      <w:r>
        <w:t xml:space="preserve">34; </w:t>
      </w:r>
      <w:r>
        <w:rPr>
          <w:bCs/>
          <w:i/>
        </w:rPr>
        <w:t>Ambatielos,</w:t>
      </w:r>
      <w:r>
        <w:rPr>
          <w:bCs/>
        </w:rPr>
        <w:t xml:space="preserve"> 40; ILC Commentary </w:t>
      </w:r>
      <w:r>
        <w:t>on the Law of Treaties, 212–213; Corten and Klein (2011), 726.</w:t>
      </w:r>
    </w:p>
  </w:footnote>
  <w:footnote w:id="212">
    <w:p w14:paraId="49D0F931" w14:textId="77777777" w:rsidR="009A7F82" w:rsidRPr="0044176C" w:rsidRDefault="009A7F82" w:rsidP="00EC5B59">
      <w:pPr>
        <w:pStyle w:val="FootnoteText"/>
        <w:rPr>
          <w:lang w:val="en-US"/>
        </w:rPr>
      </w:pPr>
      <w:r>
        <w:rPr>
          <w:rStyle w:val="FootnoteReference"/>
        </w:rPr>
        <w:footnoteRef/>
      </w:r>
      <w:r>
        <w:t xml:space="preserve"> </w:t>
      </w:r>
      <w:r>
        <w:rPr>
          <w:i/>
        </w:rPr>
        <w:t xml:space="preserve">Decision VII/19, </w:t>
      </w:r>
      <w:r>
        <w:t xml:space="preserve">[D.1]. </w:t>
      </w:r>
    </w:p>
  </w:footnote>
  <w:footnote w:id="213">
    <w:p w14:paraId="70F49DCC" w14:textId="77777777" w:rsidR="009A7F82" w:rsidRPr="00A97188" w:rsidRDefault="009A7F82" w:rsidP="00EC5B59">
      <w:pPr>
        <w:pStyle w:val="FootnoteText"/>
        <w:rPr>
          <w:highlight w:val="yellow"/>
          <w:lang w:val="en-US"/>
        </w:rPr>
      </w:pPr>
      <w:r w:rsidRPr="003B1E24">
        <w:rPr>
          <w:rStyle w:val="FootnoteReference"/>
        </w:rPr>
        <w:footnoteRef/>
      </w:r>
      <w:r w:rsidRPr="003B1E24">
        <w:t xml:space="preserve"> </w:t>
      </w:r>
      <w:r w:rsidRPr="003B1E24">
        <w:rPr>
          <w:i/>
        </w:rPr>
        <w:t>Chamizal Tract</w:t>
      </w:r>
      <w:r>
        <w:rPr>
          <w:i/>
        </w:rPr>
        <w:t xml:space="preserve">, </w:t>
      </w:r>
      <w:r>
        <w:t>325.</w:t>
      </w:r>
    </w:p>
  </w:footnote>
  <w:footnote w:id="214">
    <w:p w14:paraId="73568282" w14:textId="77777777" w:rsidR="009A7F82" w:rsidRPr="003B1E24" w:rsidRDefault="009A7F82" w:rsidP="00EC5B59">
      <w:pPr>
        <w:pStyle w:val="FootnoteText"/>
        <w:rPr>
          <w:lang w:val="en-US"/>
        </w:rPr>
      </w:pPr>
      <w:r w:rsidRPr="003B1E24">
        <w:rPr>
          <w:rStyle w:val="FootnoteReference"/>
        </w:rPr>
        <w:footnoteRef/>
      </w:r>
      <w:r w:rsidRPr="003B1E24">
        <w:t xml:space="preserve"> </w:t>
      </w:r>
      <w:r w:rsidRPr="003B1E24">
        <w:rPr>
          <w:i/>
        </w:rPr>
        <w:t>Mavrommatis Palestine Concessions</w:t>
      </w:r>
      <w:r>
        <w:rPr>
          <w:i/>
        </w:rPr>
        <w:t xml:space="preserve">, </w:t>
      </w:r>
      <w:r>
        <w:t>34.</w:t>
      </w:r>
    </w:p>
  </w:footnote>
  <w:footnote w:id="215">
    <w:p w14:paraId="58D9A88A" w14:textId="77777777" w:rsidR="009A7F82" w:rsidRPr="00983505" w:rsidRDefault="009A7F82" w:rsidP="00EC5B59">
      <w:pPr>
        <w:pStyle w:val="FootnoteText"/>
        <w:rPr>
          <w:color w:val="FF0000"/>
          <w:lang w:val="en-US"/>
        </w:rPr>
      </w:pPr>
      <w:r>
        <w:rPr>
          <w:rStyle w:val="FootnoteReference"/>
        </w:rPr>
        <w:footnoteRef/>
      </w:r>
      <w:r>
        <w:rPr>
          <w:color w:val="FF0000"/>
          <w:lang w:val="en-US"/>
        </w:rPr>
        <w:t xml:space="preserve"> </w:t>
      </w:r>
      <w:r>
        <w:rPr>
          <w:bCs/>
        </w:rPr>
        <w:t>Sampford (2006), 286.</w:t>
      </w:r>
    </w:p>
  </w:footnote>
  <w:footnote w:id="216">
    <w:p w14:paraId="3123A4F4" w14:textId="77777777" w:rsidR="009A7F82" w:rsidRPr="00983505" w:rsidRDefault="009A7F82" w:rsidP="00EC5B59">
      <w:pPr>
        <w:pStyle w:val="FootnoteText"/>
        <w:rPr>
          <w:lang w:val="en-US"/>
        </w:rPr>
      </w:pPr>
      <w:r>
        <w:rPr>
          <w:rStyle w:val="FootnoteReference"/>
        </w:rPr>
        <w:footnoteRef/>
      </w:r>
      <w:r>
        <w:t xml:space="preserve"> </w:t>
      </w:r>
      <w:r>
        <w:rPr>
          <w:i/>
          <w:lang w:val="en-US"/>
        </w:rPr>
        <w:t xml:space="preserve">North Sea Continental Shelf, </w:t>
      </w:r>
      <w:r>
        <w:rPr>
          <w:lang w:val="en-US"/>
        </w:rPr>
        <w:t>[74] and</w:t>
      </w:r>
      <w:r>
        <w:rPr>
          <w:i/>
          <w:lang w:val="en-US"/>
        </w:rPr>
        <w:t xml:space="preserve"> </w:t>
      </w:r>
      <w:r>
        <w:rPr>
          <w:lang w:val="en-US"/>
        </w:rPr>
        <w:t>[77].</w:t>
      </w:r>
    </w:p>
  </w:footnote>
  <w:footnote w:id="217">
    <w:p w14:paraId="3F7BF0EB" w14:textId="5FE91CAF" w:rsidR="009A7F82" w:rsidRPr="009B4674" w:rsidRDefault="009A7F82" w:rsidP="00EC5B59">
      <w:pPr>
        <w:pStyle w:val="FootnoteText"/>
        <w:rPr>
          <w:lang w:val="en-US"/>
        </w:rPr>
      </w:pPr>
      <w:r>
        <w:rPr>
          <w:rStyle w:val="FootnoteReference"/>
        </w:rPr>
        <w:footnoteRef/>
      </w:r>
      <w:r>
        <w:t xml:space="preserve"> </w:t>
      </w:r>
      <w:r>
        <w:rPr>
          <w:i/>
        </w:rPr>
        <w:t>Saramaka People v Suriname</w:t>
      </w:r>
      <w:r>
        <w:t>, [138]–[140].</w:t>
      </w:r>
    </w:p>
  </w:footnote>
  <w:footnote w:id="218">
    <w:p w14:paraId="10D63DC4" w14:textId="0246AF42" w:rsidR="009A7F82" w:rsidRPr="008C45DB" w:rsidRDefault="009A7F82" w:rsidP="00EC5B59">
      <w:pPr>
        <w:pStyle w:val="FootnoteText"/>
        <w:rPr>
          <w:bCs/>
        </w:rPr>
      </w:pPr>
      <w:r>
        <w:rPr>
          <w:rStyle w:val="FootnoteReference"/>
        </w:rPr>
        <w:footnoteRef/>
      </w:r>
      <w:r>
        <w:t xml:space="preserve"> </w:t>
      </w:r>
      <w:r>
        <w:rPr>
          <w:lang w:val="en-US"/>
        </w:rPr>
        <w:t xml:space="preserve">OAU Model Law, Preamble; Andean Pact, art 5(1); </w:t>
      </w:r>
      <w:r>
        <w:t>Brazil: Law 13.123</w:t>
      </w:r>
      <w:r w:rsidRPr="00CC0387">
        <w:rPr>
          <w:bCs/>
        </w:rPr>
        <w:t>,</w:t>
      </w:r>
      <w:r>
        <w:rPr>
          <w:b/>
          <w:bCs/>
        </w:rPr>
        <w:t xml:space="preserve"> </w:t>
      </w:r>
      <w:r>
        <w:rPr>
          <w:bCs/>
        </w:rPr>
        <w:t xml:space="preserve">art 5 XIII; </w:t>
      </w:r>
      <w:r w:rsidRPr="008C45DB">
        <w:rPr>
          <w:bCs/>
        </w:rPr>
        <w:t>IFPMA</w:t>
      </w:r>
      <w:r w:rsidRPr="008C45DB">
        <w:rPr>
          <w:b/>
          <w:bCs/>
        </w:rPr>
        <w:t xml:space="preserve"> </w:t>
      </w:r>
      <w:r>
        <w:rPr>
          <w:bCs/>
        </w:rPr>
        <w:t xml:space="preserve">Guidelines, Objective. </w:t>
      </w:r>
    </w:p>
  </w:footnote>
  <w:footnote w:id="219">
    <w:p w14:paraId="060C4C3E" w14:textId="77777777" w:rsidR="009A7F82" w:rsidRPr="00352FE7" w:rsidRDefault="009A7F82" w:rsidP="00EC5B59">
      <w:pPr>
        <w:pStyle w:val="FootnoteText"/>
        <w:rPr>
          <w:lang w:val="en-US"/>
        </w:rPr>
      </w:pPr>
      <w:r>
        <w:rPr>
          <w:rStyle w:val="FootnoteReference"/>
        </w:rPr>
        <w:footnoteRef/>
      </w:r>
      <w:r>
        <w:t xml:space="preserve"> The Hoodia Case (see Secretariat of the CBD (2008), 27).</w:t>
      </w:r>
    </w:p>
  </w:footnote>
  <w:footnote w:id="220">
    <w:p w14:paraId="20D5974E" w14:textId="1A702617" w:rsidR="009A7F82" w:rsidRPr="005474BB" w:rsidRDefault="009A7F82" w:rsidP="00EC5B59">
      <w:pPr>
        <w:pStyle w:val="FootnoteText"/>
        <w:rPr>
          <w:lang w:val="en-US"/>
        </w:rPr>
      </w:pPr>
      <w:r>
        <w:rPr>
          <w:rStyle w:val="FootnoteReference"/>
        </w:rPr>
        <w:footnoteRef/>
      </w:r>
      <w:r>
        <w:t xml:space="preserve"> </w:t>
      </w:r>
      <w:r>
        <w:rPr>
          <w:lang w:val="en-US"/>
        </w:rPr>
        <w:t xml:space="preserve">Natura, Brazil (see, </w:t>
      </w:r>
      <w:r>
        <w:t>Secretariat of the CBD (2008), 79–82).</w:t>
      </w:r>
    </w:p>
  </w:footnote>
  <w:footnote w:id="221">
    <w:p w14:paraId="3D1A4854" w14:textId="77777777" w:rsidR="009A7F82" w:rsidRPr="00B23A19" w:rsidRDefault="009A7F82" w:rsidP="00EC5B59">
      <w:pPr>
        <w:pStyle w:val="FootnoteText"/>
        <w:rPr>
          <w:lang w:val="en-US"/>
        </w:rPr>
      </w:pPr>
      <w:r>
        <w:rPr>
          <w:rStyle w:val="FootnoteReference"/>
        </w:rPr>
        <w:footnoteRef/>
      </w:r>
      <w:r>
        <w:t xml:space="preserve"> </w:t>
      </w:r>
      <w:r>
        <w:rPr>
          <w:i/>
          <w:lang w:val="en-US"/>
        </w:rPr>
        <w:t xml:space="preserve">Nicaragua, </w:t>
      </w:r>
      <w:r>
        <w:rPr>
          <w:lang w:val="en-US"/>
        </w:rPr>
        <w:t>[186].</w:t>
      </w:r>
    </w:p>
  </w:footnote>
  <w:footnote w:id="222">
    <w:p w14:paraId="345592D0" w14:textId="77777777" w:rsidR="009A7F82" w:rsidRPr="002C6D2C" w:rsidRDefault="009A7F82" w:rsidP="00EC5B59">
      <w:pPr>
        <w:pStyle w:val="FootnoteText"/>
        <w:rPr>
          <w:lang w:val="en-US"/>
        </w:rPr>
      </w:pPr>
      <w:r>
        <w:rPr>
          <w:rStyle w:val="FootnoteReference"/>
        </w:rPr>
        <w:footnoteRef/>
      </w:r>
      <w:r>
        <w:t xml:space="preserve"> Kamau, </w:t>
      </w:r>
      <w:r>
        <w:t xml:space="preserve">Fedder and Winter (2010), </w:t>
      </w:r>
      <w:r>
        <w:rPr>
          <w:lang w:val="en-US"/>
        </w:rPr>
        <w:t>262.</w:t>
      </w:r>
    </w:p>
  </w:footnote>
  <w:footnote w:id="223">
    <w:p w14:paraId="51EDF64D" w14:textId="77777777" w:rsidR="009A7F82" w:rsidRPr="00E60E56" w:rsidRDefault="009A7F82" w:rsidP="00EC5B59">
      <w:pPr>
        <w:pStyle w:val="FootnoteText"/>
        <w:rPr>
          <w:color w:val="FF0000"/>
          <w:lang w:val="en-US"/>
        </w:rPr>
      </w:pPr>
      <w:r>
        <w:rPr>
          <w:rStyle w:val="FootnoteReference"/>
        </w:rPr>
        <w:footnoteRef/>
      </w:r>
      <w:r>
        <w:t xml:space="preserve"> Domestic implementation is the structure through which the Nagoya Protocol achieves its purpose, see </w:t>
      </w:r>
      <w:r>
        <w:t xml:space="preserve">Rimmer (2015), </w:t>
      </w:r>
      <w:r>
        <w:rPr>
          <w:color w:val="000000" w:themeColor="text1"/>
          <w:lang w:val="en-US"/>
        </w:rPr>
        <w:t xml:space="preserve">361; </w:t>
      </w:r>
      <w:r>
        <w:t>Kamau, Fedder and Winter (2010), 252.</w:t>
      </w:r>
    </w:p>
  </w:footnote>
  <w:footnote w:id="224">
    <w:p w14:paraId="310EBF6A" w14:textId="77777777" w:rsidR="009A7F82" w:rsidRPr="00F64D66" w:rsidRDefault="009A7F82" w:rsidP="00EC5B59">
      <w:pPr>
        <w:pStyle w:val="FootnoteText"/>
        <w:rPr>
          <w:lang w:val="en-US"/>
        </w:rPr>
      </w:pPr>
      <w:r>
        <w:rPr>
          <w:rStyle w:val="FootnoteReference"/>
        </w:rPr>
        <w:footnoteRef/>
      </w:r>
      <w:r>
        <w:t xml:space="preserve"> </w:t>
      </w:r>
      <w:r w:rsidRPr="000B376D">
        <w:rPr>
          <w:lang w:val="en-US"/>
        </w:rPr>
        <w:t>VCLT</w:t>
      </w:r>
      <w:r>
        <w:rPr>
          <w:i/>
          <w:lang w:val="en-US"/>
        </w:rPr>
        <w:t xml:space="preserve">, </w:t>
      </w:r>
      <w:r>
        <w:rPr>
          <w:lang w:val="en-US"/>
        </w:rPr>
        <w:t xml:space="preserve">art 31(1). </w:t>
      </w:r>
    </w:p>
  </w:footnote>
  <w:footnote w:id="225">
    <w:p w14:paraId="1DD21E60" w14:textId="0AAF34C7" w:rsidR="009A7F82" w:rsidRPr="00BB2316" w:rsidRDefault="009A7F82" w:rsidP="00EC5B59">
      <w:pPr>
        <w:pStyle w:val="FootnoteText"/>
        <w:rPr>
          <w:lang w:val="en-US"/>
        </w:rPr>
      </w:pPr>
      <w:r>
        <w:rPr>
          <w:rStyle w:val="FootnoteReference"/>
        </w:rPr>
        <w:footnoteRef/>
      </w:r>
      <w:r>
        <w:t xml:space="preserve"> </w:t>
      </w:r>
      <w:r>
        <w:rPr>
          <w:lang w:val="en-US"/>
        </w:rPr>
        <w:t xml:space="preserve">See </w:t>
      </w:r>
      <w:r w:rsidRPr="008D5D05">
        <w:rPr>
          <w:bCs/>
        </w:rPr>
        <w:t>Pauchard (2017), 5</w:t>
      </w:r>
      <w:r>
        <w:rPr>
          <w:bCs/>
        </w:rPr>
        <w:t xml:space="preserve">; </w:t>
      </w:r>
      <w:r>
        <w:rPr>
          <w:lang w:val="en-US"/>
        </w:rPr>
        <w:t xml:space="preserve">Tandon, Parasaran, and Luthra (2018), 118; </w:t>
      </w:r>
      <w:r w:rsidRPr="00887298">
        <w:rPr>
          <w:i/>
        </w:rPr>
        <w:t>COP 10 Highlights: 20 October 2010</w:t>
      </w:r>
      <w:r w:rsidRPr="00987272">
        <w:t>,</w:t>
      </w:r>
      <w:r w:rsidRPr="00887298">
        <w:rPr>
          <w:i/>
        </w:rPr>
        <w:t xml:space="preserve"> </w:t>
      </w:r>
      <w:r w:rsidRPr="00887298">
        <w:t>3.</w:t>
      </w:r>
    </w:p>
  </w:footnote>
  <w:footnote w:id="226">
    <w:p w14:paraId="20E40CB0" w14:textId="77777777" w:rsidR="009A7F82" w:rsidRPr="004E515B" w:rsidRDefault="009A7F82" w:rsidP="00EC5B59">
      <w:pPr>
        <w:pStyle w:val="FootnoteText"/>
        <w:rPr>
          <w:lang w:val="en-US"/>
        </w:rPr>
      </w:pPr>
      <w:r>
        <w:rPr>
          <w:rStyle w:val="FootnoteReference"/>
        </w:rPr>
        <w:footnoteRef/>
      </w:r>
      <w:r>
        <w:t xml:space="preserve"> Nagoya Protocol, </w:t>
      </w:r>
      <w:r w:rsidRPr="00C928A9">
        <w:t>preamble</w:t>
      </w:r>
      <w:r>
        <w:rPr>
          <w:i/>
        </w:rPr>
        <w:t xml:space="preserve">; </w:t>
      </w:r>
      <w:r>
        <w:t>Morgera, Tsioumani and Buck (2014), 116.</w:t>
      </w:r>
    </w:p>
  </w:footnote>
  <w:footnote w:id="227">
    <w:p w14:paraId="67C77E2C" w14:textId="7E8865CB" w:rsidR="009A7F82" w:rsidRPr="00FA5394" w:rsidRDefault="009A7F82" w:rsidP="00EC5B59">
      <w:pPr>
        <w:pStyle w:val="FootnoteText"/>
        <w:rPr>
          <w:i/>
        </w:rPr>
      </w:pPr>
      <w:r>
        <w:rPr>
          <w:rStyle w:val="FootnoteReference"/>
        </w:rPr>
        <w:footnoteRef/>
      </w:r>
      <w:r>
        <w:t xml:space="preserve"> </w:t>
      </w:r>
      <w:r>
        <w:rPr>
          <w:lang w:val="en-US"/>
        </w:rPr>
        <w:t>This is supported by subsequent practice of parties (</w:t>
      </w:r>
      <w:r w:rsidRPr="000B376D">
        <w:rPr>
          <w:lang w:val="en-US"/>
        </w:rPr>
        <w:t>VCLT</w:t>
      </w:r>
      <w:r>
        <w:rPr>
          <w:i/>
          <w:lang w:val="en-US"/>
        </w:rPr>
        <w:t xml:space="preserve">, </w:t>
      </w:r>
      <w:r>
        <w:rPr>
          <w:lang w:val="en-US"/>
        </w:rPr>
        <w:t xml:space="preserve">art 31(3)), who have used express legislation or regulation to monitor traditional knowledge uses. See </w:t>
      </w:r>
      <w:r>
        <w:rPr>
          <w:bCs/>
        </w:rPr>
        <w:t>Norway Nature Diversity Act</w:t>
      </w:r>
      <w:r>
        <w:rPr>
          <w:i/>
          <w:lang w:val="en-US"/>
        </w:rPr>
        <w:t xml:space="preserve">, </w:t>
      </w:r>
      <w:r>
        <w:rPr>
          <w:lang w:val="en-US"/>
        </w:rPr>
        <w:t>s 61</w:t>
      </w:r>
      <w:r w:rsidRPr="00A52623">
        <w:rPr>
          <w:lang w:val="en-US"/>
        </w:rPr>
        <w:t>;</w:t>
      </w:r>
      <w:r>
        <w:rPr>
          <w:i/>
          <w:lang w:val="en-US"/>
        </w:rPr>
        <w:t xml:space="preserve"> </w:t>
      </w:r>
      <w:r w:rsidRPr="00B4134F">
        <w:rPr>
          <w:lang w:val="en-US"/>
        </w:rPr>
        <w:t>Nagoya and CBD Implementation Act (Finland</w:t>
      </w:r>
      <w:r>
        <w:rPr>
          <w:lang w:val="en-US"/>
        </w:rPr>
        <w:t>)</w:t>
      </w:r>
      <w:r w:rsidRPr="00A52623">
        <w:rPr>
          <w:lang w:val="en-US"/>
        </w:rPr>
        <w:t>;</w:t>
      </w:r>
      <w:r>
        <w:rPr>
          <w:i/>
          <w:lang w:val="en-US"/>
        </w:rPr>
        <w:t xml:space="preserve"> </w:t>
      </w:r>
      <w:r w:rsidRPr="00B4134F">
        <w:rPr>
          <w:lang w:val="en-US"/>
        </w:rPr>
        <w:t>EU Regulation</w:t>
      </w:r>
      <w:r w:rsidRPr="00B4134F">
        <w:rPr>
          <w:bCs/>
        </w:rPr>
        <w:t xml:space="preserve"> 511/2014</w:t>
      </w:r>
      <w:r>
        <w:rPr>
          <w:bCs/>
          <w:i/>
        </w:rPr>
        <w:t>.</w:t>
      </w:r>
    </w:p>
  </w:footnote>
  <w:footnote w:id="228">
    <w:p w14:paraId="6B404DB3" w14:textId="77777777" w:rsidR="009A7F82" w:rsidRPr="00A60B59" w:rsidRDefault="009A7F82" w:rsidP="00EC5B59">
      <w:pPr>
        <w:pStyle w:val="FootnoteText"/>
        <w:rPr>
          <w:lang w:val="en-US"/>
        </w:rPr>
      </w:pPr>
      <w:r>
        <w:rPr>
          <w:rStyle w:val="FootnoteReference"/>
        </w:rPr>
        <w:footnoteRef/>
      </w:r>
      <w:r>
        <w:t xml:space="preserve"> </w:t>
      </w:r>
      <w:r>
        <w:rPr>
          <w:i/>
          <w:lang w:val="en-US"/>
        </w:rPr>
        <w:t xml:space="preserve">Compromis, </w:t>
      </w:r>
      <w:r>
        <w:rPr>
          <w:lang w:val="en-US"/>
        </w:rPr>
        <w:t>[17].</w:t>
      </w:r>
    </w:p>
  </w:footnote>
  <w:footnote w:id="229">
    <w:p w14:paraId="1CF1C590" w14:textId="1B8FC3F3" w:rsidR="009A7F82" w:rsidRPr="00FA54E7" w:rsidRDefault="009A7F82" w:rsidP="00EC5B59">
      <w:pPr>
        <w:pStyle w:val="FootnoteText"/>
        <w:rPr>
          <w:lang w:val="en-US"/>
        </w:rPr>
      </w:pPr>
      <w:r>
        <w:rPr>
          <w:rStyle w:val="FootnoteReference"/>
        </w:rPr>
        <w:footnoteRef/>
      </w:r>
      <w:r>
        <w:t xml:space="preserve"> </w:t>
      </w:r>
      <w:r>
        <w:rPr>
          <w:lang w:val="en-US"/>
        </w:rPr>
        <w:t xml:space="preserve">See also </w:t>
      </w:r>
      <w:r>
        <w:t xml:space="preserve">Kamau, </w:t>
      </w:r>
      <w:r>
        <w:t>Fedder and Winter (2010), 253.</w:t>
      </w:r>
    </w:p>
  </w:footnote>
  <w:footnote w:id="230">
    <w:p w14:paraId="0234F0C5" w14:textId="77777777" w:rsidR="009A7F82" w:rsidRPr="00FA54E7" w:rsidRDefault="009A7F82" w:rsidP="00EC5B59">
      <w:pPr>
        <w:pStyle w:val="FootnoteText"/>
        <w:rPr>
          <w:lang w:val="en-US"/>
        </w:rPr>
      </w:pPr>
      <w:r>
        <w:rPr>
          <w:rStyle w:val="FootnoteReference"/>
        </w:rPr>
        <w:footnoteRef/>
      </w:r>
      <w:r>
        <w:t xml:space="preserve"> </w:t>
      </w:r>
      <w:r>
        <w:rPr>
          <w:bCs/>
          <w:iCs/>
        </w:rPr>
        <w:t xml:space="preserve">Morgera, </w:t>
      </w:r>
      <w:r w:rsidRPr="001E5BD9">
        <w:rPr>
          <w:bCs/>
        </w:rPr>
        <w:t>Tsioumani</w:t>
      </w:r>
      <w:r>
        <w:rPr>
          <w:bCs/>
        </w:rPr>
        <w:t xml:space="preserve"> and </w:t>
      </w:r>
      <w:r w:rsidRPr="001E5BD9">
        <w:rPr>
          <w:bCs/>
        </w:rPr>
        <w:t>Buck</w:t>
      </w:r>
      <w:r>
        <w:rPr>
          <w:bCs/>
        </w:rPr>
        <w:t xml:space="preserve"> (2014), 210. </w:t>
      </w:r>
    </w:p>
  </w:footnote>
  <w:footnote w:id="231">
    <w:p w14:paraId="440565AC" w14:textId="77777777" w:rsidR="009A7F82" w:rsidRPr="00D13F64" w:rsidRDefault="009A7F82" w:rsidP="00EC5B59">
      <w:pPr>
        <w:pStyle w:val="FootnoteText"/>
        <w:rPr>
          <w:lang w:val="en-US"/>
        </w:rPr>
      </w:pPr>
      <w:r>
        <w:rPr>
          <w:rStyle w:val="FootnoteReference"/>
        </w:rPr>
        <w:footnoteRef/>
      </w:r>
      <w:r>
        <w:t xml:space="preserve"> </w:t>
      </w:r>
      <w:r w:rsidRPr="00FA15BB">
        <w:rPr>
          <w:i/>
        </w:rPr>
        <w:t>Gabčíkovo-Nagymaros</w:t>
      </w:r>
      <w:r>
        <w:t xml:space="preserve">, [112]; </w:t>
      </w:r>
      <w:r>
        <w:rPr>
          <w:i/>
        </w:rPr>
        <w:t>Interpretation of the Agreement</w:t>
      </w:r>
      <w:r w:rsidRPr="00CC0387">
        <w:t>,</w:t>
      </w:r>
      <w:r>
        <w:rPr>
          <w:i/>
        </w:rPr>
        <w:t xml:space="preserve"> </w:t>
      </w:r>
      <w:r>
        <w:t xml:space="preserve">[49]; </w:t>
      </w:r>
      <w:r>
        <w:rPr>
          <w:i/>
        </w:rPr>
        <w:t>Southern Bluefin Tuna</w:t>
      </w:r>
      <w:r w:rsidRPr="00CC0387">
        <w:t>,</w:t>
      </w:r>
      <w:r>
        <w:rPr>
          <w:i/>
        </w:rPr>
        <w:t xml:space="preserve"> </w:t>
      </w:r>
      <w:r>
        <w:t>[90].</w:t>
      </w:r>
    </w:p>
  </w:footnote>
  <w:footnote w:id="232">
    <w:p w14:paraId="1E1A427E" w14:textId="6F614581" w:rsidR="009A7F82" w:rsidRPr="007540AD" w:rsidRDefault="009A7F82" w:rsidP="00EC5B59">
      <w:pPr>
        <w:pStyle w:val="FootnoteText"/>
        <w:rPr>
          <w:lang w:val="en-US"/>
        </w:rPr>
      </w:pPr>
      <w:r>
        <w:rPr>
          <w:rStyle w:val="FootnoteReference"/>
        </w:rPr>
        <w:footnoteRef/>
      </w:r>
      <w:r>
        <w:t xml:space="preserve"> This is demonstrated by the civil claim</w:t>
      </w:r>
      <w:r w:rsidR="008F6146">
        <w:t>,</w:t>
      </w:r>
      <w:r>
        <w:t xml:space="preserve">  </w:t>
      </w:r>
      <w:r w:rsidR="008F6146">
        <w:t>see</w:t>
      </w:r>
      <w:r>
        <w:t xml:space="preserve"> </w:t>
      </w:r>
      <w:r w:rsidRPr="003B15B7">
        <w:rPr>
          <w:i/>
          <w:lang w:val="en-US"/>
        </w:rPr>
        <w:t>Clarification</w:t>
      </w:r>
      <w:r>
        <w:rPr>
          <w:i/>
          <w:lang w:val="en-US"/>
        </w:rPr>
        <w:t>s</w:t>
      </w:r>
      <w:r w:rsidRPr="00CC0387">
        <w:rPr>
          <w:lang w:val="en-US"/>
        </w:rPr>
        <w:t>,</w:t>
      </w:r>
      <w:r>
        <w:rPr>
          <w:lang w:val="en-US"/>
        </w:rPr>
        <w:t xml:space="preserve"> [3].</w:t>
      </w:r>
      <w:r w:rsidR="008F6146">
        <w:rPr>
          <w:lang w:val="en-US"/>
        </w:rPr>
        <w:t xml:space="preserve"> See also </w:t>
      </w:r>
      <w:r w:rsidR="008F6146">
        <w:rPr>
          <w:i/>
          <w:lang w:val="en-US"/>
        </w:rPr>
        <w:t>Compromis</w:t>
      </w:r>
      <w:r w:rsidR="008F6146" w:rsidRPr="00CC0387">
        <w:rPr>
          <w:lang w:val="en-US"/>
        </w:rPr>
        <w:t>,</w:t>
      </w:r>
      <w:r w:rsidR="008F6146">
        <w:rPr>
          <w:i/>
          <w:lang w:val="en-US"/>
        </w:rPr>
        <w:t xml:space="preserve"> </w:t>
      </w:r>
      <w:r w:rsidR="008F6146">
        <w:rPr>
          <w:lang w:val="en-US"/>
        </w:rPr>
        <w:t>[8].</w:t>
      </w:r>
    </w:p>
  </w:footnote>
  <w:footnote w:id="233">
    <w:p w14:paraId="70759F6E" w14:textId="52E33122" w:rsidR="009A7F82" w:rsidRPr="002412C2" w:rsidRDefault="009A7F82" w:rsidP="00EC5B59">
      <w:pPr>
        <w:pStyle w:val="FootnoteText"/>
        <w:rPr>
          <w:lang w:val="en-US"/>
        </w:rPr>
      </w:pPr>
      <w:r>
        <w:rPr>
          <w:rStyle w:val="FootnoteReference"/>
        </w:rPr>
        <w:footnoteRef/>
      </w:r>
      <w:r>
        <w:t xml:space="preserve"> </w:t>
      </w:r>
      <w:r>
        <w:rPr>
          <w:i/>
          <w:lang w:val="en-US"/>
        </w:rPr>
        <w:t>Compromis</w:t>
      </w:r>
      <w:r>
        <w:rPr>
          <w:lang w:val="en-US"/>
        </w:rPr>
        <w:t>,</w:t>
      </w:r>
      <w:r>
        <w:rPr>
          <w:i/>
          <w:lang w:val="en-US"/>
        </w:rPr>
        <w:t xml:space="preserve"> </w:t>
      </w:r>
      <w:r>
        <w:rPr>
          <w:lang w:val="en-US"/>
        </w:rPr>
        <w:t>[16].</w:t>
      </w:r>
    </w:p>
  </w:footnote>
  <w:footnote w:id="234">
    <w:p w14:paraId="6B723FFC" w14:textId="5FCC3A17" w:rsidR="009A7F82" w:rsidRPr="00910434" w:rsidRDefault="009A7F82" w:rsidP="00EC5B59">
      <w:pPr>
        <w:pStyle w:val="FootnoteText"/>
        <w:rPr>
          <w:lang w:val="en-US"/>
        </w:rPr>
      </w:pPr>
      <w:r>
        <w:rPr>
          <w:rStyle w:val="FootnoteReference"/>
        </w:rPr>
        <w:footnoteRef/>
      </w:r>
      <w:r>
        <w:t xml:space="preserve"> </w:t>
      </w:r>
      <w:r>
        <w:rPr>
          <w:i/>
          <w:lang w:val="en-US"/>
        </w:rPr>
        <w:t>Compromis</w:t>
      </w:r>
      <w:r>
        <w:rPr>
          <w:lang w:val="en-US"/>
        </w:rPr>
        <w:t>,</w:t>
      </w:r>
      <w:r>
        <w:rPr>
          <w:i/>
          <w:lang w:val="en-US"/>
        </w:rPr>
        <w:t xml:space="preserve"> </w:t>
      </w:r>
      <w:r>
        <w:rPr>
          <w:lang w:val="en-US"/>
        </w:rPr>
        <w:t>[17].</w:t>
      </w:r>
    </w:p>
  </w:footnote>
  <w:footnote w:id="235">
    <w:p w14:paraId="190D9EA9" w14:textId="4054D80A" w:rsidR="009A7F82" w:rsidRPr="00F314BA" w:rsidRDefault="009A7F82" w:rsidP="00EC5B59">
      <w:pPr>
        <w:pStyle w:val="FootnoteText"/>
        <w:rPr>
          <w:lang w:val="en-US"/>
        </w:rPr>
      </w:pPr>
      <w:r>
        <w:rPr>
          <w:rStyle w:val="FootnoteReference"/>
        </w:rPr>
        <w:footnoteRef/>
      </w:r>
      <w:r>
        <w:t xml:space="preserve"> </w:t>
      </w:r>
      <w:r>
        <w:rPr>
          <w:i/>
          <w:lang w:val="en-US"/>
        </w:rPr>
        <w:t>Compromis</w:t>
      </w:r>
      <w:r>
        <w:rPr>
          <w:lang w:val="en-US"/>
        </w:rPr>
        <w:t>,</w:t>
      </w:r>
      <w:r>
        <w:rPr>
          <w:i/>
          <w:lang w:val="en-US"/>
        </w:rPr>
        <w:t xml:space="preserve"> </w:t>
      </w:r>
      <w:r>
        <w:rPr>
          <w:lang w:val="en-US"/>
        </w:rPr>
        <w:t>[18].</w:t>
      </w:r>
    </w:p>
  </w:footnote>
  <w:footnote w:id="236">
    <w:p w14:paraId="3A8C7377" w14:textId="11F0D30C" w:rsidR="009A7F82" w:rsidRPr="0029702A" w:rsidRDefault="009A7F82" w:rsidP="00EC5B59">
      <w:pPr>
        <w:pStyle w:val="FootnoteText"/>
        <w:rPr>
          <w:lang w:val="en-US"/>
        </w:rPr>
      </w:pPr>
      <w:r>
        <w:rPr>
          <w:rStyle w:val="FootnoteReference"/>
        </w:rPr>
        <w:footnoteRef/>
      </w:r>
      <w:r>
        <w:t xml:space="preserve"> </w:t>
      </w:r>
      <w:r>
        <w:rPr>
          <w:i/>
          <w:lang w:val="en-US"/>
        </w:rPr>
        <w:t>Compromis</w:t>
      </w:r>
      <w:r>
        <w:rPr>
          <w:lang w:val="en-US"/>
        </w:rPr>
        <w:t>,</w:t>
      </w:r>
      <w:r>
        <w:rPr>
          <w:i/>
          <w:lang w:val="en-US"/>
        </w:rPr>
        <w:t xml:space="preserve"> </w:t>
      </w:r>
      <w:r>
        <w:rPr>
          <w:lang w:val="en-US"/>
        </w:rPr>
        <w:t>[18]</w:t>
      </w:r>
      <w:r>
        <w:rPr>
          <w:lang w:val="en-US"/>
        </w:rPr>
        <w:t>–[21].</w:t>
      </w:r>
    </w:p>
  </w:footnote>
  <w:footnote w:id="237">
    <w:p w14:paraId="39366D4E" w14:textId="77777777" w:rsidR="009A7F82" w:rsidRPr="004E7987" w:rsidRDefault="009A7F82" w:rsidP="00EC5B59">
      <w:pPr>
        <w:pStyle w:val="FootnoteText"/>
        <w:rPr>
          <w:lang w:val="en-US"/>
        </w:rPr>
      </w:pPr>
      <w:r>
        <w:rPr>
          <w:rStyle w:val="FootnoteReference"/>
        </w:rPr>
        <w:footnoteRef/>
      </w:r>
      <w:r>
        <w:t xml:space="preserve"> </w:t>
      </w:r>
      <w:r>
        <w:rPr>
          <w:i/>
        </w:rPr>
        <w:t xml:space="preserve">Railway Traffic, </w:t>
      </w:r>
      <w:r>
        <w:t>116.</w:t>
      </w:r>
    </w:p>
  </w:footnote>
  <w:footnote w:id="238">
    <w:p w14:paraId="780C1157" w14:textId="2B9BC3B3" w:rsidR="009A7F82" w:rsidRPr="00D97B3E" w:rsidRDefault="009A7F82" w:rsidP="00EC5B59">
      <w:pPr>
        <w:pStyle w:val="FootnoteText"/>
        <w:rPr>
          <w:lang w:val="en-US"/>
        </w:rPr>
      </w:pPr>
      <w:r>
        <w:rPr>
          <w:rStyle w:val="FootnoteReference"/>
        </w:rPr>
        <w:footnoteRef/>
      </w:r>
      <w:r>
        <w:t xml:space="preserve"> </w:t>
      </w:r>
      <w:r w:rsidRPr="00E84BB0">
        <w:rPr>
          <w:i/>
        </w:rPr>
        <w:t xml:space="preserve">Factory at </w:t>
      </w:r>
      <w:r w:rsidRPr="00E84BB0">
        <w:rPr>
          <w:i/>
        </w:rPr>
        <w:t>Chorzów</w:t>
      </w:r>
      <w:r>
        <w:rPr>
          <w:i/>
        </w:rPr>
        <w:t xml:space="preserve"> (Jurisdiction),</w:t>
      </w:r>
      <w:r w:rsidRPr="00E84BB0">
        <w:rPr>
          <w:i/>
        </w:rPr>
        <w:t xml:space="preserve"> </w:t>
      </w:r>
      <w:r>
        <w:t xml:space="preserve">21; </w:t>
      </w:r>
      <w:r>
        <w:rPr>
          <w:i/>
        </w:rPr>
        <w:t xml:space="preserve">Rainbow Warrior, </w:t>
      </w:r>
      <w:r>
        <w:t>[75]; ASR, art 30(b).</w:t>
      </w:r>
    </w:p>
  </w:footnote>
  <w:footnote w:id="239">
    <w:p w14:paraId="020225CE" w14:textId="6EED6DA4" w:rsidR="009A7F82" w:rsidRPr="002C0260" w:rsidRDefault="009A7F82" w:rsidP="00EC5B59">
      <w:pPr>
        <w:pStyle w:val="FootnoteText"/>
        <w:rPr>
          <w:lang w:val="en-US"/>
        </w:rPr>
      </w:pPr>
      <w:r>
        <w:rPr>
          <w:rStyle w:val="FootnoteReference"/>
        </w:rPr>
        <w:footnoteRef/>
      </w:r>
      <w:r>
        <w:t xml:space="preserve"> </w:t>
      </w:r>
      <w:r w:rsidRPr="002C0260">
        <w:rPr>
          <w:i/>
        </w:rPr>
        <w:t>Avena and Others</w:t>
      </w:r>
      <w:r>
        <w:rPr>
          <w:i/>
        </w:rPr>
        <w:t>,</w:t>
      </w:r>
      <w:r>
        <w:t xml:space="preserve"> [119]; ASR Commentary, art 36, [7].</w:t>
      </w:r>
    </w:p>
  </w:footnote>
  <w:footnote w:id="240">
    <w:p w14:paraId="2770F23B" w14:textId="235395EF" w:rsidR="009A7F82" w:rsidRPr="00CF45DC" w:rsidRDefault="009A7F82" w:rsidP="00EC5B59">
      <w:pPr>
        <w:pStyle w:val="FootnoteText"/>
        <w:rPr>
          <w:lang w:val="en-US"/>
        </w:rPr>
      </w:pPr>
      <w:r>
        <w:rPr>
          <w:rStyle w:val="FootnoteReference"/>
        </w:rPr>
        <w:footnoteRef/>
      </w:r>
      <w:r>
        <w:t xml:space="preserve"> ASR Commentary, art 34, [5].</w:t>
      </w:r>
    </w:p>
  </w:footnote>
  <w:footnote w:id="241">
    <w:p w14:paraId="33098339" w14:textId="308FD35E" w:rsidR="009A7F82" w:rsidRPr="00560A05" w:rsidRDefault="009A7F82" w:rsidP="00EC5B59">
      <w:pPr>
        <w:pStyle w:val="FootnoteText"/>
        <w:rPr>
          <w:lang w:val="en-US"/>
        </w:rPr>
      </w:pPr>
      <w:r>
        <w:rPr>
          <w:rStyle w:val="FootnoteReference"/>
        </w:rPr>
        <w:footnoteRef/>
      </w:r>
      <w:r>
        <w:t xml:space="preserve"> Typically in investment arbitration context. See for example, </w:t>
      </w:r>
      <w:r w:rsidRPr="00C82C06">
        <w:rPr>
          <w:i/>
          <w:iCs/>
        </w:rPr>
        <w:t>LG&amp;E Energy Corp</w:t>
      </w:r>
      <w:r>
        <w:rPr>
          <w:i/>
          <w:iCs/>
        </w:rPr>
        <w:t xml:space="preserve">, </w:t>
      </w:r>
      <w:r>
        <w:rPr>
          <w:iCs/>
        </w:rPr>
        <w:t xml:space="preserve">[41]; </w:t>
      </w:r>
      <w:r w:rsidRPr="00C82C06">
        <w:rPr>
          <w:i/>
        </w:rPr>
        <w:t>Norwegian Shipowners’ Claims</w:t>
      </w:r>
      <w:r>
        <w:rPr>
          <w:i/>
        </w:rPr>
        <w:t xml:space="preserve">, </w:t>
      </w:r>
      <w:r>
        <w:t>336.</w:t>
      </w:r>
    </w:p>
  </w:footnote>
  <w:footnote w:id="242">
    <w:p w14:paraId="0EFBFE9F" w14:textId="77777777" w:rsidR="009A7F82" w:rsidRPr="00CF45DC" w:rsidRDefault="009A7F82" w:rsidP="00EC5B59">
      <w:pPr>
        <w:pStyle w:val="FootnoteText"/>
        <w:rPr>
          <w:lang w:val="en-US"/>
        </w:rPr>
      </w:pPr>
      <w:r>
        <w:rPr>
          <w:rStyle w:val="FootnoteReference"/>
        </w:rPr>
        <w:footnoteRef/>
      </w:r>
      <w:r>
        <w:t xml:space="preserve"> </w:t>
      </w:r>
      <w:r>
        <w:rPr>
          <w:lang w:val="en-US"/>
        </w:rPr>
        <w:t>Crawford (2013), 522</w:t>
      </w:r>
    </w:p>
  </w:footnote>
  <w:footnote w:id="243">
    <w:p w14:paraId="7463D63A" w14:textId="42F9D0ED" w:rsidR="009A7F82" w:rsidRPr="00AB7821" w:rsidRDefault="009A7F82" w:rsidP="00EC5B59">
      <w:pPr>
        <w:pStyle w:val="FootnoteText"/>
        <w:rPr>
          <w:lang w:val="en-US"/>
        </w:rPr>
      </w:pPr>
      <w:r>
        <w:rPr>
          <w:rStyle w:val="FootnoteReference"/>
        </w:rPr>
        <w:footnoteRef/>
      </w:r>
      <w:r>
        <w:t xml:space="preserve"> </w:t>
      </w:r>
      <w:r>
        <w:rPr>
          <w:i/>
          <w:lang w:val="en-US"/>
        </w:rPr>
        <w:t>Compromis</w:t>
      </w:r>
      <w:r w:rsidRPr="0026729C">
        <w:rPr>
          <w:lang w:val="en-US"/>
        </w:rPr>
        <w:t>,</w:t>
      </w:r>
      <w:r>
        <w:rPr>
          <w:i/>
          <w:lang w:val="en-US"/>
        </w:rPr>
        <w:t xml:space="preserve"> </w:t>
      </w:r>
      <w:r>
        <w:rPr>
          <w:lang w:val="en-US"/>
        </w:rPr>
        <w:t>[3]</w:t>
      </w:r>
      <w:r>
        <w:rPr>
          <w:lang w:val="en-US"/>
        </w:rPr>
        <w:t>–[4].</w:t>
      </w:r>
    </w:p>
  </w:footnote>
  <w:footnote w:id="244">
    <w:p w14:paraId="351E5F50" w14:textId="77777777" w:rsidR="009A7F82" w:rsidRPr="00AB7821" w:rsidRDefault="009A7F82" w:rsidP="00EC5B59">
      <w:pPr>
        <w:pStyle w:val="FootnoteText"/>
        <w:rPr>
          <w:lang w:val="en-US"/>
        </w:rPr>
      </w:pPr>
      <w:r>
        <w:rPr>
          <w:rStyle w:val="FootnoteReference"/>
        </w:rPr>
        <w:footnoteRef/>
      </w:r>
      <w:r>
        <w:t xml:space="preserve"> </w:t>
      </w:r>
      <w:r>
        <w:rPr>
          <w:i/>
          <w:lang w:val="en-US"/>
        </w:rPr>
        <w:t>Compromis</w:t>
      </w:r>
      <w:r w:rsidRPr="0026729C">
        <w:rPr>
          <w:lang w:val="en-US"/>
        </w:rPr>
        <w:t>,</w:t>
      </w:r>
      <w:r>
        <w:rPr>
          <w:i/>
          <w:lang w:val="en-US"/>
        </w:rPr>
        <w:t xml:space="preserve"> </w:t>
      </w:r>
      <w:r>
        <w:rPr>
          <w:lang w:val="en-US"/>
        </w:rPr>
        <w:t xml:space="preserve">[18]. </w:t>
      </w:r>
    </w:p>
  </w:footnote>
  <w:footnote w:id="245">
    <w:p w14:paraId="693B5DCC" w14:textId="5ED77B43" w:rsidR="009A7F82" w:rsidRPr="00B545A5" w:rsidRDefault="009A7F82" w:rsidP="00EC5B59">
      <w:pPr>
        <w:pStyle w:val="FootnoteText"/>
        <w:rPr>
          <w:lang w:val="en-US"/>
        </w:rPr>
      </w:pPr>
      <w:r>
        <w:rPr>
          <w:rStyle w:val="FootnoteReference"/>
        </w:rPr>
        <w:footnoteRef/>
      </w:r>
      <w:r>
        <w:t xml:space="preserve"> </w:t>
      </w:r>
      <w:r>
        <w:rPr>
          <w:i/>
          <w:lang w:val="en-US"/>
        </w:rPr>
        <w:t>Compromis</w:t>
      </w:r>
      <w:r w:rsidRPr="0026729C">
        <w:rPr>
          <w:lang w:val="en-US"/>
        </w:rPr>
        <w:t>,</w:t>
      </w:r>
      <w:r>
        <w:rPr>
          <w:i/>
          <w:lang w:val="en-US"/>
        </w:rPr>
        <w:t xml:space="preserve"> </w:t>
      </w:r>
      <w:r>
        <w:rPr>
          <w:lang w:val="en-US"/>
        </w:rPr>
        <w:t>[13]</w:t>
      </w:r>
      <w:r>
        <w:rPr>
          <w:lang w:val="en-US"/>
        </w:rPr>
        <w:t>–[14].</w:t>
      </w:r>
    </w:p>
  </w:footnote>
  <w:footnote w:id="246">
    <w:p w14:paraId="258A3DDE" w14:textId="6FFD0035" w:rsidR="009A7F82" w:rsidRPr="0039146E" w:rsidRDefault="009A7F82" w:rsidP="00EC5B59">
      <w:pPr>
        <w:pStyle w:val="FootnoteText"/>
        <w:rPr>
          <w:i/>
        </w:rPr>
      </w:pPr>
      <w:r>
        <w:rPr>
          <w:rStyle w:val="FootnoteReference"/>
        </w:rPr>
        <w:footnoteRef/>
      </w:r>
      <w:r>
        <w:t xml:space="preserve"> </w:t>
      </w:r>
      <w:r w:rsidRPr="00B110D2">
        <w:t>ASR</w:t>
      </w:r>
      <w:r>
        <w:t xml:space="preserve">, art 36; </w:t>
      </w:r>
      <w:r w:rsidR="00753FC2" w:rsidRPr="00FA15BB">
        <w:rPr>
          <w:i/>
        </w:rPr>
        <w:t>Gabčíkovo-Nagymaros</w:t>
      </w:r>
      <w:r>
        <w:rPr>
          <w:i/>
          <w:iCs/>
        </w:rPr>
        <w:t>,</w:t>
      </w:r>
      <w:r>
        <w:rPr>
          <w:iCs/>
        </w:rPr>
        <w:t xml:space="preserve"> [152]; </w:t>
      </w:r>
      <w:r w:rsidRPr="00FA15BB">
        <w:rPr>
          <w:i/>
        </w:rPr>
        <w:t>Ahmadou Sadio Diallo (Compensation</w:t>
      </w:r>
      <w:r>
        <w:rPr>
          <w:i/>
        </w:rPr>
        <w:t>),</w:t>
      </w:r>
      <w:r>
        <w:t xml:space="preserve"> [14]; Crawford (2013), 523.</w:t>
      </w:r>
    </w:p>
  </w:footnote>
  <w:footnote w:id="247">
    <w:p w14:paraId="4374308F" w14:textId="481DC7CF" w:rsidR="009A7F82" w:rsidRPr="00566B4F" w:rsidRDefault="009A7F82" w:rsidP="00EC5B59">
      <w:pPr>
        <w:pStyle w:val="FootnoteText"/>
        <w:rPr>
          <w:lang w:val="en-US"/>
        </w:rPr>
      </w:pPr>
      <w:r>
        <w:rPr>
          <w:rStyle w:val="FootnoteReference"/>
        </w:rPr>
        <w:footnoteRef/>
      </w:r>
      <w:r>
        <w:t xml:space="preserve"> ASR Commentary, art 36, [27]; </w:t>
      </w:r>
      <w:r w:rsidRPr="00FA15BB">
        <w:rPr>
          <w:i/>
        </w:rPr>
        <w:t>Ahmadou Sadio Diallo (Compensation)</w:t>
      </w:r>
      <w:r>
        <w:rPr>
          <w:i/>
        </w:rPr>
        <w:t xml:space="preserve">, </w:t>
      </w:r>
      <w:r>
        <w:t xml:space="preserve">[49]; similarly the PCIJ specified that contingent and indeterminate damage cannot be compensated in </w:t>
      </w:r>
      <w:r>
        <w:rPr>
          <w:i/>
          <w:lang w:val="en-US"/>
        </w:rPr>
        <w:t xml:space="preserve">Factory at Chorzów (Merits), </w:t>
      </w:r>
      <w:r>
        <w:rPr>
          <w:lang w:val="en-US"/>
        </w:rPr>
        <w:t>57.</w:t>
      </w:r>
      <w:r>
        <w:rPr>
          <w:i/>
          <w:lang w:val="en-US"/>
        </w:rPr>
        <w:t xml:space="preserve"> </w:t>
      </w:r>
    </w:p>
  </w:footnote>
  <w:footnote w:id="248">
    <w:p w14:paraId="5B77BFA8" w14:textId="77777777" w:rsidR="009A7F82" w:rsidRPr="00432001" w:rsidRDefault="009A7F82" w:rsidP="00EC5B59">
      <w:pPr>
        <w:pStyle w:val="FootnoteText"/>
      </w:pPr>
      <w:r>
        <w:rPr>
          <w:rStyle w:val="FootnoteReference"/>
        </w:rPr>
        <w:footnoteRef/>
      </w:r>
      <w:r>
        <w:t xml:space="preserve"> Crawford, Pellet and </w:t>
      </w:r>
      <w:r>
        <w:t xml:space="preserve">Olleson (2010), </w:t>
      </w:r>
      <w:r>
        <w:rPr>
          <w:lang w:val="en-US"/>
        </w:rPr>
        <w:t xml:space="preserve">601; </w:t>
      </w:r>
      <w:r w:rsidRPr="00432001">
        <w:rPr>
          <w:bCs/>
          <w:i/>
        </w:rPr>
        <w:t xml:space="preserve">Border Area </w:t>
      </w:r>
      <w:r>
        <w:rPr>
          <w:bCs/>
          <w:i/>
        </w:rPr>
        <w:t xml:space="preserve">(Compensation), </w:t>
      </w:r>
      <w:r>
        <w:rPr>
          <w:bCs/>
        </w:rPr>
        <w:t>[89].</w:t>
      </w:r>
    </w:p>
  </w:footnote>
  <w:footnote w:id="249">
    <w:p w14:paraId="1C00647A" w14:textId="77777777" w:rsidR="009A7F82" w:rsidRPr="00FA15BB" w:rsidRDefault="009A7F82" w:rsidP="00EC5B59">
      <w:pPr>
        <w:pStyle w:val="FootnoteText"/>
        <w:rPr>
          <w:lang w:val="en-US"/>
        </w:rPr>
      </w:pPr>
      <w:r>
        <w:rPr>
          <w:rStyle w:val="FootnoteReference"/>
        </w:rPr>
        <w:footnoteRef/>
      </w:r>
      <w:r>
        <w:t xml:space="preserve"> </w:t>
      </w:r>
      <w:r w:rsidRPr="00FA15BB">
        <w:rPr>
          <w:i/>
        </w:rPr>
        <w:t>Ahmadou Sadio Diallo (Compensation</w:t>
      </w:r>
      <w:r>
        <w:rPr>
          <w:i/>
        </w:rPr>
        <w:t>),</w:t>
      </w:r>
      <w:r>
        <w:t xml:space="preserve"> [15]; </w:t>
      </w:r>
      <w:r>
        <w:rPr>
          <w:bCs/>
        </w:rPr>
        <w:t xml:space="preserve">Kotuby and Sobota (2017), 192; </w:t>
      </w:r>
      <w:r>
        <w:t xml:space="preserve">Crawford, Pellet and Olleson (2010), </w:t>
      </w:r>
      <w:r>
        <w:rPr>
          <w:lang w:val="en-US"/>
        </w:rPr>
        <w:t>602.</w:t>
      </w:r>
    </w:p>
  </w:footnote>
  <w:footnote w:id="250">
    <w:p w14:paraId="561B6AFE" w14:textId="77777777" w:rsidR="009A7F82" w:rsidRPr="00C30821" w:rsidRDefault="009A7F82" w:rsidP="00EC5B59">
      <w:pPr>
        <w:pStyle w:val="FootnoteText"/>
        <w:rPr>
          <w:lang w:val="en-US"/>
        </w:rPr>
      </w:pPr>
      <w:r>
        <w:rPr>
          <w:rStyle w:val="FootnoteReference"/>
        </w:rPr>
        <w:footnoteRef/>
      </w:r>
      <w:r>
        <w:t xml:space="preserve"> UN Handbook, 96.</w:t>
      </w:r>
    </w:p>
  </w:footnote>
  <w:footnote w:id="251">
    <w:p w14:paraId="74E487D5" w14:textId="77777777" w:rsidR="009A7F82" w:rsidRPr="00441670" w:rsidRDefault="009A7F82" w:rsidP="00EC5B59">
      <w:pPr>
        <w:pStyle w:val="FootnoteText"/>
        <w:rPr>
          <w:lang w:val="en-US"/>
        </w:rPr>
      </w:pPr>
      <w:r>
        <w:rPr>
          <w:rStyle w:val="FootnoteReference"/>
        </w:rPr>
        <w:footnoteRef/>
      </w:r>
      <w:r>
        <w:t xml:space="preserve"> </w:t>
      </w:r>
      <w:r w:rsidRPr="00624E97">
        <w:rPr>
          <w:lang w:val="en-US"/>
        </w:rPr>
        <w:t>Nagoya Protocol</w:t>
      </w:r>
      <w:r>
        <w:rPr>
          <w:i/>
          <w:lang w:val="en-US"/>
        </w:rPr>
        <w:t xml:space="preserve">, </w:t>
      </w:r>
      <w:r>
        <w:rPr>
          <w:lang w:val="en-US"/>
        </w:rPr>
        <w:t xml:space="preserve">Annex. </w:t>
      </w:r>
    </w:p>
  </w:footnote>
  <w:footnote w:id="252">
    <w:p w14:paraId="7E3BF65A" w14:textId="77777777" w:rsidR="009A7F82" w:rsidRPr="00AF1B2D" w:rsidRDefault="009A7F82" w:rsidP="00EC5B59">
      <w:pPr>
        <w:pStyle w:val="FootnoteText"/>
        <w:rPr>
          <w:lang w:val="en-US"/>
        </w:rPr>
      </w:pPr>
      <w:r>
        <w:rPr>
          <w:rStyle w:val="FootnoteReference"/>
        </w:rPr>
        <w:footnoteRef/>
      </w:r>
      <w:r>
        <w:t xml:space="preserve"> Bonn Guidelines, [45]; </w:t>
      </w:r>
      <w:r>
        <w:rPr>
          <w:bCs/>
          <w:iCs/>
        </w:rPr>
        <w:t xml:space="preserve">Morgera, </w:t>
      </w:r>
      <w:r w:rsidRPr="001E5BD9">
        <w:rPr>
          <w:bCs/>
        </w:rPr>
        <w:t>Tsioumani</w:t>
      </w:r>
      <w:r>
        <w:rPr>
          <w:bCs/>
        </w:rPr>
        <w:t xml:space="preserve"> and </w:t>
      </w:r>
      <w:r w:rsidRPr="001E5BD9">
        <w:rPr>
          <w:bCs/>
        </w:rPr>
        <w:t>Buck</w:t>
      </w:r>
      <w:r>
        <w:rPr>
          <w:bCs/>
        </w:rPr>
        <w:t xml:space="preserve"> (2014), </w:t>
      </w:r>
      <w:r>
        <w:rPr>
          <w:lang w:val="en-US"/>
        </w:rPr>
        <w:t>135.</w:t>
      </w:r>
    </w:p>
  </w:footnote>
  <w:footnote w:id="253">
    <w:p w14:paraId="5D66E430" w14:textId="77777777" w:rsidR="009A7F82" w:rsidRPr="00020423" w:rsidRDefault="009A7F82" w:rsidP="00EC5B59">
      <w:pPr>
        <w:pStyle w:val="FootnoteText"/>
        <w:rPr>
          <w:lang w:val="en-US"/>
        </w:rPr>
      </w:pPr>
      <w:r>
        <w:rPr>
          <w:rStyle w:val="FootnoteReference"/>
        </w:rPr>
        <w:footnoteRef/>
      </w:r>
      <w:r>
        <w:t xml:space="preserve"> </w:t>
      </w:r>
      <w:r>
        <w:rPr>
          <w:i/>
        </w:rPr>
        <w:t xml:space="preserve">Compromis, </w:t>
      </w:r>
      <w:r>
        <w:t>[4], [16], [17], [37].</w:t>
      </w:r>
    </w:p>
  </w:footnote>
  <w:footnote w:id="254">
    <w:p w14:paraId="4F4CEB44" w14:textId="6CE9EAA2" w:rsidR="009A7F82" w:rsidRPr="00BF6D0F" w:rsidRDefault="009A7F82" w:rsidP="00EC5B59">
      <w:pPr>
        <w:pStyle w:val="FootnoteText"/>
        <w:rPr>
          <w:lang w:val="en-US"/>
        </w:rPr>
      </w:pPr>
      <w:r>
        <w:rPr>
          <w:rStyle w:val="FootnoteReference"/>
        </w:rPr>
        <w:footnoteRef/>
      </w:r>
      <w:r>
        <w:t xml:space="preserve"> </w:t>
      </w:r>
      <w:r>
        <w:rPr>
          <w:i/>
        </w:rPr>
        <w:t xml:space="preserve">Compromis, </w:t>
      </w:r>
      <w:r>
        <w:t>[13]–[14].</w:t>
      </w:r>
    </w:p>
  </w:footnote>
  <w:footnote w:id="255">
    <w:p w14:paraId="54EA63C6" w14:textId="41022AFC" w:rsidR="009A7F82" w:rsidRPr="00F20389" w:rsidRDefault="009A7F82" w:rsidP="00EC5B59">
      <w:pPr>
        <w:pStyle w:val="FootnoteText"/>
        <w:rPr>
          <w:lang w:val="en-US"/>
        </w:rPr>
      </w:pPr>
      <w:r>
        <w:rPr>
          <w:rStyle w:val="FootnoteReference"/>
        </w:rPr>
        <w:footnoteRef/>
      </w:r>
      <w:r>
        <w:t xml:space="preserve"> </w:t>
      </w:r>
      <w:r>
        <w:rPr>
          <w:lang w:val="en-US"/>
        </w:rPr>
        <w:t xml:space="preserve">Examples where royalties are given are situations where the traditional knowledge was largely analogous, see </w:t>
      </w:r>
      <w:r w:rsidRPr="00254951">
        <w:t>Chennells</w:t>
      </w:r>
      <w:r>
        <w:t xml:space="preserve"> (2013), 169–170.</w:t>
      </w:r>
    </w:p>
  </w:footnote>
  <w:footnote w:id="256">
    <w:p w14:paraId="3F027520" w14:textId="77777777" w:rsidR="009A7F82" w:rsidRPr="001269AF" w:rsidRDefault="009A7F82" w:rsidP="00EC5B59">
      <w:pPr>
        <w:pStyle w:val="FootnoteText"/>
        <w:rPr>
          <w:lang w:val="en-US"/>
        </w:rPr>
      </w:pPr>
      <w:r>
        <w:rPr>
          <w:rStyle w:val="FootnoteReference"/>
        </w:rPr>
        <w:footnoteRef/>
      </w:r>
      <w:r>
        <w:t xml:space="preserve"> </w:t>
      </w:r>
      <w:r w:rsidRPr="00197EB5">
        <w:rPr>
          <w:lang w:val="en-US"/>
        </w:rPr>
        <w:t>ASR</w:t>
      </w:r>
      <w:r>
        <w:rPr>
          <w:lang w:val="en-US"/>
        </w:rPr>
        <w:t xml:space="preserve"> art 31(2); </w:t>
      </w:r>
      <w:r w:rsidRPr="006219EA">
        <w:rPr>
          <w:i/>
          <w:iCs/>
        </w:rPr>
        <w:t>Lusitania</w:t>
      </w:r>
      <w:r>
        <w:rPr>
          <w:i/>
          <w:iCs/>
        </w:rPr>
        <w:t xml:space="preserve"> </w:t>
      </w:r>
      <w:r w:rsidRPr="006219EA">
        <w:rPr>
          <w:i/>
          <w:iCs/>
        </w:rPr>
        <w:t>Case</w:t>
      </w:r>
      <w:r>
        <w:rPr>
          <w:i/>
          <w:iCs/>
        </w:rPr>
        <w:t xml:space="preserve">, </w:t>
      </w:r>
      <w:r>
        <w:rPr>
          <w:iCs/>
        </w:rPr>
        <w:t xml:space="preserve">37; </w:t>
      </w:r>
      <w:r>
        <w:t xml:space="preserve">Crawford, Pellet and </w:t>
      </w:r>
      <w:r>
        <w:t xml:space="preserve">Olleson (2010), </w:t>
      </w:r>
      <w:r>
        <w:rPr>
          <w:lang w:val="en-US"/>
        </w:rPr>
        <w:t>599; Brownlie (1983), 223.</w:t>
      </w:r>
    </w:p>
  </w:footnote>
  <w:footnote w:id="257">
    <w:p w14:paraId="5C54306E" w14:textId="77777777" w:rsidR="009A7F82" w:rsidRPr="0083560E" w:rsidRDefault="009A7F82" w:rsidP="00EC5B59">
      <w:pPr>
        <w:pStyle w:val="FootnoteText"/>
        <w:rPr>
          <w:lang w:val="en-US"/>
        </w:rPr>
      </w:pPr>
      <w:r>
        <w:rPr>
          <w:rStyle w:val="FootnoteReference"/>
        </w:rPr>
        <w:footnoteRef/>
      </w:r>
      <w:r>
        <w:t xml:space="preserve"> </w:t>
      </w:r>
      <w:r w:rsidRPr="00FA15BB">
        <w:rPr>
          <w:i/>
        </w:rPr>
        <w:t>Ahmadou Sadio Diallo (Compensation)</w:t>
      </w:r>
      <w:r>
        <w:rPr>
          <w:i/>
        </w:rPr>
        <w:t xml:space="preserve">, </w:t>
      </w:r>
      <w:r>
        <w:t xml:space="preserve">[24]. </w:t>
      </w:r>
    </w:p>
  </w:footnote>
  <w:footnote w:id="258">
    <w:p w14:paraId="24D2C3B4" w14:textId="35D9E9E2" w:rsidR="009A7F82" w:rsidRPr="000C457E" w:rsidRDefault="009A7F82" w:rsidP="00EC5B59">
      <w:pPr>
        <w:pStyle w:val="FootnoteText"/>
        <w:rPr>
          <w:lang w:val="en-US"/>
        </w:rPr>
      </w:pPr>
      <w:r>
        <w:rPr>
          <w:rStyle w:val="FootnoteReference"/>
        </w:rPr>
        <w:footnoteRef/>
      </w:r>
      <w:r>
        <w:t xml:space="preserve"> </w:t>
      </w:r>
      <w:r>
        <w:rPr>
          <w:i/>
        </w:rPr>
        <w:t xml:space="preserve">Veládquez Rodríguez </w:t>
      </w:r>
      <w:r w:rsidRPr="00F15732">
        <w:rPr>
          <w:i/>
        </w:rPr>
        <w:t>v Honduras</w:t>
      </w:r>
      <w:r>
        <w:rPr>
          <w:i/>
        </w:rPr>
        <w:t>,</w:t>
      </w:r>
      <w:r>
        <w:t xml:space="preserve"> [39]; </w:t>
      </w:r>
      <w:r>
        <w:rPr>
          <w:lang w:val="en-US"/>
        </w:rPr>
        <w:t>ASR Commentary, art 36, [16].</w:t>
      </w:r>
    </w:p>
  </w:footnote>
  <w:footnote w:id="259">
    <w:p w14:paraId="44AA9EC4" w14:textId="77777777" w:rsidR="009A7F82" w:rsidRPr="00B11661" w:rsidRDefault="009A7F82" w:rsidP="00EC5B59">
      <w:pPr>
        <w:pStyle w:val="FootnoteText"/>
        <w:rPr>
          <w:lang w:val="en-US"/>
        </w:rPr>
      </w:pPr>
      <w:r>
        <w:rPr>
          <w:rStyle w:val="FootnoteReference"/>
        </w:rPr>
        <w:footnoteRef/>
      </w:r>
      <w:r>
        <w:t xml:space="preserve"> </w:t>
      </w:r>
      <w:r w:rsidRPr="001269AF">
        <w:rPr>
          <w:i/>
          <w:color w:val="000000" w:themeColor="text1"/>
        </w:rPr>
        <w:t>Ahmadou Sadio Diallo</w:t>
      </w:r>
      <w:r>
        <w:rPr>
          <w:i/>
          <w:color w:val="000000" w:themeColor="text1"/>
        </w:rPr>
        <w:t xml:space="preserve"> (Compensation), </w:t>
      </w:r>
      <w:r>
        <w:rPr>
          <w:color w:val="000000" w:themeColor="text1"/>
        </w:rPr>
        <w:t>[21].</w:t>
      </w:r>
    </w:p>
  </w:footnote>
  <w:footnote w:id="260">
    <w:p w14:paraId="60999EE4" w14:textId="343B930C" w:rsidR="009A7F82" w:rsidRPr="00D77FCB" w:rsidRDefault="009A7F82" w:rsidP="00EC5B59">
      <w:pPr>
        <w:pStyle w:val="FootnoteText"/>
        <w:rPr>
          <w:b/>
          <w:lang w:val="en-US"/>
        </w:rPr>
      </w:pPr>
      <w:r>
        <w:rPr>
          <w:rStyle w:val="FootnoteReference"/>
        </w:rPr>
        <w:footnoteRef/>
      </w:r>
      <w:r>
        <w:t xml:space="preserve"> </w:t>
      </w:r>
      <w:r w:rsidRPr="00432001">
        <w:rPr>
          <w:bCs/>
          <w:i/>
        </w:rPr>
        <w:t>Border Area</w:t>
      </w:r>
      <w:r w:rsidRPr="00432001">
        <w:rPr>
          <w:bCs/>
        </w:rPr>
        <w:t xml:space="preserve"> </w:t>
      </w:r>
      <w:r>
        <w:rPr>
          <w:bCs/>
          <w:i/>
        </w:rPr>
        <w:t>(Compensation),</w:t>
      </w:r>
      <w:r>
        <w:rPr>
          <w:bCs/>
        </w:rPr>
        <w:t xml:space="preserve"> [31]; </w:t>
      </w:r>
      <w:r>
        <w:rPr>
          <w:i/>
        </w:rPr>
        <w:t xml:space="preserve">Veládquez Rodríguez </w:t>
      </w:r>
      <w:r w:rsidRPr="00F15732">
        <w:rPr>
          <w:i/>
        </w:rPr>
        <w:t>v Honduras</w:t>
      </w:r>
      <w:r>
        <w:rPr>
          <w:i/>
        </w:rPr>
        <w:t xml:space="preserve">, </w:t>
      </w:r>
      <w:r>
        <w:t>[38];</w:t>
      </w:r>
      <w:r>
        <w:rPr>
          <w:bCs/>
        </w:rPr>
        <w:t xml:space="preserve"> </w:t>
      </w:r>
      <w:r>
        <w:t>ASR Commentary, Chapter III, [3]; Crawford, Pellet and Olleson (2010), 671.</w:t>
      </w:r>
    </w:p>
  </w:footnote>
  <w:footnote w:id="261">
    <w:p w14:paraId="00717AEE" w14:textId="0AC6EF33" w:rsidR="009A7F82" w:rsidRPr="00E9714F" w:rsidRDefault="009A7F82" w:rsidP="00EC5B59">
      <w:pPr>
        <w:pStyle w:val="FootnoteText"/>
        <w:rPr>
          <w:lang w:val="en-US"/>
        </w:rPr>
      </w:pPr>
      <w:r>
        <w:rPr>
          <w:rStyle w:val="FootnoteReference"/>
        </w:rPr>
        <w:footnoteRef/>
      </w:r>
      <w:r>
        <w:t xml:space="preserve"> </w:t>
      </w:r>
      <w:r w:rsidRPr="00197EB5">
        <w:rPr>
          <w:lang w:val="en-US"/>
        </w:rPr>
        <w:t>ASR</w:t>
      </w:r>
      <w:r>
        <w:rPr>
          <w:lang w:val="en-US"/>
        </w:rPr>
        <w:t>,</w:t>
      </w:r>
      <w:r>
        <w:rPr>
          <w:i/>
          <w:lang w:val="en-US"/>
        </w:rPr>
        <w:t xml:space="preserve"> </w:t>
      </w:r>
      <w:r>
        <w:rPr>
          <w:lang w:val="en-US"/>
        </w:rPr>
        <w:t xml:space="preserve">art 37; ASR Commentary, art 37, [3]; </w:t>
      </w:r>
      <w:r>
        <w:t xml:space="preserve">Crawford, Pellet and </w:t>
      </w:r>
      <w:r>
        <w:t xml:space="preserve">Olleson (2010), 580; </w:t>
      </w:r>
      <w:r>
        <w:rPr>
          <w:i/>
        </w:rPr>
        <w:t>Rainbow Warrior,</w:t>
      </w:r>
      <w:r>
        <w:t xml:space="preserve"> [112].</w:t>
      </w:r>
    </w:p>
  </w:footnote>
  <w:footnote w:id="262">
    <w:p w14:paraId="1C85B7BB" w14:textId="77777777" w:rsidR="009A7F82" w:rsidRPr="00DF36B1" w:rsidRDefault="009A7F82" w:rsidP="00EC5B59">
      <w:pPr>
        <w:pStyle w:val="FootnoteText"/>
        <w:rPr>
          <w:lang w:val="en-US"/>
        </w:rPr>
      </w:pPr>
      <w:r>
        <w:rPr>
          <w:rStyle w:val="FootnoteReference"/>
        </w:rPr>
        <w:footnoteRef/>
      </w:r>
      <w:r>
        <w:t xml:space="preserve"> </w:t>
      </w:r>
      <w:r>
        <w:rPr>
          <w:i/>
          <w:lang w:val="en-US"/>
        </w:rPr>
        <w:t xml:space="preserve">Genocide Case </w:t>
      </w:r>
      <w:r>
        <w:rPr>
          <w:bCs/>
          <w:i/>
        </w:rPr>
        <w:t>(Bosnia v Serbia)</w:t>
      </w:r>
      <w:r>
        <w:rPr>
          <w:i/>
          <w:lang w:val="en-US"/>
        </w:rPr>
        <w:t xml:space="preserve">, </w:t>
      </w:r>
      <w:r>
        <w:rPr>
          <w:lang w:val="en-US"/>
        </w:rPr>
        <w:t xml:space="preserve">[463]; </w:t>
      </w:r>
      <w:r>
        <w:rPr>
          <w:i/>
          <w:lang w:val="en-US"/>
        </w:rPr>
        <w:t xml:space="preserve">Corfu Channel, </w:t>
      </w:r>
      <w:r>
        <w:rPr>
          <w:lang w:val="en-US"/>
        </w:rPr>
        <w:t>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4ED6"/>
    <w:multiLevelType w:val="multilevel"/>
    <w:tmpl w:val="351AB590"/>
    <w:lvl w:ilvl="0">
      <w:start w:val="1"/>
      <w:numFmt w:val="upperRoman"/>
      <w:pStyle w:val="Heading2"/>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46C1E24"/>
    <w:multiLevelType w:val="multilevel"/>
    <w:tmpl w:val="15467304"/>
    <w:lvl w:ilvl="0">
      <w:start w:val="1"/>
      <w:numFmt w:val="lowerRoman"/>
      <w:pStyle w:val="Heading5"/>
      <w:lvlText w:val="%1."/>
      <w:lvlJc w:val="left"/>
      <w:pPr>
        <w:ind w:left="1701"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84847EA"/>
    <w:multiLevelType w:val="hybridMultilevel"/>
    <w:tmpl w:val="C15EB780"/>
    <w:lvl w:ilvl="0" w:tplc="1C508000">
      <w:start w:val="1"/>
      <w:numFmt w:val="upperRoman"/>
      <w:lvlText w:val="%1."/>
      <w:lvlJc w:val="right"/>
      <w:pPr>
        <w:ind w:left="840" w:hanging="360"/>
      </w:pPr>
      <w:rPr>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2A041996"/>
    <w:multiLevelType w:val="hybridMultilevel"/>
    <w:tmpl w:val="3F70218C"/>
    <w:lvl w:ilvl="0" w:tplc="46881F62">
      <w:start w:val="1"/>
      <w:numFmt w:val="upperRoman"/>
      <w:lvlText w:val="%1."/>
      <w:lvlJc w:val="right"/>
      <w:pPr>
        <w:ind w:left="960" w:hanging="360"/>
      </w:pPr>
      <w:rPr>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2B005936"/>
    <w:multiLevelType w:val="multilevel"/>
    <w:tmpl w:val="36FA6E8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7E6617"/>
    <w:multiLevelType w:val="hybridMultilevel"/>
    <w:tmpl w:val="07B615BA"/>
    <w:lvl w:ilvl="0" w:tplc="7820C1D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573AB"/>
    <w:multiLevelType w:val="hybridMultilevel"/>
    <w:tmpl w:val="2FDA4932"/>
    <w:lvl w:ilvl="0" w:tplc="7D24397C">
      <w:start w:val="1"/>
      <w:numFmt w:val="upperRoman"/>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07396F"/>
    <w:multiLevelType w:val="multilevel"/>
    <w:tmpl w:val="203AC41C"/>
    <w:lvl w:ilvl="0">
      <w:start w:val="1"/>
      <w:numFmt w:val="upperLetter"/>
      <w:pStyle w:val="Heading3"/>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7D5763"/>
    <w:multiLevelType w:val="hybridMultilevel"/>
    <w:tmpl w:val="F998044E"/>
    <w:lvl w:ilvl="0" w:tplc="783891E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0446A"/>
    <w:multiLevelType w:val="hybridMultilevel"/>
    <w:tmpl w:val="77C06CAA"/>
    <w:lvl w:ilvl="0" w:tplc="0F3CD9A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8B5CA9"/>
    <w:multiLevelType w:val="multilevel"/>
    <w:tmpl w:val="E2D8015A"/>
    <w:lvl w:ilvl="0">
      <w:start w:val="1"/>
      <w:numFmt w:val="decimal"/>
      <w:pStyle w:val="Heading4"/>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DA33862"/>
    <w:multiLevelType w:val="hybridMultilevel"/>
    <w:tmpl w:val="D14CF912"/>
    <w:lvl w:ilvl="0" w:tplc="CD8E37F6">
      <w:start w:val="1"/>
      <w:numFmt w:val="upperRoman"/>
      <w:lvlText w:val="%1."/>
      <w:lvlJc w:val="right"/>
      <w:pPr>
        <w:ind w:left="840" w:hanging="360"/>
      </w:pPr>
      <w:rPr>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4"/>
  </w:num>
  <w:num w:numId="3">
    <w:abstractNumId w:val="7"/>
  </w:num>
  <w:num w:numId="4">
    <w:abstractNumId w:val="10"/>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
  </w:num>
  <w:num w:numId="38">
    <w:abstractNumId w:val="11"/>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F4"/>
    <w:rsid w:val="000005AA"/>
    <w:rsid w:val="0000627F"/>
    <w:rsid w:val="00007F34"/>
    <w:rsid w:val="000112B2"/>
    <w:rsid w:val="00013A0F"/>
    <w:rsid w:val="0001407C"/>
    <w:rsid w:val="0001513D"/>
    <w:rsid w:val="00017AA8"/>
    <w:rsid w:val="00022236"/>
    <w:rsid w:val="00036087"/>
    <w:rsid w:val="0003777B"/>
    <w:rsid w:val="0004084E"/>
    <w:rsid w:val="000413B8"/>
    <w:rsid w:val="00054496"/>
    <w:rsid w:val="00055201"/>
    <w:rsid w:val="000557BC"/>
    <w:rsid w:val="00062C1E"/>
    <w:rsid w:val="00064237"/>
    <w:rsid w:val="00065B71"/>
    <w:rsid w:val="00070F4D"/>
    <w:rsid w:val="00075415"/>
    <w:rsid w:val="000816C1"/>
    <w:rsid w:val="00081B68"/>
    <w:rsid w:val="00082976"/>
    <w:rsid w:val="000851B1"/>
    <w:rsid w:val="00091765"/>
    <w:rsid w:val="000A17A2"/>
    <w:rsid w:val="000B181C"/>
    <w:rsid w:val="000B376D"/>
    <w:rsid w:val="000B7DA3"/>
    <w:rsid w:val="000C14E6"/>
    <w:rsid w:val="000C2ED0"/>
    <w:rsid w:val="000C65B3"/>
    <w:rsid w:val="000E1CA5"/>
    <w:rsid w:val="000E491F"/>
    <w:rsid w:val="000E4D55"/>
    <w:rsid w:val="000F066B"/>
    <w:rsid w:val="000F1CC7"/>
    <w:rsid w:val="000F2E54"/>
    <w:rsid w:val="000F5621"/>
    <w:rsid w:val="000F7870"/>
    <w:rsid w:val="001001B6"/>
    <w:rsid w:val="001041EA"/>
    <w:rsid w:val="001054CE"/>
    <w:rsid w:val="00110580"/>
    <w:rsid w:val="001144BC"/>
    <w:rsid w:val="00115322"/>
    <w:rsid w:val="00120112"/>
    <w:rsid w:val="00122B38"/>
    <w:rsid w:val="00126844"/>
    <w:rsid w:val="00132A4C"/>
    <w:rsid w:val="00132CE6"/>
    <w:rsid w:val="0013434E"/>
    <w:rsid w:val="00135908"/>
    <w:rsid w:val="0013616B"/>
    <w:rsid w:val="00136B4C"/>
    <w:rsid w:val="001414A1"/>
    <w:rsid w:val="00142324"/>
    <w:rsid w:val="0014249E"/>
    <w:rsid w:val="00142780"/>
    <w:rsid w:val="00147076"/>
    <w:rsid w:val="0015706D"/>
    <w:rsid w:val="001571E8"/>
    <w:rsid w:val="00160AF0"/>
    <w:rsid w:val="0016389A"/>
    <w:rsid w:val="001714E1"/>
    <w:rsid w:val="00175D02"/>
    <w:rsid w:val="001828BA"/>
    <w:rsid w:val="0019100C"/>
    <w:rsid w:val="001921C6"/>
    <w:rsid w:val="00197EB5"/>
    <w:rsid w:val="001A0795"/>
    <w:rsid w:val="001A26AC"/>
    <w:rsid w:val="001A4AD7"/>
    <w:rsid w:val="001A4DFF"/>
    <w:rsid w:val="001A622F"/>
    <w:rsid w:val="001C0502"/>
    <w:rsid w:val="001C28AD"/>
    <w:rsid w:val="001C4F07"/>
    <w:rsid w:val="001D4497"/>
    <w:rsid w:val="001D7370"/>
    <w:rsid w:val="001E10EB"/>
    <w:rsid w:val="001E23A4"/>
    <w:rsid w:val="001F5EC4"/>
    <w:rsid w:val="00202474"/>
    <w:rsid w:val="00202970"/>
    <w:rsid w:val="00202B54"/>
    <w:rsid w:val="00202D73"/>
    <w:rsid w:val="00202EDF"/>
    <w:rsid w:val="00203593"/>
    <w:rsid w:val="0020399A"/>
    <w:rsid w:val="00206BF5"/>
    <w:rsid w:val="00207DD5"/>
    <w:rsid w:val="00210368"/>
    <w:rsid w:val="00211F46"/>
    <w:rsid w:val="00212E53"/>
    <w:rsid w:val="00214B33"/>
    <w:rsid w:val="0022202A"/>
    <w:rsid w:val="00226678"/>
    <w:rsid w:val="002309C8"/>
    <w:rsid w:val="00235766"/>
    <w:rsid w:val="002362F4"/>
    <w:rsid w:val="00241A50"/>
    <w:rsid w:val="002571F6"/>
    <w:rsid w:val="00262069"/>
    <w:rsid w:val="00264C18"/>
    <w:rsid w:val="00265645"/>
    <w:rsid w:val="00265ACD"/>
    <w:rsid w:val="002662DE"/>
    <w:rsid w:val="0026729C"/>
    <w:rsid w:val="00267481"/>
    <w:rsid w:val="00267F8E"/>
    <w:rsid w:val="002863B5"/>
    <w:rsid w:val="0029252B"/>
    <w:rsid w:val="002940CA"/>
    <w:rsid w:val="002956DD"/>
    <w:rsid w:val="00297B31"/>
    <w:rsid w:val="00297B78"/>
    <w:rsid w:val="00297C35"/>
    <w:rsid w:val="002A2B67"/>
    <w:rsid w:val="002A37F9"/>
    <w:rsid w:val="002A3C1D"/>
    <w:rsid w:val="002A4C38"/>
    <w:rsid w:val="002A5219"/>
    <w:rsid w:val="002A78E5"/>
    <w:rsid w:val="002B3971"/>
    <w:rsid w:val="002B4429"/>
    <w:rsid w:val="002C01FE"/>
    <w:rsid w:val="002C21C2"/>
    <w:rsid w:val="002C4AC8"/>
    <w:rsid w:val="002D6BA3"/>
    <w:rsid w:val="002D7E3B"/>
    <w:rsid w:val="002E0FCB"/>
    <w:rsid w:val="002E50D2"/>
    <w:rsid w:val="002E7964"/>
    <w:rsid w:val="002F48D3"/>
    <w:rsid w:val="002F7735"/>
    <w:rsid w:val="002F7CCC"/>
    <w:rsid w:val="00314598"/>
    <w:rsid w:val="00315763"/>
    <w:rsid w:val="00320996"/>
    <w:rsid w:val="003215BA"/>
    <w:rsid w:val="0032347D"/>
    <w:rsid w:val="00323679"/>
    <w:rsid w:val="00326014"/>
    <w:rsid w:val="00327144"/>
    <w:rsid w:val="00330786"/>
    <w:rsid w:val="00336DBE"/>
    <w:rsid w:val="003373F1"/>
    <w:rsid w:val="0034118A"/>
    <w:rsid w:val="0034167D"/>
    <w:rsid w:val="003420D6"/>
    <w:rsid w:val="00343D6C"/>
    <w:rsid w:val="00345D00"/>
    <w:rsid w:val="00351EE4"/>
    <w:rsid w:val="003528EB"/>
    <w:rsid w:val="00356B36"/>
    <w:rsid w:val="00356C9F"/>
    <w:rsid w:val="00357E85"/>
    <w:rsid w:val="00362D31"/>
    <w:rsid w:val="00364FC0"/>
    <w:rsid w:val="00372715"/>
    <w:rsid w:val="00373937"/>
    <w:rsid w:val="00373E0B"/>
    <w:rsid w:val="00380627"/>
    <w:rsid w:val="003817A9"/>
    <w:rsid w:val="00382E66"/>
    <w:rsid w:val="00382E90"/>
    <w:rsid w:val="00384773"/>
    <w:rsid w:val="003867EC"/>
    <w:rsid w:val="0038694C"/>
    <w:rsid w:val="00390075"/>
    <w:rsid w:val="00390870"/>
    <w:rsid w:val="00391F85"/>
    <w:rsid w:val="003924C2"/>
    <w:rsid w:val="003927FD"/>
    <w:rsid w:val="00395240"/>
    <w:rsid w:val="003A5585"/>
    <w:rsid w:val="003B021E"/>
    <w:rsid w:val="003B22AA"/>
    <w:rsid w:val="003B4C79"/>
    <w:rsid w:val="003B5169"/>
    <w:rsid w:val="003B775B"/>
    <w:rsid w:val="003B7C7C"/>
    <w:rsid w:val="003C36F4"/>
    <w:rsid w:val="003C428C"/>
    <w:rsid w:val="003C46C3"/>
    <w:rsid w:val="003C7301"/>
    <w:rsid w:val="003D2E7B"/>
    <w:rsid w:val="003D5B9F"/>
    <w:rsid w:val="003E0708"/>
    <w:rsid w:val="003F04F0"/>
    <w:rsid w:val="003F189C"/>
    <w:rsid w:val="003F1BAD"/>
    <w:rsid w:val="003F24BA"/>
    <w:rsid w:val="003F49CD"/>
    <w:rsid w:val="003F56BA"/>
    <w:rsid w:val="00401476"/>
    <w:rsid w:val="004030A5"/>
    <w:rsid w:val="00413224"/>
    <w:rsid w:val="0041365B"/>
    <w:rsid w:val="004136FC"/>
    <w:rsid w:val="00414D2E"/>
    <w:rsid w:val="00416F38"/>
    <w:rsid w:val="00420CD4"/>
    <w:rsid w:val="00424CDC"/>
    <w:rsid w:val="004255D9"/>
    <w:rsid w:val="00433BE8"/>
    <w:rsid w:val="004352F6"/>
    <w:rsid w:val="00436242"/>
    <w:rsid w:val="0043737B"/>
    <w:rsid w:val="0044024E"/>
    <w:rsid w:val="0044351A"/>
    <w:rsid w:val="00444540"/>
    <w:rsid w:val="00444967"/>
    <w:rsid w:val="00446FBD"/>
    <w:rsid w:val="004475CE"/>
    <w:rsid w:val="004536B8"/>
    <w:rsid w:val="00454179"/>
    <w:rsid w:val="00457C8B"/>
    <w:rsid w:val="00457D96"/>
    <w:rsid w:val="00460441"/>
    <w:rsid w:val="00463598"/>
    <w:rsid w:val="00464D2C"/>
    <w:rsid w:val="00465B6E"/>
    <w:rsid w:val="00467D6B"/>
    <w:rsid w:val="00473495"/>
    <w:rsid w:val="00480C52"/>
    <w:rsid w:val="00484981"/>
    <w:rsid w:val="0049164D"/>
    <w:rsid w:val="004A1AC0"/>
    <w:rsid w:val="004A3EDF"/>
    <w:rsid w:val="004A624A"/>
    <w:rsid w:val="004B04D5"/>
    <w:rsid w:val="004B0D9D"/>
    <w:rsid w:val="004B2C45"/>
    <w:rsid w:val="004C1B3E"/>
    <w:rsid w:val="004C44E2"/>
    <w:rsid w:val="004C4D02"/>
    <w:rsid w:val="004C754C"/>
    <w:rsid w:val="004D16C5"/>
    <w:rsid w:val="004D1712"/>
    <w:rsid w:val="004D3531"/>
    <w:rsid w:val="004D5574"/>
    <w:rsid w:val="004D5C1E"/>
    <w:rsid w:val="004E0165"/>
    <w:rsid w:val="004E18D3"/>
    <w:rsid w:val="004E3CAD"/>
    <w:rsid w:val="004E5052"/>
    <w:rsid w:val="004E53A9"/>
    <w:rsid w:val="004F1DBE"/>
    <w:rsid w:val="004F4EA3"/>
    <w:rsid w:val="004F5DA8"/>
    <w:rsid w:val="004F61D6"/>
    <w:rsid w:val="00503E13"/>
    <w:rsid w:val="005047BF"/>
    <w:rsid w:val="00507719"/>
    <w:rsid w:val="0051166C"/>
    <w:rsid w:val="005116DA"/>
    <w:rsid w:val="00511899"/>
    <w:rsid w:val="00513B58"/>
    <w:rsid w:val="0051535F"/>
    <w:rsid w:val="00517274"/>
    <w:rsid w:val="00524575"/>
    <w:rsid w:val="00531AEF"/>
    <w:rsid w:val="00536192"/>
    <w:rsid w:val="00540771"/>
    <w:rsid w:val="00543453"/>
    <w:rsid w:val="00545B0F"/>
    <w:rsid w:val="005533DF"/>
    <w:rsid w:val="005626C2"/>
    <w:rsid w:val="00564D90"/>
    <w:rsid w:val="005758F8"/>
    <w:rsid w:val="00577F97"/>
    <w:rsid w:val="00582203"/>
    <w:rsid w:val="00590475"/>
    <w:rsid w:val="00590692"/>
    <w:rsid w:val="00591212"/>
    <w:rsid w:val="00591702"/>
    <w:rsid w:val="005A0E80"/>
    <w:rsid w:val="005A22C1"/>
    <w:rsid w:val="005A2B33"/>
    <w:rsid w:val="005A5959"/>
    <w:rsid w:val="005B27C5"/>
    <w:rsid w:val="005B332A"/>
    <w:rsid w:val="005B3624"/>
    <w:rsid w:val="005B3CEE"/>
    <w:rsid w:val="005B4DBF"/>
    <w:rsid w:val="005B7663"/>
    <w:rsid w:val="005C026D"/>
    <w:rsid w:val="005C6928"/>
    <w:rsid w:val="005C6F1F"/>
    <w:rsid w:val="005C7477"/>
    <w:rsid w:val="005D250F"/>
    <w:rsid w:val="005D303C"/>
    <w:rsid w:val="005D7CF7"/>
    <w:rsid w:val="005E6645"/>
    <w:rsid w:val="005F134E"/>
    <w:rsid w:val="005F2A9E"/>
    <w:rsid w:val="005F41DA"/>
    <w:rsid w:val="005F4DF4"/>
    <w:rsid w:val="00600B95"/>
    <w:rsid w:val="00611434"/>
    <w:rsid w:val="0061222E"/>
    <w:rsid w:val="006147F5"/>
    <w:rsid w:val="00615CC8"/>
    <w:rsid w:val="00617F54"/>
    <w:rsid w:val="00621825"/>
    <w:rsid w:val="00621B5A"/>
    <w:rsid w:val="00630020"/>
    <w:rsid w:val="00630403"/>
    <w:rsid w:val="00630A0D"/>
    <w:rsid w:val="00637E36"/>
    <w:rsid w:val="00640117"/>
    <w:rsid w:val="00643F48"/>
    <w:rsid w:val="00653831"/>
    <w:rsid w:val="00654C68"/>
    <w:rsid w:val="006564FA"/>
    <w:rsid w:val="00661C8E"/>
    <w:rsid w:val="00662686"/>
    <w:rsid w:val="00676068"/>
    <w:rsid w:val="00677E08"/>
    <w:rsid w:val="00680558"/>
    <w:rsid w:val="00680B61"/>
    <w:rsid w:val="006812D5"/>
    <w:rsid w:val="00681BB7"/>
    <w:rsid w:val="00682611"/>
    <w:rsid w:val="00685C33"/>
    <w:rsid w:val="00690259"/>
    <w:rsid w:val="006920F8"/>
    <w:rsid w:val="00694F8B"/>
    <w:rsid w:val="006959FF"/>
    <w:rsid w:val="006A3D69"/>
    <w:rsid w:val="006B03CA"/>
    <w:rsid w:val="006B5C60"/>
    <w:rsid w:val="006C0A56"/>
    <w:rsid w:val="006C1C16"/>
    <w:rsid w:val="006C1E13"/>
    <w:rsid w:val="006D1E49"/>
    <w:rsid w:val="006D4D48"/>
    <w:rsid w:val="006D75C4"/>
    <w:rsid w:val="006E2222"/>
    <w:rsid w:val="006E2DD2"/>
    <w:rsid w:val="006E34F1"/>
    <w:rsid w:val="006F0DC8"/>
    <w:rsid w:val="006F1B0D"/>
    <w:rsid w:val="006F1F3F"/>
    <w:rsid w:val="006F27D5"/>
    <w:rsid w:val="006F3CEE"/>
    <w:rsid w:val="006F5ACB"/>
    <w:rsid w:val="00701353"/>
    <w:rsid w:val="00702F00"/>
    <w:rsid w:val="00705540"/>
    <w:rsid w:val="0071378E"/>
    <w:rsid w:val="00721D83"/>
    <w:rsid w:val="00735A3D"/>
    <w:rsid w:val="007405B8"/>
    <w:rsid w:val="007432C7"/>
    <w:rsid w:val="00743480"/>
    <w:rsid w:val="00744414"/>
    <w:rsid w:val="00746129"/>
    <w:rsid w:val="0075096C"/>
    <w:rsid w:val="00751124"/>
    <w:rsid w:val="00753FC2"/>
    <w:rsid w:val="007570E9"/>
    <w:rsid w:val="00761600"/>
    <w:rsid w:val="00762E42"/>
    <w:rsid w:val="0076707C"/>
    <w:rsid w:val="007734AF"/>
    <w:rsid w:val="00786051"/>
    <w:rsid w:val="00786FAE"/>
    <w:rsid w:val="007918CC"/>
    <w:rsid w:val="007A02F9"/>
    <w:rsid w:val="007A68CF"/>
    <w:rsid w:val="007B16E7"/>
    <w:rsid w:val="007B17BA"/>
    <w:rsid w:val="007B2973"/>
    <w:rsid w:val="007B3DA8"/>
    <w:rsid w:val="007C1367"/>
    <w:rsid w:val="007C1441"/>
    <w:rsid w:val="007C5902"/>
    <w:rsid w:val="007C73E9"/>
    <w:rsid w:val="007D0F7E"/>
    <w:rsid w:val="007D249D"/>
    <w:rsid w:val="007D3BB7"/>
    <w:rsid w:val="007D4580"/>
    <w:rsid w:val="007D4AAD"/>
    <w:rsid w:val="007E05F5"/>
    <w:rsid w:val="007E4E46"/>
    <w:rsid w:val="007E7ADB"/>
    <w:rsid w:val="007F00FA"/>
    <w:rsid w:val="007F1458"/>
    <w:rsid w:val="007F2551"/>
    <w:rsid w:val="007F3BA1"/>
    <w:rsid w:val="007F3C77"/>
    <w:rsid w:val="00802614"/>
    <w:rsid w:val="0080298E"/>
    <w:rsid w:val="0080359D"/>
    <w:rsid w:val="00803C34"/>
    <w:rsid w:val="008104DD"/>
    <w:rsid w:val="00812228"/>
    <w:rsid w:val="008128E4"/>
    <w:rsid w:val="00812FD1"/>
    <w:rsid w:val="00820397"/>
    <w:rsid w:val="008235B2"/>
    <w:rsid w:val="00831FCC"/>
    <w:rsid w:val="00833A1B"/>
    <w:rsid w:val="008346E0"/>
    <w:rsid w:val="00835E21"/>
    <w:rsid w:val="008413BC"/>
    <w:rsid w:val="00843CF3"/>
    <w:rsid w:val="00863B97"/>
    <w:rsid w:val="008647C9"/>
    <w:rsid w:val="00865DD9"/>
    <w:rsid w:val="00866364"/>
    <w:rsid w:val="00866A10"/>
    <w:rsid w:val="00872956"/>
    <w:rsid w:val="00872D4C"/>
    <w:rsid w:val="00877222"/>
    <w:rsid w:val="00880871"/>
    <w:rsid w:val="00891485"/>
    <w:rsid w:val="0089189B"/>
    <w:rsid w:val="008924A4"/>
    <w:rsid w:val="00894B06"/>
    <w:rsid w:val="00895A18"/>
    <w:rsid w:val="0089764A"/>
    <w:rsid w:val="008A0698"/>
    <w:rsid w:val="008A0746"/>
    <w:rsid w:val="008A0C67"/>
    <w:rsid w:val="008A3393"/>
    <w:rsid w:val="008A371E"/>
    <w:rsid w:val="008A43FB"/>
    <w:rsid w:val="008A444D"/>
    <w:rsid w:val="008A65D6"/>
    <w:rsid w:val="008A69E2"/>
    <w:rsid w:val="008B0DE5"/>
    <w:rsid w:val="008B0F1D"/>
    <w:rsid w:val="008B60C3"/>
    <w:rsid w:val="008C06F4"/>
    <w:rsid w:val="008C1658"/>
    <w:rsid w:val="008D0539"/>
    <w:rsid w:val="008D064E"/>
    <w:rsid w:val="008D6A8B"/>
    <w:rsid w:val="008D6C1C"/>
    <w:rsid w:val="008D7036"/>
    <w:rsid w:val="008E13FA"/>
    <w:rsid w:val="008E4BBD"/>
    <w:rsid w:val="008E4D0A"/>
    <w:rsid w:val="008E5BD6"/>
    <w:rsid w:val="008F0CA6"/>
    <w:rsid w:val="008F47B4"/>
    <w:rsid w:val="008F6146"/>
    <w:rsid w:val="0090208D"/>
    <w:rsid w:val="009040E9"/>
    <w:rsid w:val="00905C82"/>
    <w:rsid w:val="00911C4C"/>
    <w:rsid w:val="00912618"/>
    <w:rsid w:val="00914D5B"/>
    <w:rsid w:val="009235F4"/>
    <w:rsid w:val="00925486"/>
    <w:rsid w:val="009255FB"/>
    <w:rsid w:val="00927AF8"/>
    <w:rsid w:val="00930168"/>
    <w:rsid w:val="00932650"/>
    <w:rsid w:val="009333B4"/>
    <w:rsid w:val="009371CB"/>
    <w:rsid w:val="00940B99"/>
    <w:rsid w:val="0094340D"/>
    <w:rsid w:val="009464C1"/>
    <w:rsid w:val="009465AC"/>
    <w:rsid w:val="00947EAC"/>
    <w:rsid w:val="00957044"/>
    <w:rsid w:val="009651CD"/>
    <w:rsid w:val="00967585"/>
    <w:rsid w:val="00970324"/>
    <w:rsid w:val="009705F3"/>
    <w:rsid w:val="009722A8"/>
    <w:rsid w:val="009727BD"/>
    <w:rsid w:val="00972958"/>
    <w:rsid w:val="00981B03"/>
    <w:rsid w:val="0098319B"/>
    <w:rsid w:val="00983D9E"/>
    <w:rsid w:val="009871A4"/>
    <w:rsid w:val="00987272"/>
    <w:rsid w:val="00994659"/>
    <w:rsid w:val="009A0D57"/>
    <w:rsid w:val="009A31EF"/>
    <w:rsid w:val="009A75FD"/>
    <w:rsid w:val="009A7F82"/>
    <w:rsid w:val="009B075E"/>
    <w:rsid w:val="009C1EFB"/>
    <w:rsid w:val="009C2072"/>
    <w:rsid w:val="009C254F"/>
    <w:rsid w:val="009C3998"/>
    <w:rsid w:val="009C6DAC"/>
    <w:rsid w:val="009C7737"/>
    <w:rsid w:val="009C7DDD"/>
    <w:rsid w:val="009D0467"/>
    <w:rsid w:val="009D1382"/>
    <w:rsid w:val="009E64F2"/>
    <w:rsid w:val="009F0808"/>
    <w:rsid w:val="009F5137"/>
    <w:rsid w:val="009F51BA"/>
    <w:rsid w:val="00A1222C"/>
    <w:rsid w:val="00A13701"/>
    <w:rsid w:val="00A21168"/>
    <w:rsid w:val="00A23EF2"/>
    <w:rsid w:val="00A2533A"/>
    <w:rsid w:val="00A3290E"/>
    <w:rsid w:val="00A344FF"/>
    <w:rsid w:val="00A42870"/>
    <w:rsid w:val="00A467BF"/>
    <w:rsid w:val="00A4697B"/>
    <w:rsid w:val="00A50326"/>
    <w:rsid w:val="00A50AEF"/>
    <w:rsid w:val="00A52483"/>
    <w:rsid w:val="00A525BA"/>
    <w:rsid w:val="00A52623"/>
    <w:rsid w:val="00A553EE"/>
    <w:rsid w:val="00A61E0C"/>
    <w:rsid w:val="00A629B5"/>
    <w:rsid w:val="00A63A89"/>
    <w:rsid w:val="00A6490E"/>
    <w:rsid w:val="00A70D3C"/>
    <w:rsid w:val="00A72A22"/>
    <w:rsid w:val="00A81DD3"/>
    <w:rsid w:val="00A860FD"/>
    <w:rsid w:val="00A92581"/>
    <w:rsid w:val="00A92E13"/>
    <w:rsid w:val="00A939A8"/>
    <w:rsid w:val="00A94500"/>
    <w:rsid w:val="00A95B9D"/>
    <w:rsid w:val="00A9714A"/>
    <w:rsid w:val="00AA250B"/>
    <w:rsid w:val="00AA312F"/>
    <w:rsid w:val="00AA67F4"/>
    <w:rsid w:val="00AB03B6"/>
    <w:rsid w:val="00AB049B"/>
    <w:rsid w:val="00AB594B"/>
    <w:rsid w:val="00AB69C2"/>
    <w:rsid w:val="00AC460F"/>
    <w:rsid w:val="00AC5400"/>
    <w:rsid w:val="00AC6F36"/>
    <w:rsid w:val="00AE1F7F"/>
    <w:rsid w:val="00AF1405"/>
    <w:rsid w:val="00AF373B"/>
    <w:rsid w:val="00AF56E4"/>
    <w:rsid w:val="00AF78CE"/>
    <w:rsid w:val="00B01F36"/>
    <w:rsid w:val="00B02902"/>
    <w:rsid w:val="00B06668"/>
    <w:rsid w:val="00B110D2"/>
    <w:rsid w:val="00B1398D"/>
    <w:rsid w:val="00B15CA8"/>
    <w:rsid w:val="00B20A9A"/>
    <w:rsid w:val="00B2289A"/>
    <w:rsid w:val="00B2616D"/>
    <w:rsid w:val="00B27454"/>
    <w:rsid w:val="00B37DC2"/>
    <w:rsid w:val="00B43B88"/>
    <w:rsid w:val="00B47705"/>
    <w:rsid w:val="00B51E10"/>
    <w:rsid w:val="00B533EA"/>
    <w:rsid w:val="00B5420A"/>
    <w:rsid w:val="00B56B1A"/>
    <w:rsid w:val="00B63167"/>
    <w:rsid w:val="00B63DA9"/>
    <w:rsid w:val="00B64F68"/>
    <w:rsid w:val="00B719FF"/>
    <w:rsid w:val="00B76917"/>
    <w:rsid w:val="00B84C6C"/>
    <w:rsid w:val="00B85C8B"/>
    <w:rsid w:val="00B86576"/>
    <w:rsid w:val="00B9155B"/>
    <w:rsid w:val="00B94E7F"/>
    <w:rsid w:val="00B96701"/>
    <w:rsid w:val="00BA3439"/>
    <w:rsid w:val="00BB0FAC"/>
    <w:rsid w:val="00BB1871"/>
    <w:rsid w:val="00BB2CFB"/>
    <w:rsid w:val="00BB3A57"/>
    <w:rsid w:val="00BB5F7D"/>
    <w:rsid w:val="00BB641E"/>
    <w:rsid w:val="00BC51DA"/>
    <w:rsid w:val="00BC55F0"/>
    <w:rsid w:val="00BC7159"/>
    <w:rsid w:val="00BC769F"/>
    <w:rsid w:val="00BD3F40"/>
    <w:rsid w:val="00BD416E"/>
    <w:rsid w:val="00BD4C80"/>
    <w:rsid w:val="00BE5ED5"/>
    <w:rsid w:val="00BF25D3"/>
    <w:rsid w:val="00BF47B5"/>
    <w:rsid w:val="00BF4C9A"/>
    <w:rsid w:val="00BF646E"/>
    <w:rsid w:val="00C046F3"/>
    <w:rsid w:val="00C04E7C"/>
    <w:rsid w:val="00C066CA"/>
    <w:rsid w:val="00C11CD6"/>
    <w:rsid w:val="00C12C4C"/>
    <w:rsid w:val="00C150A3"/>
    <w:rsid w:val="00C166D9"/>
    <w:rsid w:val="00C200E8"/>
    <w:rsid w:val="00C20550"/>
    <w:rsid w:val="00C23254"/>
    <w:rsid w:val="00C237DF"/>
    <w:rsid w:val="00C421C4"/>
    <w:rsid w:val="00C50012"/>
    <w:rsid w:val="00C504E5"/>
    <w:rsid w:val="00C54C43"/>
    <w:rsid w:val="00C604A5"/>
    <w:rsid w:val="00C629BF"/>
    <w:rsid w:val="00C71A1A"/>
    <w:rsid w:val="00C72A0D"/>
    <w:rsid w:val="00C7449D"/>
    <w:rsid w:val="00C81D27"/>
    <w:rsid w:val="00C828FD"/>
    <w:rsid w:val="00C862CC"/>
    <w:rsid w:val="00C925B0"/>
    <w:rsid w:val="00CA14FF"/>
    <w:rsid w:val="00CA2562"/>
    <w:rsid w:val="00CB7ACF"/>
    <w:rsid w:val="00CC0166"/>
    <w:rsid w:val="00CC0387"/>
    <w:rsid w:val="00CC095D"/>
    <w:rsid w:val="00CC1D73"/>
    <w:rsid w:val="00CC207C"/>
    <w:rsid w:val="00CC5EB6"/>
    <w:rsid w:val="00CC62F4"/>
    <w:rsid w:val="00CD025A"/>
    <w:rsid w:val="00CD2920"/>
    <w:rsid w:val="00CD37B2"/>
    <w:rsid w:val="00CD3F42"/>
    <w:rsid w:val="00CD5392"/>
    <w:rsid w:val="00CE3681"/>
    <w:rsid w:val="00CF25DA"/>
    <w:rsid w:val="00CF2A9D"/>
    <w:rsid w:val="00CF3BF4"/>
    <w:rsid w:val="00CF6C60"/>
    <w:rsid w:val="00CF7119"/>
    <w:rsid w:val="00CF744E"/>
    <w:rsid w:val="00D04F8D"/>
    <w:rsid w:val="00D055A1"/>
    <w:rsid w:val="00D12A7C"/>
    <w:rsid w:val="00D130AE"/>
    <w:rsid w:val="00D17425"/>
    <w:rsid w:val="00D203F1"/>
    <w:rsid w:val="00D238ED"/>
    <w:rsid w:val="00D23C42"/>
    <w:rsid w:val="00D3081D"/>
    <w:rsid w:val="00D320B3"/>
    <w:rsid w:val="00D327DD"/>
    <w:rsid w:val="00D33D40"/>
    <w:rsid w:val="00D34A51"/>
    <w:rsid w:val="00D36785"/>
    <w:rsid w:val="00D379CA"/>
    <w:rsid w:val="00D40EA0"/>
    <w:rsid w:val="00D41891"/>
    <w:rsid w:val="00D519C3"/>
    <w:rsid w:val="00D52CE1"/>
    <w:rsid w:val="00D534A0"/>
    <w:rsid w:val="00D543EB"/>
    <w:rsid w:val="00D60F5B"/>
    <w:rsid w:val="00D658C5"/>
    <w:rsid w:val="00D71B0C"/>
    <w:rsid w:val="00D731C8"/>
    <w:rsid w:val="00D74E85"/>
    <w:rsid w:val="00D80039"/>
    <w:rsid w:val="00D81D45"/>
    <w:rsid w:val="00D84664"/>
    <w:rsid w:val="00D92114"/>
    <w:rsid w:val="00D9435D"/>
    <w:rsid w:val="00DA6D1F"/>
    <w:rsid w:val="00DB2395"/>
    <w:rsid w:val="00DB2FDC"/>
    <w:rsid w:val="00DB3EC9"/>
    <w:rsid w:val="00DB4260"/>
    <w:rsid w:val="00DC01A6"/>
    <w:rsid w:val="00DC4914"/>
    <w:rsid w:val="00DC7506"/>
    <w:rsid w:val="00DD218C"/>
    <w:rsid w:val="00DD303E"/>
    <w:rsid w:val="00DD6F96"/>
    <w:rsid w:val="00DE6259"/>
    <w:rsid w:val="00DE63FF"/>
    <w:rsid w:val="00DF4546"/>
    <w:rsid w:val="00DF5983"/>
    <w:rsid w:val="00DF630A"/>
    <w:rsid w:val="00DF7C2E"/>
    <w:rsid w:val="00E00EAA"/>
    <w:rsid w:val="00E023FD"/>
    <w:rsid w:val="00E050DD"/>
    <w:rsid w:val="00E059E9"/>
    <w:rsid w:val="00E07355"/>
    <w:rsid w:val="00E0783B"/>
    <w:rsid w:val="00E1122C"/>
    <w:rsid w:val="00E139B6"/>
    <w:rsid w:val="00E150CD"/>
    <w:rsid w:val="00E2483C"/>
    <w:rsid w:val="00E25595"/>
    <w:rsid w:val="00E25FA4"/>
    <w:rsid w:val="00E27188"/>
    <w:rsid w:val="00E33A77"/>
    <w:rsid w:val="00E34747"/>
    <w:rsid w:val="00E37BAF"/>
    <w:rsid w:val="00E44F7E"/>
    <w:rsid w:val="00E46216"/>
    <w:rsid w:val="00E53C7C"/>
    <w:rsid w:val="00E5437C"/>
    <w:rsid w:val="00E602F8"/>
    <w:rsid w:val="00E60413"/>
    <w:rsid w:val="00E6045B"/>
    <w:rsid w:val="00E642BA"/>
    <w:rsid w:val="00E7195E"/>
    <w:rsid w:val="00E71D8D"/>
    <w:rsid w:val="00E723B2"/>
    <w:rsid w:val="00E724AA"/>
    <w:rsid w:val="00E74B70"/>
    <w:rsid w:val="00E81E4B"/>
    <w:rsid w:val="00E8266F"/>
    <w:rsid w:val="00E84464"/>
    <w:rsid w:val="00E84936"/>
    <w:rsid w:val="00E86C70"/>
    <w:rsid w:val="00E87996"/>
    <w:rsid w:val="00E91E47"/>
    <w:rsid w:val="00E91FC5"/>
    <w:rsid w:val="00E93B5F"/>
    <w:rsid w:val="00E96365"/>
    <w:rsid w:val="00EA53E8"/>
    <w:rsid w:val="00EA59B4"/>
    <w:rsid w:val="00EA7AC1"/>
    <w:rsid w:val="00EB5E4E"/>
    <w:rsid w:val="00EB7FDE"/>
    <w:rsid w:val="00EC42F7"/>
    <w:rsid w:val="00EC5B59"/>
    <w:rsid w:val="00ED01B1"/>
    <w:rsid w:val="00ED11D3"/>
    <w:rsid w:val="00ED43DB"/>
    <w:rsid w:val="00ED5F77"/>
    <w:rsid w:val="00ED64CD"/>
    <w:rsid w:val="00EE00C3"/>
    <w:rsid w:val="00EE0F1E"/>
    <w:rsid w:val="00EE383E"/>
    <w:rsid w:val="00EE51D5"/>
    <w:rsid w:val="00EF5F0E"/>
    <w:rsid w:val="00F12EB5"/>
    <w:rsid w:val="00F132D1"/>
    <w:rsid w:val="00F15988"/>
    <w:rsid w:val="00F238CF"/>
    <w:rsid w:val="00F252C4"/>
    <w:rsid w:val="00F2671F"/>
    <w:rsid w:val="00F30B43"/>
    <w:rsid w:val="00F31631"/>
    <w:rsid w:val="00F32D98"/>
    <w:rsid w:val="00F4054B"/>
    <w:rsid w:val="00F40EA0"/>
    <w:rsid w:val="00F62191"/>
    <w:rsid w:val="00F6262E"/>
    <w:rsid w:val="00F73EB2"/>
    <w:rsid w:val="00F743B4"/>
    <w:rsid w:val="00F757B3"/>
    <w:rsid w:val="00F75C1A"/>
    <w:rsid w:val="00F81D34"/>
    <w:rsid w:val="00F83EDF"/>
    <w:rsid w:val="00F85140"/>
    <w:rsid w:val="00F85228"/>
    <w:rsid w:val="00F87C02"/>
    <w:rsid w:val="00F87EF1"/>
    <w:rsid w:val="00F90971"/>
    <w:rsid w:val="00F910E1"/>
    <w:rsid w:val="00F9275C"/>
    <w:rsid w:val="00F9397B"/>
    <w:rsid w:val="00F9578B"/>
    <w:rsid w:val="00F95D91"/>
    <w:rsid w:val="00FA050D"/>
    <w:rsid w:val="00FA2581"/>
    <w:rsid w:val="00FA5428"/>
    <w:rsid w:val="00FA66B9"/>
    <w:rsid w:val="00FA7A99"/>
    <w:rsid w:val="00FA7C8F"/>
    <w:rsid w:val="00FB166B"/>
    <w:rsid w:val="00FB525D"/>
    <w:rsid w:val="00FB68EE"/>
    <w:rsid w:val="00FB76EC"/>
    <w:rsid w:val="00FC150A"/>
    <w:rsid w:val="00FC4901"/>
    <w:rsid w:val="00FC7A0D"/>
    <w:rsid w:val="00FD09D8"/>
    <w:rsid w:val="00FD55B8"/>
    <w:rsid w:val="00FD6225"/>
    <w:rsid w:val="00FE6411"/>
    <w:rsid w:val="00FF125A"/>
    <w:rsid w:val="00FF236A"/>
    <w:rsid w:val="00FF254A"/>
    <w:rsid w:val="00FF7886"/>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0163"/>
  <w15:chartTrackingRefBased/>
  <w15:docId w15:val="{A5E00945-87AF-4367-83DA-D565D16F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5533DF"/>
    <w:pPr>
      <w:spacing w:after="120" w:line="360" w:lineRule="auto"/>
      <w:jc w:val="both"/>
    </w:pPr>
    <w:rPr>
      <w:rFonts w:ascii="Times New Roman" w:hAnsi="Times New Roman" w:cs="Times New Roman"/>
      <w:sz w:val="24"/>
      <w:szCs w:val="24"/>
    </w:rPr>
  </w:style>
  <w:style w:type="paragraph" w:styleId="Heading1">
    <w:name w:val="heading 1"/>
    <w:aliases w:val="Heading"/>
    <w:basedOn w:val="Normal"/>
    <w:next w:val="Normal"/>
    <w:link w:val="Heading1Char"/>
    <w:uiPriority w:val="9"/>
    <w:qFormat/>
    <w:rsid w:val="00B2616D"/>
    <w:pPr>
      <w:jc w:val="center"/>
      <w:outlineLvl w:val="0"/>
    </w:pPr>
    <w:rPr>
      <w:b/>
      <w:caps/>
    </w:rPr>
  </w:style>
  <w:style w:type="paragraph" w:styleId="Heading2">
    <w:name w:val="heading 2"/>
    <w:aliases w:val="Prayer,Prayer Heading"/>
    <w:basedOn w:val="ListParagraph"/>
    <w:next w:val="Normal"/>
    <w:link w:val="Heading2Char"/>
    <w:uiPriority w:val="9"/>
    <w:unhideWhenUsed/>
    <w:qFormat/>
    <w:rsid w:val="005533DF"/>
    <w:pPr>
      <w:numPr>
        <w:numId w:val="1"/>
      </w:numPr>
      <w:spacing w:line="276" w:lineRule="auto"/>
      <w:contextualSpacing w:val="0"/>
      <w:outlineLvl w:val="1"/>
    </w:pPr>
    <w:rPr>
      <w:b/>
      <w:caps/>
    </w:rPr>
  </w:style>
  <w:style w:type="paragraph" w:styleId="Heading3">
    <w:name w:val="heading 3"/>
    <w:aliases w:val="Sub 1"/>
    <w:basedOn w:val="ListParagraph"/>
    <w:next w:val="Normal"/>
    <w:link w:val="Heading3Char"/>
    <w:uiPriority w:val="9"/>
    <w:unhideWhenUsed/>
    <w:qFormat/>
    <w:rsid w:val="005533DF"/>
    <w:pPr>
      <w:numPr>
        <w:numId w:val="3"/>
      </w:numPr>
      <w:spacing w:line="276" w:lineRule="auto"/>
      <w:outlineLvl w:val="2"/>
    </w:pPr>
    <w:rPr>
      <w:b/>
    </w:rPr>
  </w:style>
  <w:style w:type="paragraph" w:styleId="Heading4">
    <w:name w:val="heading 4"/>
    <w:aliases w:val="Sub 2"/>
    <w:basedOn w:val="ListParagraph"/>
    <w:next w:val="Normal"/>
    <w:link w:val="Heading4Char"/>
    <w:uiPriority w:val="9"/>
    <w:unhideWhenUsed/>
    <w:qFormat/>
    <w:rsid w:val="005533DF"/>
    <w:pPr>
      <w:numPr>
        <w:numId w:val="4"/>
      </w:numPr>
      <w:spacing w:line="276" w:lineRule="auto"/>
      <w:outlineLvl w:val="3"/>
    </w:pPr>
    <w:rPr>
      <w:b/>
    </w:rPr>
  </w:style>
  <w:style w:type="paragraph" w:styleId="Heading5">
    <w:name w:val="heading 5"/>
    <w:aliases w:val="Sub 3"/>
    <w:basedOn w:val="ListParagraph"/>
    <w:next w:val="Normal"/>
    <w:link w:val="Heading5Char"/>
    <w:uiPriority w:val="9"/>
    <w:unhideWhenUsed/>
    <w:qFormat/>
    <w:rsid w:val="005533DF"/>
    <w:pPr>
      <w:numPr>
        <w:numId w:val="5"/>
      </w:numPr>
      <w:spacing w:line="276" w:lineRule="auto"/>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B2616D"/>
    <w:rPr>
      <w:rFonts w:ascii="Times New Roman" w:hAnsi="Times New Roman" w:cs="Times New Roman"/>
      <w:b/>
      <w:caps/>
      <w:sz w:val="24"/>
      <w:szCs w:val="24"/>
    </w:rPr>
  </w:style>
  <w:style w:type="paragraph" w:styleId="ListParagraph">
    <w:name w:val="List Paragraph"/>
    <w:basedOn w:val="Normal"/>
    <w:uiPriority w:val="34"/>
    <w:qFormat/>
    <w:rsid w:val="002362F4"/>
    <w:pPr>
      <w:ind w:left="720"/>
      <w:contextualSpacing/>
    </w:pPr>
  </w:style>
  <w:style w:type="character" w:customStyle="1" w:styleId="Heading2Char">
    <w:name w:val="Heading 2 Char"/>
    <w:aliases w:val="Prayer Char,Prayer Heading Char"/>
    <w:basedOn w:val="DefaultParagraphFont"/>
    <w:link w:val="Heading2"/>
    <w:uiPriority w:val="9"/>
    <w:rsid w:val="005533DF"/>
    <w:rPr>
      <w:rFonts w:ascii="Times New Roman" w:hAnsi="Times New Roman" w:cs="Times New Roman"/>
      <w:b/>
      <w:caps/>
      <w:sz w:val="24"/>
      <w:szCs w:val="24"/>
    </w:rPr>
  </w:style>
  <w:style w:type="character" w:customStyle="1" w:styleId="Heading3Char">
    <w:name w:val="Heading 3 Char"/>
    <w:aliases w:val="Sub 1 Char"/>
    <w:basedOn w:val="DefaultParagraphFont"/>
    <w:link w:val="Heading3"/>
    <w:uiPriority w:val="9"/>
    <w:rsid w:val="005533DF"/>
    <w:rPr>
      <w:rFonts w:ascii="Times New Roman" w:hAnsi="Times New Roman" w:cs="Times New Roman"/>
      <w:b/>
      <w:sz w:val="24"/>
      <w:szCs w:val="24"/>
    </w:rPr>
  </w:style>
  <w:style w:type="character" w:customStyle="1" w:styleId="Heading4Char">
    <w:name w:val="Heading 4 Char"/>
    <w:aliases w:val="Sub 2 Char"/>
    <w:basedOn w:val="DefaultParagraphFont"/>
    <w:link w:val="Heading4"/>
    <w:uiPriority w:val="9"/>
    <w:rsid w:val="005533DF"/>
    <w:rPr>
      <w:rFonts w:ascii="Times New Roman" w:hAnsi="Times New Roman" w:cs="Times New Roman"/>
      <w:b/>
      <w:sz w:val="24"/>
      <w:szCs w:val="24"/>
    </w:rPr>
  </w:style>
  <w:style w:type="character" w:customStyle="1" w:styleId="Heading5Char">
    <w:name w:val="Heading 5 Char"/>
    <w:aliases w:val="Sub 3 Char"/>
    <w:basedOn w:val="DefaultParagraphFont"/>
    <w:link w:val="Heading5"/>
    <w:uiPriority w:val="9"/>
    <w:rsid w:val="005533DF"/>
    <w:rPr>
      <w:rFonts w:ascii="Times New Roman" w:hAnsi="Times New Roman" w:cs="Times New Roman"/>
      <w:b/>
      <w:sz w:val="24"/>
      <w:szCs w:val="24"/>
    </w:rPr>
  </w:style>
  <w:style w:type="paragraph" w:styleId="FootnoteText">
    <w:name w:val="footnote text"/>
    <w:basedOn w:val="Normal"/>
    <w:link w:val="FootnoteTextChar"/>
    <w:autoRedefine/>
    <w:uiPriority w:val="99"/>
    <w:unhideWhenUsed/>
    <w:qFormat/>
    <w:rsid w:val="005533DF"/>
    <w:pPr>
      <w:spacing w:after="60" w:line="276" w:lineRule="auto"/>
    </w:pPr>
    <w:rPr>
      <w:szCs w:val="20"/>
    </w:rPr>
  </w:style>
  <w:style w:type="character" w:customStyle="1" w:styleId="FootnoteTextChar">
    <w:name w:val="Footnote Text Char"/>
    <w:basedOn w:val="DefaultParagraphFont"/>
    <w:link w:val="FootnoteText"/>
    <w:uiPriority w:val="99"/>
    <w:rsid w:val="005533DF"/>
    <w:rPr>
      <w:rFonts w:ascii="Times New Roman" w:hAnsi="Times New Roman" w:cs="Times New Roman"/>
      <w:sz w:val="24"/>
      <w:szCs w:val="20"/>
    </w:rPr>
  </w:style>
  <w:style w:type="character" w:styleId="FootnoteReference">
    <w:name w:val="footnote reference"/>
    <w:basedOn w:val="DefaultParagraphFont"/>
    <w:uiPriority w:val="99"/>
    <w:semiHidden/>
    <w:unhideWhenUsed/>
    <w:rsid w:val="00B2616D"/>
    <w:rPr>
      <w:vertAlign w:val="superscript"/>
    </w:rPr>
  </w:style>
  <w:style w:type="paragraph" w:styleId="Quote">
    <w:name w:val="Quote"/>
    <w:aliases w:val="Block quote"/>
    <w:basedOn w:val="Normal"/>
    <w:next w:val="Normal"/>
    <w:link w:val="QuoteChar"/>
    <w:uiPriority w:val="29"/>
    <w:qFormat/>
    <w:rsid w:val="003A5585"/>
    <w:pPr>
      <w:spacing w:line="240" w:lineRule="auto"/>
      <w:ind w:left="851" w:right="851"/>
    </w:pPr>
  </w:style>
  <w:style w:type="character" w:customStyle="1" w:styleId="QuoteChar">
    <w:name w:val="Quote Char"/>
    <w:aliases w:val="Block quote Char"/>
    <w:basedOn w:val="DefaultParagraphFont"/>
    <w:link w:val="Quote"/>
    <w:uiPriority w:val="29"/>
    <w:rsid w:val="003A5585"/>
    <w:rPr>
      <w:rFonts w:ascii="Times New Roman" w:hAnsi="Times New Roman" w:cs="Times New Roman"/>
      <w:sz w:val="24"/>
      <w:szCs w:val="24"/>
    </w:rPr>
  </w:style>
  <w:style w:type="paragraph" w:styleId="Header">
    <w:name w:val="header"/>
    <w:basedOn w:val="Normal"/>
    <w:link w:val="HeaderChar"/>
    <w:uiPriority w:val="99"/>
    <w:unhideWhenUsed/>
    <w:rsid w:val="00141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4A1"/>
    <w:rPr>
      <w:rFonts w:ascii="Times New Roman" w:hAnsi="Times New Roman" w:cs="Times New Roman"/>
      <w:sz w:val="24"/>
      <w:szCs w:val="24"/>
    </w:rPr>
  </w:style>
  <w:style w:type="paragraph" w:styleId="Footer">
    <w:name w:val="footer"/>
    <w:basedOn w:val="Normal"/>
    <w:link w:val="FooterChar"/>
    <w:uiPriority w:val="99"/>
    <w:unhideWhenUsed/>
    <w:rsid w:val="00141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4A1"/>
    <w:rPr>
      <w:rFonts w:ascii="Times New Roman" w:hAnsi="Times New Roman" w:cs="Times New Roman"/>
      <w:sz w:val="24"/>
      <w:szCs w:val="24"/>
    </w:rPr>
  </w:style>
  <w:style w:type="paragraph" w:customStyle="1" w:styleId="JessupBodyText">
    <w:name w:val="Jessup Body Text"/>
    <w:basedOn w:val="Normal"/>
    <w:rsid w:val="001A26AC"/>
    <w:pPr>
      <w:spacing w:after="0" w:line="480" w:lineRule="auto"/>
    </w:pPr>
    <w:rPr>
      <w:rFonts w:eastAsiaTheme="minorEastAsia" w:cstheme="minorBidi"/>
      <w:lang w:val="en-GB" w:eastAsia="ja-JP"/>
    </w:rPr>
  </w:style>
  <w:style w:type="table" w:styleId="TableGrid">
    <w:name w:val="Table Grid"/>
    <w:basedOn w:val="TableNormal"/>
    <w:uiPriority w:val="59"/>
    <w:rsid w:val="001A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5B59"/>
  </w:style>
  <w:style w:type="paragraph" w:styleId="TOC1">
    <w:name w:val="toc 1"/>
    <w:basedOn w:val="Normal"/>
    <w:next w:val="Normal"/>
    <w:autoRedefine/>
    <w:uiPriority w:val="39"/>
    <w:unhideWhenUsed/>
    <w:rsid w:val="005A22C1"/>
    <w:pPr>
      <w:spacing w:before="120"/>
      <w:jc w:val="left"/>
    </w:pPr>
    <w:rPr>
      <w:rFonts w:asciiTheme="minorHAnsi" w:hAnsiTheme="minorHAnsi"/>
      <w:b/>
      <w:bCs/>
      <w:caps/>
      <w:sz w:val="20"/>
      <w:szCs w:val="20"/>
    </w:rPr>
  </w:style>
  <w:style w:type="paragraph" w:styleId="TOC2">
    <w:name w:val="toc 2"/>
    <w:basedOn w:val="Normal"/>
    <w:next w:val="Normal"/>
    <w:autoRedefine/>
    <w:uiPriority w:val="39"/>
    <w:unhideWhenUsed/>
    <w:rsid w:val="009722A8"/>
    <w:pPr>
      <w:tabs>
        <w:tab w:val="left" w:pos="720"/>
        <w:tab w:val="right" w:leader="dot" w:pos="9350"/>
      </w:tabs>
      <w:spacing w:after="0"/>
      <w:jc w:val="left"/>
    </w:pPr>
    <w:rPr>
      <w:b/>
      <w:smallCaps/>
      <w:noProof/>
      <w:sz w:val="32"/>
      <w:lang w:val="en-AU"/>
    </w:rPr>
  </w:style>
  <w:style w:type="paragraph" w:styleId="TOC3">
    <w:name w:val="toc 3"/>
    <w:basedOn w:val="Normal"/>
    <w:next w:val="Normal"/>
    <w:autoRedefine/>
    <w:uiPriority w:val="39"/>
    <w:unhideWhenUsed/>
    <w:rsid w:val="008F47B4"/>
    <w:pPr>
      <w:tabs>
        <w:tab w:val="left" w:pos="960"/>
        <w:tab w:val="right" w:leader="dot" w:pos="9350"/>
      </w:tabs>
      <w:spacing w:after="0"/>
      <w:ind w:left="480"/>
      <w:jc w:val="left"/>
    </w:pPr>
    <w:rPr>
      <w:iCs/>
      <w:noProof/>
    </w:rPr>
  </w:style>
  <w:style w:type="character" w:styleId="Hyperlink">
    <w:name w:val="Hyperlink"/>
    <w:basedOn w:val="DefaultParagraphFont"/>
    <w:uiPriority w:val="99"/>
    <w:unhideWhenUsed/>
    <w:rsid w:val="005A22C1"/>
    <w:rPr>
      <w:color w:val="0000FF" w:themeColor="hyperlink"/>
      <w:u w:val="single"/>
    </w:rPr>
  </w:style>
  <w:style w:type="paragraph" w:customStyle="1" w:styleId="funny">
    <w:name w:val="funny"/>
    <w:basedOn w:val="JessupBodyText"/>
    <w:qFormat/>
    <w:rsid w:val="005A22C1"/>
    <w:pPr>
      <w:jc w:val="right"/>
    </w:pPr>
    <w:rPr>
      <w:color w:val="000000" w:themeColor="text1"/>
    </w:rPr>
  </w:style>
  <w:style w:type="paragraph" w:styleId="TOCHeading">
    <w:name w:val="TOC Heading"/>
    <w:basedOn w:val="Heading1"/>
    <w:next w:val="Normal"/>
    <w:uiPriority w:val="39"/>
    <w:unhideWhenUsed/>
    <w:qFormat/>
    <w:rsid w:val="00C11CD6"/>
    <w:pPr>
      <w:keepNext/>
      <w:keepLine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rPr>
  </w:style>
  <w:style w:type="paragraph" w:styleId="TOC4">
    <w:name w:val="toc 4"/>
    <w:basedOn w:val="Normal"/>
    <w:next w:val="Normal"/>
    <w:autoRedefine/>
    <w:uiPriority w:val="39"/>
    <w:unhideWhenUsed/>
    <w:rsid w:val="00C11CD6"/>
    <w:pPr>
      <w:spacing w:after="0"/>
      <w:ind w:left="720"/>
      <w:jc w:val="left"/>
    </w:pPr>
    <w:rPr>
      <w:rFonts w:asciiTheme="minorHAnsi" w:hAnsiTheme="minorHAnsi"/>
      <w:sz w:val="18"/>
      <w:szCs w:val="18"/>
    </w:rPr>
  </w:style>
  <w:style w:type="paragraph" w:styleId="TOC5">
    <w:name w:val="toc 5"/>
    <w:basedOn w:val="Normal"/>
    <w:next w:val="Normal"/>
    <w:autoRedefine/>
    <w:uiPriority w:val="39"/>
    <w:unhideWhenUsed/>
    <w:rsid w:val="00C11CD6"/>
    <w:pPr>
      <w:spacing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C11CD6"/>
    <w:pPr>
      <w:spacing w:after="0"/>
      <w:ind w:left="1200"/>
      <w:jc w:val="left"/>
    </w:pPr>
    <w:rPr>
      <w:rFonts w:asciiTheme="minorHAnsi" w:hAnsiTheme="minorHAnsi"/>
      <w:sz w:val="18"/>
      <w:szCs w:val="18"/>
    </w:rPr>
  </w:style>
  <w:style w:type="paragraph" w:styleId="TOC7">
    <w:name w:val="toc 7"/>
    <w:basedOn w:val="Normal"/>
    <w:next w:val="Normal"/>
    <w:autoRedefine/>
    <w:uiPriority w:val="39"/>
    <w:unhideWhenUsed/>
    <w:rsid w:val="00C11CD6"/>
    <w:pPr>
      <w:spacing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C11CD6"/>
    <w:pPr>
      <w:spacing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C11CD6"/>
    <w:pPr>
      <w:spacing w:after="0"/>
      <w:ind w:left="1920"/>
      <w:jc w:val="left"/>
    </w:pPr>
    <w:rPr>
      <w:rFonts w:asciiTheme="minorHAnsi" w:hAnsiTheme="minorHAnsi"/>
      <w:sz w:val="18"/>
      <w:szCs w:val="18"/>
    </w:rPr>
  </w:style>
  <w:style w:type="character" w:styleId="UnresolvedMention">
    <w:name w:val="Unresolved Mention"/>
    <w:basedOn w:val="DefaultParagraphFont"/>
    <w:uiPriority w:val="99"/>
    <w:semiHidden/>
    <w:unhideWhenUsed/>
    <w:rsid w:val="00B20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949">
      <w:bodyDiv w:val="1"/>
      <w:marLeft w:val="0"/>
      <w:marRight w:val="0"/>
      <w:marTop w:val="0"/>
      <w:marBottom w:val="0"/>
      <w:divBdr>
        <w:top w:val="none" w:sz="0" w:space="0" w:color="auto"/>
        <w:left w:val="none" w:sz="0" w:space="0" w:color="auto"/>
        <w:bottom w:val="none" w:sz="0" w:space="0" w:color="auto"/>
        <w:right w:val="none" w:sz="0" w:space="0" w:color="auto"/>
      </w:divBdr>
      <w:divsChild>
        <w:div w:id="968051948">
          <w:marLeft w:val="0"/>
          <w:marRight w:val="0"/>
          <w:marTop w:val="0"/>
          <w:marBottom w:val="0"/>
          <w:divBdr>
            <w:top w:val="none" w:sz="0" w:space="0" w:color="auto"/>
            <w:left w:val="none" w:sz="0" w:space="0" w:color="auto"/>
            <w:bottom w:val="none" w:sz="0" w:space="0" w:color="auto"/>
            <w:right w:val="none" w:sz="0" w:space="0" w:color="auto"/>
          </w:divBdr>
          <w:divsChild>
            <w:div w:id="453988996">
              <w:marLeft w:val="0"/>
              <w:marRight w:val="0"/>
              <w:marTop w:val="0"/>
              <w:marBottom w:val="0"/>
              <w:divBdr>
                <w:top w:val="none" w:sz="0" w:space="0" w:color="auto"/>
                <w:left w:val="none" w:sz="0" w:space="0" w:color="auto"/>
                <w:bottom w:val="none" w:sz="0" w:space="0" w:color="auto"/>
                <w:right w:val="none" w:sz="0" w:space="0" w:color="auto"/>
              </w:divBdr>
              <w:divsChild>
                <w:div w:id="470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18171">
      <w:bodyDiv w:val="1"/>
      <w:marLeft w:val="0"/>
      <w:marRight w:val="0"/>
      <w:marTop w:val="0"/>
      <w:marBottom w:val="0"/>
      <w:divBdr>
        <w:top w:val="none" w:sz="0" w:space="0" w:color="auto"/>
        <w:left w:val="none" w:sz="0" w:space="0" w:color="auto"/>
        <w:bottom w:val="none" w:sz="0" w:space="0" w:color="auto"/>
        <w:right w:val="none" w:sz="0" w:space="0" w:color="auto"/>
      </w:divBdr>
      <w:divsChild>
        <w:div w:id="1398551296">
          <w:marLeft w:val="0"/>
          <w:marRight w:val="0"/>
          <w:marTop w:val="0"/>
          <w:marBottom w:val="0"/>
          <w:divBdr>
            <w:top w:val="none" w:sz="0" w:space="0" w:color="auto"/>
            <w:left w:val="none" w:sz="0" w:space="0" w:color="auto"/>
            <w:bottom w:val="none" w:sz="0" w:space="0" w:color="auto"/>
            <w:right w:val="none" w:sz="0" w:space="0" w:color="auto"/>
          </w:divBdr>
          <w:divsChild>
            <w:div w:id="1105618506">
              <w:marLeft w:val="0"/>
              <w:marRight w:val="0"/>
              <w:marTop w:val="0"/>
              <w:marBottom w:val="0"/>
              <w:divBdr>
                <w:top w:val="none" w:sz="0" w:space="0" w:color="auto"/>
                <w:left w:val="none" w:sz="0" w:space="0" w:color="auto"/>
                <w:bottom w:val="none" w:sz="0" w:space="0" w:color="auto"/>
                <w:right w:val="none" w:sz="0" w:space="0" w:color="auto"/>
              </w:divBdr>
              <w:divsChild>
                <w:div w:id="10413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9829">
      <w:bodyDiv w:val="1"/>
      <w:marLeft w:val="0"/>
      <w:marRight w:val="0"/>
      <w:marTop w:val="0"/>
      <w:marBottom w:val="0"/>
      <w:divBdr>
        <w:top w:val="none" w:sz="0" w:space="0" w:color="auto"/>
        <w:left w:val="none" w:sz="0" w:space="0" w:color="auto"/>
        <w:bottom w:val="none" w:sz="0" w:space="0" w:color="auto"/>
        <w:right w:val="none" w:sz="0" w:space="0" w:color="auto"/>
      </w:divBdr>
      <w:divsChild>
        <w:div w:id="1246066143">
          <w:marLeft w:val="0"/>
          <w:marRight w:val="0"/>
          <w:marTop w:val="0"/>
          <w:marBottom w:val="0"/>
          <w:divBdr>
            <w:top w:val="none" w:sz="0" w:space="0" w:color="auto"/>
            <w:left w:val="none" w:sz="0" w:space="0" w:color="auto"/>
            <w:bottom w:val="none" w:sz="0" w:space="0" w:color="auto"/>
            <w:right w:val="none" w:sz="0" w:space="0" w:color="auto"/>
          </w:divBdr>
          <w:divsChild>
            <w:div w:id="2095589674">
              <w:marLeft w:val="0"/>
              <w:marRight w:val="0"/>
              <w:marTop w:val="0"/>
              <w:marBottom w:val="0"/>
              <w:divBdr>
                <w:top w:val="none" w:sz="0" w:space="0" w:color="auto"/>
                <w:left w:val="none" w:sz="0" w:space="0" w:color="auto"/>
                <w:bottom w:val="none" w:sz="0" w:space="0" w:color="auto"/>
                <w:right w:val="none" w:sz="0" w:space="0" w:color="auto"/>
              </w:divBdr>
              <w:divsChild>
                <w:div w:id="884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0864">
      <w:bodyDiv w:val="1"/>
      <w:marLeft w:val="0"/>
      <w:marRight w:val="0"/>
      <w:marTop w:val="0"/>
      <w:marBottom w:val="0"/>
      <w:divBdr>
        <w:top w:val="none" w:sz="0" w:space="0" w:color="auto"/>
        <w:left w:val="none" w:sz="0" w:space="0" w:color="auto"/>
        <w:bottom w:val="none" w:sz="0" w:space="0" w:color="auto"/>
        <w:right w:val="none" w:sz="0" w:space="0" w:color="auto"/>
      </w:divBdr>
      <w:divsChild>
        <w:div w:id="285548807">
          <w:marLeft w:val="0"/>
          <w:marRight w:val="0"/>
          <w:marTop w:val="0"/>
          <w:marBottom w:val="0"/>
          <w:divBdr>
            <w:top w:val="none" w:sz="0" w:space="0" w:color="auto"/>
            <w:left w:val="none" w:sz="0" w:space="0" w:color="auto"/>
            <w:bottom w:val="none" w:sz="0" w:space="0" w:color="auto"/>
            <w:right w:val="none" w:sz="0" w:space="0" w:color="auto"/>
          </w:divBdr>
          <w:divsChild>
            <w:div w:id="496850066">
              <w:marLeft w:val="0"/>
              <w:marRight w:val="0"/>
              <w:marTop w:val="0"/>
              <w:marBottom w:val="0"/>
              <w:divBdr>
                <w:top w:val="none" w:sz="0" w:space="0" w:color="auto"/>
                <w:left w:val="none" w:sz="0" w:space="0" w:color="auto"/>
                <w:bottom w:val="none" w:sz="0" w:space="0" w:color="auto"/>
                <w:right w:val="none" w:sz="0" w:space="0" w:color="auto"/>
              </w:divBdr>
              <w:divsChild>
                <w:div w:id="8110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837318">
      <w:bodyDiv w:val="1"/>
      <w:marLeft w:val="0"/>
      <w:marRight w:val="0"/>
      <w:marTop w:val="0"/>
      <w:marBottom w:val="0"/>
      <w:divBdr>
        <w:top w:val="none" w:sz="0" w:space="0" w:color="auto"/>
        <w:left w:val="none" w:sz="0" w:space="0" w:color="auto"/>
        <w:bottom w:val="none" w:sz="0" w:space="0" w:color="auto"/>
        <w:right w:val="none" w:sz="0" w:space="0" w:color="auto"/>
      </w:divBdr>
    </w:div>
    <w:div w:id="1008755678">
      <w:bodyDiv w:val="1"/>
      <w:marLeft w:val="0"/>
      <w:marRight w:val="0"/>
      <w:marTop w:val="0"/>
      <w:marBottom w:val="0"/>
      <w:divBdr>
        <w:top w:val="none" w:sz="0" w:space="0" w:color="auto"/>
        <w:left w:val="none" w:sz="0" w:space="0" w:color="auto"/>
        <w:bottom w:val="none" w:sz="0" w:space="0" w:color="auto"/>
        <w:right w:val="none" w:sz="0" w:space="0" w:color="auto"/>
      </w:divBdr>
      <w:divsChild>
        <w:div w:id="302737267">
          <w:marLeft w:val="0"/>
          <w:marRight w:val="0"/>
          <w:marTop w:val="0"/>
          <w:marBottom w:val="0"/>
          <w:divBdr>
            <w:top w:val="none" w:sz="0" w:space="0" w:color="auto"/>
            <w:left w:val="none" w:sz="0" w:space="0" w:color="auto"/>
            <w:bottom w:val="none" w:sz="0" w:space="0" w:color="auto"/>
            <w:right w:val="none" w:sz="0" w:space="0" w:color="auto"/>
          </w:divBdr>
          <w:divsChild>
            <w:div w:id="1943344507">
              <w:marLeft w:val="0"/>
              <w:marRight w:val="0"/>
              <w:marTop w:val="0"/>
              <w:marBottom w:val="0"/>
              <w:divBdr>
                <w:top w:val="none" w:sz="0" w:space="0" w:color="auto"/>
                <w:left w:val="none" w:sz="0" w:space="0" w:color="auto"/>
                <w:bottom w:val="none" w:sz="0" w:space="0" w:color="auto"/>
                <w:right w:val="none" w:sz="0" w:space="0" w:color="auto"/>
              </w:divBdr>
              <w:divsChild>
                <w:div w:id="12387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42912">
          <w:marLeft w:val="0"/>
          <w:marRight w:val="0"/>
          <w:marTop w:val="0"/>
          <w:marBottom w:val="0"/>
          <w:divBdr>
            <w:top w:val="none" w:sz="0" w:space="0" w:color="auto"/>
            <w:left w:val="none" w:sz="0" w:space="0" w:color="auto"/>
            <w:bottom w:val="none" w:sz="0" w:space="0" w:color="auto"/>
            <w:right w:val="none" w:sz="0" w:space="0" w:color="auto"/>
          </w:divBdr>
          <w:divsChild>
            <w:div w:id="941378805">
              <w:marLeft w:val="0"/>
              <w:marRight w:val="0"/>
              <w:marTop w:val="0"/>
              <w:marBottom w:val="0"/>
              <w:divBdr>
                <w:top w:val="none" w:sz="0" w:space="0" w:color="auto"/>
                <w:left w:val="none" w:sz="0" w:space="0" w:color="auto"/>
                <w:bottom w:val="none" w:sz="0" w:space="0" w:color="auto"/>
                <w:right w:val="none" w:sz="0" w:space="0" w:color="auto"/>
              </w:divBdr>
              <w:divsChild>
                <w:div w:id="387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83265">
      <w:bodyDiv w:val="1"/>
      <w:marLeft w:val="0"/>
      <w:marRight w:val="0"/>
      <w:marTop w:val="0"/>
      <w:marBottom w:val="0"/>
      <w:divBdr>
        <w:top w:val="none" w:sz="0" w:space="0" w:color="auto"/>
        <w:left w:val="none" w:sz="0" w:space="0" w:color="auto"/>
        <w:bottom w:val="none" w:sz="0" w:space="0" w:color="auto"/>
        <w:right w:val="none" w:sz="0" w:space="0" w:color="auto"/>
      </w:divBdr>
      <w:divsChild>
        <w:div w:id="1028943615">
          <w:marLeft w:val="0"/>
          <w:marRight w:val="0"/>
          <w:marTop w:val="0"/>
          <w:marBottom w:val="0"/>
          <w:divBdr>
            <w:top w:val="none" w:sz="0" w:space="0" w:color="auto"/>
            <w:left w:val="none" w:sz="0" w:space="0" w:color="auto"/>
            <w:bottom w:val="none" w:sz="0" w:space="0" w:color="auto"/>
            <w:right w:val="none" w:sz="0" w:space="0" w:color="auto"/>
          </w:divBdr>
          <w:divsChild>
            <w:div w:id="441002462">
              <w:marLeft w:val="0"/>
              <w:marRight w:val="0"/>
              <w:marTop w:val="0"/>
              <w:marBottom w:val="0"/>
              <w:divBdr>
                <w:top w:val="none" w:sz="0" w:space="0" w:color="auto"/>
                <w:left w:val="none" w:sz="0" w:space="0" w:color="auto"/>
                <w:bottom w:val="none" w:sz="0" w:space="0" w:color="auto"/>
                <w:right w:val="none" w:sz="0" w:space="0" w:color="auto"/>
              </w:divBdr>
              <w:divsChild>
                <w:div w:id="13349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3571">
      <w:bodyDiv w:val="1"/>
      <w:marLeft w:val="0"/>
      <w:marRight w:val="0"/>
      <w:marTop w:val="0"/>
      <w:marBottom w:val="0"/>
      <w:divBdr>
        <w:top w:val="none" w:sz="0" w:space="0" w:color="auto"/>
        <w:left w:val="none" w:sz="0" w:space="0" w:color="auto"/>
        <w:bottom w:val="none" w:sz="0" w:space="0" w:color="auto"/>
        <w:right w:val="none" w:sz="0" w:space="0" w:color="auto"/>
      </w:divBdr>
    </w:div>
    <w:div w:id="1422943735">
      <w:bodyDiv w:val="1"/>
      <w:marLeft w:val="0"/>
      <w:marRight w:val="0"/>
      <w:marTop w:val="0"/>
      <w:marBottom w:val="0"/>
      <w:divBdr>
        <w:top w:val="none" w:sz="0" w:space="0" w:color="auto"/>
        <w:left w:val="none" w:sz="0" w:space="0" w:color="auto"/>
        <w:bottom w:val="none" w:sz="0" w:space="0" w:color="auto"/>
        <w:right w:val="none" w:sz="0" w:space="0" w:color="auto"/>
      </w:divBdr>
    </w:div>
    <w:div w:id="1524588667">
      <w:bodyDiv w:val="1"/>
      <w:marLeft w:val="0"/>
      <w:marRight w:val="0"/>
      <w:marTop w:val="0"/>
      <w:marBottom w:val="0"/>
      <w:divBdr>
        <w:top w:val="none" w:sz="0" w:space="0" w:color="auto"/>
        <w:left w:val="none" w:sz="0" w:space="0" w:color="auto"/>
        <w:bottom w:val="none" w:sz="0" w:space="0" w:color="auto"/>
        <w:right w:val="none" w:sz="0" w:space="0" w:color="auto"/>
      </w:divBdr>
      <w:divsChild>
        <w:div w:id="1538548005">
          <w:marLeft w:val="0"/>
          <w:marRight w:val="0"/>
          <w:marTop w:val="0"/>
          <w:marBottom w:val="0"/>
          <w:divBdr>
            <w:top w:val="none" w:sz="0" w:space="0" w:color="auto"/>
            <w:left w:val="none" w:sz="0" w:space="0" w:color="auto"/>
            <w:bottom w:val="none" w:sz="0" w:space="0" w:color="auto"/>
            <w:right w:val="none" w:sz="0" w:space="0" w:color="auto"/>
          </w:divBdr>
          <w:divsChild>
            <w:div w:id="806356454">
              <w:marLeft w:val="0"/>
              <w:marRight w:val="0"/>
              <w:marTop w:val="0"/>
              <w:marBottom w:val="0"/>
              <w:divBdr>
                <w:top w:val="none" w:sz="0" w:space="0" w:color="auto"/>
                <w:left w:val="none" w:sz="0" w:space="0" w:color="auto"/>
                <w:bottom w:val="none" w:sz="0" w:space="0" w:color="auto"/>
                <w:right w:val="none" w:sz="0" w:space="0" w:color="auto"/>
              </w:divBdr>
              <w:divsChild>
                <w:div w:id="20993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70331">
      <w:bodyDiv w:val="1"/>
      <w:marLeft w:val="0"/>
      <w:marRight w:val="0"/>
      <w:marTop w:val="0"/>
      <w:marBottom w:val="0"/>
      <w:divBdr>
        <w:top w:val="none" w:sz="0" w:space="0" w:color="auto"/>
        <w:left w:val="none" w:sz="0" w:space="0" w:color="auto"/>
        <w:bottom w:val="none" w:sz="0" w:space="0" w:color="auto"/>
        <w:right w:val="none" w:sz="0" w:space="0" w:color="auto"/>
      </w:divBdr>
    </w:div>
    <w:div w:id="1710109211">
      <w:bodyDiv w:val="1"/>
      <w:marLeft w:val="0"/>
      <w:marRight w:val="0"/>
      <w:marTop w:val="0"/>
      <w:marBottom w:val="0"/>
      <w:divBdr>
        <w:top w:val="none" w:sz="0" w:space="0" w:color="auto"/>
        <w:left w:val="none" w:sz="0" w:space="0" w:color="auto"/>
        <w:bottom w:val="none" w:sz="0" w:space="0" w:color="auto"/>
        <w:right w:val="none" w:sz="0" w:space="0" w:color="auto"/>
      </w:divBdr>
    </w:div>
    <w:div w:id="1719358993">
      <w:bodyDiv w:val="1"/>
      <w:marLeft w:val="0"/>
      <w:marRight w:val="0"/>
      <w:marTop w:val="0"/>
      <w:marBottom w:val="0"/>
      <w:divBdr>
        <w:top w:val="none" w:sz="0" w:space="0" w:color="auto"/>
        <w:left w:val="none" w:sz="0" w:space="0" w:color="auto"/>
        <w:bottom w:val="none" w:sz="0" w:space="0" w:color="auto"/>
        <w:right w:val="none" w:sz="0" w:space="0" w:color="auto"/>
      </w:divBdr>
      <w:divsChild>
        <w:div w:id="1449160094">
          <w:marLeft w:val="0"/>
          <w:marRight w:val="0"/>
          <w:marTop w:val="0"/>
          <w:marBottom w:val="0"/>
          <w:divBdr>
            <w:top w:val="none" w:sz="0" w:space="0" w:color="auto"/>
            <w:left w:val="none" w:sz="0" w:space="0" w:color="auto"/>
            <w:bottom w:val="none" w:sz="0" w:space="0" w:color="auto"/>
            <w:right w:val="none" w:sz="0" w:space="0" w:color="auto"/>
          </w:divBdr>
          <w:divsChild>
            <w:div w:id="160589019">
              <w:marLeft w:val="0"/>
              <w:marRight w:val="0"/>
              <w:marTop w:val="0"/>
              <w:marBottom w:val="0"/>
              <w:divBdr>
                <w:top w:val="none" w:sz="0" w:space="0" w:color="auto"/>
                <w:left w:val="none" w:sz="0" w:space="0" w:color="auto"/>
                <w:bottom w:val="none" w:sz="0" w:space="0" w:color="auto"/>
                <w:right w:val="none" w:sz="0" w:space="0" w:color="auto"/>
              </w:divBdr>
              <w:divsChild>
                <w:div w:id="1897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6235">
      <w:bodyDiv w:val="1"/>
      <w:marLeft w:val="0"/>
      <w:marRight w:val="0"/>
      <w:marTop w:val="0"/>
      <w:marBottom w:val="0"/>
      <w:divBdr>
        <w:top w:val="none" w:sz="0" w:space="0" w:color="auto"/>
        <w:left w:val="none" w:sz="0" w:space="0" w:color="auto"/>
        <w:bottom w:val="none" w:sz="0" w:space="0" w:color="auto"/>
        <w:right w:val="none" w:sz="0" w:space="0" w:color="auto"/>
      </w:divBdr>
      <w:divsChild>
        <w:div w:id="528182966">
          <w:marLeft w:val="0"/>
          <w:marRight w:val="0"/>
          <w:marTop w:val="0"/>
          <w:marBottom w:val="0"/>
          <w:divBdr>
            <w:top w:val="none" w:sz="0" w:space="0" w:color="auto"/>
            <w:left w:val="none" w:sz="0" w:space="0" w:color="auto"/>
            <w:bottom w:val="none" w:sz="0" w:space="0" w:color="auto"/>
            <w:right w:val="none" w:sz="0" w:space="0" w:color="auto"/>
          </w:divBdr>
          <w:divsChild>
            <w:div w:id="1448616810">
              <w:marLeft w:val="0"/>
              <w:marRight w:val="0"/>
              <w:marTop w:val="0"/>
              <w:marBottom w:val="0"/>
              <w:divBdr>
                <w:top w:val="none" w:sz="0" w:space="0" w:color="auto"/>
                <w:left w:val="none" w:sz="0" w:space="0" w:color="auto"/>
                <w:bottom w:val="none" w:sz="0" w:space="0" w:color="auto"/>
                <w:right w:val="none" w:sz="0" w:space="0" w:color="auto"/>
              </w:divBdr>
              <w:divsChild>
                <w:div w:id="13218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4597">
      <w:bodyDiv w:val="1"/>
      <w:marLeft w:val="0"/>
      <w:marRight w:val="0"/>
      <w:marTop w:val="0"/>
      <w:marBottom w:val="0"/>
      <w:divBdr>
        <w:top w:val="none" w:sz="0" w:space="0" w:color="auto"/>
        <w:left w:val="none" w:sz="0" w:space="0" w:color="auto"/>
        <w:bottom w:val="none" w:sz="0" w:space="0" w:color="auto"/>
        <w:right w:val="none" w:sz="0" w:space="0" w:color="auto"/>
      </w:divBdr>
      <w:divsChild>
        <w:div w:id="903495000">
          <w:marLeft w:val="0"/>
          <w:marRight w:val="0"/>
          <w:marTop w:val="0"/>
          <w:marBottom w:val="0"/>
          <w:divBdr>
            <w:top w:val="none" w:sz="0" w:space="0" w:color="auto"/>
            <w:left w:val="none" w:sz="0" w:space="0" w:color="auto"/>
            <w:bottom w:val="none" w:sz="0" w:space="0" w:color="auto"/>
            <w:right w:val="none" w:sz="0" w:space="0" w:color="auto"/>
          </w:divBdr>
          <w:divsChild>
            <w:div w:id="1130241745">
              <w:marLeft w:val="0"/>
              <w:marRight w:val="0"/>
              <w:marTop w:val="0"/>
              <w:marBottom w:val="0"/>
              <w:divBdr>
                <w:top w:val="none" w:sz="0" w:space="0" w:color="auto"/>
                <w:left w:val="none" w:sz="0" w:space="0" w:color="auto"/>
                <w:bottom w:val="none" w:sz="0" w:space="0" w:color="auto"/>
                <w:right w:val="none" w:sz="0" w:space="0" w:color="auto"/>
              </w:divBdr>
              <w:divsChild>
                <w:div w:id="919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2789">
      <w:bodyDiv w:val="1"/>
      <w:marLeft w:val="0"/>
      <w:marRight w:val="0"/>
      <w:marTop w:val="0"/>
      <w:marBottom w:val="0"/>
      <w:divBdr>
        <w:top w:val="none" w:sz="0" w:space="0" w:color="auto"/>
        <w:left w:val="none" w:sz="0" w:space="0" w:color="auto"/>
        <w:bottom w:val="none" w:sz="0" w:space="0" w:color="auto"/>
        <w:right w:val="none" w:sz="0" w:space="0" w:color="auto"/>
      </w:divBdr>
      <w:divsChild>
        <w:div w:id="765198736">
          <w:marLeft w:val="0"/>
          <w:marRight w:val="0"/>
          <w:marTop w:val="0"/>
          <w:marBottom w:val="0"/>
          <w:divBdr>
            <w:top w:val="none" w:sz="0" w:space="0" w:color="auto"/>
            <w:left w:val="none" w:sz="0" w:space="0" w:color="auto"/>
            <w:bottom w:val="none" w:sz="0" w:space="0" w:color="auto"/>
            <w:right w:val="none" w:sz="0" w:space="0" w:color="auto"/>
          </w:divBdr>
          <w:divsChild>
            <w:div w:id="703216605">
              <w:marLeft w:val="0"/>
              <w:marRight w:val="0"/>
              <w:marTop w:val="0"/>
              <w:marBottom w:val="0"/>
              <w:divBdr>
                <w:top w:val="none" w:sz="0" w:space="0" w:color="auto"/>
                <w:left w:val="none" w:sz="0" w:space="0" w:color="auto"/>
                <w:bottom w:val="none" w:sz="0" w:space="0" w:color="auto"/>
                <w:right w:val="none" w:sz="0" w:space="0" w:color="auto"/>
              </w:divBdr>
              <w:divsChild>
                <w:div w:id="14906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0233">
      <w:bodyDiv w:val="1"/>
      <w:marLeft w:val="0"/>
      <w:marRight w:val="0"/>
      <w:marTop w:val="0"/>
      <w:marBottom w:val="0"/>
      <w:divBdr>
        <w:top w:val="none" w:sz="0" w:space="0" w:color="auto"/>
        <w:left w:val="none" w:sz="0" w:space="0" w:color="auto"/>
        <w:bottom w:val="none" w:sz="0" w:space="0" w:color="auto"/>
        <w:right w:val="none" w:sz="0" w:space="0" w:color="auto"/>
      </w:divBdr>
      <w:divsChild>
        <w:div w:id="1068186655">
          <w:marLeft w:val="0"/>
          <w:marRight w:val="0"/>
          <w:marTop w:val="0"/>
          <w:marBottom w:val="0"/>
          <w:divBdr>
            <w:top w:val="none" w:sz="0" w:space="0" w:color="auto"/>
            <w:left w:val="none" w:sz="0" w:space="0" w:color="auto"/>
            <w:bottom w:val="none" w:sz="0" w:space="0" w:color="auto"/>
            <w:right w:val="none" w:sz="0" w:space="0" w:color="auto"/>
          </w:divBdr>
          <w:divsChild>
            <w:div w:id="1809976579">
              <w:marLeft w:val="0"/>
              <w:marRight w:val="0"/>
              <w:marTop w:val="0"/>
              <w:marBottom w:val="0"/>
              <w:divBdr>
                <w:top w:val="none" w:sz="0" w:space="0" w:color="auto"/>
                <w:left w:val="none" w:sz="0" w:space="0" w:color="auto"/>
                <w:bottom w:val="none" w:sz="0" w:space="0" w:color="auto"/>
                <w:right w:val="none" w:sz="0" w:space="0" w:color="auto"/>
              </w:divBdr>
              <w:divsChild>
                <w:div w:id="17530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8E823-C5D4-7E4A-907A-07A542DF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59</Pages>
  <Words>15161</Words>
  <Characters>82479</Characters>
  <Application>Microsoft Office Word</Application>
  <DocSecurity>0</DocSecurity>
  <Lines>1099</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Tiaan</dc:creator>
  <cp:keywords/>
  <dc:description/>
  <cp:lastModifiedBy>Yao Dong</cp:lastModifiedBy>
  <cp:revision>165</cp:revision>
  <cp:lastPrinted>2019-01-11T13:14:00Z</cp:lastPrinted>
  <dcterms:created xsi:type="dcterms:W3CDTF">2019-01-11T13:27:00Z</dcterms:created>
  <dcterms:modified xsi:type="dcterms:W3CDTF">2019-01-11T21:04:00Z</dcterms:modified>
</cp:coreProperties>
</file>