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E199E" w14:textId="77777777" w:rsidR="00242CC8" w:rsidRDefault="00125136" w:rsidP="00AE1966">
      <w:pPr>
        <w:pStyle w:val="Heading1"/>
        <w:spacing w:before="57"/>
        <w:ind w:right="45"/>
        <w:jc w:val="center"/>
        <w:rPr>
          <w:b w:val="0"/>
        </w:rPr>
      </w:pPr>
      <w:r>
        <w:t>2019 PHILIP C. JESSUP INTERNATIONAL LAW MOOT COURT COMPETITION</w:t>
      </w:r>
    </w:p>
    <w:p w14:paraId="11C97667" w14:textId="77777777" w:rsidR="00242CC8" w:rsidRDefault="00242CC8" w:rsidP="00AE1966">
      <w:pPr>
        <w:ind w:right="45"/>
        <w:jc w:val="center"/>
        <w:rPr>
          <w:rFonts w:ascii="Times New Roman" w:eastAsia="Times New Roman" w:hAnsi="Times New Roman" w:cs="Times New Roman"/>
          <w:b/>
          <w:sz w:val="24"/>
          <w:szCs w:val="24"/>
        </w:rPr>
      </w:pPr>
    </w:p>
    <w:p w14:paraId="78D00323" w14:textId="77777777" w:rsidR="00242CC8" w:rsidRDefault="00125136" w:rsidP="00AE1966">
      <w:pPr>
        <w:ind w:right="4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CORRECTIONS AND CLARIFICATIONS TO THE SPECIAL AGREEMENT</w:t>
      </w:r>
    </w:p>
    <w:p w14:paraId="5F155EFB" w14:textId="77777777" w:rsidR="00242CC8" w:rsidRDefault="00242CC8" w:rsidP="00AE1966">
      <w:pPr>
        <w:spacing w:before="7"/>
        <w:ind w:right="45"/>
        <w:rPr>
          <w:rFonts w:ascii="Times New Roman" w:eastAsia="Times New Roman" w:hAnsi="Times New Roman" w:cs="Times New Roman"/>
          <w:b/>
          <w:sz w:val="23"/>
          <w:szCs w:val="23"/>
        </w:rPr>
      </w:pPr>
    </w:p>
    <w:p w14:paraId="51E9BA65" w14:textId="77777777" w:rsidR="00242CC8" w:rsidRDefault="00125136" w:rsidP="00AE1966">
      <w:pPr>
        <w:pBdr>
          <w:top w:val="nil"/>
          <w:left w:val="nil"/>
          <w:bottom w:val="nil"/>
          <w:right w:val="nil"/>
          <w:between w:val="nil"/>
        </w:pBdr>
        <w:ind w:left="100" w:right="45" w:firstLine="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corrections and clarifications to the Special Agreement have been agreed to by the parties, and the text jointly notified to the Court on 14 September 2018 should be considered amended accordingly. The Registrar of the Court reminds all parties and participants of the following:</w:t>
      </w:r>
    </w:p>
    <w:p w14:paraId="0EA08E29" w14:textId="77777777" w:rsidR="00242CC8" w:rsidRDefault="00242CC8" w:rsidP="00AE1966">
      <w:pPr>
        <w:ind w:right="45"/>
        <w:rPr>
          <w:rFonts w:ascii="Times New Roman" w:eastAsia="Times New Roman" w:hAnsi="Times New Roman" w:cs="Times New Roman"/>
          <w:sz w:val="24"/>
          <w:szCs w:val="24"/>
        </w:rPr>
      </w:pPr>
    </w:p>
    <w:p w14:paraId="407A69BA" w14:textId="2ACC38E8" w:rsidR="00242CC8" w:rsidRDefault="00125136" w:rsidP="00AE1966">
      <w:pPr>
        <w:numPr>
          <w:ilvl w:val="0"/>
          <w:numId w:val="2"/>
        </w:numPr>
        <w:pBdr>
          <w:top w:val="nil"/>
          <w:left w:val="nil"/>
          <w:bottom w:val="nil"/>
          <w:right w:val="nil"/>
          <w:between w:val="nil"/>
        </w:pBdr>
        <w:tabs>
          <w:tab w:val="left" w:pos="821"/>
        </w:tabs>
        <w:ind w:right="45"/>
      </w:pPr>
      <w:r>
        <w:rPr>
          <w:rFonts w:ascii="Times New Roman" w:eastAsia="Times New Roman" w:hAnsi="Times New Roman" w:cs="Times New Roman"/>
          <w:color w:val="000000"/>
          <w:sz w:val="24"/>
          <w:szCs w:val="24"/>
        </w:rPr>
        <w:t xml:space="preserve">The Special Agreement is, in essence, a </w:t>
      </w:r>
      <w:r w:rsidR="00977037">
        <w:rPr>
          <w:rFonts w:ascii="Times New Roman" w:eastAsia="Times New Roman" w:hAnsi="Times New Roman" w:cs="Times New Roman"/>
          <w:color w:val="000000"/>
          <w:sz w:val="24"/>
          <w:szCs w:val="24"/>
        </w:rPr>
        <w:t xml:space="preserve">mutually agreed </w:t>
      </w:r>
      <w:r>
        <w:rPr>
          <w:rFonts w:ascii="Times New Roman" w:eastAsia="Times New Roman" w:hAnsi="Times New Roman" w:cs="Times New Roman"/>
          <w:color w:val="000000"/>
          <w:sz w:val="24"/>
          <w:szCs w:val="24"/>
        </w:rPr>
        <w:t>stipulation of facts. Its words have been carefully chosen, and they are the result of extensive negotiation. The parties decline to “clarify” matters about which they are unlikely to agree. The parties will not stipulate as to which legal principles are relevant, or which arguments are acceptable or unacceptable.</w:t>
      </w:r>
    </w:p>
    <w:p w14:paraId="3336CC34" w14:textId="77777777" w:rsidR="00242CC8" w:rsidRDefault="00242CC8" w:rsidP="00AE1966">
      <w:pPr>
        <w:ind w:right="45"/>
        <w:rPr>
          <w:rFonts w:ascii="Times New Roman" w:eastAsia="Times New Roman" w:hAnsi="Times New Roman" w:cs="Times New Roman"/>
          <w:sz w:val="24"/>
          <w:szCs w:val="24"/>
        </w:rPr>
      </w:pPr>
    </w:p>
    <w:p w14:paraId="5844B33E" w14:textId="77777777" w:rsidR="00242CC8" w:rsidRDefault="00125136" w:rsidP="00AE1966">
      <w:pPr>
        <w:numPr>
          <w:ilvl w:val="0"/>
          <w:numId w:val="2"/>
        </w:numPr>
        <w:pBdr>
          <w:top w:val="nil"/>
          <w:left w:val="nil"/>
          <w:bottom w:val="nil"/>
          <w:right w:val="nil"/>
          <w:between w:val="nil"/>
        </w:pBdr>
        <w:tabs>
          <w:tab w:val="left" w:pos="821"/>
        </w:tabs>
        <w:ind w:right="45"/>
      </w:pPr>
      <w:r>
        <w:rPr>
          <w:rFonts w:ascii="Times New Roman" w:eastAsia="Times New Roman" w:hAnsi="Times New Roman" w:cs="Times New Roman"/>
          <w:color w:val="000000"/>
          <w:sz w:val="24"/>
          <w:szCs w:val="24"/>
        </w:rPr>
        <w:t>Any request for clarification not addressed in the following paragraphs has been considered by the parties to be redundant, inappropriate, or immaterial, or the parties were unable to reach agreement on a mutually acceptable answer.</w:t>
      </w:r>
    </w:p>
    <w:p w14:paraId="5E9D2EE2" w14:textId="77777777" w:rsidR="00242CC8" w:rsidRDefault="00242CC8" w:rsidP="00AE1966">
      <w:pPr>
        <w:ind w:right="45"/>
        <w:rPr>
          <w:rFonts w:ascii="Times New Roman" w:eastAsia="Times New Roman" w:hAnsi="Times New Roman" w:cs="Times New Roman"/>
          <w:sz w:val="24"/>
          <w:szCs w:val="24"/>
        </w:rPr>
      </w:pPr>
    </w:p>
    <w:p w14:paraId="4F1C7A61" w14:textId="77777777" w:rsidR="00242CC8" w:rsidRDefault="00125136" w:rsidP="00AE1966">
      <w:pPr>
        <w:numPr>
          <w:ilvl w:val="0"/>
          <w:numId w:val="2"/>
        </w:numPr>
        <w:pBdr>
          <w:top w:val="nil"/>
          <w:left w:val="nil"/>
          <w:bottom w:val="nil"/>
          <w:right w:val="nil"/>
          <w:between w:val="nil"/>
        </w:pBdr>
        <w:tabs>
          <w:tab w:val="left" w:pos="821"/>
        </w:tabs>
        <w:ind w:right="45"/>
      </w:pPr>
      <w:r>
        <w:rPr>
          <w:rFonts w:ascii="Times New Roman" w:eastAsia="Times New Roman" w:hAnsi="Times New Roman" w:cs="Times New Roman"/>
          <w:color w:val="000000"/>
          <w:sz w:val="24"/>
          <w:szCs w:val="24"/>
        </w:rPr>
        <w:t>Except to the extent that corrections and clarifications are set out below, participants are to assume that the Special Agreement is accurate and complete in all respects. In particular, both parties stipulate as to the authenticity of all documents and of the signatures on all documents referenced in the Special Agreement.</w:t>
      </w:r>
    </w:p>
    <w:p w14:paraId="128FB2C2" w14:textId="77777777" w:rsidR="00242CC8" w:rsidRDefault="00242CC8" w:rsidP="00AE1966">
      <w:pPr>
        <w:ind w:right="45"/>
        <w:rPr>
          <w:rFonts w:ascii="Times New Roman" w:eastAsia="Times New Roman" w:hAnsi="Times New Roman" w:cs="Times New Roman"/>
          <w:sz w:val="24"/>
          <w:szCs w:val="24"/>
        </w:rPr>
      </w:pPr>
    </w:p>
    <w:p w14:paraId="2DC975F3" w14:textId="77777777" w:rsidR="00242CC8" w:rsidRDefault="00125136" w:rsidP="00AE1966">
      <w:pPr>
        <w:numPr>
          <w:ilvl w:val="0"/>
          <w:numId w:val="2"/>
        </w:numPr>
        <w:pBdr>
          <w:top w:val="nil"/>
          <w:left w:val="nil"/>
          <w:bottom w:val="nil"/>
          <w:right w:val="nil"/>
          <w:between w:val="nil"/>
        </w:pBdr>
        <w:tabs>
          <w:tab w:val="left" w:pos="821"/>
        </w:tabs>
        <w:ind w:right="45"/>
      </w:pPr>
      <w:r>
        <w:rPr>
          <w:rFonts w:ascii="Times New Roman" w:eastAsia="Times New Roman" w:hAnsi="Times New Roman" w:cs="Times New Roman"/>
          <w:color w:val="000000"/>
          <w:sz w:val="24"/>
          <w:szCs w:val="24"/>
        </w:rPr>
        <w:t>With respect to the pronunciation of the various proper names used in the Special Agreement, all parties and the Court have agreed that they will not take formal or informal offense at any reasonable effort to pronounce proper names correctly.</w:t>
      </w:r>
    </w:p>
    <w:p w14:paraId="24BEAAF8" w14:textId="77777777" w:rsidR="00242CC8" w:rsidRDefault="00242CC8" w:rsidP="00AE1966">
      <w:pPr>
        <w:ind w:right="45"/>
        <w:rPr>
          <w:rFonts w:ascii="Times New Roman" w:eastAsia="Times New Roman" w:hAnsi="Times New Roman" w:cs="Times New Roman"/>
          <w:sz w:val="24"/>
          <w:szCs w:val="24"/>
        </w:rPr>
      </w:pPr>
    </w:p>
    <w:p w14:paraId="41B1AEB5" w14:textId="77777777" w:rsidR="00242CC8" w:rsidRDefault="00125136" w:rsidP="00AE1966">
      <w:pPr>
        <w:numPr>
          <w:ilvl w:val="0"/>
          <w:numId w:val="2"/>
        </w:numPr>
        <w:pBdr>
          <w:top w:val="nil"/>
          <w:left w:val="nil"/>
          <w:bottom w:val="nil"/>
          <w:right w:val="nil"/>
          <w:between w:val="nil"/>
        </w:pBdr>
        <w:tabs>
          <w:tab w:val="left" w:pos="821"/>
        </w:tabs>
        <w:ind w:right="45"/>
      </w:pPr>
      <w:proofErr w:type="spellStart"/>
      <w:r>
        <w:rPr>
          <w:rFonts w:ascii="Times New Roman" w:eastAsia="Times New Roman" w:hAnsi="Times New Roman" w:cs="Times New Roman"/>
          <w:color w:val="000000"/>
          <w:sz w:val="24"/>
          <w:szCs w:val="24"/>
        </w:rPr>
        <w:t>Aurok</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Rakkab</w:t>
      </w:r>
      <w:proofErr w:type="spellEnd"/>
      <w:r>
        <w:rPr>
          <w:rFonts w:ascii="Times New Roman" w:eastAsia="Times New Roman" w:hAnsi="Times New Roman" w:cs="Times New Roman"/>
          <w:color w:val="000000"/>
          <w:sz w:val="24"/>
          <w:szCs w:val="24"/>
        </w:rPr>
        <w:t xml:space="preserve"> are not parties to any relevant bilateral or multilateral treaties, conventions, or accords other than those referenced within the Special Agreement or herein.</w:t>
      </w:r>
    </w:p>
    <w:p w14:paraId="58881B96" w14:textId="77777777" w:rsidR="00242CC8" w:rsidRDefault="00242CC8" w:rsidP="00AE1966">
      <w:pPr>
        <w:spacing w:before="5"/>
        <w:ind w:right="45"/>
        <w:rPr>
          <w:rFonts w:ascii="Times New Roman" w:eastAsia="Times New Roman" w:hAnsi="Times New Roman" w:cs="Times New Roman"/>
          <w:sz w:val="24"/>
          <w:szCs w:val="24"/>
        </w:rPr>
      </w:pPr>
    </w:p>
    <w:p w14:paraId="78972E6B" w14:textId="77777777" w:rsidR="00242CC8" w:rsidRDefault="00125136" w:rsidP="00977037">
      <w:pPr>
        <w:pStyle w:val="Heading1"/>
        <w:ind w:right="45"/>
        <w:rPr>
          <w:b w:val="0"/>
        </w:rPr>
      </w:pPr>
      <w:r>
        <w:t>CORRECTIONS</w:t>
      </w:r>
    </w:p>
    <w:p w14:paraId="5ADCB269" w14:textId="77777777" w:rsidR="00242CC8" w:rsidRDefault="00242CC8" w:rsidP="00AE1966">
      <w:pPr>
        <w:spacing w:before="7"/>
        <w:ind w:right="45"/>
        <w:rPr>
          <w:rFonts w:ascii="Times New Roman" w:eastAsia="Times New Roman" w:hAnsi="Times New Roman" w:cs="Times New Roman"/>
          <w:b/>
          <w:sz w:val="23"/>
          <w:szCs w:val="23"/>
        </w:rPr>
      </w:pPr>
    </w:p>
    <w:p w14:paraId="5FB54394" w14:textId="71954A7C" w:rsidR="00242CC8" w:rsidRDefault="00125136" w:rsidP="00AE1966">
      <w:pPr>
        <w:numPr>
          <w:ilvl w:val="1"/>
          <w:numId w:val="2"/>
        </w:numPr>
        <w:pBdr>
          <w:top w:val="nil"/>
          <w:left w:val="nil"/>
          <w:bottom w:val="nil"/>
          <w:right w:val="nil"/>
          <w:between w:val="nil"/>
        </w:pBdr>
        <w:tabs>
          <w:tab w:val="left" w:pos="460"/>
        </w:tabs>
        <w:ind w:left="450" w:right="45"/>
        <w:rPr>
          <w:color w:val="000000"/>
        </w:rPr>
      </w:pPr>
      <w:r>
        <w:rPr>
          <w:rFonts w:ascii="Times New Roman" w:eastAsia="Times New Roman" w:hAnsi="Times New Roman" w:cs="Times New Roman"/>
          <w:color w:val="000000"/>
          <w:sz w:val="24"/>
          <w:szCs w:val="24"/>
        </w:rPr>
        <w:t xml:space="preserve">In the first </w:t>
      </w:r>
      <w:r w:rsidRPr="00AE1966">
        <w:rPr>
          <w:rFonts w:ascii="Times New Roman" w:hAnsi="Times New Roman"/>
          <w:sz w:val="24"/>
        </w:rPr>
        <w:t xml:space="preserve">sentence </w:t>
      </w:r>
      <w:r>
        <w:rPr>
          <w:rFonts w:ascii="Times New Roman" w:eastAsia="Times New Roman" w:hAnsi="Times New Roman" w:cs="Times New Roman"/>
          <w:color w:val="000000"/>
          <w:sz w:val="24"/>
          <w:szCs w:val="24"/>
        </w:rPr>
        <w:t xml:space="preserve">of </w:t>
      </w:r>
      <w:r w:rsidRPr="00AE1966">
        <w:rPr>
          <w:rFonts w:ascii="Times New Roman" w:hAnsi="Times New Roman"/>
          <w:sz w:val="24"/>
        </w:rPr>
        <w:t xml:space="preserve">Paragraph </w:t>
      </w:r>
      <w:r>
        <w:rPr>
          <w:rFonts w:ascii="Times New Roman" w:eastAsia="Times New Roman" w:hAnsi="Times New Roman" w:cs="Times New Roman"/>
          <w:sz w:val="24"/>
          <w:szCs w:val="24"/>
        </w:rPr>
        <w:t>19</w:t>
      </w:r>
      <w:r w:rsidRPr="00AE1966">
        <w:rPr>
          <w:rFonts w:ascii="Times New Roman" w:hAnsi="Times New Roman"/>
          <w:sz w:val="24"/>
        </w:rPr>
        <w:t>, the reference to “</w:t>
      </w:r>
      <w:r>
        <w:rPr>
          <w:rFonts w:ascii="Times New Roman" w:eastAsia="Times New Roman" w:hAnsi="Times New Roman" w:cs="Times New Roman"/>
          <w:sz w:val="24"/>
          <w:szCs w:val="24"/>
        </w:rPr>
        <w:t>6 October 2005</w:t>
      </w:r>
      <w:r w:rsidRPr="00AE1966">
        <w:rPr>
          <w:rFonts w:ascii="Times New Roman" w:hAnsi="Times New Roman"/>
          <w:sz w:val="24"/>
        </w:rPr>
        <w:t>” is corrected to “</w:t>
      </w:r>
      <w:r>
        <w:rPr>
          <w:rFonts w:ascii="Times New Roman" w:eastAsia="Times New Roman" w:hAnsi="Times New Roman" w:cs="Times New Roman"/>
          <w:sz w:val="24"/>
          <w:szCs w:val="24"/>
        </w:rPr>
        <w:t>21 May 200</w:t>
      </w:r>
      <w:r w:rsidR="00F313C2">
        <w:rPr>
          <w:rFonts w:ascii="Times New Roman" w:eastAsia="Times New Roman" w:hAnsi="Times New Roman" w:cs="Times New Roman"/>
          <w:sz w:val="24"/>
          <w:szCs w:val="24"/>
        </w:rPr>
        <w:t>6</w:t>
      </w:r>
      <w:r w:rsidRPr="00AE1966">
        <w:rPr>
          <w:rFonts w:ascii="Times New Roman" w:hAnsi="Times New Roman"/>
          <w:sz w:val="24"/>
        </w:rPr>
        <w:t>.”</w:t>
      </w:r>
    </w:p>
    <w:p w14:paraId="47EE7203" w14:textId="77777777" w:rsidR="00242CC8" w:rsidRDefault="00242CC8" w:rsidP="00977037">
      <w:pPr>
        <w:pBdr>
          <w:top w:val="nil"/>
          <w:left w:val="nil"/>
          <w:bottom w:val="nil"/>
          <w:right w:val="nil"/>
          <w:between w:val="nil"/>
        </w:pBdr>
        <w:tabs>
          <w:tab w:val="left" w:pos="460"/>
        </w:tabs>
        <w:ind w:right="45"/>
        <w:rPr>
          <w:rFonts w:ascii="Times New Roman" w:eastAsia="Times New Roman" w:hAnsi="Times New Roman" w:cs="Times New Roman"/>
          <w:sz w:val="24"/>
          <w:szCs w:val="24"/>
        </w:rPr>
      </w:pPr>
    </w:p>
    <w:p w14:paraId="2198B07D" w14:textId="72D32F58" w:rsidR="00242CC8" w:rsidRDefault="00125136" w:rsidP="00AE1966">
      <w:pPr>
        <w:numPr>
          <w:ilvl w:val="1"/>
          <w:numId w:val="2"/>
        </w:numPr>
        <w:pBdr>
          <w:top w:val="nil"/>
          <w:left w:val="nil"/>
          <w:bottom w:val="nil"/>
          <w:right w:val="nil"/>
          <w:between w:val="nil"/>
        </w:pBdr>
        <w:tabs>
          <w:tab w:val="left" w:pos="460"/>
        </w:tabs>
        <w:ind w:left="450"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Paragraph 49, sub-paragraph </w:t>
      </w:r>
      <w:r w:rsidR="00F313C2">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the words “as</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parens</w:t>
      </w:r>
      <w:proofErr w:type="spellEnd"/>
      <w:r>
        <w:rPr>
          <w:rFonts w:ascii="Times New Roman" w:eastAsia="Times New Roman" w:hAnsi="Times New Roman" w:cs="Times New Roman"/>
          <w:i/>
          <w:sz w:val="24"/>
          <w:szCs w:val="24"/>
        </w:rPr>
        <w:t xml:space="preserve"> patriae </w:t>
      </w:r>
      <w:r>
        <w:rPr>
          <w:rFonts w:ascii="Times New Roman" w:eastAsia="Times New Roman" w:hAnsi="Times New Roman" w:cs="Times New Roman"/>
          <w:sz w:val="24"/>
          <w:szCs w:val="24"/>
        </w:rPr>
        <w:t xml:space="preserve">for the </w:t>
      </w:r>
      <w:proofErr w:type="spellStart"/>
      <w:r>
        <w:rPr>
          <w:rFonts w:ascii="Times New Roman" w:eastAsia="Times New Roman" w:hAnsi="Times New Roman" w:cs="Times New Roman"/>
          <w:sz w:val="24"/>
          <w:szCs w:val="24"/>
        </w:rPr>
        <w:t>Aurokan</w:t>
      </w:r>
      <w:proofErr w:type="spellEnd"/>
      <w:r>
        <w:rPr>
          <w:rFonts w:ascii="Times New Roman" w:eastAsia="Times New Roman" w:hAnsi="Times New Roman" w:cs="Times New Roman"/>
          <w:sz w:val="24"/>
          <w:szCs w:val="24"/>
        </w:rPr>
        <w:t xml:space="preserve"> people”</w:t>
      </w:r>
      <w:r w:rsidR="00852EF0">
        <w:rPr>
          <w:rFonts w:ascii="Times New Roman" w:eastAsia="Times New Roman" w:hAnsi="Times New Roman" w:cs="Times New Roman"/>
          <w:sz w:val="24"/>
          <w:szCs w:val="24"/>
        </w:rPr>
        <w:t xml:space="preserve"> </w:t>
      </w:r>
      <w:r w:rsidR="00977037">
        <w:rPr>
          <w:rFonts w:ascii="Times New Roman" w:eastAsia="Times New Roman" w:hAnsi="Times New Roman" w:cs="Times New Roman"/>
          <w:sz w:val="24"/>
          <w:szCs w:val="24"/>
        </w:rPr>
        <w:t>are</w:t>
      </w:r>
      <w:r w:rsidR="00852EF0">
        <w:rPr>
          <w:rFonts w:ascii="Times New Roman" w:eastAsia="Times New Roman" w:hAnsi="Times New Roman" w:cs="Times New Roman"/>
          <w:sz w:val="24"/>
          <w:szCs w:val="24"/>
        </w:rPr>
        <w:t xml:space="preserve"> deleted.</w:t>
      </w:r>
    </w:p>
    <w:p w14:paraId="79B76540" w14:textId="77777777" w:rsidR="00242CC8" w:rsidRDefault="00242CC8" w:rsidP="00AE1966">
      <w:pPr>
        <w:pBdr>
          <w:top w:val="nil"/>
          <w:left w:val="nil"/>
          <w:bottom w:val="nil"/>
          <w:right w:val="nil"/>
          <w:between w:val="nil"/>
        </w:pBdr>
        <w:tabs>
          <w:tab w:val="left" w:pos="821"/>
        </w:tabs>
        <w:spacing w:line="276" w:lineRule="auto"/>
        <w:ind w:left="820" w:right="45"/>
        <w:rPr>
          <w:rFonts w:ascii="Times New Roman" w:eastAsia="Times New Roman" w:hAnsi="Times New Roman" w:cs="Times New Roman"/>
          <w:color w:val="000000"/>
          <w:sz w:val="24"/>
          <w:szCs w:val="24"/>
        </w:rPr>
      </w:pPr>
    </w:p>
    <w:p w14:paraId="0BB45126" w14:textId="77777777" w:rsidR="00242CC8" w:rsidRDefault="00125136" w:rsidP="00AE1966">
      <w:pPr>
        <w:pStyle w:val="Heading1"/>
        <w:spacing w:before="57"/>
        <w:ind w:right="45"/>
        <w:rPr>
          <w:b w:val="0"/>
        </w:rPr>
      </w:pPr>
      <w:r>
        <w:t>CLARIFICATIONS</w:t>
      </w:r>
    </w:p>
    <w:p w14:paraId="1F99CCE3" w14:textId="77777777" w:rsidR="00242CC8" w:rsidRDefault="00242CC8" w:rsidP="00AE1966">
      <w:pPr>
        <w:spacing w:before="7"/>
        <w:ind w:right="45"/>
        <w:rPr>
          <w:rFonts w:ascii="Times New Roman" w:eastAsia="Times New Roman" w:hAnsi="Times New Roman" w:cs="Times New Roman"/>
          <w:b/>
          <w:sz w:val="23"/>
          <w:szCs w:val="23"/>
        </w:rPr>
      </w:pPr>
    </w:p>
    <w:p w14:paraId="6A55EF23" w14:textId="54F9B1E6" w:rsidR="00242CC8" w:rsidRDefault="00977037" w:rsidP="00AE1966">
      <w:pPr>
        <w:numPr>
          <w:ilvl w:val="0"/>
          <w:numId w:val="1"/>
        </w:numPr>
        <w:pBdr>
          <w:top w:val="nil"/>
          <w:left w:val="nil"/>
          <w:bottom w:val="nil"/>
          <w:right w:val="nil"/>
          <w:between w:val="nil"/>
        </w:pBdr>
        <w:tabs>
          <w:tab w:val="left" w:pos="461"/>
        </w:tabs>
        <w:ind w:right="45"/>
      </w:pPr>
      <w:r>
        <w:rPr>
          <w:rFonts w:ascii="Times New Roman" w:eastAsia="Times New Roman" w:hAnsi="Times New Roman" w:cs="Times New Roman"/>
          <w:sz w:val="24"/>
          <w:szCs w:val="24"/>
        </w:rPr>
        <w:t xml:space="preserve">Nearly all </w:t>
      </w:r>
      <w:proofErr w:type="spellStart"/>
      <w:r w:rsidR="00125136">
        <w:rPr>
          <w:rFonts w:ascii="Times New Roman" w:eastAsia="Times New Roman" w:hAnsi="Times New Roman" w:cs="Times New Roman"/>
          <w:sz w:val="24"/>
          <w:szCs w:val="24"/>
        </w:rPr>
        <w:t>Aurokans</w:t>
      </w:r>
      <w:proofErr w:type="spellEnd"/>
      <w:r w:rsidR="00125136">
        <w:rPr>
          <w:rFonts w:ascii="Times New Roman" w:eastAsia="Times New Roman" w:hAnsi="Times New Roman" w:cs="Times New Roman"/>
          <w:sz w:val="24"/>
          <w:szCs w:val="24"/>
        </w:rPr>
        <w:t xml:space="preserve">, as well as the </w:t>
      </w:r>
      <w:proofErr w:type="spellStart"/>
      <w:r w:rsidR="00125136">
        <w:rPr>
          <w:rFonts w:ascii="Times New Roman" w:eastAsia="Times New Roman" w:hAnsi="Times New Roman" w:cs="Times New Roman"/>
          <w:sz w:val="24"/>
          <w:szCs w:val="24"/>
        </w:rPr>
        <w:t>Rakkabi</w:t>
      </w:r>
      <w:proofErr w:type="spellEnd"/>
      <w:r w:rsidR="00125136">
        <w:rPr>
          <w:rFonts w:ascii="Times New Roman" w:eastAsia="Times New Roman" w:hAnsi="Times New Roman" w:cs="Times New Roman"/>
          <w:sz w:val="24"/>
          <w:szCs w:val="24"/>
        </w:rPr>
        <w:t xml:space="preserve"> adherents to </w:t>
      </w:r>
      <w:proofErr w:type="spellStart"/>
      <w:r w:rsidR="00125136">
        <w:rPr>
          <w:rFonts w:ascii="Times New Roman" w:eastAsia="Times New Roman" w:hAnsi="Times New Roman" w:cs="Times New Roman"/>
          <w:sz w:val="24"/>
          <w:szCs w:val="24"/>
        </w:rPr>
        <w:t>Pivzao</w:t>
      </w:r>
      <w:proofErr w:type="spellEnd"/>
      <w:r w:rsidR="00125136">
        <w:rPr>
          <w:rFonts w:ascii="Times New Roman" w:eastAsia="Times New Roman" w:hAnsi="Times New Roman" w:cs="Times New Roman"/>
          <w:sz w:val="24"/>
          <w:szCs w:val="24"/>
        </w:rPr>
        <w:t xml:space="preserve"> traditions, self-identify as indigenous.</w:t>
      </w:r>
    </w:p>
    <w:p w14:paraId="7DC40746" w14:textId="77777777" w:rsidR="00242CC8" w:rsidRDefault="00242CC8" w:rsidP="00AE1966">
      <w:pPr>
        <w:pBdr>
          <w:top w:val="nil"/>
          <w:left w:val="nil"/>
          <w:bottom w:val="nil"/>
          <w:right w:val="nil"/>
          <w:between w:val="nil"/>
        </w:pBdr>
        <w:tabs>
          <w:tab w:val="left" w:pos="461"/>
        </w:tabs>
        <w:ind w:left="460" w:right="45"/>
        <w:rPr>
          <w:rFonts w:ascii="Times New Roman" w:eastAsia="Times New Roman" w:hAnsi="Times New Roman" w:cs="Times New Roman"/>
          <w:sz w:val="24"/>
          <w:szCs w:val="24"/>
        </w:rPr>
      </w:pPr>
    </w:p>
    <w:p w14:paraId="64580868" w14:textId="75811B97" w:rsidR="00242CC8" w:rsidRDefault="00F02D0B" w:rsidP="00AE1966">
      <w:pPr>
        <w:numPr>
          <w:ilvl w:val="0"/>
          <w:numId w:val="1"/>
        </w:numPr>
        <w:pBdr>
          <w:top w:val="nil"/>
          <w:left w:val="nil"/>
          <w:bottom w:val="nil"/>
          <w:right w:val="nil"/>
          <w:between w:val="nil"/>
        </w:pBdr>
        <w:tabs>
          <w:tab w:val="left" w:pos="461"/>
        </w:tabs>
        <w:ind w:right="45"/>
      </w:pPr>
      <w:r>
        <w:rPr>
          <w:rFonts w:ascii="Times New Roman" w:eastAsia="Times New Roman" w:hAnsi="Times New Roman" w:cs="Times New Roman"/>
          <w:sz w:val="24"/>
          <w:szCs w:val="24"/>
        </w:rPr>
        <w:t xml:space="preserve">According to annual reports from </w:t>
      </w:r>
      <w:proofErr w:type="spellStart"/>
      <w:r>
        <w:rPr>
          <w:rFonts w:ascii="Times New Roman" w:eastAsia="Times New Roman" w:hAnsi="Times New Roman" w:cs="Times New Roman"/>
          <w:sz w:val="24"/>
          <w:szCs w:val="24"/>
        </w:rPr>
        <w:t>Aurok’s</w:t>
      </w:r>
      <w:proofErr w:type="spellEnd"/>
      <w:r>
        <w:rPr>
          <w:rFonts w:ascii="Times New Roman" w:eastAsia="Times New Roman" w:hAnsi="Times New Roman" w:cs="Times New Roman"/>
          <w:sz w:val="24"/>
          <w:szCs w:val="24"/>
        </w:rPr>
        <w:t xml:space="preserve"> Ministry of Health, there has been no significant increase in the rate of malnutrition in the country since at least the year 2000.</w:t>
      </w:r>
    </w:p>
    <w:p w14:paraId="204760EA" w14:textId="77777777" w:rsidR="00242CC8" w:rsidRDefault="00242CC8" w:rsidP="00AE1966">
      <w:pPr>
        <w:pBdr>
          <w:top w:val="nil"/>
          <w:left w:val="nil"/>
          <w:bottom w:val="nil"/>
          <w:right w:val="nil"/>
          <w:between w:val="nil"/>
        </w:pBdr>
        <w:tabs>
          <w:tab w:val="left" w:pos="461"/>
        </w:tabs>
        <w:ind w:left="460" w:right="45"/>
        <w:rPr>
          <w:rFonts w:ascii="Times New Roman" w:eastAsia="Times New Roman" w:hAnsi="Times New Roman" w:cs="Times New Roman"/>
          <w:sz w:val="24"/>
          <w:szCs w:val="24"/>
        </w:rPr>
      </w:pPr>
    </w:p>
    <w:p w14:paraId="6D5DB065" w14:textId="5FE46BBE" w:rsidR="00242CC8" w:rsidRPr="00412861" w:rsidRDefault="002F0375" w:rsidP="00412861">
      <w:pPr>
        <w:numPr>
          <w:ilvl w:val="0"/>
          <w:numId w:val="1"/>
        </w:numPr>
        <w:pBdr>
          <w:top w:val="nil"/>
          <w:left w:val="nil"/>
          <w:bottom w:val="nil"/>
          <w:right w:val="nil"/>
          <w:between w:val="nil"/>
        </w:pBdr>
        <w:tabs>
          <w:tab w:val="left" w:pos="461"/>
        </w:tabs>
        <w:ind w:right="45"/>
        <w:rPr>
          <w:rFonts w:ascii="Times New Roman" w:hAnsi="Times New Roman" w:cs="Times New Roman"/>
          <w:sz w:val="24"/>
          <w:szCs w:val="24"/>
        </w:rPr>
      </w:pPr>
      <w:r w:rsidRPr="002F0375">
        <w:rPr>
          <w:rFonts w:ascii="Times New Roman" w:hAnsi="Times New Roman" w:cs="Times New Roman"/>
          <w:sz w:val="24"/>
          <w:szCs w:val="24"/>
        </w:rPr>
        <w:t xml:space="preserve">In November 2017, three religious leaders from the </w:t>
      </w:r>
      <w:proofErr w:type="spellStart"/>
      <w:r w:rsidRPr="002F0375">
        <w:rPr>
          <w:rFonts w:ascii="Times New Roman" w:hAnsi="Times New Roman" w:cs="Times New Roman"/>
          <w:sz w:val="24"/>
          <w:szCs w:val="24"/>
        </w:rPr>
        <w:t>Rakkabi</w:t>
      </w:r>
      <w:proofErr w:type="spellEnd"/>
      <w:r w:rsidRPr="002F0375">
        <w:rPr>
          <w:rFonts w:ascii="Times New Roman" w:hAnsi="Times New Roman" w:cs="Times New Roman"/>
          <w:sz w:val="24"/>
          <w:szCs w:val="24"/>
        </w:rPr>
        <w:t xml:space="preserve"> </w:t>
      </w:r>
      <w:proofErr w:type="spellStart"/>
      <w:r w:rsidRPr="002F0375">
        <w:rPr>
          <w:rFonts w:ascii="Times New Roman" w:hAnsi="Times New Roman" w:cs="Times New Roman"/>
          <w:sz w:val="24"/>
          <w:szCs w:val="24"/>
        </w:rPr>
        <w:t>Pivzao</w:t>
      </w:r>
      <w:proofErr w:type="spellEnd"/>
      <w:r w:rsidRPr="002F0375">
        <w:rPr>
          <w:rFonts w:ascii="Times New Roman" w:hAnsi="Times New Roman" w:cs="Times New Roman"/>
          <w:sz w:val="24"/>
          <w:szCs w:val="24"/>
        </w:rPr>
        <w:t xml:space="preserve"> community, together with 20 village leaders from </w:t>
      </w:r>
      <w:proofErr w:type="spellStart"/>
      <w:r w:rsidRPr="002F0375">
        <w:rPr>
          <w:rFonts w:ascii="Times New Roman" w:hAnsi="Times New Roman" w:cs="Times New Roman"/>
          <w:sz w:val="24"/>
          <w:szCs w:val="24"/>
        </w:rPr>
        <w:t>Aurok</w:t>
      </w:r>
      <w:proofErr w:type="spellEnd"/>
      <w:r w:rsidRPr="002F0375">
        <w:rPr>
          <w:rFonts w:ascii="Times New Roman" w:hAnsi="Times New Roman" w:cs="Times New Roman"/>
          <w:sz w:val="24"/>
          <w:szCs w:val="24"/>
        </w:rPr>
        <w:t xml:space="preserve">, filed a civil suit in a </w:t>
      </w:r>
      <w:proofErr w:type="spellStart"/>
      <w:r w:rsidRPr="002F0375">
        <w:rPr>
          <w:rFonts w:ascii="Times New Roman" w:hAnsi="Times New Roman" w:cs="Times New Roman"/>
          <w:sz w:val="24"/>
          <w:szCs w:val="24"/>
        </w:rPr>
        <w:t>Rakkabi</w:t>
      </w:r>
      <w:proofErr w:type="spellEnd"/>
      <w:r w:rsidRPr="002F0375">
        <w:rPr>
          <w:rFonts w:ascii="Times New Roman" w:hAnsi="Times New Roman" w:cs="Times New Roman"/>
          <w:sz w:val="24"/>
          <w:szCs w:val="24"/>
        </w:rPr>
        <w:t xml:space="preserve"> court against DORTA and the </w:t>
      </w:r>
      <w:proofErr w:type="spellStart"/>
      <w:r w:rsidRPr="002F0375">
        <w:rPr>
          <w:rFonts w:ascii="Times New Roman" w:hAnsi="Times New Roman" w:cs="Times New Roman"/>
          <w:sz w:val="24"/>
          <w:szCs w:val="24"/>
        </w:rPr>
        <w:t>Rakkabi</w:t>
      </w:r>
      <w:proofErr w:type="spellEnd"/>
      <w:r w:rsidRPr="002F0375">
        <w:rPr>
          <w:rFonts w:ascii="Times New Roman" w:hAnsi="Times New Roman" w:cs="Times New Roman"/>
          <w:sz w:val="24"/>
          <w:szCs w:val="24"/>
        </w:rPr>
        <w:t xml:space="preserve"> Ministry of Agriculture</w:t>
      </w:r>
      <w:r w:rsidR="00417063">
        <w:rPr>
          <w:rFonts w:ascii="Times New Roman" w:hAnsi="Times New Roman" w:cs="Times New Roman"/>
          <w:sz w:val="24"/>
          <w:szCs w:val="24"/>
        </w:rPr>
        <w:t>.</w:t>
      </w:r>
      <w:r w:rsidRPr="002F0375">
        <w:rPr>
          <w:rFonts w:ascii="Times New Roman" w:hAnsi="Times New Roman" w:cs="Times New Roman"/>
          <w:sz w:val="24"/>
          <w:szCs w:val="24"/>
        </w:rPr>
        <w:t xml:space="preserve"> </w:t>
      </w:r>
      <w:r w:rsidR="00417063">
        <w:rPr>
          <w:rFonts w:ascii="Times New Roman" w:hAnsi="Times New Roman" w:cs="Times New Roman"/>
          <w:sz w:val="24"/>
          <w:szCs w:val="24"/>
        </w:rPr>
        <w:t xml:space="preserve">The suit alleged </w:t>
      </w:r>
      <w:r w:rsidRPr="002F0375">
        <w:rPr>
          <w:rFonts w:ascii="Times New Roman" w:hAnsi="Times New Roman" w:cs="Times New Roman"/>
          <w:sz w:val="24"/>
          <w:szCs w:val="24"/>
        </w:rPr>
        <w:t xml:space="preserve">that the depletion of the Yak population and the appropriation of </w:t>
      </w:r>
      <w:proofErr w:type="spellStart"/>
      <w:r w:rsidRPr="002F0375">
        <w:rPr>
          <w:rFonts w:ascii="Times New Roman" w:hAnsi="Times New Roman" w:cs="Times New Roman"/>
          <w:sz w:val="24"/>
          <w:szCs w:val="24"/>
        </w:rPr>
        <w:t>Pivzao</w:t>
      </w:r>
      <w:proofErr w:type="spellEnd"/>
      <w:r w:rsidRPr="002F0375">
        <w:rPr>
          <w:rFonts w:ascii="Times New Roman" w:hAnsi="Times New Roman" w:cs="Times New Roman"/>
          <w:sz w:val="24"/>
          <w:szCs w:val="24"/>
        </w:rPr>
        <w:t xml:space="preserve"> traditional knowledge were violations of </w:t>
      </w:r>
      <w:r w:rsidR="00417063">
        <w:rPr>
          <w:rFonts w:ascii="Times New Roman" w:hAnsi="Times New Roman" w:cs="Times New Roman"/>
          <w:sz w:val="24"/>
          <w:szCs w:val="24"/>
        </w:rPr>
        <w:t xml:space="preserve">the </w:t>
      </w:r>
      <w:r w:rsidR="00412861">
        <w:rPr>
          <w:rFonts w:ascii="Times New Roman" w:hAnsi="Times New Roman" w:cs="Times New Roman"/>
          <w:sz w:val="24"/>
          <w:szCs w:val="24"/>
        </w:rPr>
        <w:t>plaintiffs</w:t>
      </w:r>
      <w:r w:rsidR="00417063">
        <w:rPr>
          <w:rFonts w:ascii="Times New Roman" w:hAnsi="Times New Roman" w:cs="Times New Roman"/>
          <w:sz w:val="24"/>
          <w:szCs w:val="24"/>
        </w:rPr>
        <w:t xml:space="preserve">’ </w:t>
      </w:r>
      <w:r w:rsidRPr="002F0375">
        <w:rPr>
          <w:rFonts w:ascii="Times New Roman" w:hAnsi="Times New Roman" w:cs="Times New Roman"/>
          <w:sz w:val="24"/>
          <w:szCs w:val="24"/>
        </w:rPr>
        <w:t xml:space="preserve">cultural and religious rights. The court dismissed the </w:t>
      </w:r>
      <w:proofErr w:type="spellStart"/>
      <w:r w:rsidRPr="002F0375">
        <w:rPr>
          <w:rFonts w:ascii="Times New Roman" w:hAnsi="Times New Roman" w:cs="Times New Roman"/>
          <w:sz w:val="24"/>
          <w:szCs w:val="24"/>
        </w:rPr>
        <w:t>Aurokan</w:t>
      </w:r>
      <w:proofErr w:type="spellEnd"/>
      <w:r w:rsidRPr="002F0375">
        <w:rPr>
          <w:rFonts w:ascii="Times New Roman" w:hAnsi="Times New Roman" w:cs="Times New Roman"/>
          <w:sz w:val="24"/>
          <w:szCs w:val="24"/>
        </w:rPr>
        <w:t xml:space="preserve"> </w:t>
      </w:r>
      <w:r w:rsidR="00412861">
        <w:rPr>
          <w:rFonts w:ascii="Times New Roman" w:hAnsi="Times New Roman" w:cs="Times New Roman"/>
          <w:sz w:val="24"/>
          <w:szCs w:val="24"/>
        </w:rPr>
        <w:t>plaintiffs</w:t>
      </w:r>
      <w:r w:rsidRPr="002F0375">
        <w:rPr>
          <w:rFonts w:ascii="Times New Roman" w:hAnsi="Times New Roman" w:cs="Times New Roman"/>
          <w:sz w:val="24"/>
          <w:szCs w:val="24"/>
        </w:rPr>
        <w:t>, on the grounds that they lacked standing (</w:t>
      </w:r>
      <w:r w:rsidRPr="002F0375">
        <w:rPr>
          <w:rFonts w:ascii="Times New Roman" w:hAnsi="Times New Roman" w:cs="Times New Roman"/>
          <w:i/>
          <w:iCs/>
          <w:sz w:val="24"/>
          <w:szCs w:val="24"/>
        </w:rPr>
        <w:t>locus standi</w:t>
      </w:r>
      <w:r w:rsidRPr="002F0375">
        <w:rPr>
          <w:rFonts w:ascii="Times New Roman" w:hAnsi="Times New Roman" w:cs="Times New Roman"/>
          <w:sz w:val="24"/>
          <w:szCs w:val="24"/>
        </w:rPr>
        <w:t xml:space="preserve">) to allege violations of </w:t>
      </w:r>
      <w:proofErr w:type="spellStart"/>
      <w:r w:rsidRPr="002F0375">
        <w:rPr>
          <w:rFonts w:ascii="Times New Roman" w:hAnsi="Times New Roman" w:cs="Times New Roman"/>
          <w:sz w:val="24"/>
          <w:szCs w:val="24"/>
        </w:rPr>
        <w:t>Rakkabi</w:t>
      </w:r>
      <w:proofErr w:type="spellEnd"/>
      <w:r w:rsidRPr="002F0375">
        <w:rPr>
          <w:rFonts w:ascii="Times New Roman" w:hAnsi="Times New Roman" w:cs="Times New Roman"/>
          <w:sz w:val="24"/>
          <w:szCs w:val="24"/>
        </w:rPr>
        <w:t xml:space="preserve"> law. In a subsequent judgment</w:t>
      </w:r>
      <w:r w:rsidR="00417063">
        <w:rPr>
          <w:rFonts w:ascii="Times New Roman" w:hAnsi="Times New Roman" w:cs="Times New Roman"/>
          <w:sz w:val="24"/>
          <w:szCs w:val="24"/>
        </w:rPr>
        <w:t>,</w:t>
      </w:r>
      <w:r w:rsidRPr="002F0375">
        <w:rPr>
          <w:rFonts w:ascii="Times New Roman" w:hAnsi="Times New Roman" w:cs="Times New Roman"/>
          <w:sz w:val="24"/>
          <w:szCs w:val="24"/>
        </w:rPr>
        <w:t xml:space="preserve"> the court dismissed the remaining </w:t>
      </w:r>
      <w:bookmarkStart w:id="0" w:name="_GoBack"/>
      <w:r w:rsidRPr="002F0375">
        <w:rPr>
          <w:rFonts w:ascii="Times New Roman" w:hAnsi="Times New Roman" w:cs="Times New Roman"/>
          <w:sz w:val="24"/>
          <w:szCs w:val="24"/>
        </w:rPr>
        <w:t>claim</w:t>
      </w:r>
      <w:bookmarkEnd w:id="0"/>
      <w:r w:rsidRPr="002F0375">
        <w:rPr>
          <w:rFonts w:ascii="Times New Roman" w:hAnsi="Times New Roman" w:cs="Times New Roman"/>
          <w:sz w:val="24"/>
          <w:szCs w:val="24"/>
        </w:rPr>
        <w:t xml:space="preserve">s, finding that the </w:t>
      </w:r>
      <w:proofErr w:type="spellStart"/>
      <w:r w:rsidRPr="002F0375">
        <w:rPr>
          <w:rFonts w:ascii="Times New Roman" w:hAnsi="Times New Roman" w:cs="Times New Roman"/>
          <w:sz w:val="24"/>
          <w:szCs w:val="24"/>
        </w:rPr>
        <w:t>Rakkabi</w:t>
      </w:r>
      <w:proofErr w:type="spellEnd"/>
      <w:r w:rsidRPr="002F0375">
        <w:rPr>
          <w:rFonts w:ascii="Times New Roman" w:hAnsi="Times New Roman" w:cs="Times New Roman"/>
          <w:sz w:val="24"/>
          <w:szCs w:val="24"/>
        </w:rPr>
        <w:t xml:space="preserve"> </w:t>
      </w:r>
      <w:r w:rsidR="00412861">
        <w:rPr>
          <w:rFonts w:ascii="Times New Roman" w:hAnsi="Times New Roman" w:cs="Times New Roman"/>
          <w:sz w:val="24"/>
          <w:szCs w:val="24"/>
        </w:rPr>
        <w:t>plaintiff</w:t>
      </w:r>
      <w:r w:rsidRPr="002F0375">
        <w:rPr>
          <w:rFonts w:ascii="Times New Roman" w:hAnsi="Times New Roman" w:cs="Times New Roman"/>
          <w:sz w:val="24"/>
          <w:szCs w:val="24"/>
        </w:rPr>
        <w:t xml:space="preserve">s could not show that any actions of DORTA or the Ministry had </w:t>
      </w:r>
      <w:r>
        <w:rPr>
          <w:rFonts w:ascii="Times New Roman" w:hAnsi="Times New Roman" w:cs="Times New Roman"/>
          <w:sz w:val="24"/>
          <w:szCs w:val="24"/>
        </w:rPr>
        <w:t>“</w:t>
      </w:r>
      <w:r w:rsidR="00412861" w:rsidRPr="00412861">
        <w:rPr>
          <w:rFonts w:ascii="Times New Roman" w:hAnsi="Times New Roman" w:cs="Times New Roman"/>
          <w:sz w:val="24"/>
          <w:szCs w:val="24"/>
        </w:rPr>
        <w:t xml:space="preserve">caused the alleged injuries through actions or omissions that are cognizable under </w:t>
      </w:r>
      <w:proofErr w:type="spellStart"/>
      <w:r w:rsidR="00412861" w:rsidRPr="00412861">
        <w:rPr>
          <w:rFonts w:ascii="Times New Roman" w:hAnsi="Times New Roman" w:cs="Times New Roman"/>
          <w:sz w:val="24"/>
          <w:szCs w:val="24"/>
        </w:rPr>
        <w:t>Rakkabi</w:t>
      </w:r>
      <w:proofErr w:type="spellEnd"/>
      <w:r w:rsidR="00412861" w:rsidRPr="00412861">
        <w:rPr>
          <w:rFonts w:ascii="Times New Roman" w:hAnsi="Times New Roman" w:cs="Times New Roman"/>
          <w:sz w:val="24"/>
          <w:szCs w:val="24"/>
        </w:rPr>
        <w:t xml:space="preserve"> law</w:t>
      </w:r>
      <w:r w:rsidRPr="00412861">
        <w:rPr>
          <w:rFonts w:ascii="Times New Roman" w:hAnsi="Times New Roman" w:cs="Times New Roman"/>
          <w:sz w:val="24"/>
          <w:szCs w:val="24"/>
        </w:rPr>
        <w:t xml:space="preserve">.” On appeal, the </w:t>
      </w:r>
      <w:proofErr w:type="spellStart"/>
      <w:r w:rsidRPr="00412861">
        <w:rPr>
          <w:rFonts w:ascii="Times New Roman" w:hAnsi="Times New Roman" w:cs="Times New Roman"/>
          <w:sz w:val="24"/>
          <w:szCs w:val="24"/>
        </w:rPr>
        <w:t>Rakkabi</w:t>
      </w:r>
      <w:proofErr w:type="spellEnd"/>
      <w:r w:rsidRPr="00412861">
        <w:rPr>
          <w:rFonts w:ascii="Times New Roman" w:hAnsi="Times New Roman" w:cs="Times New Roman"/>
          <w:sz w:val="24"/>
          <w:szCs w:val="24"/>
        </w:rPr>
        <w:t xml:space="preserve"> Supreme Court affirmed the judgments of the lower court. No further review is available under the laws of </w:t>
      </w:r>
      <w:proofErr w:type="spellStart"/>
      <w:r w:rsidRPr="00412861">
        <w:rPr>
          <w:rFonts w:ascii="Times New Roman" w:hAnsi="Times New Roman" w:cs="Times New Roman"/>
          <w:sz w:val="24"/>
          <w:szCs w:val="24"/>
        </w:rPr>
        <w:t>Rakkab</w:t>
      </w:r>
      <w:proofErr w:type="spellEnd"/>
      <w:r w:rsidRPr="00412861">
        <w:rPr>
          <w:rFonts w:ascii="Times New Roman" w:hAnsi="Times New Roman" w:cs="Times New Roman"/>
          <w:sz w:val="24"/>
          <w:szCs w:val="24"/>
        </w:rPr>
        <w:t>.</w:t>
      </w:r>
    </w:p>
    <w:p w14:paraId="3E450628" w14:textId="77777777" w:rsidR="00242CC8" w:rsidRDefault="00242CC8" w:rsidP="00AE1966">
      <w:pPr>
        <w:pBdr>
          <w:top w:val="nil"/>
          <w:left w:val="nil"/>
          <w:bottom w:val="nil"/>
          <w:right w:val="nil"/>
          <w:between w:val="nil"/>
        </w:pBdr>
        <w:ind w:right="45"/>
        <w:rPr>
          <w:color w:val="000000"/>
        </w:rPr>
      </w:pPr>
    </w:p>
    <w:p w14:paraId="790A02EC" w14:textId="189A4507" w:rsidR="00242CC8" w:rsidRDefault="00125136" w:rsidP="00AE1966">
      <w:pPr>
        <w:numPr>
          <w:ilvl w:val="0"/>
          <w:numId w:val="1"/>
        </w:numPr>
        <w:pBdr>
          <w:top w:val="nil"/>
          <w:left w:val="nil"/>
          <w:bottom w:val="nil"/>
          <w:right w:val="nil"/>
          <w:between w:val="nil"/>
        </w:pBdr>
        <w:tabs>
          <w:tab w:val="left" w:pos="461"/>
        </w:tabs>
        <w:ind w:right="45"/>
      </w:pPr>
      <w:r>
        <w:rPr>
          <w:rFonts w:ascii="Times New Roman" w:eastAsia="Times New Roman" w:hAnsi="Times New Roman" w:cs="Times New Roman"/>
          <w:sz w:val="24"/>
          <w:szCs w:val="24"/>
        </w:rPr>
        <w:t xml:space="preserve">DORTA is a corporation registered under the laws of </w:t>
      </w:r>
      <w:proofErr w:type="spellStart"/>
      <w:r>
        <w:rPr>
          <w:rFonts w:ascii="Times New Roman" w:eastAsia="Times New Roman" w:hAnsi="Times New Roman" w:cs="Times New Roman"/>
          <w:sz w:val="24"/>
          <w:szCs w:val="24"/>
        </w:rPr>
        <w:t>Rakkab</w:t>
      </w:r>
      <w:proofErr w:type="spellEnd"/>
      <w:r>
        <w:rPr>
          <w:rFonts w:ascii="Times New Roman" w:eastAsia="Times New Roman" w:hAnsi="Times New Roman" w:cs="Times New Roman"/>
          <w:sz w:val="24"/>
          <w:szCs w:val="24"/>
        </w:rPr>
        <w:t xml:space="preserve">, with its headquarters and principal place of business in </w:t>
      </w:r>
      <w:proofErr w:type="spellStart"/>
      <w:r>
        <w:rPr>
          <w:rFonts w:ascii="Times New Roman" w:eastAsia="Times New Roman" w:hAnsi="Times New Roman" w:cs="Times New Roman"/>
          <w:sz w:val="24"/>
          <w:szCs w:val="24"/>
        </w:rPr>
        <w:t>Rakkab</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There is only one class of </w:t>
      </w:r>
      <w:r>
        <w:rPr>
          <w:rFonts w:ascii="Times New Roman" w:eastAsia="Times New Roman" w:hAnsi="Times New Roman" w:cs="Times New Roman"/>
          <w:sz w:val="24"/>
          <w:szCs w:val="24"/>
        </w:rPr>
        <w:t>stock</w:t>
      </w:r>
      <w:r w:rsidRPr="00AE1966">
        <w:rPr>
          <w:rFonts w:ascii="Times New Roman" w:hAnsi="Times New Roman"/>
          <w:sz w:val="24"/>
        </w:rPr>
        <w:t xml:space="preserve"> </w:t>
      </w:r>
      <w:r>
        <w:rPr>
          <w:rFonts w:ascii="Times New Roman" w:eastAsia="Times New Roman" w:hAnsi="Times New Roman" w:cs="Times New Roman"/>
          <w:color w:val="000000"/>
          <w:sz w:val="24"/>
          <w:szCs w:val="24"/>
        </w:rPr>
        <w:t>in DORTA, common voting shares.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Representatives of the government of </w:t>
      </w:r>
      <w:proofErr w:type="spellStart"/>
      <w:r>
        <w:rPr>
          <w:rFonts w:ascii="Times New Roman" w:eastAsia="Times New Roman" w:hAnsi="Times New Roman" w:cs="Times New Roman"/>
          <w:color w:val="000000"/>
          <w:sz w:val="24"/>
          <w:szCs w:val="24"/>
        </w:rPr>
        <w:t>Rakkab</w:t>
      </w:r>
      <w:proofErr w:type="spellEnd"/>
      <w:r>
        <w:rPr>
          <w:rFonts w:ascii="Times New Roman" w:eastAsia="Times New Roman" w:hAnsi="Times New Roman" w:cs="Times New Roman"/>
          <w:color w:val="000000"/>
          <w:sz w:val="24"/>
          <w:szCs w:val="24"/>
        </w:rPr>
        <w:t xml:space="preserve"> regularly meet with the CEO and senior executives of DORTA to </w:t>
      </w:r>
      <w:r>
        <w:rPr>
          <w:rFonts w:ascii="Times New Roman" w:eastAsia="Times New Roman" w:hAnsi="Times New Roman" w:cs="Times New Roman"/>
          <w:sz w:val="24"/>
          <w:szCs w:val="24"/>
        </w:rPr>
        <w:t>discuss</w:t>
      </w:r>
      <w:r w:rsidRPr="00AE1966">
        <w:rPr>
          <w:rFonts w:ascii="Times New Roman" w:hAnsi="Times New Roman"/>
          <w:sz w:val="24"/>
        </w:rPr>
        <w:t xml:space="preserve"> </w:t>
      </w:r>
      <w:proofErr w:type="spellStart"/>
      <w:r>
        <w:rPr>
          <w:rFonts w:ascii="Times New Roman" w:eastAsia="Times New Roman" w:hAnsi="Times New Roman" w:cs="Times New Roman"/>
          <w:color w:val="000000"/>
          <w:sz w:val="24"/>
          <w:szCs w:val="24"/>
        </w:rPr>
        <w:t>Rakkab’s</w:t>
      </w:r>
      <w:proofErr w:type="spellEnd"/>
      <w:r>
        <w:rPr>
          <w:rFonts w:ascii="Times New Roman" w:eastAsia="Times New Roman" w:hAnsi="Times New Roman" w:cs="Times New Roman"/>
          <w:color w:val="000000"/>
          <w:sz w:val="24"/>
          <w:szCs w:val="24"/>
        </w:rPr>
        <w:t xml:space="preserve"> national priorities.</w:t>
      </w:r>
    </w:p>
    <w:p w14:paraId="101F0223" w14:textId="77777777" w:rsidR="00242CC8" w:rsidRDefault="00242CC8" w:rsidP="00AE1966">
      <w:pPr>
        <w:pBdr>
          <w:top w:val="nil"/>
          <w:left w:val="nil"/>
          <w:bottom w:val="nil"/>
          <w:right w:val="nil"/>
          <w:between w:val="nil"/>
        </w:pBdr>
        <w:ind w:right="45"/>
        <w:rPr>
          <w:color w:val="000000"/>
        </w:rPr>
      </w:pPr>
    </w:p>
    <w:p w14:paraId="10A1A97F" w14:textId="22068339" w:rsidR="00242CC8" w:rsidRDefault="00125136" w:rsidP="00AE1966">
      <w:pPr>
        <w:numPr>
          <w:ilvl w:val="0"/>
          <w:numId w:val="1"/>
        </w:numPr>
        <w:pBdr>
          <w:top w:val="nil"/>
          <w:left w:val="nil"/>
          <w:bottom w:val="nil"/>
          <w:right w:val="nil"/>
          <w:between w:val="nil"/>
        </w:pBdr>
        <w:tabs>
          <w:tab w:val="left" w:pos="461"/>
        </w:tabs>
        <w:ind w:right="45"/>
      </w:pPr>
      <w:r>
        <w:rPr>
          <w:rFonts w:ascii="Times New Roman" w:eastAsia="Times New Roman" w:hAnsi="Times New Roman" w:cs="Times New Roman"/>
          <w:sz w:val="24"/>
          <w:szCs w:val="24"/>
        </w:rPr>
        <w:t xml:space="preserve">All </w:t>
      </w:r>
      <w:proofErr w:type="spellStart"/>
      <w:r>
        <w:rPr>
          <w:rFonts w:ascii="Times New Roman" w:eastAsia="Times New Roman" w:hAnsi="Times New Roman" w:cs="Times New Roman"/>
          <w:sz w:val="24"/>
          <w:szCs w:val="24"/>
        </w:rPr>
        <w:t>Gallvectra</w:t>
      </w:r>
      <w:proofErr w:type="spellEnd"/>
      <w:r>
        <w:rPr>
          <w:rFonts w:ascii="Times New Roman" w:eastAsia="Times New Roman" w:hAnsi="Times New Roman" w:cs="Times New Roman"/>
          <w:sz w:val="24"/>
          <w:szCs w:val="24"/>
        </w:rPr>
        <w:t xml:space="preserve"> is manufactured in </w:t>
      </w:r>
      <w:proofErr w:type="spellStart"/>
      <w:r>
        <w:rPr>
          <w:rFonts w:ascii="Times New Roman" w:eastAsia="Times New Roman" w:hAnsi="Times New Roman" w:cs="Times New Roman"/>
          <w:sz w:val="24"/>
          <w:szCs w:val="24"/>
        </w:rPr>
        <w:t>Rakkab</w:t>
      </w:r>
      <w:proofErr w:type="spellEnd"/>
      <w:r>
        <w:rPr>
          <w:rFonts w:ascii="Times New Roman" w:eastAsia="Times New Roman" w:hAnsi="Times New Roman" w:cs="Times New Roman"/>
          <w:sz w:val="24"/>
          <w:szCs w:val="24"/>
        </w:rPr>
        <w:t>.</w:t>
      </w:r>
      <w:r w:rsidRPr="00AE1966">
        <w:rPr>
          <w:rFonts w:ascii="Times New Roman" w:hAnsi="Times New Roman"/>
          <w:sz w:val="24"/>
        </w:rPr>
        <w:t xml:space="preserve"> </w:t>
      </w:r>
      <w:r>
        <w:rPr>
          <w:rFonts w:ascii="Times New Roman" w:eastAsia="Times New Roman" w:hAnsi="Times New Roman" w:cs="Times New Roman"/>
          <w:sz w:val="24"/>
          <w:szCs w:val="24"/>
        </w:rPr>
        <w:t xml:space="preserve">DORTA continues marketing and selling </w:t>
      </w:r>
      <w:proofErr w:type="spellStart"/>
      <w:r>
        <w:rPr>
          <w:rFonts w:ascii="Times New Roman" w:eastAsia="Times New Roman" w:hAnsi="Times New Roman" w:cs="Times New Roman"/>
          <w:sz w:val="24"/>
          <w:szCs w:val="24"/>
        </w:rPr>
        <w:t>Gallvectra</w:t>
      </w:r>
      <w:proofErr w:type="spellEnd"/>
      <w:r>
        <w:rPr>
          <w:rFonts w:ascii="Times New Roman" w:eastAsia="Times New Roman" w:hAnsi="Times New Roman" w:cs="Times New Roman"/>
          <w:sz w:val="24"/>
          <w:szCs w:val="24"/>
        </w:rPr>
        <w:t xml:space="preserve"> to the present day.</w:t>
      </w:r>
    </w:p>
    <w:p w14:paraId="24F02A21" w14:textId="77777777" w:rsidR="00242CC8" w:rsidRDefault="00242CC8" w:rsidP="00AE1966">
      <w:pPr>
        <w:pBdr>
          <w:top w:val="nil"/>
          <w:left w:val="nil"/>
          <w:bottom w:val="nil"/>
          <w:right w:val="nil"/>
          <w:between w:val="nil"/>
        </w:pBdr>
        <w:ind w:right="45"/>
        <w:rPr>
          <w:color w:val="000000"/>
        </w:rPr>
      </w:pPr>
    </w:p>
    <w:p w14:paraId="2C8D0849" w14:textId="77777777" w:rsidR="00242CC8" w:rsidRDefault="00125136" w:rsidP="00AE1966">
      <w:pPr>
        <w:numPr>
          <w:ilvl w:val="0"/>
          <w:numId w:val="1"/>
        </w:numPr>
        <w:pBdr>
          <w:top w:val="nil"/>
          <w:left w:val="nil"/>
          <w:bottom w:val="nil"/>
          <w:right w:val="nil"/>
          <w:between w:val="nil"/>
        </w:pBdr>
        <w:tabs>
          <w:tab w:val="left" w:pos="461"/>
        </w:tabs>
        <w:ind w:right="45"/>
      </w:pPr>
      <w:r>
        <w:rPr>
          <w:rFonts w:ascii="Times New Roman" w:eastAsia="Times New Roman" w:hAnsi="Times New Roman" w:cs="Times New Roman"/>
          <w:sz w:val="24"/>
          <w:szCs w:val="24"/>
        </w:rPr>
        <w:t xml:space="preserve">The Ministry of Agriculture of </w:t>
      </w:r>
      <w:proofErr w:type="spellStart"/>
      <w:r>
        <w:rPr>
          <w:rFonts w:ascii="Times New Roman" w:eastAsia="Times New Roman" w:hAnsi="Times New Roman" w:cs="Times New Roman"/>
          <w:sz w:val="24"/>
          <w:szCs w:val="24"/>
        </w:rPr>
        <w:t>Rakkab</w:t>
      </w:r>
      <w:proofErr w:type="spellEnd"/>
      <w:r>
        <w:rPr>
          <w:rFonts w:ascii="Times New Roman" w:eastAsia="Times New Roman" w:hAnsi="Times New Roman" w:cs="Times New Roman"/>
          <w:sz w:val="24"/>
          <w:szCs w:val="24"/>
        </w:rPr>
        <w:t xml:space="preserve"> is a designated Management Authority under Article IX of the CITES. Since 29 September 2017, the Ministry has issued certificates of origin for the </w:t>
      </w:r>
      <w:proofErr w:type="spellStart"/>
      <w:r>
        <w:rPr>
          <w:rFonts w:ascii="Times New Roman" w:eastAsia="Times New Roman" w:hAnsi="Times New Roman" w:cs="Times New Roman"/>
          <w:sz w:val="24"/>
          <w:szCs w:val="24"/>
        </w:rPr>
        <w:t>Lustuk</w:t>
      </w:r>
      <w:proofErr w:type="spellEnd"/>
      <w:r>
        <w:rPr>
          <w:rFonts w:ascii="Times New Roman" w:eastAsia="Times New Roman" w:hAnsi="Times New Roman" w:cs="Times New Roman"/>
          <w:sz w:val="24"/>
          <w:szCs w:val="24"/>
        </w:rPr>
        <w:t xml:space="preserve"> Enzyme in all batches of </w:t>
      </w:r>
      <w:proofErr w:type="spellStart"/>
      <w:r>
        <w:rPr>
          <w:rFonts w:ascii="Times New Roman" w:eastAsia="Times New Roman" w:hAnsi="Times New Roman" w:cs="Times New Roman"/>
          <w:sz w:val="24"/>
          <w:szCs w:val="24"/>
        </w:rPr>
        <w:t>Gallvectra</w:t>
      </w:r>
      <w:proofErr w:type="spellEnd"/>
      <w:r>
        <w:rPr>
          <w:rFonts w:ascii="Times New Roman" w:eastAsia="Times New Roman" w:hAnsi="Times New Roman" w:cs="Times New Roman"/>
          <w:sz w:val="24"/>
          <w:szCs w:val="24"/>
        </w:rPr>
        <w:t xml:space="preserve"> exported from </w:t>
      </w:r>
      <w:proofErr w:type="spellStart"/>
      <w:r>
        <w:rPr>
          <w:rFonts w:ascii="Times New Roman" w:eastAsia="Times New Roman" w:hAnsi="Times New Roman" w:cs="Times New Roman"/>
          <w:sz w:val="24"/>
          <w:szCs w:val="24"/>
        </w:rPr>
        <w:t>Rakkab</w:t>
      </w:r>
      <w:proofErr w:type="spellEnd"/>
      <w:r>
        <w:rPr>
          <w:rFonts w:ascii="Times New Roman" w:eastAsia="Times New Roman" w:hAnsi="Times New Roman" w:cs="Times New Roman"/>
          <w:sz w:val="24"/>
          <w:szCs w:val="24"/>
        </w:rPr>
        <w:t>. The Ministry keeps appropriate records with respect to all such certificates issued.</w:t>
      </w:r>
    </w:p>
    <w:p w14:paraId="39839942" w14:textId="77777777" w:rsidR="00242CC8" w:rsidRDefault="00242CC8" w:rsidP="00AE1966">
      <w:pPr>
        <w:pBdr>
          <w:top w:val="nil"/>
          <w:left w:val="nil"/>
          <w:bottom w:val="nil"/>
          <w:right w:val="nil"/>
          <w:between w:val="nil"/>
        </w:pBdr>
        <w:ind w:right="45"/>
        <w:rPr>
          <w:color w:val="000000"/>
        </w:rPr>
      </w:pPr>
    </w:p>
    <w:p w14:paraId="089B506C" w14:textId="7DF7B8DD" w:rsidR="00242CC8" w:rsidRDefault="00125136" w:rsidP="00AE1966">
      <w:pPr>
        <w:numPr>
          <w:ilvl w:val="0"/>
          <w:numId w:val="1"/>
        </w:numPr>
        <w:pBdr>
          <w:top w:val="nil"/>
          <w:left w:val="nil"/>
          <w:bottom w:val="nil"/>
          <w:right w:val="nil"/>
          <w:between w:val="nil"/>
        </w:pBdr>
        <w:tabs>
          <w:tab w:val="left" w:pos="461"/>
        </w:tabs>
        <w:ind w:right="45"/>
      </w:pPr>
      <w:r>
        <w:rPr>
          <w:rFonts w:ascii="Times New Roman" w:eastAsia="Times New Roman" w:hAnsi="Times New Roman" w:cs="Times New Roman"/>
          <w:sz w:val="24"/>
          <w:szCs w:val="24"/>
        </w:rPr>
        <w:t>Beginning i</w:t>
      </w:r>
      <w:r>
        <w:rPr>
          <w:rFonts w:ascii="Times New Roman" w:eastAsia="Times New Roman" w:hAnsi="Times New Roman" w:cs="Times New Roman"/>
          <w:color w:val="000000"/>
          <w:sz w:val="24"/>
          <w:szCs w:val="24"/>
        </w:rPr>
        <w:t xml:space="preserve">n October 2017, as part of the </w:t>
      </w:r>
      <w:r>
        <w:rPr>
          <w:rFonts w:ascii="Times New Roman" w:eastAsia="Times New Roman" w:hAnsi="Times New Roman" w:cs="Times New Roman"/>
          <w:sz w:val="24"/>
          <w:szCs w:val="24"/>
        </w:rPr>
        <w:t xml:space="preserve">administrative rule-making process that resulted in the issuance of Regulation AG/2017-0300, </w:t>
      </w:r>
      <w:proofErr w:type="spellStart"/>
      <w:r>
        <w:rPr>
          <w:rFonts w:ascii="Times New Roman" w:eastAsia="Times New Roman" w:hAnsi="Times New Roman" w:cs="Times New Roman"/>
          <w:color w:val="000000"/>
          <w:sz w:val="24"/>
          <w:szCs w:val="24"/>
        </w:rPr>
        <w:t>Rakkab</w:t>
      </w:r>
      <w:proofErr w:type="spellEnd"/>
      <w:r>
        <w:rPr>
          <w:rFonts w:ascii="Times New Roman" w:eastAsia="Times New Roman" w:hAnsi="Times New Roman" w:cs="Times New Roman"/>
          <w:color w:val="000000"/>
          <w:sz w:val="24"/>
          <w:szCs w:val="24"/>
        </w:rPr>
        <w:t xml:space="preserve"> conducted a comprehensive environmental impact assessment, focused on the impact of continued hunting of the Yak. The as</w:t>
      </w:r>
      <w:r>
        <w:rPr>
          <w:rFonts w:ascii="Times New Roman" w:eastAsia="Times New Roman" w:hAnsi="Times New Roman" w:cs="Times New Roman"/>
          <w:sz w:val="24"/>
          <w:szCs w:val="24"/>
        </w:rPr>
        <w:t xml:space="preserve">sessment involved consultation with DORTA scientists, YLSA representatives, </w:t>
      </w:r>
      <w:proofErr w:type="spellStart"/>
      <w:r>
        <w:rPr>
          <w:rFonts w:ascii="Times New Roman" w:eastAsia="Times New Roman" w:hAnsi="Times New Roman" w:cs="Times New Roman"/>
          <w:sz w:val="24"/>
          <w:szCs w:val="24"/>
        </w:rPr>
        <w:t>Rakkabi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Pivzao</w:t>
      </w:r>
      <w:proofErr w:type="spellEnd"/>
      <w:r>
        <w:rPr>
          <w:rFonts w:ascii="Times New Roman" w:eastAsia="Times New Roman" w:hAnsi="Times New Roman" w:cs="Times New Roman"/>
          <w:sz w:val="24"/>
          <w:szCs w:val="24"/>
        </w:rPr>
        <w:t xml:space="preserve"> adherents, government officials from </w:t>
      </w:r>
      <w:proofErr w:type="spellStart"/>
      <w:r>
        <w:rPr>
          <w:rFonts w:ascii="Times New Roman" w:eastAsia="Times New Roman" w:hAnsi="Times New Roman" w:cs="Times New Roman"/>
          <w:sz w:val="24"/>
          <w:szCs w:val="24"/>
        </w:rPr>
        <w:t>Aurok</w:t>
      </w:r>
      <w:proofErr w:type="spellEnd"/>
      <w:r>
        <w:rPr>
          <w:rFonts w:ascii="Times New Roman" w:eastAsia="Times New Roman" w:hAnsi="Times New Roman" w:cs="Times New Roman"/>
          <w:sz w:val="24"/>
          <w:szCs w:val="24"/>
        </w:rPr>
        <w:t xml:space="preserve">, licensed Yak hunters, and members of the general public. </w:t>
      </w:r>
      <w:r w:rsidR="00CB0CE9">
        <w:rPr>
          <w:rFonts w:ascii="Times New Roman" w:eastAsia="Times New Roman" w:hAnsi="Times New Roman" w:cs="Times New Roman"/>
          <w:sz w:val="24"/>
          <w:szCs w:val="24"/>
        </w:rPr>
        <w:t>The assessment concluded that Regulation AG/2017-0300 would be adequate to protect the sustainability of the Yak population.</w:t>
      </w:r>
    </w:p>
    <w:p w14:paraId="4968F1BC" w14:textId="77777777" w:rsidR="00242CC8" w:rsidRDefault="00242CC8" w:rsidP="00AE1966">
      <w:pPr>
        <w:pBdr>
          <w:top w:val="nil"/>
          <w:left w:val="nil"/>
          <w:bottom w:val="nil"/>
          <w:right w:val="nil"/>
          <w:between w:val="nil"/>
        </w:pBdr>
        <w:ind w:right="45"/>
        <w:rPr>
          <w:color w:val="000000"/>
        </w:rPr>
      </w:pPr>
    </w:p>
    <w:p w14:paraId="5A0EA378" w14:textId="58D4B93E" w:rsidR="00242CC8" w:rsidRDefault="00125136" w:rsidP="00AE1966">
      <w:pPr>
        <w:numPr>
          <w:ilvl w:val="0"/>
          <w:numId w:val="1"/>
        </w:numPr>
        <w:pBdr>
          <w:top w:val="nil"/>
          <w:left w:val="nil"/>
          <w:bottom w:val="nil"/>
          <w:right w:val="nil"/>
          <w:between w:val="nil"/>
        </w:pBdr>
        <w:tabs>
          <w:tab w:val="left" w:pos="461"/>
        </w:tabs>
        <w:ind w:right="45"/>
      </w:pPr>
      <w:r>
        <w:rPr>
          <w:rFonts w:ascii="Times New Roman" w:eastAsia="Times New Roman" w:hAnsi="Times New Roman" w:cs="Times New Roman"/>
          <w:color w:val="000000"/>
          <w:sz w:val="24"/>
          <w:szCs w:val="24"/>
        </w:rPr>
        <w:t>Regulation AG/2017-0300 provided for criminal and civil sanctions.</w:t>
      </w:r>
      <w:r>
        <w:rPr>
          <w:rFonts w:ascii="Times New Roman" w:eastAsia="Times New Roman" w:hAnsi="Times New Roman" w:cs="Times New Roman"/>
          <w:sz w:val="24"/>
          <w:szCs w:val="24"/>
        </w:rPr>
        <w:t xml:space="preserve"> Additionally, all licenses issued under section 3 of Regulation AG/2017-0300 are notified to the CMS Secretariat in a manner consistent with Article III(7) of the CMS.</w:t>
      </w:r>
    </w:p>
    <w:p w14:paraId="7EA21B31" w14:textId="77777777" w:rsidR="00242CC8" w:rsidRDefault="00242CC8" w:rsidP="00AE1966">
      <w:pPr>
        <w:pBdr>
          <w:top w:val="nil"/>
          <w:left w:val="nil"/>
          <w:bottom w:val="nil"/>
          <w:right w:val="nil"/>
          <w:between w:val="nil"/>
        </w:pBdr>
        <w:ind w:right="45"/>
        <w:rPr>
          <w:color w:val="000000"/>
        </w:rPr>
      </w:pPr>
    </w:p>
    <w:p w14:paraId="2BFA1685" w14:textId="483D1DDE" w:rsidR="00242CC8" w:rsidRDefault="00125136" w:rsidP="00AE1966">
      <w:pPr>
        <w:numPr>
          <w:ilvl w:val="0"/>
          <w:numId w:val="1"/>
        </w:numPr>
        <w:pBdr>
          <w:top w:val="nil"/>
          <w:left w:val="nil"/>
          <w:bottom w:val="nil"/>
          <w:right w:val="nil"/>
          <w:between w:val="nil"/>
        </w:pBdr>
        <w:tabs>
          <w:tab w:val="left" w:pos="461"/>
        </w:tabs>
        <w:ind w:right="45"/>
      </w:pPr>
      <w:bookmarkStart w:id="1" w:name="_gjdgxs" w:colFirst="0" w:colLast="0"/>
      <w:bookmarkEnd w:id="1"/>
      <w:r>
        <w:rPr>
          <w:rFonts w:ascii="Times New Roman" w:eastAsia="Times New Roman" w:hAnsi="Times New Roman" w:cs="Times New Roman"/>
          <w:sz w:val="24"/>
          <w:szCs w:val="24"/>
        </w:rPr>
        <w:t>Apart from the license granted to DORTA, between</w:t>
      </w:r>
      <w:r>
        <w:rPr>
          <w:rFonts w:ascii="Times New Roman" w:eastAsia="Times New Roman" w:hAnsi="Times New Roman" w:cs="Times New Roman"/>
          <w:color w:val="000000"/>
          <w:sz w:val="24"/>
          <w:szCs w:val="24"/>
        </w:rPr>
        <w:t xml:space="preserve"> December 2017 </w:t>
      </w:r>
      <w:r>
        <w:rPr>
          <w:rFonts w:ascii="Times New Roman" w:eastAsia="Times New Roman" w:hAnsi="Times New Roman" w:cs="Times New Roman"/>
          <w:sz w:val="24"/>
          <w:szCs w:val="24"/>
        </w:rPr>
        <w:t>and</w:t>
      </w:r>
      <w:r w:rsidRPr="00AE1966">
        <w:rPr>
          <w:rFonts w:ascii="Times New Roman" w:hAnsi="Times New Roman"/>
          <w:sz w:val="24"/>
        </w:rPr>
        <w:t xml:space="preserve"> </w:t>
      </w:r>
      <w:r>
        <w:rPr>
          <w:rFonts w:ascii="Times New Roman" w:eastAsia="Times New Roman" w:hAnsi="Times New Roman" w:cs="Times New Roman"/>
          <w:color w:val="000000"/>
          <w:sz w:val="24"/>
          <w:szCs w:val="24"/>
        </w:rPr>
        <w:t xml:space="preserve">the present date, the </w:t>
      </w:r>
      <w:proofErr w:type="spellStart"/>
      <w:r>
        <w:rPr>
          <w:rFonts w:ascii="Times New Roman" w:eastAsia="Times New Roman" w:hAnsi="Times New Roman" w:cs="Times New Roman"/>
          <w:color w:val="000000"/>
          <w:sz w:val="24"/>
          <w:szCs w:val="24"/>
        </w:rPr>
        <w:t>Rakkabi</w:t>
      </w:r>
      <w:proofErr w:type="spellEnd"/>
      <w:r>
        <w:rPr>
          <w:rFonts w:ascii="Times New Roman" w:eastAsia="Times New Roman" w:hAnsi="Times New Roman" w:cs="Times New Roman"/>
          <w:color w:val="000000"/>
          <w:sz w:val="24"/>
          <w:szCs w:val="24"/>
        </w:rPr>
        <w:t xml:space="preserve"> Ministry of Agriculture has </w:t>
      </w:r>
      <w:r w:rsidR="00A51F7C">
        <w:rPr>
          <w:rFonts w:ascii="Times New Roman" w:eastAsia="Times New Roman" w:hAnsi="Times New Roman" w:cs="Times New Roman"/>
          <w:color w:val="000000"/>
          <w:sz w:val="24"/>
          <w:szCs w:val="24"/>
        </w:rPr>
        <w:t xml:space="preserve">issued </w:t>
      </w:r>
      <w:r>
        <w:rPr>
          <w:rFonts w:ascii="Times New Roman" w:eastAsia="Times New Roman" w:hAnsi="Times New Roman" w:cs="Times New Roman"/>
          <w:color w:val="000000"/>
          <w:sz w:val="24"/>
          <w:szCs w:val="24"/>
        </w:rPr>
        <w:t xml:space="preserve">licenses to </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 xml:space="preserve"> individuals to hunt Yak.</w:t>
      </w:r>
      <w:r>
        <w:rPr>
          <w:rFonts w:ascii="Times New Roman" w:eastAsia="Times New Roman" w:hAnsi="Times New Roman" w:cs="Times New Roman"/>
          <w:sz w:val="24"/>
          <w:szCs w:val="24"/>
        </w:rPr>
        <w:t xml:space="preserve"> Seventeen </w:t>
      </w:r>
      <w:r>
        <w:rPr>
          <w:rFonts w:ascii="Times New Roman" w:eastAsia="Times New Roman" w:hAnsi="Times New Roman" w:cs="Times New Roman"/>
          <w:color w:val="000000"/>
          <w:sz w:val="24"/>
          <w:szCs w:val="24"/>
        </w:rPr>
        <w:t xml:space="preserve">of these licenses were granted to individuals </w:t>
      </w:r>
      <w:r>
        <w:rPr>
          <w:rFonts w:ascii="Times New Roman" w:eastAsia="Times New Roman" w:hAnsi="Times New Roman" w:cs="Times New Roman"/>
          <w:sz w:val="24"/>
          <w:szCs w:val="24"/>
        </w:rPr>
        <w:t xml:space="preserve">who provide </w:t>
      </w:r>
      <w:r>
        <w:rPr>
          <w:rFonts w:ascii="Times New Roman" w:eastAsia="Times New Roman" w:hAnsi="Times New Roman" w:cs="Times New Roman"/>
          <w:color w:val="000000"/>
          <w:sz w:val="24"/>
          <w:szCs w:val="24"/>
        </w:rPr>
        <w:t xml:space="preserve">Yak meat to traditional users and </w:t>
      </w:r>
      <w:r>
        <w:rPr>
          <w:rFonts w:ascii="Times New Roman" w:eastAsia="Times New Roman" w:hAnsi="Times New Roman" w:cs="Times New Roman"/>
          <w:sz w:val="24"/>
          <w:szCs w:val="24"/>
        </w:rPr>
        <w:t>three</w:t>
      </w:r>
      <w:r>
        <w:rPr>
          <w:rFonts w:ascii="Times New Roman" w:eastAsia="Times New Roman" w:hAnsi="Times New Roman" w:cs="Times New Roman"/>
          <w:color w:val="000000"/>
          <w:sz w:val="24"/>
          <w:szCs w:val="24"/>
        </w:rPr>
        <w:t xml:space="preserve"> to academic institutions for biological study. </w:t>
      </w:r>
      <w:r>
        <w:rPr>
          <w:rFonts w:ascii="Times New Roman" w:eastAsia="Times New Roman" w:hAnsi="Times New Roman" w:cs="Times New Roman"/>
          <w:sz w:val="24"/>
          <w:szCs w:val="24"/>
        </w:rPr>
        <w:t xml:space="preserve">All licenses are issued for three years and may be renewed.  Each license limits the number of Yak that the licensee is permitted to </w:t>
      </w:r>
      <w:r w:rsidR="0016333D">
        <w:rPr>
          <w:rFonts w:ascii="Times New Roman" w:eastAsia="Times New Roman" w:hAnsi="Times New Roman" w:cs="Times New Roman"/>
          <w:sz w:val="24"/>
          <w:szCs w:val="24"/>
        </w:rPr>
        <w:t>take</w:t>
      </w:r>
      <w:r>
        <w:rPr>
          <w:rFonts w:ascii="Times New Roman" w:eastAsia="Times New Roman" w:hAnsi="Times New Roman" w:cs="Times New Roman"/>
          <w:color w:val="000000"/>
          <w:sz w:val="24"/>
          <w:szCs w:val="24"/>
        </w:rPr>
        <w:t>.</w:t>
      </w:r>
    </w:p>
    <w:sectPr w:rsidR="00242CC8">
      <w:headerReference w:type="default" r:id="rId10"/>
      <w:footerReference w:type="default" r:id="rId11"/>
      <w:pgSz w:w="12240" w:h="15840"/>
      <w:pgMar w:top="1380" w:right="1320" w:bottom="1240" w:left="1700" w:header="0" w:footer="10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4B933" w14:textId="77777777" w:rsidR="00DF69DD" w:rsidRDefault="00DF69DD">
      <w:r>
        <w:separator/>
      </w:r>
    </w:p>
  </w:endnote>
  <w:endnote w:type="continuationSeparator" w:id="0">
    <w:p w14:paraId="0052E24C" w14:textId="77777777" w:rsidR="00DF69DD" w:rsidRDefault="00DF69DD">
      <w:r>
        <w:continuationSeparator/>
      </w:r>
    </w:p>
  </w:endnote>
  <w:endnote w:type="continuationNotice" w:id="1">
    <w:p w14:paraId="14AC7BBD" w14:textId="77777777" w:rsidR="00DF69DD" w:rsidRDefault="00DF6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BF90" w14:textId="77777777" w:rsidR="00F313C2" w:rsidRDefault="00F313C2">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3B121" w14:textId="77777777" w:rsidR="00DF69DD" w:rsidRDefault="00DF69DD">
      <w:r>
        <w:separator/>
      </w:r>
    </w:p>
  </w:footnote>
  <w:footnote w:type="continuationSeparator" w:id="0">
    <w:p w14:paraId="4B78D138" w14:textId="77777777" w:rsidR="00DF69DD" w:rsidRDefault="00DF69DD">
      <w:r>
        <w:continuationSeparator/>
      </w:r>
    </w:p>
  </w:footnote>
  <w:footnote w:type="continuationNotice" w:id="1">
    <w:p w14:paraId="7A42B199" w14:textId="77777777" w:rsidR="00DF69DD" w:rsidRDefault="00DF6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1E5A" w14:textId="77777777" w:rsidR="00F313C2" w:rsidRDefault="00F31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143C"/>
    <w:multiLevelType w:val="multilevel"/>
    <w:tmpl w:val="EDA2F4CA"/>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36" w:hanging="360"/>
      </w:pPr>
    </w:lvl>
    <w:lvl w:ilvl="2">
      <w:start w:val="1"/>
      <w:numFmt w:val="bullet"/>
      <w:lvlText w:val="•"/>
      <w:lvlJc w:val="left"/>
      <w:pPr>
        <w:ind w:left="2212" w:hanging="360"/>
      </w:pPr>
    </w:lvl>
    <w:lvl w:ilvl="3">
      <w:start w:val="1"/>
      <w:numFmt w:val="bullet"/>
      <w:lvlText w:val="•"/>
      <w:lvlJc w:val="left"/>
      <w:pPr>
        <w:ind w:left="3088" w:hanging="360"/>
      </w:pPr>
    </w:lvl>
    <w:lvl w:ilvl="4">
      <w:start w:val="1"/>
      <w:numFmt w:val="bullet"/>
      <w:lvlText w:val="•"/>
      <w:lvlJc w:val="left"/>
      <w:pPr>
        <w:ind w:left="3964" w:hanging="360"/>
      </w:pPr>
    </w:lvl>
    <w:lvl w:ilvl="5">
      <w:start w:val="1"/>
      <w:numFmt w:val="bullet"/>
      <w:lvlText w:val="•"/>
      <w:lvlJc w:val="left"/>
      <w:pPr>
        <w:ind w:left="4840" w:hanging="360"/>
      </w:pPr>
    </w:lvl>
    <w:lvl w:ilvl="6">
      <w:start w:val="1"/>
      <w:numFmt w:val="bullet"/>
      <w:lvlText w:val="•"/>
      <w:lvlJc w:val="left"/>
      <w:pPr>
        <w:ind w:left="5716" w:hanging="360"/>
      </w:pPr>
    </w:lvl>
    <w:lvl w:ilvl="7">
      <w:start w:val="1"/>
      <w:numFmt w:val="bullet"/>
      <w:lvlText w:val="•"/>
      <w:lvlJc w:val="left"/>
      <w:pPr>
        <w:ind w:left="6592" w:hanging="360"/>
      </w:pPr>
    </w:lvl>
    <w:lvl w:ilvl="8">
      <w:start w:val="1"/>
      <w:numFmt w:val="bullet"/>
      <w:lvlText w:val="•"/>
      <w:lvlJc w:val="left"/>
      <w:pPr>
        <w:ind w:left="7468" w:hanging="360"/>
      </w:pPr>
    </w:lvl>
  </w:abstractNum>
  <w:abstractNum w:abstractNumId="1" w15:restartNumberingAfterBreak="0">
    <w:nsid w:val="4BAD7457"/>
    <w:multiLevelType w:val="multilevel"/>
    <w:tmpl w:val="0DC825D8"/>
    <w:lvl w:ilvl="0">
      <w:start w:val="1"/>
      <w:numFmt w:val="lowerLetter"/>
      <w:lvlText w:val="%1."/>
      <w:lvlJc w:val="left"/>
      <w:pPr>
        <w:ind w:left="820" w:hanging="360"/>
      </w:pPr>
      <w:rPr>
        <w:rFonts w:ascii="Times New Roman" w:eastAsia="Times New Roman" w:hAnsi="Times New Roman" w:cs="Times New Roman"/>
        <w:sz w:val="24"/>
        <w:szCs w:val="24"/>
      </w:rPr>
    </w:lvl>
    <w:lvl w:ilvl="1">
      <w:start w:val="1"/>
      <w:numFmt w:val="decimal"/>
      <w:lvlText w:val="%2."/>
      <w:lvlJc w:val="left"/>
      <w:pPr>
        <w:ind w:left="820" w:hanging="360"/>
      </w:pPr>
      <w:rPr>
        <w:rFonts w:ascii="Times New Roman" w:eastAsia="Times New Roman" w:hAnsi="Times New Roman" w:cs="Times New Roman"/>
        <w:sz w:val="24"/>
        <w:szCs w:val="24"/>
      </w:r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2" w15:restartNumberingAfterBreak="0">
    <w:nsid w:val="64184950"/>
    <w:multiLevelType w:val="multilevel"/>
    <w:tmpl w:val="80E69132"/>
    <w:lvl w:ilvl="0">
      <w:start w:val="1"/>
      <w:numFmt w:val="lowerLetter"/>
      <w:lvlText w:val="%1."/>
      <w:lvlJc w:val="left"/>
      <w:pPr>
        <w:ind w:left="820" w:hanging="360"/>
      </w:pPr>
      <w:rPr>
        <w:rFonts w:ascii="Times New Roman" w:eastAsia="Times New Roman" w:hAnsi="Times New Roman" w:cs="Times New Roman"/>
        <w:sz w:val="24"/>
        <w:szCs w:val="24"/>
      </w:rPr>
    </w:lvl>
    <w:lvl w:ilvl="1">
      <w:start w:val="1"/>
      <w:numFmt w:val="decimal"/>
      <w:lvlText w:val="%2."/>
      <w:lvlJc w:val="left"/>
      <w:pPr>
        <w:ind w:left="820" w:hanging="360"/>
      </w:pPr>
      <w:rPr>
        <w:rFonts w:ascii="Times New Roman" w:eastAsia="Times New Roman" w:hAnsi="Times New Roman" w:cs="Times New Roman"/>
        <w:sz w:val="24"/>
        <w:szCs w:val="24"/>
      </w:r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3" w15:restartNumberingAfterBreak="0">
    <w:nsid w:val="6FE56CB8"/>
    <w:multiLevelType w:val="multilevel"/>
    <w:tmpl w:val="4A4CC180"/>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36" w:hanging="360"/>
      </w:pPr>
    </w:lvl>
    <w:lvl w:ilvl="2">
      <w:start w:val="1"/>
      <w:numFmt w:val="bullet"/>
      <w:lvlText w:val="•"/>
      <w:lvlJc w:val="left"/>
      <w:pPr>
        <w:ind w:left="2212" w:hanging="360"/>
      </w:pPr>
    </w:lvl>
    <w:lvl w:ilvl="3">
      <w:start w:val="1"/>
      <w:numFmt w:val="bullet"/>
      <w:lvlText w:val="•"/>
      <w:lvlJc w:val="left"/>
      <w:pPr>
        <w:ind w:left="3088" w:hanging="360"/>
      </w:pPr>
    </w:lvl>
    <w:lvl w:ilvl="4">
      <w:start w:val="1"/>
      <w:numFmt w:val="bullet"/>
      <w:lvlText w:val="•"/>
      <w:lvlJc w:val="left"/>
      <w:pPr>
        <w:ind w:left="3964" w:hanging="360"/>
      </w:pPr>
    </w:lvl>
    <w:lvl w:ilvl="5">
      <w:start w:val="1"/>
      <w:numFmt w:val="bullet"/>
      <w:lvlText w:val="•"/>
      <w:lvlJc w:val="left"/>
      <w:pPr>
        <w:ind w:left="4840" w:hanging="360"/>
      </w:pPr>
    </w:lvl>
    <w:lvl w:ilvl="6">
      <w:start w:val="1"/>
      <w:numFmt w:val="bullet"/>
      <w:lvlText w:val="•"/>
      <w:lvlJc w:val="left"/>
      <w:pPr>
        <w:ind w:left="5716" w:hanging="360"/>
      </w:pPr>
    </w:lvl>
    <w:lvl w:ilvl="7">
      <w:start w:val="1"/>
      <w:numFmt w:val="bullet"/>
      <w:lvlText w:val="•"/>
      <w:lvlJc w:val="left"/>
      <w:pPr>
        <w:ind w:left="6592" w:hanging="360"/>
      </w:pPr>
    </w:lvl>
    <w:lvl w:ilvl="8">
      <w:start w:val="1"/>
      <w:numFmt w:val="bullet"/>
      <w:lvlText w:val="•"/>
      <w:lvlJc w:val="left"/>
      <w:pPr>
        <w:ind w:left="7468"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C8"/>
    <w:rsid w:val="00002F73"/>
    <w:rsid w:val="00044AC3"/>
    <w:rsid w:val="00125136"/>
    <w:rsid w:val="0016333D"/>
    <w:rsid w:val="00242CC8"/>
    <w:rsid w:val="002F0375"/>
    <w:rsid w:val="00347A4A"/>
    <w:rsid w:val="00412861"/>
    <w:rsid w:val="00417063"/>
    <w:rsid w:val="00756FED"/>
    <w:rsid w:val="00852EF0"/>
    <w:rsid w:val="00887F2C"/>
    <w:rsid w:val="008979A5"/>
    <w:rsid w:val="008C4006"/>
    <w:rsid w:val="009343F1"/>
    <w:rsid w:val="00977037"/>
    <w:rsid w:val="009D1F1F"/>
    <w:rsid w:val="00A51F7C"/>
    <w:rsid w:val="00AE1966"/>
    <w:rsid w:val="00B53EBE"/>
    <w:rsid w:val="00BB0981"/>
    <w:rsid w:val="00BF7459"/>
    <w:rsid w:val="00C005AF"/>
    <w:rsid w:val="00CB0CE9"/>
    <w:rsid w:val="00CC225C"/>
    <w:rsid w:val="00DF43C4"/>
    <w:rsid w:val="00DF69DD"/>
    <w:rsid w:val="00F02D0B"/>
    <w:rsid w:val="00F313C2"/>
  </w:rsids>
  <m:mathPr>
    <m:mathFont m:val="Cambria Math"/>
    <m:brkBin m:val="before"/>
    <m:brkBinSub m:val="--"/>
    <m:smallFrac m:val="0"/>
    <m:dispDef/>
    <m:lMargin m:val="0"/>
    <m:rMargin m:val="0"/>
    <m:defJc m:val="centerGroup"/>
    <m:wrapIndent m:val="1440"/>
    <m:intLim m:val="subSup"/>
    <m:naryLim m:val="undOvr"/>
  </m:mathPr>
  <w:themeFontLang w:val="en-US" w:eastAsia="ja-JP" w:bidi="uz-Cyrl-U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EB5D8F"/>
  <w15:docId w15:val="{1796B4D9-85DB-4618-B3C4-2291B3D5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uz-Cyrl-U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AE1966"/>
    <w:pP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rsid w:val="00AE196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E196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E196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E1966"/>
    <w:pPr>
      <w:keepNext/>
      <w:keepLines/>
      <w:spacing w:before="220" w:after="40"/>
      <w:outlineLvl w:val="4"/>
    </w:pPr>
    <w:rPr>
      <w:b/>
    </w:rPr>
  </w:style>
  <w:style w:type="paragraph" w:styleId="Heading6">
    <w:name w:val="heading 6"/>
    <w:basedOn w:val="Normal"/>
    <w:next w:val="Normal"/>
    <w:uiPriority w:val="9"/>
    <w:semiHidden/>
    <w:unhideWhenUsed/>
    <w:qFormat/>
    <w:rsid w:val="00AE196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E1966"/>
    <w:pPr>
      <w:tabs>
        <w:tab w:val="center" w:pos="4680"/>
        <w:tab w:val="right" w:pos="9360"/>
      </w:tabs>
    </w:pPr>
    <w:rPr>
      <w:szCs w:val="32"/>
    </w:rPr>
  </w:style>
  <w:style w:type="character" w:customStyle="1" w:styleId="HeaderChar">
    <w:name w:val="Header Char"/>
    <w:basedOn w:val="DefaultParagraphFont"/>
    <w:link w:val="Header"/>
    <w:uiPriority w:val="99"/>
    <w:rsid w:val="00AE1966"/>
    <w:rPr>
      <w:szCs w:val="32"/>
    </w:rPr>
  </w:style>
  <w:style w:type="paragraph" w:styleId="BalloonText">
    <w:name w:val="Balloon Text"/>
    <w:basedOn w:val="Normal"/>
    <w:link w:val="BalloonTextChar"/>
    <w:uiPriority w:val="99"/>
    <w:semiHidden/>
    <w:unhideWhenUsed/>
    <w:rsid w:val="00AE1966"/>
    <w:rPr>
      <w:rFonts w:ascii="Segoe UI" w:hAnsi="Segoe UI" w:cs="Segoe UI"/>
      <w:sz w:val="18"/>
      <w:szCs w:val="26"/>
    </w:rPr>
  </w:style>
  <w:style w:type="character" w:customStyle="1" w:styleId="BalloonTextChar">
    <w:name w:val="Balloon Text Char"/>
    <w:basedOn w:val="DefaultParagraphFont"/>
    <w:link w:val="BalloonText"/>
    <w:uiPriority w:val="99"/>
    <w:semiHidden/>
    <w:rsid w:val="00AE1966"/>
    <w:rPr>
      <w:rFonts w:ascii="Segoe UI" w:hAnsi="Segoe UI" w:cs="Segoe UI"/>
      <w:sz w:val="18"/>
      <w:szCs w:val="26"/>
    </w:rPr>
  </w:style>
  <w:style w:type="paragraph" w:styleId="Revision">
    <w:name w:val="Revision"/>
    <w:hidden/>
    <w:uiPriority w:val="99"/>
    <w:semiHidden/>
    <w:rsid w:val="00AE1966"/>
    <w:pPr>
      <w:widowControl/>
    </w:pPr>
    <w:rPr>
      <w:szCs w:val="32"/>
    </w:rPr>
  </w:style>
  <w:style w:type="character" w:styleId="CommentReference">
    <w:name w:val="annotation reference"/>
    <w:basedOn w:val="DefaultParagraphFont"/>
    <w:uiPriority w:val="99"/>
    <w:semiHidden/>
    <w:unhideWhenUsed/>
    <w:rsid w:val="00F313C2"/>
    <w:rPr>
      <w:sz w:val="18"/>
      <w:szCs w:val="18"/>
    </w:rPr>
  </w:style>
  <w:style w:type="paragraph" w:styleId="CommentText">
    <w:name w:val="annotation text"/>
    <w:basedOn w:val="Normal"/>
    <w:link w:val="CommentTextChar"/>
    <w:uiPriority w:val="99"/>
    <w:semiHidden/>
    <w:unhideWhenUsed/>
    <w:rsid w:val="00F313C2"/>
    <w:rPr>
      <w:sz w:val="24"/>
      <w:szCs w:val="24"/>
    </w:rPr>
  </w:style>
  <w:style w:type="character" w:customStyle="1" w:styleId="CommentTextChar">
    <w:name w:val="Comment Text Char"/>
    <w:basedOn w:val="DefaultParagraphFont"/>
    <w:link w:val="CommentText"/>
    <w:uiPriority w:val="99"/>
    <w:semiHidden/>
    <w:rsid w:val="00F313C2"/>
    <w:rPr>
      <w:sz w:val="24"/>
      <w:szCs w:val="24"/>
    </w:rPr>
  </w:style>
  <w:style w:type="paragraph" w:styleId="CommentSubject">
    <w:name w:val="annotation subject"/>
    <w:basedOn w:val="CommentText"/>
    <w:next w:val="CommentText"/>
    <w:link w:val="CommentSubjectChar"/>
    <w:uiPriority w:val="99"/>
    <w:semiHidden/>
    <w:unhideWhenUsed/>
    <w:rsid w:val="00F313C2"/>
    <w:rPr>
      <w:b/>
      <w:bCs/>
      <w:sz w:val="20"/>
      <w:szCs w:val="20"/>
    </w:rPr>
  </w:style>
  <w:style w:type="character" w:customStyle="1" w:styleId="CommentSubjectChar">
    <w:name w:val="Comment Subject Char"/>
    <w:basedOn w:val="CommentTextChar"/>
    <w:link w:val="CommentSubject"/>
    <w:uiPriority w:val="99"/>
    <w:semiHidden/>
    <w:rsid w:val="00F313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402425">
      <w:bodyDiv w:val="1"/>
      <w:marLeft w:val="0"/>
      <w:marRight w:val="0"/>
      <w:marTop w:val="0"/>
      <w:marBottom w:val="0"/>
      <w:divBdr>
        <w:top w:val="none" w:sz="0" w:space="0" w:color="auto"/>
        <w:left w:val="none" w:sz="0" w:space="0" w:color="auto"/>
        <w:bottom w:val="none" w:sz="0" w:space="0" w:color="auto"/>
        <w:right w:val="none" w:sz="0" w:space="0" w:color="auto"/>
      </w:divBdr>
    </w:div>
    <w:div w:id="1956788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765379826FE449C5C3B09F13D4052" ma:contentTypeVersion="10" ma:contentTypeDescription="Create a new document." ma:contentTypeScope="" ma:versionID="5cb5f2e97f4ced10c99d9a4d1c91852e">
  <xsd:schema xmlns:xsd="http://www.w3.org/2001/XMLSchema" xmlns:xs="http://www.w3.org/2001/XMLSchema" xmlns:p="http://schemas.microsoft.com/office/2006/metadata/properties" xmlns:ns2="6af9ba1f-4ead-4540-94cc-411078617c43" xmlns:ns3="75c8246f-8842-4bc2-bf90-a40c1c938d38" targetNamespace="http://schemas.microsoft.com/office/2006/metadata/properties" ma:root="true" ma:fieldsID="5b6b5bef9b829e73c985990c80334667" ns2:_="" ns3:_="">
    <xsd:import namespace="6af9ba1f-4ead-4540-94cc-411078617c43"/>
    <xsd:import namespace="75c8246f-8842-4bc2-bf90-a40c1c938d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ba1f-4ead-4540-94cc-411078617c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8246f-8842-4bc2-bf90-a40c1c938d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5833D-A392-4DB1-A022-38B1830CC1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7EBA76-9327-4A31-A235-619644106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ba1f-4ead-4540-94cc-411078617c43"/>
    <ds:schemaRef ds:uri="75c8246f-8842-4bc2-bf90-a40c1c938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0791A-8F6F-4B4E-B75D-B576227C8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Peil</dc:creator>
  <cp:lastModifiedBy>Tessa Walker</cp:lastModifiedBy>
  <cp:revision>2</cp:revision>
  <dcterms:created xsi:type="dcterms:W3CDTF">2018-11-19T21:09:00Z</dcterms:created>
  <dcterms:modified xsi:type="dcterms:W3CDTF">2018-11-19T21:09:00Z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0x0101006E0765379826FE449C5C3B09F13D4052</vt:lpwstr>
  </property>
</Properties>
</file>