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9A1876" w:rsidR="00CA4105" w:rsidRDefault="00ED7F33">
      <w:pPr>
        <w:pBdr>
          <w:bottom w:val="single" w:sz="6" w:space="1" w:color="000000"/>
        </w:pBdr>
        <w:spacing w:after="40" w:line="360" w:lineRule="auto"/>
        <w:jc w:val="right"/>
        <w:rPr>
          <w:b/>
          <w:smallCaps/>
        </w:rPr>
      </w:pPr>
      <w:r>
        <w:rPr>
          <w:b/>
          <w:smallCaps/>
        </w:rPr>
        <w:t>183R</w:t>
      </w:r>
    </w:p>
    <w:p w14:paraId="00000002" w14:textId="77777777" w:rsidR="00CA4105" w:rsidRDefault="00CA4105">
      <w:pPr>
        <w:spacing w:after="40" w:line="360" w:lineRule="auto"/>
        <w:rPr>
          <w:smallCaps/>
        </w:rPr>
      </w:pPr>
    </w:p>
    <w:p w14:paraId="00000003" w14:textId="77777777" w:rsidR="00CA4105" w:rsidRDefault="00A90B56">
      <w:pPr>
        <w:spacing w:after="40" w:line="360" w:lineRule="auto"/>
        <w:jc w:val="center"/>
        <w:rPr>
          <w:smallCaps/>
        </w:rPr>
      </w:pPr>
      <w:r>
        <w:rPr>
          <w:smallCaps/>
        </w:rPr>
        <w:t>In The International Court of Justice</w:t>
      </w:r>
    </w:p>
    <w:p w14:paraId="00000004" w14:textId="77777777" w:rsidR="00CA4105" w:rsidRDefault="00CA4105">
      <w:pPr>
        <w:spacing w:after="40" w:line="360" w:lineRule="auto"/>
        <w:jc w:val="center"/>
        <w:rPr>
          <w:smallCaps/>
        </w:rPr>
      </w:pPr>
    </w:p>
    <w:p w14:paraId="00000005" w14:textId="77777777" w:rsidR="00CA4105" w:rsidRDefault="00A90B56">
      <w:pPr>
        <w:spacing w:after="40" w:line="360" w:lineRule="auto"/>
        <w:jc w:val="center"/>
        <w:rPr>
          <w:smallCaps/>
        </w:rPr>
      </w:pPr>
      <w:bookmarkStart w:id="0" w:name="_heading=h.gjdgxs" w:colFirst="0" w:colLast="0"/>
      <w:bookmarkEnd w:id="0"/>
      <w:r>
        <w:rPr>
          <w:noProof/>
        </w:rPr>
        <w:drawing>
          <wp:inline distT="0" distB="0" distL="0" distR="0" wp14:anchorId="7C5474E4" wp14:editId="4F153BC6">
            <wp:extent cx="1117600" cy="1117600"/>
            <wp:effectExtent l="0" t="0" r="0" b="0"/>
            <wp:docPr id="1" name="image1.png" descr="A picture containing building, clock, wind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uilding, clock, window&#10;&#10;Description automatically generated"/>
                    <pic:cNvPicPr preferRelativeResize="0"/>
                  </pic:nvPicPr>
                  <pic:blipFill>
                    <a:blip r:embed="rId11"/>
                    <a:srcRect/>
                    <a:stretch>
                      <a:fillRect/>
                    </a:stretch>
                  </pic:blipFill>
                  <pic:spPr>
                    <a:xfrm>
                      <a:off x="0" y="0"/>
                      <a:ext cx="1117600" cy="1117600"/>
                    </a:xfrm>
                    <a:prstGeom prst="rect">
                      <a:avLst/>
                    </a:prstGeom>
                    <a:ln/>
                  </pic:spPr>
                </pic:pic>
              </a:graphicData>
            </a:graphic>
          </wp:inline>
        </w:drawing>
      </w:r>
    </w:p>
    <w:p w14:paraId="00000006" w14:textId="77777777" w:rsidR="00CA4105" w:rsidRDefault="00CA4105">
      <w:pPr>
        <w:spacing w:after="40" w:line="360" w:lineRule="auto"/>
        <w:jc w:val="center"/>
        <w:rPr>
          <w:smallCaps/>
        </w:rPr>
      </w:pPr>
    </w:p>
    <w:p w14:paraId="00000007" w14:textId="77777777" w:rsidR="00CA4105" w:rsidRDefault="00A90B56">
      <w:pPr>
        <w:spacing w:after="40" w:line="360" w:lineRule="auto"/>
        <w:jc w:val="center"/>
        <w:rPr>
          <w:smallCaps/>
        </w:rPr>
      </w:pPr>
      <w:r>
        <w:rPr>
          <w:smallCaps/>
        </w:rPr>
        <w:t>At The Peace Palace,</w:t>
      </w:r>
    </w:p>
    <w:p w14:paraId="00000008" w14:textId="77777777" w:rsidR="00CA4105" w:rsidRDefault="00A90B56">
      <w:pPr>
        <w:spacing w:after="40" w:line="360" w:lineRule="auto"/>
        <w:jc w:val="center"/>
        <w:rPr>
          <w:smallCaps/>
        </w:rPr>
      </w:pPr>
      <w:r>
        <w:rPr>
          <w:smallCaps/>
        </w:rPr>
        <w:t>The Hague,</w:t>
      </w:r>
    </w:p>
    <w:p w14:paraId="00000009" w14:textId="77777777" w:rsidR="00CA4105" w:rsidRDefault="00A90B56">
      <w:pPr>
        <w:spacing w:after="40" w:line="360" w:lineRule="auto"/>
        <w:jc w:val="center"/>
        <w:rPr>
          <w:smallCaps/>
        </w:rPr>
      </w:pPr>
      <w:r>
        <w:rPr>
          <w:smallCaps/>
        </w:rPr>
        <w:t>The Netherlands</w:t>
      </w:r>
    </w:p>
    <w:p w14:paraId="0000000A" w14:textId="51A44B01" w:rsidR="00CA4105" w:rsidRDefault="00A90B56">
      <w:pPr>
        <w:pBdr>
          <w:bottom w:val="single" w:sz="6" w:space="1" w:color="000000"/>
        </w:pBdr>
        <w:spacing w:after="40" w:line="360" w:lineRule="auto"/>
        <w:jc w:val="center"/>
        <w:rPr>
          <w:b/>
          <w:smallCaps/>
        </w:rPr>
      </w:pPr>
      <w:r>
        <w:rPr>
          <w:b/>
          <w:smallCaps/>
        </w:rPr>
        <w:t>The Case Concerning The Sterren Forty</w:t>
      </w:r>
    </w:p>
    <w:p w14:paraId="0000000B" w14:textId="77777777" w:rsidR="00CA4105" w:rsidRDefault="00CA4105">
      <w:pPr>
        <w:pBdr>
          <w:bottom w:val="single" w:sz="6" w:space="1" w:color="000000"/>
        </w:pBdr>
        <w:spacing w:after="40" w:line="360" w:lineRule="auto"/>
        <w:jc w:val="center"/>
        <w:rPr>
          <w:b/>
          <w:smallCaps/>
        </w:rPr>
      </w:pPr>
    </w:p>
    <w:p w14:paraId="0000000C" w14:textId="77777777" w:rsidR="00CA4105" w:rsidRDefault="00CA4105">
      <w:pPr>
        <w:spacing w:after="40" w:line="360" w:lineRule="auto"/>
        <w:jc w:val="center"/>
        <w:rPr>
          <w:smallCaps/>
        </w:rPr>
      </w:pPr>
    </w:p>
    <w:p w14:paraId="0000000D" w14:textId="53F675E2" w:rsidR="00CA4105" w:rsidRDefault="00A90B56" w:rsidP="00943884">
      <w:pPr>
        <w:spacing w:before="0" w:after="0" w:line="360" w:lineRule="auto"/>
        <w:jc w:val="center"/>
        <w:rPr>
          <w:smallCaps/>
        </w:rPr>
      </w:pPr>
      <w:r>
        <w:rPr>
          <w:smallCaps/>
        </w:rPr>
        <w:t>The Republic of Antrano</w:t>
      </w:r>
    </w:p>
    <w:p w14:paraId="0000000E" w14:textId="09DF5B98" w:rsidR="00CA4105" w:rsidRDefault="00A90B56" w:rsidP="00943884">
      <w:pPr>
        <w:spacing w:before="0" w:after="0" w:line="360" w:lineRule="auto"/>
        <w:jc w:val="center"/>
        <w:rPr>
          <w:smallCaps/>
        </w:rPr>
      </w:pPr>
      <w:r>
        <w:rPr>
          <w:smallCaps/>
        </w:rPr>
        <w:t>(Applicant)</w:t>
      </w:r>
    </w:p>
    <w:p w14:paraId="0000000F" w14:textId="77777777" w:rsidR="00CA4105" w:rsidRDefault="00A90B56">
      <w:pPr>
        <w:spacing w:after="40" w:line="360" w:lineRule="auto"/>
        <w:jc w:val="center"/>
        <w:rPr>
          <w:smallCaps/>
        </w:rPr>
      </w:pPr>
      <w:r>
        <w:rPr>
          <w:smallCaps/>
        </w:rPr>
        <w:t>v.</w:t>
      </w:r>
    </w:p>
    <w:p w14:paraId="00000010" w14:textId="777E8B63" w:rsidR="00CA4105" w:rsidRDefault="00A90B56" w:rsidP="0022631B">
      <w:pPr>
        <w:pBdr>
          <w:bottom w:val="single" w:sz="6" w:space="1" w:color="000000"/>
        </w:pBdr>
        <w:spacing w:before="0" w:after="0" w:line="360" w:lineRule="auto"/>
        <w:jc w:val="center"/>
        <w:rPr>
          <w:smallCaps/>
        </w:rPr>
      </w:pPr>
      <w:r>
        <w:rPr>
          <w:smallCaps/>
        </w:rPr>
        <w:t>The Kingdom of Remisia</w:t>
      </w:r>
    </w:p>
    <w:p w14:paraId="00000011" w14:textId="6EB5C8B8" w:rsidR="00CA4105" w:rsidRDefault="00A90B56" w:rsidP="0022631B">
      <w:pPr>
        <w:pBdr>
          <w:bottom w:val="single" w:sz="6" w:space="1" w:color="000000"/>
        </w:pBdr>
        <w:spacing w:before="0" w:after="0" w:line="360" w:lineRule="auto"/>
        <w:jc w:val="center"/>
        <w:rPr>
          <w:smallCaps/>
        </w:rPr>
      </w:pPr>
      <w:r>
        <w:rPr>
          <w:smallCaps/>
        </w:rPr>
        <w:t>(Respondent)</w:t>
      </w:r>
    </w:p>
    <w:p w14:paraId="00000012" w14:textId="77777777" w:rsidR="00CA4105" w:rsidRDefault="00CA4105">
      <w:pPr>
        <w:pBdr>
          <w:bottom w:val="single" w:sz="6" w:space="1" w:color="000000"/>
        </w:pBdr>
        <w:spacing w:after="40" w:line="360" w:lineRule="auto"/>
        <w:jc w:val="center"/>
        <w:rPr>
          <w:smallCaps/>
        </w:rPr>
      </w:pPr>
    </w:p>
    <w:p w14:paraId="00000013" w14:textId="77777777" w:rsidR="00CA4105" w:rsidRDefault="00CA4105">
      <w:pPr>
        <w:spacing w:after="40" w:line="360" w:lineRule="auto"/>
        <w:jc w:val="center"/>
        <w:rPr>
          <w:smallCaps/>
        </w:rPr>
      </w:pPr>
    </w:p>
    <w:p w14:paraId="00000014" w14:textId="2B74B141" w:rsidR="00CA4105" w:rsidRDefault="00A90B56">
      <w:pPr>
        <w:spacing w:after="40" w:line="360" w:lineRule="auto"/>
        <w:jc w:val="center"/>
        <w:rPr>
          <w:b/>
          <w:smallCaps/>
        </w:rPr>
      </w:pPr>
      <w:r>
        <w:rPr>
          <w:b/>
          <w:smallCaps/>
        </w:rPr>
        <w:t>Memorial for the Respondent</w:t>
      </w:r>
    </w:p>
    <w:p w14:paraId="2E31F830" w14:textId="77777777" w:rsidR="00CA4105" w:rsidRDefault="00A90B56">
      <w:pPr>
        <w:spacing w:before="0" w:after="40" w:line="360" w:lineRule="auto"/>
        <w:jc w:val="center"/>
        <w:rPr>
          <w:b/>
          <w:smallCaps/>
        </w:rPr>
      </w:pPr>
      <w:r>
        <w:rPr>
          <w:b/>
          <w:smallCaps/>
        </w:rPr>
        <w:t>The 2024 Philip C. Jessup International Law Moot Court Competition</w:t>
      </w:r>
    </w:p>
    <w:p w14:paraId="7B224FE4" w14:textId="6FB8C082" w:rsidR="002B300A" w:rsidRDefault="002B300A" w:rsidP="002B300A">
      <w:pPr>
        <w:tabs>
          <w:tab w:val="left" w:pos="2220"/>
        </w:tabs>
        <w:rPr>
          <w:b/>
          <w:smallCaps/>
        </w:rPr>
      </w:pPr>
      <w:r>
        <w:rPr>
          <w:b/>
          <w:smallCaps/>
        </w:rPr>
        <w:tab/>
      </w:r>
    </w:p>
    <w:p w14:paraId="00000015" w14:textId="6559B778" w:rsidR="002B300A" w:rsidRPr="002B300A" w:rsidRDefault="002B300A" w:rsidP="002B300A">
      <w:pPr>
        <w:tabs>
          <w:tab w:val="left" w:pos="2220"/>
        </w:tabs>
        <w:sectPr w:rsidR="002B300A" w:rsidRPr="002B300A" w:rsidSect="00C65AC2">
          <w:footerReference w:type="even" r:id="rId12"/>
          <w:pgSz w:w="12240" w:h="15840"/>
          <w:pgMar w:top="1440" w:right="1440" w:bottom="1440" w:left="1440" w:header="720" w:footer="720" w:gutter="0"/>
          <w:pgNumType w:start="1"/>
          <w:cols w:space="720"/>
        </w:sectPr>
      </w:pPr>
    </w:p>
    <w:p w14:paraId="00000016" w14:textId="77777777" w:rsidR="00CA4105" w:rsidRPr="007C6D37" w:rsidRDefault="00A90B56">
      <w:pPr>
        <w:pBdr>
          <w:bottom w:val="single" w:sz="12" w:space="7" w:color="000000"/>
        </w:pBdr>
        <w:tabs>
          <w:tab w:val="center" w:pos="4773"/>
          <w:tab w:val="right" w:pos="9360"/>
        </w:tabs>
        <w:jc w:val="center"/>
        <w:rPr>
          <w:b/>
          <w:smallCaps/>
        </w:rPr>
      </w:pPr>
      <w:bookmarkStart w:id="1" w:name="_heading=h.30j0zll" w:colFirst="0" w:colLast="0"/>
      <w:bookmarkEnd w:id="1"/>
      <w:r w:rsidRPr="007C6D37">
        <w:rPr>
          <w:b/>
          <w:smallCaps/>
        </w:rPr>
        <w:lastRenderedPageBreak/>
        <w:t>Table of Contents</w:t>
      </w:r>
    </w:p>
    <w:bookmarkStart w:id="2" w:name="_heading=h.1fob9te" w:colFirst="0" w:colLast="0" w:displacedByCustomXml="next"/>
    <w:bookmarkEnd w:id="2" w:displacedByCustomXml="next"/>
    <w:sdt>
      <w:sdtPr>
        <w:id w:val="-1859496517"/>
        <w:docPartObj>
          <w:docPartGallery w:val="Table of Contents"/>
        </w:docPartObj>
      </w:sdtPr>
      <w:sdtContent>
        <w:p w14:paraId="6941E664" w14:textId="77777777" w:rsidR="007C6D37" w:rsidRPr="00A82246" w:rsidRDefault="007C6D37" w:rsidP="00C0539E">
          <w:pPr>
            <w:pStyle w:val="TOC2"/>
            <w:numPr>
              <w:ilvl w:val="0"/>
              <w:numId w:val="0"/>
            </w:numPr>
            <w:spacing w:before="120" w:after="120"/>
          </w:pPr>
          <w:r w:rsidRPr="00A82246">
            <w:rPr>
              <w:smallCaps/>
            </w:rPr>
            <w:t>Index of Authorities</w:t>
          </w:r>
          <w:r w:rsidRPr="00A82246">
            <w:rPr>
              <w:smallCaps/>
            </w:rPr>
            <w:ptab w:relativeTo="margin" w:alignment="right" w:leader="dot"/>
          </w:r>
          <w:r w:rsidRPr="00A82246">
            <w:t>iii</w:t>
          </w:r>
        </w:p>
        <w:p w14:paraId="20306C7D" w14:textId="77777777" w:rsidR="007C6D37" w:rsidRPr="00A82246" w:rsidRDefault="007C6D37" w:rsidP="00C0539E">
          <w:pPr>
            <w:pStyle w:val="TOC2"/>
            <w:numPr>
              <w:ilvl w:val="0"/>
              <w:numId w:val="0"/>
            </w:numPr>
            <w:spacing w:before="120" w:after="120"/>
          </w:pPr>
          <w:r w:rsidRPr="00A82246">
            <w:rPr>
              <w:smallCaps/>
            </w:rPr>
            <w:t>Statement of Jurisdiction</w:t>
          </w:r>
          <w:r w:rsidRPr="00A82246">
            <w:ptab w:relativeTo="margin" w:alignment="right" w:leader="dot"/>
          </w:r>
          <w:r w:rsidRPr="00A82246">
            <w:t>x</w:t>
          </w:r>
        </w:p>
        <w:p w14:paraId="7CBEA8EF" w14:textId="77777777" w:rsidR="007C6D37" w:rsidRPr="00A82246" w:rsidRDefault="007C6D37" w:rsidP="00C0539E">
          <w:pPr>
            <w:pStyle w:val="TOC2"/>
            <w:numPr>
              <w:ilvl w:val="0"/>
              <w:numId w:val="0"/>
            </w:numPr>
            <w:spacing w:before="120" w:after="120"/>
          </w:pPr>
          <w:r w:rsidRPr="00A82246">
            <w:rPr>
              <w:smallCaps/>
            </w:rPr>
            <w:t>Questions Presented</w:t>
          </w:r>
          <w:r w:rsidRPr="00A82246">
            <w:ptab w:relativeTo="margin" w:alignment="right" w:leader="dot"/>
          </w:r>
          <w:r w:rsidRPr="00A82246">
            <w:t>xi</w:t>
          </w:r>
        </w:p>
        <w:p w14:paraId="3963DB80" w14:textId="77777777" w:rsidR="007C6D37" w:rsidRPr="00A82246" w:rsidRDefault="007C6D37" w:rsidP="00C0539E">
          <w:pPr>
            <w:pStyle w:val="TOC2"/>
            <w:numPr>
              <w:ilvl w:val="0"/>
              <w:numId w:val="0"/>
            </w:numPr>
            <w:spacing w:before="120" w:after="120"/>
          </w:pPr>
          <w:r w:rsidRPr="00A82246">
            <w:rPr>
              <w:smallCaps/>
            </w:rPr>
            <w:t>Statement of Facts</w:t>
          </w:r>
          <w:r w:rsidRPr="00A82246">
            <w:ptab w:relativeTo="margin" w:alignment="right" w:leader="dot"/>
          </w:r>
          <w:r w:rsidRPr="00A82246">
            <w:t>xii</w:t>
          </w:r>
        </w:p>
        <w:p w14:paraId="46E88EF2" w14:textId="77777777" w:rsidR="007C6D37" w:rsidRPr="00A82246" w:rsidRDefault="007C6D37" w:rsidP="00C0539E">
          <w:pPr>
            <w:pStyle w:val="TOC2"/>
            <w:numPr>
              <w:ilvl w:val="0"/>
              <w:numId w:val="0"/>
            </w:numPr>
            <w:spacing w:before="120" w:after="120"/>
          </w:pPr>
          <w:r w:rsidRPr="00A82246">
            <w:rPr>
              <w:smallCaps/>
            </w:rPr>
            <w:t>Summary of Pleadings</w:t>
          </w:r>
          <w:r w:rsidRPr="00A82246">
            <w:ptab w:relativeTo="margin" w:alignment="right" w:leader="dot"/>
          </w:r>
          <w:r w:rsidRPr="00A82246">
            <w:t>xvi</w:t>
          </w:r>
        </w:p>
        <w:p w14:paraId="75E45A12" w14:textId="62C0C4C3" w:rsidR="007C6D37" w:rsidRPr="002D436E" w:rsidRDefault="007C6D37" w:rsidP="00C0539E">
          <w:pPr>
            <w:pStyle w:val="TOCHeading"/>
            <w:spacing w:before="120" w:after="120" w:line="240" w:lineRule="auto"/>
            <w:rPr>
              <w:rFonts w:ascii="Times New Roman" w:hAnsi="Times New Roman" w:cs="Times New Roman"/>
              <w:smallCaps/>
              <w:color w:val="auto"/>
              <w:sz w:val="24"/>
              <w:szCs w:val="24"/>
            </w:rPr>
          </w:pPr>
          <w:r w:rsidRPr="002D436E">
            <w:rPr>
              <w:rFonts w:ascii="Times New Roman" w:hAnsi="Times New Roman" w:cs="Times New Roman"/>
              <w:smallCaps/>
              <w:color w:val="auto"/>
              <w:sz w:val="24"/>
              <w:szCs w:val="24"/>
            </w:rPr>
            <w:t>Pleadings</w:t>
          </w:r>
          <w:r w:rsidRPr="002D436E">
            <w:rPr>
              <w:rFonts w:ascii="Times New Roman" w:hAnsi="Times New Roman" w:cs="Times New Roman"/>
              <w:smallCaps/>
              <w:color w:val="auto"/>
              <w:sz w:val="24"/>
              <w:szCs w:val="24"/>
            </w:rPr>
            <w:ptab w:relativeTo="margin" w:alignment="right" w:leader="dot"/>
          </w:r>
          <w:r w:rsidRPr="002D436E">
            <w:rPr>
              <w:rFonts w:ascii="Times New Roman" w:hAnsi="Times New Roman" w:cs="Times New Roman"/>
              <w:smallCaps/>
              <w:color w:val="auto"/>
              <w:sz w:val="24"/>
              <w:szCs w:val="24"/>
            </w:rPr>
            <w:t>1</w:t>
          </w:r>
        </w:p>
        <w:p w14:paraId="7BC671A1" w14:textId="65E0BFF1" w:rsidR="007C6D37" w:rsidRPr="002D436E" w:rsidRDefault="007C6D37" w:rsidP="00C0539E">
          <w:pPr>
            <w:pStyle w:val="ListParagraph"/>
            <w:numPr>
              <w:ilvl w:val="0"/>
              <w:numId w:val="13"/>
            </w:numPr>
            <w:contextualSpacing w:val="0"/>
            <w:rPr>
              <w:smallCaps/>
            </w:rPr>
          </w:pPr>
          <w:r w:rsidRPr="002D436E">
            <w:rPr>
              <w:smallCaps/>
            </w:rPr>
            <w:t>Antrano Lacks Standing To Bring The Matter of The Sterren Forty’s Nationality To This Court</w:t>
          </w:r>
          <w:r w:rsidRPr="002D436E">
            <w:rPr>
              <w:smallCaps/>
            </w:rPr>
            <w:ptab w:relativeTo="margin" w:alignment="right" w:leader="dot"/>
          </w:r>
          <w:r w:rsidRPr="002D436E">
            <w:rPr>
              <w:smallCaps/>
            </w:rPr>
            <w:t>1</w:t>
          </w:r>
        </w:p>
        <w:p w14:paraId="6A37D50D" w14:textId="044F96A1" w:rsidR="007C6D37" w:rsidRPr="002D436E" w:rsidRDefault="007C6D37" w:rsidP="00C0539E">
          <w:pPr>
            <w:pStyle w:val="ListParagraph"/>
            <w:numPr>
              <w:ilvl w:val="0"/>
              <w:numId w:val="14"/>
            </w:numPr>
            <w:ind w:left="1800" w:hanging="720"/>
            <w:contextualSpacing w:val="0"/>
          </w:pPr>
          <w:r w:rsidRPr="007C6D37">
            <w:t xml:space="preserve">Antrano Lacks Standing Because </w:t>
          </w:r>
          <w:r w:rsidR="00A82246">
            <w:t>I</w:t>
          </w:r>
          <w:r w:rsidRPr="007C6D37">
            <w:t>t Cannot Exert Diplomatic Protection Over the Sterren Forty</w:t>
          </w:r>
          <w:r w:rsidRPr="002D436E">
            <w:rPr>
              <w:smallCaps/>
            </w:rPr>
            <w:ptab w:relativeTo="margin" w:alignment="right" w:leader="dot"/>
          </w:r>
          <w:r w:rsidRPr="002D436E">
            <w:rPr>
              <w:smallCaps/>
            </w:rPr>
            <w:t>1</w:t>
          </w:r>
        </w:p>
        <w:p w14:paraId="58279FE8" w14:textId="7B397841" w:rsidR="007C6D37" w:rsidRPr="002D436E" w:rsidRDefault="007C6D37" w:rsidP="00C0539E">
          <w:pPr>
            <w:pStyle w:val="ListParagraph"/>
            <w:numPr>
              <w:ilvl w:val="0"/>
              <w:numId w:val="14"/>
            </w:numPr>
            <w:ind w:left="1800" w:hanging="720"/>
            <w:contextualSpacing w:val="0"/>
          </w:pPr>
          <w:r w:rsidRPr="007C6D37">
            <w:t xml:space="preserve">Antrano Lacks Standing Because There is </w:t>
          </w:r>
          <w:r w:rsidR="00A82246">
            <w:t>N</w:t>
          </w:r>
          <w:r w:rsidRPr="007C6D37">
            <w:t xml:space="preserve">o </w:t>
          </w:r>
          <w:r w:rsidRPr="007C6D37">
            <w:rPr>
              <w:i/>
              <w:iCs/>
            </w:rPr>
            <w:t>Erga Omnes Partes</w:t>
          </w:r>
          <w:r w:rsidRPr="007C6D37">
            <w:t xml:space="preserve"> Obligation to Guarantee Nationality Under Treaty Law</w:t>
          </w:r>
          <w:r w:rsidRPr="002D436E">
            <w:rPr>
              <w:smallCaps/>
            </w:rPr>
            <w:ptab w:relativeTo="margin" w:alignment="right" w:leader="dot"/>
          </w:r>
          <w:r w:rsidRPr="002D436E">
            <w:rPr>
              <w:smallCaps/>
            </w:rPr>
            <w:t>1</w:t>
          </w:r>
        </w:p>
        <w:p w14:paraId="3D51A3FF" w14:textId="291E34A0" w:rsidR="007C6D37" w:rsidRPr="002D436E" w:rsidRDefault="007C6D37" w:rsidP="00C0539E">
          <w:pPr>
            <w:pStyle w:val="ListParagraph"/>
            <w:numPr>
              <w:ilvl w:val="0"/>
              <w:numId w:val="15"/>
            </w:numPr>
            <w:ind w:left="2520" w:hanging="720"/>
            <w:contextualSpacing w:val="0"/>
          </w:pPr>
          <w:r w:rsidRPr="002D436E">
            <w:t xml:space="preserve">An unequivocal guarantee to nationality is not an </w:t>
          </w:r>
          <w:r w:rsidRPr="002D436E">
            <w:rPr>
              <w:i/>
              <w:iCs/>
            </w:rPr>
            <w:t>erga omnes partes</w:t>
          </w:r>
          <w:r w:rsidRPr="002D436E">
            <w:t xml:space="preserve"> obligation under the CRS</w:t>
          </w:r>
          <w:r w:rsidRPr="002D436E">
            <w:rPr>
              <w:smallCaps/>
            </w:rPr>
            <w:ptab w:relativeTo="margin" w:alignment="right" w:leader="dot"/>
          </w:r>
          <w:r w:rsidRPr="002D436E">
            <w:rPr>
              <w:smallCaps/>
            </w:rPr>
            <w:t>2</w:t>
          </w:r>
        </w:p>
        <w:p w14:paraId="1F1FFCDD" w14:textId="2445651B" w:rsidR="00F543FB" w:rsidRPr="002D436E" w:rsidRDefault="00F543FB" w:rsidP="00C0539E">
          <w:pPr>
            <w:pStyle w:val="ListParagraph"/>
            <w:numPr>
              <w:ilvl w:val="0"/>
              <w:numId w:val="15"/>
            </w:numPr>
            <w:ind w:left="2520" w:hanging="720"/>
            <w:contextualSpacing w:val="0"/>
          </w:pPr>
          <w:r w:rsidRPr="002D436E">
            <w:t xml:space="preserve">An unequivocal guarantee to nationality is not an </w:t>
          </w:r>
          <w:r w:rsidRPr="002D436E">
            <w:rPr>
              <w:i/>
              <w:iCs/>
            </w:rPr>
            <w:t>erga omnes partes</w:t>
          </w:r>
          <w:r w:rsidRPr="002D436E">
            <w:t xml:space="preserve"> obligation under the CSP</w:t>
          </w:r>
          <w:r w:rsidRPr="002D436E">
            <w:rPr>
              <w:smallCaps/>
            </w:rPr>
            <w:ptab w:relativeTo="margin" w:alignment="right" w:leader="dot"/>
          </w:r>
          <w:r w:rsidRPr="002D436E">
            <w:rPr>
              <w:smallCaps/>
            </w:rPr>
            <w:t>3</w:t>
          </w:r>
        </w:p>
        <w:p w14:paraId="004EF2C5" w14:textId="0CA4796D" w:rsidR="00F543FB" w:rsidRPr="002D436E" w:rsidRDefault="00F543FB" w:rsidP="00C0539E">
          <w:pPr>
            <w:pStyle w:val="ListParagraph"/>
            <w:numPr>
              <w:ilvl w:val="0"/>
              <w:numId w:val="15"/>
            </w:numPr>
            <w:ind w:left="2520" w:hanging="720"/>
            <w:contextualSpacing w:val="0"/>
          </w:pPr>
          <w:r w:rsidRPr="002D436E">
            <w:t xml:space="preserve">An unequivocal guarantee to nationality is not an </w:t>
          </w:r>
          <w:r w:rsidRPr="002D436E">
            <w:rPr>
              <w:i/>
              <w:iCs/>
            </w:rPr>
            <w:t>erga omnes partes</w:t>
          </w:r>
          <w:r w:rsidRPr="002D436E">
            <w:t xml:space="preserve"> obligation under the ICCPR</w:t>
          </w:r>
          <w:r w:rsidRPr="002D436E">
            <w:rPr>
              <w:smallCaps/>
            </w:rPr>
            <w:ptab w:relativeTo="margin" w:alignment="right" w:leader="dot"/>
          </w:r>
          <w:r w:rsidRPr="002D436E">
            <w:rPr>
              <w:smallCaps/>
            </w:rPr>
            <w:t>3</w:t>
          </w:r>
        </w:p>
        <w:p w14:paraId="66F4042F" w14:textId="4D32DF48" w:rsidR="007C6D37" w:rsidRPr="002D436E" w:rsidRDefault="007C6D37" w:rsidP="00C0539E">
          <w:pPr>
            <w:pStyle w:val="ListParagraph"/>
            <w:numPr>
              <w:ilvl w:val="0"/>
              <w:numId w:val="14"/>
            </w:numPr>
            <w:ind w:left="1800" w:hanging="720"/>
            <w:contextualSpacing w:val="0"/>
          </w:pPr>
          <w:r w:rsidRPr="002D436E">
            <w:t xml:space="preserve">Antrano Lacks Standing Because Statelessness is </w:t>
          </w:r>
          <w:r w:rsidR="00A82246">
            <w:t>N</w:t>
          </w:r>
          <w:r w:rsidRPr="002D436E">
            <w:t xml:space="preserve">ot an </w:t>
          </w:r>
          <w:r w:rsidRPr="002D436E">
            <w:rPr>
              <w:i/>
              <w:iCs/>
            </w:rPr>
            <w:t>Erga Omnes</w:t>
          </w:r>
          <w:r w:rsidRPr="002D436E">
            <w:t xml:space="preserve"> Obligation Under Customary International Law</w:t>
          </w:r>
          <w:r w:rsidRPr="002D436E">
            <w:rPr>
              <w:smallCaps/>
            </w:rPr>
            <w:ptab w:relativeTo="margin" w:alignment="right" w:leader="dot"/>
          </w:r>
          <w:r w:rsidRPr="002D436E">
            <w:rPr>
              <w:smallCaps/>
            </w:rPr>
            <w:t>4</w:t>
          </w:r>
        </w:p>
        <w:p w14:paraId="6704FE14" w14:textId="6D8E4009" w:rsidR="00F543FB" w:rsidRPr="002D436E" w:rsidRDefault="00F543FB" w:rsidP="00C0539E">
          <w:pPr>
            <w:pStyle w:val="ListParagraph"/>
            <w:numPr>
              <w:ilvl w:val="0"/>
              <w:numId w:val="16"/>
            </w:numPr>
            <w:ind w:left="2520" w:hanging="720"/>
            <w:contextualSpacing w:val="0"/>
          </w:pPr>
          <w:r w:rsidRPr="002D436E">
            <w:t xml:space="preserve">Statelessness is not a </w:t>
          </w:r>
          <w:r w:rsidRPr="002D436E">
            <w:rPr>
              <w:i/>
              <w:iCs/>
            </w:rPr>
            <w:t>jus cogens</w:t>
          </w:r>
          <w:r w:rsidRPr="002D436E">
            <w:t xml:space="preserve"> norm</w:t>
          </w:r>
          <w:r w:rsidRPr="002D436E">
            <w:rPr>
              <w:smallCaps/>
            </w:rPr>
            <w:ptab w:relativeTo="margin" w:alignment="right" w:leader="dot"/>
          </w:r>
          <w:r w:rsidRPr="002D436E">
            <w:rPr>
              <w:smallCaps/>
            </w:rPr>
            <w:t>4</w:t>
          </w:r>
        </w:p>
        <w:p w14:paraId="0E0B32D4" w14:textId="7D43969E" w:rsidR="00F543FB" w:rsidRPr="002D436E" w:rsidRDefault="00F543FB" w:rsidP="00C0539E">
          <w:pPr>
            <w:pStyle w:val="ListParagraph"/>
            <w:numPr>
              <w:ilvl w:val="0"/>
              <w:numId w:val="16"/>
            </w:numPr>
            <w:ind w:left="2520" w:hanging="720"/>
            <w:contextualSpacing w:val="0"/>
          </w:pPr>
          <w:r w:rsidRPr="002D436E">
            <w:t>Statelessness is not an obligation owed to the international community</w:t>
          </w:r>
          <w:r w:rsidRPr="002D436E">
            <w:rPr>
              <w:smallCaps/>
            </w:rPr>
            <w:ptab w:relativeTo="margin" w:alignment="right" w:leader="dot"/>
          </w:r>
          <w:r w:rsidRPr="002D436E">
            <w:rPr>
              <w:smallCaps/>
            </w:rPr>
            <w:t>5</w:t>
          </w:r>
        </w:p>
        <w:p w14:paraId="61C42156" w14:textId="0908BB1B" w:rsidR="007C6D37" w:rsidRPr="002D436E" w:rsidRDefault="007C6D37" w:rsidP="00C0539E">
          <w:pPr>
            <w:pStyle w:val="ListParagraph"/>
            <w:numPr>
              <w:ilvl w:val="0"/>
              <w:numId w:val="13"/>
            </w:numPr>
            <w:contextualSpacing w:val="0"/>
            <w:rPr>
              <w:smallCaps/>
            </w:rPr>
          </w:pPr>
          <w:r w:rsidRPr="002D436E">
            <w:rPr>
              <w:smallCaps/>
            </w:rPr>
            <w:t xml:space="preserve">Remisia Complied with International Law </w:t>
          </w:r>
          <w:r w:rsidR="00A82246">
            <w:rPr>
              <w:smallCaps/>
            </w:rPr>
            <w:t>W</w:t>
          </w:r>
          <w:r w:rsidRPr="002D436E">
            <w:rPr>
              <w:smallCaps/>
            </w:rPr>
            <w:t>hen it Revoked the Sterren Forty’s Nationality</w:t>
          </w:r>
          <w:r w:rsidRPr="002D436E">
            <w:rPr>
              <w:smallCaps/>
            </w:rPr>
            <w:ptab w:relativeTo="margin" w:alignment="right" w:leader="dot"/>
          </w:r>
          <w:r w:rsidRPr="002D436E">
            <w:rPr>
              <w:smallCaps/>
            </w:rPr>
            <w:t>6</w:t>
          </w:r>
        </w:p>
        <w:p w14:paraId="13C83B20" w14:textId="76851371" w:rsidR="00F543FB" w:rsidRPr="002D436E" w:rsidRDefault="00F543FB" w:rsidP="00C0539E">
          <w:pPr>
            <w:pStyle w:val="ListParagraph"/>
            <w:numPr>
              <w:ilvl w:val="0"/>
              <w:numId w:val="17"/>
            </w:numPr>
            <w:ind w:left="1800" w:hanging="720"/>
            <w:contextualSpacing w:val="0"/>
          </w:pPr>
          <w:r w:rsidRPr="00F543FB">
            <w:t xml:space="preserve">Remisia Complied with Customary International Law </w:t>
          </w:r>
          <w:r w:rsidR="00540CF7">
            <w:t>w</w:t>
          </w:r>
          <w:r w:rsidRPr="00F543FB">
            <w:t xml:space="preserve">hen </w:t>
          </w:r>
          <w:r w:rsidR="00A82246">
            <w:t>I</w:t>
          </w:r>
          <w:r w:rsidRPr="00F543FB">
            <w:t>t Revoked the Sterren Forty’s Nationality</w:t>
          </w:r>
          <w:r w:rsidRPr="002D436E">
            <w:rPr>
              <w:smallCaps/>
            </w:rPr>
            <w:ptab w:relativeTo="margin" w:alignment="right" w:leader="dot"/>
          </w:r>
          <w:r w:rsidRPr="002D436E">
            <w:rPr>
              <w:smallCaps/>
            </w:rPr>
            <w:t>6</w:t>
          </w:r>
        </w:p>
        <w:p w14:paraId="5BDA6780" w14:textId="1ECC9F92" w:rsidR="00F543FB" w:rsidRPr="002D436E" w:rsidRDefault="00F543FB" w:rsidP="00C0539E">
          <w:pPr>
            <w:pStyle w:val="ListParagraph"/>
            <w:numPr>
              <w:ilvl w:val="0"/>
              <w:numId w:val="18"/>
            </w:numPr>
            <w:ind w:left="2520" w:hanging="720"/>
            <w:contextualSpacing w:val="0"/>
          </w:pPr>
          <w:r w:rsidRPr="002D436E">
            <w:t>Remisia is permitted to maintain its domestic nationality laws without interference</w:t>
          </w:r>
          <w:r w:rsidRPr="002D436E">
            <w:rPr>
              <w:smallCaps/>
            </w:rPr>
            <w:ptab w:relativeTo="margin" w:alignment="right" w:leader="dot"/>
          </w:r>
          <w:r w:rsidRPr="002D436E">
            <w:rPr>
              <w:smallCaps/>
            </w:rPr>
            <w:t>6</w:t>
          </w:r>
        </w:p>
        <w:p w14:paraId="3A5780D5" w14:textId="7913C9A7" w:rsidR="00F543FB" w:rsidRPr="002D436E" w:rsidRDefault="00000000" w:rsidP="00C0539E">
          <w:pPr>
            <w:pStyle w:val="TOC3"/>
            <w:numPr>
              <w:ilvl w:val="0"/>
              <w:numId w:val="18"/>
            </w:numPr>
            <w:tabs>
              <w:tab w:val="left" w:pos="936"/>
              <w:tab w:val="right" w:leader="dot" w:pos="9350"/>
            </w:tabs>
            <w:spacing w:after="120"/>
            <w:ind w:left="2520" w:hanging="720"/>
            <w:rPr>
              <w:rStyle w:val="Hyperlink"/>
              <w:noProof/>
              <w:color w:val="auto"/>
            </w:rPr>
          </w:pPr>
          <w:hyperlink w:anchor="_Toc155924026" w:history="1">
            <w:r w:rsidR="00F543FB" w:rsidRPr="002D436E">
              <w:rPr>
                <w:rStyle w:val="Hyperlink"/>
                <w:noProof/>
                <w:color w:val="auto"/>
                <w:u w:val="none"/>
              </w:rPr>
              <w:t>Remisia complied with international and regional human rights instruments</w:t>
            </w:r>
            <w:r w:rsidR="00F543FB" w:rsidRPr="002D436E">
              <w:rPr>
                <w:noProof/>
                <w:webHidden/>
              </w:rPr>
              <w:tab/>
            </w:r>
            <w:r w:rsidR="00F543FB" w:rsidRPr="002D436E">
              <w:rPr>
                <w:noProof/>
                <w:webHidden/>
              </w:rPr>
              <w:fldChar w:fldCharType="begin"/>
            </w:r>
            <w:r w:rsidR="00F543FB" w:rsidRPr="002D436E">
              <w:rPr>
                <w:noProof/>
                <w:webHidden/>
              </w:rPr>
              <w:instrText xml:space="preserve"> PAGEREF _Toc155924026 \h </w:instrText>
            </w:r>
            <w:r w:rsidR="00F543FB" w:rsidRPr="002D436E">
              <w:rPr>
                <w:noProof/>
                <w:webHidden/>
              </w:rPr>
            </w:r>
            <w:r w:rsidR="00F543FB" w:rsidRPr="002D436E">
              <w:rPr>
                <w:noProof/>
                <w:webHidden/>
              </w:rPr>
              <w:fldChar w:fldCharType="separate"/>
            </w:r>
            <w:r w:rsidR="00F543FB" w:rsidRPr="002D436E">
              <w:rPr>
                <w:noProof/>
                <w:webHidden/>
              </w:rPr>
              <w:t>7</w:t>
            </w:r>
            <w:r w:rsidR="00F543FB" w:rsidRPr="002D436E">
              <w:rPr>
                <w:noProof/>
                <w:webHidden/>
              </w:rPr>
              <w:fldChar w:fldCharType="end"/>
            </w:r>
          </w:hyperlink>
        </w:p>
        <w:p w14:paraId="6772BA35" w14:textId="215368EF" w:rsidR="00F543FB" w:rsidRPr="002D436E" w:rsidRDefault="00F543FB" w:rsidP="00C0539E">
          <w:pPr>
            <w:pStyle w:val="ListParagraph"/>
            <w:numPr>
              <w:ilvl w:val="0"/>
              <w:numId w:val="17"/>
            </w:numPr>
            <w:ind w:left="1800" w:hanging="720"/>
            <w:contextualSpacing w:val="0"/>
          </w:pPr>
          <w:r w:rsidRPr="00F543FB">
            <w:t>Remisia Complied with its Treaty Obligations when it Revoked the Sterren Forty’s Nationality</w:t>
          </w:r>
          <w:r w:rsidRPr="002D436E">
            <w:rPr>
              <w:smallCaps/>
            </w:rPr>
            <w:ptab w:relativeTo="margin" w:alignment="right" w:leader="dot"/>
          </w:r>
          <w:r w:rsidRPr="002D436E">
            <w:rPr>
              <w:smallCaps/>
            </w:rPr>
            <w:t>8</w:t>
          </w:r>
        </w:p>
        <w:p w14:paraId="00DBEE6C" w14:textId="3AE0090D" w:rsidR="00F543FB" w:rsidRPr="002D436E" w:rsidRDefault="00F543FB" w:rsidP="00C0539E">
          <w:pPr>
            <w:pStyle w:val="ListParagraph"/>
            <w:numPr>
              <w:ilvl w:val="0"/>
              <w:numId w:val="19"/>
            </w:numPr>
            <w:ind w:left="2520" w:hanging="720"/>
            <w:contextualSpacing w:val="0"/>
          </w:pPr>
          <w:r w:rsidRPr="002D436E">
            <w:t xml:space="preserve">Remisia complied with CRS </w:t>
          </w:r>
          <w:r w:rsidR="00540CF7">
            <w:t xml:space="preserve">Article 8 </w:t>
          </w:r>
          <w:r w:rsidRPr="002D436E">
            <w:t>when it revoked the Sterren Forty’s nationality</w:t>
          </w:r>
          <w:r w:rsidRPr="002D436E">
            <w:rPr>
              <w:smallCaps/>
            </w:rPr>
            <w:ptab w:relativeTo="margin" w:alignment="right" w:leader="dot"/>
          </w:r>
          <w:r w:rsidRPr="002D436E">
            <w:rPr>
              <w:smallCaps/>
            </w:rPr>
            <w:t>8</w:t>
          </w:r>
        </w:p>
        <w:p w14:paraId="4BA2A900" w14:textId="1EADDF7A" w:rsidR="00F543FB" w:rsidRPr="002D436E" w:rsidRDefault="00F543FB" w:rsidP="00C0539E">
          <w:pPr>
            <w:pStyle w:val="ListParagraph"/>
            <w:numPr>
              <w:ilvl w:val="0"/>
              <w:numId w:val="19"/>
            </w:numPr>
            <w:ind w:left="2520" w:hanging="720"/>
            <w:contextualSpacing w:val="0"/>
          </w:pPr>
          <w:r w:rsidRPr="002D436E">
            <w:lastRenderedPageBreak/>
            <w:t>Remisia complied with CSP</w:t>
          </w:r>
          <w:r w:rsidR="00540CF7">
            <w:t xml:space="preserve"> Article 27</w:t>
          </w:r>
          <w:r w:rsidRPr="002D436E">
            <w:t xml:space="preserve"> when it revoked the Sterren Forty’s nationality</w:t>
          </w:r>
          <w:r w:rsidRPr="002D436E">
            <w:rPr>
              <w:smallCaps/>
            </w:rPr>
            <w:ptab w:relativeTo="margin" w:alignment="right" w:leader="dot"/>
          </w:r>
          <w:r w:rsidRPr="002D436E">
            <w:rPr>
              <w:smallCaps/>
            </w:rPr>
            <w:t>9</w:t>
          </w:r>
        </w:p>
        <w:p w14:paraId="1C80457E" w14:textId="21B4CF4F" w:rsidR="00F543FB" w:rsidRPr="002D436E" w:rsidRDefault="00F543FB" w:rsidP="00C0539E">
          <w:pPr>
            <w:pStyle w:val="ListParagraph"/>
            <w:numPr>
              <w:ilvl w:val="0"/>
              <w:numId w:val="19"/>
            </w:numPr>
            <w:ind w:left="2520" w:hanging="720"/>
            <w:contextualSpacing w:val="0"/>
          </w:pPr>
          <w:r w:rsidRPr="002D436E">
            <w:t>Remisia complied with ICCPR</w:t>
          </w:r>
          <w:r w:rsidR="00540CF7">
            <w:t xml:space="preserve"> Articles 19, 21, and 14</w:t>
          </w:r>
          <w:r w:rsidRPr="002D436E">
            <w:t xml:space="preserve"> when it revoked the Sterren Forty’s nationality</w:t>
          </w:r>
          <w:r w:rsidRPr="002D436E">
            <w:rPr>
              <w:smallCaps/>
            </w:rPr>
            <w:ptab w:relativeTo="margin" w:alignment="right" w:leader="dot"/>
          </w:r>
          <w:r w:rsidRPr="002D436E">
            <w:rPr>
              <w:smallCaps/>
            </w:rPr>
            <w:t>10</w:t>
          </w:r>
        </w:p>
        <w:p w14:paraId="6A71F137" w14:textId="2F67B6E0" w:rsidR="007C6D37" w:rsidRPr="002D436E" w:rsidRDefault="00000000" w:rsidP="00C0539E">
          <w:pPr>
            <w:pStyle w:val="ListParagraph"/>
            <w:numPr>
              <w:ilvl w:val="0"/>
              <w:numId w:val="13"/>
            </w:numPr>
            <w:contextualSpacing w:val="0"/>
            <w:rPr>
              <w:smallCaps/>
            </w:rPr>
          </w:pPr>
          <w:hyperlink w:anchor="_Toc155924031" w:history="1">
            <w:r w:rsidR="007C6D37" w:rsidRPr="002D436E">
              <w:rPr>
                <w:rStyle w:val="Hyperlink"/>
                <w:smallCaps/>
                <w:noProof/>
                <w:color w:val="auto"/>
                <w:u w:val="none"/>
              </w:rPr>
              <w:t>Antrano Violated International Law When it Denied a Remisian National Consular Access to Remisia While Detained in Antrano</w:t>
            </w:r>
            <w:r w:rsidR="007C6D37" w:rsidRPr="002D436E">
              <w:rPr>
                <w:noProof/>
                <w:webHidden/>
              </w:rPr>
              <w:tab/>
            </w:r>
          </w:hyperlink>
          <w:r w:rsidR="007C6D37" w:rsidRPr="002D436E">
            <w:rPr>
              <w:smallCaps/>
            </w:rPr>
            <w:ptab w:relativeTo="margin" w:alignment="right" w:leader="dot"/>
          </w:r>
          <w:r w:rsidR="007C6D37" w:rsidRPr="002D436E">
            <w:rPr>
              <w:smallCaps/>
            </w:rPr>
            <w:t>11</w:t>
          </w:r>
        </w:p>
        <w:p w14:paraId="3D604001" w14:textId="5CC6AE59" w:rsidR="00F543FB" w:rsidRPr="002D436E" w:rsidRDefault="00F543FB" w:rsidP="00C0539E">
          <w:pPr>
            <w:pStyle w:val="ListParagraph"/>
            <w:numPr>
              <w:ilvl w:val="0"/>
              <w:numId w:val="20"/>
            </w:numPr>
            <w:ind w:left="1800" w:hanging="720"/>
            <w:contextualSpacing w:val="0"/>
          </w:pPr>
          <w:r w:rsidRPr="00F543FB">
            <w:t>Antrano Violated its Treaty Obligations when it Denied a Remisian National Access to Remisian Consular Representatives</w:t>
          </w:r>
          <w:r w:rsidRPr="002D436E">
            <w:rPr>
              <w:smallCaps/>
            </w:rPr>
            <w:ptab w:relativeTo="margin" w:alignment="right" w:leader="dot"/>
          </w:r>
          <w:r w:rsidRPr="002D436E">
            <w:rPr>
              <w:smallCaps/>
            </w:rPr>
            <w:t>13</w:t>
          </w:r>
        </w:p>
        <w:p w14:paraId="704C4F9F" w14:textId="5C960898" w:rsidR="00F543FB" w:rsidRPr="002D436E" w:rsidRDefault="00F543FB" w:rsidP="00C0539E">
          <w:pPr>
            <w:pStyle w:val="ListParagraph"/>
            <w:numPr>
              <w:ilvl w:val="0"/>
              <w:numId w:val="21"/>
            </w:numPr>
            <w:ind w:left="2520" w:hanging="720"/>
            <w:contextualSpacing w:val="0"/>
          </w:pPr>
          <w:r w:rsidRPr="002D436E">
            <w:t>Antrano violated VCCR</w:t>
          </w:r>
          <w:r w:rsidR="00540CF7">
            <w:t xml:space="preserve"> Articles 36 and 5</w:t>
          </w:r>
          <w:r w:rsidRPr="002D436E">
            <w:t xml:space="preserve"> when it failed to inform and grant a Remisian national access to a Remisian consular representative</w:t>
          </w:r>
          <w:r w:rsidRPr="002D436E">
            <w:rPr>
              <w:smallCaps/>
            </w:rPr>
            <w:ptab w:relativeTo="margin" w:alignment="right" w:leader="dot"/>
          </w:r>
          <w:r w:rsidRPr="002D436E">
            <w:rPr>
              <w:smallCaps/>
            </w:rPr>
            <w:t>13</w:t>
          </w:r>
        </w:p>
        <w:p w14:paraId="30004147" w14:textId="1E2397BB" w:rsidR="00F543FB" w:rsidRPr="002D436E" w:rsidRDefault="00F543FB" w:rsidP="00C0539E">
          <w:pPr>
            <w:pStyle w:val="ListParagraph"/>
            <w:numPr>
              <w:ilvl w:val="0"/>
              <w:numId w:val="21"/>
            </w:numPr>
            <w:ind w:left="2520" w:hanging="720"/>
            <w:contextualSpacing w:val="0"/>
          </w:pPr>
          <w:r w:rsidRPr="002D436E">
            <w:t>Antrano violated ICCPR</w:t>
          </w:r>
          <w:r w:rsidR="00540CF7">
            <w:t xml:space="preserve"> Articles 9 and 14</w:t>
          </w:r>
          <w:r w:rsidRPr="002D436E">
            <w:t xml:space="preserve"> when it failed to inform and grant a Remisian citizen access to a Remisian consular representative</w:t>
          </w:r>
          <w:r w:rsidRPr="002D436E">
            <w:rPr>
              <w:smallCaps/>
            </w:rPr>
            <w:ptab w:relativeTo="margin" w:alignment="right" w:leader="dot"/>
          </w:r>
          <w:r w:rsidRPr="002D436E">
            <w:rPr>
              <w:smallCaps/>
            </w:rPr>
            <w:t>16</w:t>
          </w:r>
        </w:p>
        <w:p w14:paraId="32A68F91" w14:textId="674B639F" w:rsidR="00F543FB" w:rsidRPr="002D436E" w:rsidRDefault="00F543FB" w:rsidP="00C0539E">
          <w:pPr>
            <w:pStyle w:val="ListParagraph"/>
            <w:numPr>
              <w:ilvl w:val="0"/>
              <w:numId w:val="20"/>
            </w:numPr>
            <w:ind w:left="1800" w:hanging="720"/>
            <w:contextualSpacing w:val="0"/>
          </w:pPr>
          <w:r w:rsidRPr="00F543FB">
            <w:t>Antrano Violated Customary International Law when it Denied a Remisian Citizen Access to Remisian Consular Representatives</w:t>
          </w:r>
          <w:r w:rsidRPr="002D436E">
            <w:rPr>
              <w:smallCaps/>
            </w:rPr>
            <w:ptab w:relativeTo="margin" w:alignment="right" w:leader="dot"/>
          </w:r>
          <w:r w:rsidRPr="002D436E">
            <w:rPr>
              <w:smallCaps/>
            </w:rPr>
            <w:t>17</w:t>
          </w:r>
        </w:p>
        <w:p w14:paraId="16310FE4" w14:textId="7A24D945" w:rsidR="007C6D37" w:rsidRPr="002D436E" w:rsidRDefault="007C6D37" w:rsidP="00C0539E">
          <w:pPr>
            <w:pStyle w:val="ListParagraph"/>
            <w:numPr>
              <w:ilvl w:val="0"/>
              <w:numId w:val="13"/>
            </w:numPr>
            <w:contextualSpacing w:val="0"/>
            <w:rPr>
              <w:smallCaps/>
            </w:rPr>
          </w:pPr>
          <w:r w:rsidRPr="002D436E">
            <w:rPr>
              <w:smallCaps/>
            </w:rPr>
            <w:t>Remisia Complied with International Law When it Refused to Allow Dr. Malex Entry into Remisia</w:t>
          </w:r>
          <w:r w:rsidRPr="002D436E">
            <w:rPr>
              <w:smallCaps/>
            </w:rPr>
            <w:ptab w:relativeTo="margin" w:alignment="right" w:leader="dot"/>
          </w:r>
          <w:r w:rsidRPr="002D436E">
            <w:rPr>
              <w:smallCaps/>
            </w:rPr>
            <w:t>19</w:t>
          </w:r>
        </w:p>
        <w:p w14:paraId="1E63486E" w14:textId="7DF7E701" w:rsidR="00F543FB" w:rsidRPr="002D436E" w:rsidRDefault="00000000" w:rsidP="00C0539E">
          <w:pPr>
            <w:pStyle w:val="TOC2"/>
            <w:spacing w:before="120" w:after="120"/>
            <w:rPr>
              <w:smallCaps/>
            </w:rPr>
          </w:pPr>
          <w:hyperlink w:anchor="_Toc155924037" w:history="1">
            <w:r w:rsidR="00F543FB" w:rsidRPr="002D436E">
              <w:rPr>
                <w:rStyle w:val="Hyperlink"/>
                <w:noProof/>
                <w:color w:val="auto"/>
                <w:u w:val="none"/>
              </w:rPr>
              <w:t>Remisia Complied with its Treaty Obligations when it Denied Entry to Dr. Malex</w:t>
            </w:r>
          </w:hyperlink>
          <w:r w:rsidR="00F543FB" w:rsidRPr="002D436E">
            <w:rPr>
              <w:smallCaps/>
            </w:rPr>
            <w:ptab w:relativeTo="margin" w:alignment="right" w:leader="dot"/>
          </w:r>
          <w:r w:rsidR="00F543FB" w:rsidRPr="002D436E">
            <w:rPr>
              <w:smallCaps/>
            </w:rPr>
            <w:t>20</w:t>
          </w:r>
        </w:p>
        <w:p w14:paraId="177ED888" w14:textId="1DD809D5" w:rsidR="00F543FB" w:rsidRPr="002D436E" w:rsidRDefault="00F543FB" w:rsidP="00C0539E">
          <w:pPr>
            <w:pStyle w:val="ListParagraph"/>
            <w:numPr>
              <w:ilvl w:val="0"/>
              <w:numId w:val="23"/>
            </w:numPr>
            <w:ind w:left="2520" w:hanging="720"/>
            <w:contextualSpacing w:val="0"/>
          </w:pPr>
          <w:r w:rsidRPr="002D436E">
            <w:t>Remisia complied with UN Charter</w:t>
          </w:r>
          <w:r w:rsidR="00540CF7">
            <w:t xml:space="preserve"> Article 2(7)</w:t>
          </w:r>
          <w:r w:rsidRPr="002D436E">
            <w:t xml:space="preserve"> by maintaining its sovereign authority of its domestic affairs</w:t>
          </w:r>
          <w:r w:rsidRPr="002D436E">
            <w:rPr>
              <w:smallCaps/>
            </w:rPr>
            <w:ptab w:relativeTo="margin" w:alignment="right" w:leader="dot"/>
          </w:r>
          <w:r w:rsidRPr="002D436E">
            <w:rPr>
              <w:smallCaps/>
            </w:rPr>
            <w:t>20</w:t>
          </w:r>
        </w:p>
        <w:p w14:paraId="5B9D0C00" w14:textId="2BDC34B6" w:rsidR="00F543FB" w:rsidRPr="002D436E" w:rsidRDefault="00F543FB" w:rsidP="00C0539E">
          <w:pPr>
            <w:pStyle w:val="ListParagraph"/>
            <w:numPr>
              <w:ilvl w:val="0"/>
              <w:numId w:val="23"/>
            </w:numPr>
            <w:ind w:left="2520" w:hanging="720"/>
            <w:contextualSpacing w:val="0"/>
          </w:pPr>
          <w:r w:rsidRPr="002D436E">
            <w:t xml:space="preserve">Remisia complied with CPI </w:t>
          </w:r>
          <w:r w:rsidR="00540CF7">
            <w:t xml:space="preserve">Article 6 </w:t>
          </w:r>
          <w:r w:rsidRPr="002D436E">
            <w:t>when it denied entry to Dr. Malex</w:t>
          </w:r>
          <w:r w:rsidRPr="002D436E">
            <w:rPr>
              <w:smallCaps/>
            </w:rPr>
            <w:ptab w:relativeTo="margin" w:alignment="right" w:leader="dot"/>
          </w:r>
          <w:r w:rsidRPr="002D436E">
            <w:rPr>
              <w:smallCaps/>
            </w:rPr>
            <w:t>21</w:t>
          </w:r>
        </w:p>
        <w:p w14:paraId="0625095C" w14:textId="4EC819AF" w:rsidR="00F543FB" w:rsidRPr="002D436E" w:rsidRDefault="00F543FB" w:rsidP="00C0539E">
          <w:pPr>
            <w:pStyle w:val="ListParagraph"/>
            <w:numPr>
              <w:ilvl w:val="0"/>
              <w:numId w:val="23"/>
            </w:numPr>
            <w:ind w:left="2520" w:hanging="720"/>
            <w:contextualSpacing w:val="0"/>
          </w:pPr>
          <w:r w:rsidRPr="002D436E">
            <w:t xml:space="preserve">Remisia complied with VCDR </w:t>
          </w:r>
          <w:r w:rsidR="00540CF7">
            <w:t xml:space="preserve">Article 9 </w:t>
          </w:r>
          <w:r w:rsidRPr="002D436E">
            <w:t>when it denied a diplomatic agent entry into its territory</w:t>
          </w:r>
          <w:r w:rsidRPr="002D436E">
            <w:rPr>
              <w:smallCaps/>
            </w:rPr>
            <w:ptab w:relativeTo="margin" w:alignment="right" w:leader="dot"/>
          </w:r>
          <w:r w:rsidRPr="002D436E">
            <w:rPr>
              <w:smallCaps/>
            </w:rPr>
            <w:t>23</w:t>
          </w:r>
        </w:p>
        <w:p w14:paraId="55817C6D" w14:textId="5E2D6298" w:rsidR="00F543FB" w:rsidRPr="002D436E" w:rsidRDefault="00F543FB" w:rsidP="00C0539E">
          <w:pPr>
            <w:pStyle w:val="ListParagraph"/>
            <w:numPr>
              <w:ilvl w:val="0"/>
              <w:numId w:val="22"/>
            </w:numPr>
            <w:ind w:left="1800" w:hanging="720"/>
            <w:contextualSpacing w:val="0"/>
          </w:pPr>
          <w:r w:rsidRPr="00F543FB">
            <w:t xml:space="preserve">Remisia Complied with its </w:t>
          </w:r>
          <w:r w:rsidR="002D436E" w:rsidRPr="002D436E">
            <w:t xml:space="preserve">Customary </w:t>
          </w:r>
          <w:r w:rsidRPr="00F543FB">
            <w:t>International Law Obligations when it Denied Entry to Dr. Malex</w:t>
          </w:r>
          <w:r w:rsidRPr="002D436E">
            <w:rPr>
              <w:smallCaps/>
            </w:rPr>
            <w:ptab w:relativeTo="margin" w:alignment="right" w:leader="dot"/>
          </w:r>
          <w:r w:rsidRPr="002D436E">
            <w:rPr>
              <w:smallCaps/>
            </w:rPr>
            <w:t>23</w:t>
          </w:r>
        </w:p>
        <w:p w14:paraId="7CAC77A8" w14:textId="27645112" w:rsidR="00F543FB" w:rsidRPr="002D436E" w:rsidRDefault="002D436E" w:rsidP="00C0539E">
          <w:pPr>
            <w:pStyle w:val="ListParagraph"/>
            <w:numPr>
              <w:ilvl w:val="0"/>
              <w:numId w:val="24"/>
            </w:numPr>
            <w:ind w:left="2520" w:hanging="720"/>
            <w:contextualSpacing w:val="0"/>
          </w:pPr>
          <w:r w:rsidRPr="002D436E">
            <w:t>Customary i</w:t>
          </w:r>
          <w:r w:rsidR="00F543FB" w:rsidRPr="002D436E">
            <w:t>nternational law recognizes States are free to act in absence of a prohibitory rule</w:t>
          </w:r>
          <w:r w:rsidR="00F543FB" w:rsidRPr="002D436E">
            <w:rPr>
              <w:smallCaps/>
            </w:rPr>
            <w:ptab w:relativeTo="margin" w:alignment="right" w:leader="dot"/>
          </w:r>
          <w:r w:rsidR="00F543FB" w:rsidRPr="002D436E">
            <w:rPr>
              <w:smallCaps/>
            </w:rPr>
            <w:t>23</w:t>
          </w:r>
        </w:p>
        <w:p w14:paraId="60470BD5" w14:textId="340FD9FC" w:rsidR="00F543FB" w:rsidRPr="002D436E" w:rsidRDefault="002D436E" w:rsidP="00C0539E">
          <w:pPr>
            <w:pStyle w:val="ListParagraph"/>
            <w:numPr>
              <w:ilvl w:val="0"/>
              <w:numId w:val="24"/>
            </w:numPr>
            <w:ind w:left="2520" w:hanging="720"/>
            <w:contextualSpacing w:val="0"/>
          </w:pPr>
          <w:r w:rsidRPr="002D436E">
            <w:t>Customary i</w:t>
          </w:r>
          <w:r w:rsidR="00F543FB" w:rsidRPr="002D436E">
            <w:t>nternational law recognizes the sovereignty of States to maintain the integrity of their borders</w:t>
          </w:r>
          <w:r w:rsidR="00F543FB" w:rsidRPr="002D436E">
            <w:rPr>
              <w:smallCaps/>
            </w:rPr>
            <w:ptab w:relativeTo="margin" w:alignment="right" w:leader="dot"/>
          </w:r>
          <w:r w:rsidR="00F543FB" w:rsidRPr="002D436E">
            <w:rPr>
              <w:smallCaps/>
            </w:rPr>
            <w:t>24</w:t>
          </w:r>
        </w:p>
        <w:p w14:paraId="4F0D0AAF" w14:textId="2769D23C" w:rsidR="007C6D37" w:rsidRPr="002D436E" w:rsidRDefault="002D436E" w:rsidP="00C0539E">
          <w:pPr>
            <w:pStyle w:val="TOC2"/>
            <w:numPr>
              <w:ilvl w:val="0"/>
              <w:numId w:val="0"/>
            </w:numPr>
            <w:spacing w:before="120" w:after="120"/>
          </w:pPr>
          <w:r w:rsidRPr="00A82246">
            <w:rPr>
              <w:smallCaps/>
            </w:rPr>
            <w:t>Conclusion and Prayer for Relief</w:t>
          </w:r>
          <w:r w:rsidRPr="002D436E">
            <w:ptab w:relativeTo="margin" w:alignment="right" w:leader="dot"/>
          </w:r>
          <w:r w:rsidRPr="002D436E">
            <w:t>26</w:t>
          </w:r>
        </w:p>
      </w:sdtContent>
    </w:sdt>
    <w:p w14:paraId="2569A56C" w14:textId="77777777" w:rsidR="00C0539E" w:rsidRDefault="00C0539E">
      <w:pPr>
        <w:rPr>
          <w:b/>
          <w:smallCaps/>
        </w:rPr>
      </w:pPr>
      <w:r>
        <w:rPr>
          <w:b/>
          <w:smallCaps/>
        </w:rPr>
        <w:br w:type="page"/>
      </w:r>
    </w:p>
    <w:p w14:paraId="33FF7E3F" w14:textId="66F378AE" w:rsidR="00C148C5" w:rsidRPr="00C148C5" w:rsidRDefault="005D4C2E" w:rsidP="00C148C5">
      <w:pPr>
        <w:pBdr>
          <w:bottom w:val="single" w:sz="6" w:space="1" w:color="000000"/>
        </w:pBdr>
        <w:spacing w:before="0" w:after="160" w:line="360" w:lineRule="auto"/>
        <w:jc w:val="center"/>
        <w:rPr>
          <w:b/>
          <w:smallCaps/>
        </w:rPr>
      </w:pPr>
      <w:r w:rsidRPr="00F83EC8">
        <w:rPr>
          <w:b/>
          <w:smallCaps/>
        </w:rPr>
        <w:lastRenderedPageBreak/>
        <w:t>Index of Authorities</w:t>
      </w:r>
    </w:p>
    <w:sdt>
      <w:sdtPr>
        <w:id w:val="1893927499"/>
        <w:docPartObj>
          <w:docPartGallery w:val="Table of Contents"/>
          <w:docPartUnique/>
        </w:docPartObj>
      </w:sdtPr>
      <w:sdtEndPr>
        <w:rPr>
          <w:b/>
          <w:smallCaps/>
        </w:rPr>
      </w:sdtEndPr>
      <w:sdtContent>
        <w:p w14:paraId="08B27788" w14:textId="77777777" w:rsidR="00C148C5" w:rsidRPr="00C148C5" w:rsidRDefault="00C148C5" w:rsidP="00C148C5">
          <w:pPr>
            <w:keepNext/>
            <w:keepLines/>
            <w:spacing w:before="240" w:after="0" w:line="259" w:lineRule="auto"/>
            <w:rPr>
              <w:rFonts w:eastAsiaTheme="majorEastAsia"/>
            </w:rPr>
          </w:pPr>
          <w:r w:rsidRPr="00C148C5">
            <w:rPr>
              <w:rFonts w:eastAsiaTheme="majorEastAsia"/>
              <w:b/>
              <w:smallCaps/>
            </w:rPr>
            <w:t>Treaties, Agreements, and Conventions</w:t>
          </w:r>
        </w:p>
        <w:p w14:paraId="41A048D7" w14:textId="77777777" w:rsidR="00C148C5" w:rsidRPr="00C148C5" w:rsidRDefault="00C148C5" w:rsidP="00873C0B">
          <w:pPr>
            <w:spacing w:after="100"/>
            <w:ind w:left="720" w:hanging="720"/>
          </w:pPr>
          <w:r w:rsidRPr="00C148C5">
            <w:t>American Convention on Human Rights “Pact of San Jose, Costa Rica”, Nov. 22, 1969, 1144 U.N.T.S. 123</w:t>
          </w:r>
          <w:r w:rsidRPr="00C148C5">
            <w:ptab w:relativeTo="margin" w:alignment="right" w:leader="dot"/>
          </w:r>
          <w:r w:rsidRPr="00C148C5">
            <w:t>7</w:t>
          </w:r>
        </w:p>
        <w:p w14:paraId="3D172EEE" w14:textId="77777777" w:rsidR="00C148C5" w:rsidRPr="00C148C5" w:rsidRDefault="00C148C5" w:rsidP="00873C0B">
          <w:pPr>
            <w:spacing w:after="100"/>
            <w:ind w:left="720" w:hanging="720"/>
          </w:pPr>
          <w:r w:rsidRPr="00C148C5">
            <w:t>Charter of the United Nations, Oct. 24, 1945, 1 U.N.T.S. XVI</w:t>
          </w:r>
          <w:r w:rsidRPr="00C148C5">
            <w:ptab w:relativeTo="margin" w:alignment="right" w:leader="dot"/>
          </w:r>
          <w:r w:rsidRPr="00C148C5">
            <w:t>21</w:t>
          </w:r>
        </w:p>
        <w:p w14:paraId="3D703D99" w14:textId="63E6BF01" w:rsidR="00C148C5" w:rsidRPr="00C148C5" w:rsidRDefault="00C148C5" w:rsidP="00873C0B">
          <w:pPr>
            <w:spacing w:after="100"/>
            <w:ind w:left="720" w:hanging="720"/>
          </w:pPr>
          <w:r w:rsidRPr="00C148C5">
            <w:t xml:space="preserve">Convention on Certain Questions Relating to the Conflict of Nationality Law, July 1, 1937, </w:t>
          </w:r>
          <w:r w:rsidR="00E26CA9">
            <w:t xml:space="preserve">   </w:t>
          </w:r>
          <w:r w:rsidRPr="00C148C5">
            <w:t>179 L.N.T.S 89</w:t>
          </w:r>
          <w:r w:rsidRPr="00C148C5">
            <w:ptab w:relativeTo="margin" w:alignment="right" w:leader="dot"/>
          </w:r>
          <w:r w:rsidRPr="00C148C5">
            <w:t>7</w:t>
          </w:r>
        </w:p>
        <w:p w14:paraId="15F7E7F5" w14:textId="77777777" w:rsidR="00C148C5" w:rsidRPr="00C148C5" w:rsidRDefault="00C148C5" w:rsidP="00873C0B">
          <w:pPr>
            <w:spacing w:after="100"/>
            <w:ind w:left="720" w:hanging="720"/>
          </w:pPr>
          <w:r w:rsidRPr="00C148C5">
            <w:t>Convention on the Elimination of All Forms of Discrimination against Women, Dec. 18, 1979, 1249 U.N.T.S. 13</w:t>
          </w:r>
          <w:r w:rsidRPr="00C148C5">
            <w:ptab w:relativeTo="margin" w:alignment="right" w:leader="dot"/>
          </w:r>
          <w:r w:rsidRPr="00C148C5">
            <w:t>18</w:t>
          </w:r>
        </w:p>
        <w:p w14:paraId="628A5F85" w14:textId="77777777" w:rsidR="00C148C5" w:rsidRPr="00C148C5" w:rsidRDefault="00C148C5" w:rsidP="00873C0B">
          <w:pPr>
            <w:spacing w:after="100"/>
            <w:ind w:left="720" w:hanging="720"/>
          </w:pPr>
          <w:r w:rsidRPr="00C148C5">
            <w:t>Convention on the Privileges and Immunities of the United Nations, Feb. 13, 1946, 1 U.N.T.S. 15.</w:t>
          </w:r>
          <w:r w:rsidRPr="00C148C5">
            <w:ptab w:relativeTo="margin" w:alignment="right" w:leader="dot"/>
          </w:r>
          <w:r w:rsidRPr="00C148C5">
            <w:t>22</w:t>
          </w:r>
        </w:p>
        <w:p w14:paraId="717F5006" w14:textId="50EC0BE9" w:rsidR="00C148C5" w:rsidRPr="00C0539E" w:rsidRDefault="00C148C5" w:rsidP="00873C0B">
          <w:pPr>
            <w:spacing w:after="100"/>
            <w:ind w:left="720" w:hanging="720"/>
            <w:rPr>
              <w:i/>
              <w:iCs/>
            </w:rPr>
          </w:pPr>
          <w:r w:rsidRPr="00C148C5">
            <w:t>Convention on the Reduction of Statelessness, Aug. 30, 1961, 989 U.N.T.S. 175</w:t>
          </w:r>
          <w:r w:rsidRPr="00C148C5">
            <w:ptab w:relativeTo="margin" w:alignment="right" w:leader="dot"/>
          </w:r>
          <w:r w:rsidR="00C0539E">
            <w:rPr>
              <w:i/>
              <w:iCs/>
            </w:rPr>
            <w:t>passim</w:t>
          </w:r>
        </w:p>
        <w:p w14:paraId="3C2DE6CC" w14:textId="77777777" w:rsidR="00C148C5" w:rsidRPr="00C148C5" w:rsidRDefault="00C148C5" w:rsidP="00873C0B">
          <w:pPr>
            <w:spacing w:after="100"/>
            <w:ind w:left="720" w:hanging="720"/>
          </w:pPr>
          <w:r w:rsidRPr="00C148C5">
            <w:t>Convention on the Rights of the Child, Nov. 20, 1989, 1577 U.N.T.S. 3</w:t>
          </w:r>
          <w:r w:rsidRPr="00C148C5">
            <w:ptab w:relativeTo="margin" w:alignment="right" w:leader="dot"/>
          </w:r>
          <w:r w:rsidRPr="00C148C5">
            <w:t>18</w:t>
          </w:r>
        </w:p>
        <w:p w14:paraId="47FBFA3F" w14:textId="29C4800B" w:rsidR="00C148C5" w:rsidRPr="00C148C5" w:rsidRDefault="00C148C5" w:rsidP="00873C0B">
          <w:pPr>
            <w:spacing w:after="100"/>
            <w:ind w:left="720" w:hanging="720"/>
          </w:pPr>
          <w:r w:rsidRPr="00C148C5">
            <w:t xml:space="preserve">Convention Relating to the Status of Stateless Persons, Sept. 28, 1954, 360 U.N.T.S. </w:t>
          </w:r>
          <w:r w:rsidR="00E26CA9">
            <w:t xml:space="preserve">              </w:t>
          </w:r>
          <w:r w:rsidRPr="00C148C5">
            <w:t>117</w:t>
          </w:r>
          <w:r w:rsidRPr="00C148C5">
            <w:ptab w:relativeTo="margin" w:alignment="right" w:leader="dot"/>
          </w:r>
          <w:r w:rsidRPr="00C148C5">
            <w:t>3, 18, 19</w:t>
          </w:r>
        </w:p>
        <w:p w14:paraId="28BC306F" w14:textId="77777777" w:rsidR="00C148C5" w:rsidRPr="00C148C5" w:rsidRDefault="00C148C5" w:rsidP="00873C0B">
          <w:pPr>
            <w:spacing w:after="100"/>
            <w:ind w:left="720" w:hanging="720"/>
          </w:pPr>
          <w:r w:rsidRPr="00C148C5">
            <w:t>Council of Europe, European Convention on Nationality, Nov. 6, 1997, E.T.S. 166.</w:t>
          </w:r>
          <w:r w:rsidRPr="00C148C5">
            <w:ptab w:relativeTo="margin" w:alignment="right" w:leader="dot"/>
          </w:r>
          <w:r w:rsidRPr="00C148C5">
            <w:t>18</w:t>
          </w:r>
        </w:p>
        <w:p w14:paraId="569ADB3A" w14:textId="4A963CDC" w:rsidR="00C148C5" w:rsidRPr="00C148C5" w:rsidRDefault="00DE7412" w:rsidP="00873C0B">
          <w:pPr>
            <w:spacing w:after="100"/>
            <w:ind w:left="720" w:hanging="720"/>
          </w:pPr>
          <w:r>
            <w:t>Council of Europe</w:t>
          </w:r>
          <w:r w:rsidR="00C148C5" w:rsidRPr="00C148C5">
            <w:t xml:space="preserve">, </w:t>
          </w:r>
          <w:r w:rsidR="00C148C5" w:rsidRPr="00DE7412">
            <w:t>European Convention on Consular Functions</w:t>
          </w:r>
          <w:r w:rsidR="00C148C5" w:rsidRPr="00C148C5">
            <w:t xml:space="preserve">, </w:t>
          </w:r>
          <w:r>
            <w:t xml:space="preserve">Dec. 11, 1967, </w:t>
          </w:r>
          <w:r w:rsidR="00C148C5" w:rsidRPr="00C148C5">
            <w:t>E.T.S 6</w:t>
          </w:r>
          <w:r w:rsidR="00C148C5" w:rsidRPr="00C148C5">
            <w:ptab w:relativeTo="margin" w:alignment="right" w:leader="dot"/>
          </w:r>
          <w:r w:rsidR="00C148C5" w:rsidRPr="00C148C5">
            <w:t>17</w:t>
          </w:r>
        </w:p>
        <w:p w14:paraId="0DD93629" w14:textId="77777777" w:rsidR="00C148C5" w:rsidRPr="00C148C5" w:rsidRDefault="00C148C5" w:rsidP="00873C0B">
          <w:pPr>
            <w:spacing w:after="100"/>
            <w:ind w:left="720" w:hanging="720"/>
          </w:pPr>
          <w:r w:rsidRPr="00C148C5">
            <w:t>IACHR, American Declaration of the Rights and Duties of Man, May 2, 1948, Res. XXX</w:t>
          </w:r>
          <w:r w:rsidRPr="00C148C5">
            <w:ptab w:relativeTo="margin" w:alignment="right" w:leader="dot"/>
          </w:r>
          <w:r w:rsidRPr="00C148C5">
            <w:t>18</w:t>
          </w:r>
        </w:p>
        <w:p w14:paraId="60FF808F" w14:textId="77777777" w:rsidR="00C148C5" w:rsidRPr="00C148C5" w:rsidRDefault="00C148C5" w:rsidP="00873C0B">
          <w:pPr>
            <w:spacing w:after="100"/>
            <w:ind w:left="720" w:hanging="720"/>
          </w:pPr>
          <w:r w:rsidRPr="00C148C5">
            <w:t>International Convention on the Elimination of All Forms of Racial Discrimination, Dec. 21, 1965, 660 U.N.T.S. 195</w:t>
          </w:r>
          <w:r w:rsidRPr="00C148C5">
            <w:ptab w:relativeTo="margin" w:alignment="right" w:leader="dot"/>
          </w:r>
          <w:r w:rsidRPr="00C148C5">
            <w:t>18</w:t>
          </w:r>
        </w:p>
        <w:p w14:paraId="44F3DA98" w14:textId="1123B5A9" w:rsidR="00C148C5" w:rsidRPr="00C0539E" w:rsidRDefault="00C148C5" w:rsidP="00873C0B">
          <w:pPr>
            <w:spacing w:after="100"/>
            <w:ind w:left="720" w:hanging="720"/>
            <w:rPr>
              <w:i/>
              <w:iCs/>
            </w:rPr>
          </w:pPr>
          <w:r w:rsidRPr="00C148C5">
            <w:t>International Covenant on Civil and Political Rights, Dec. 16, 1966, 999 U.N.T.S. 171</w:t>
          </w:r>
          <w:r w:rsidRPr="00C148C5">
            <w:ptab w:relativeTo="margin" w:alignment="right" w:leader="dot"/>
          </w:r>
          <w:r w:rsidR="00C0539E">
            <w:rPr>
              <w:i/>
              <w:iCs/>
            </w:rPr>
            <w:t>passim</w:t>
          </w:r>
        </w:p>
        <w:p w14:paraId="5A15E198" w14:textId="38502703" w:rsidR="00C148C5" w:rsidRPr="00C148C5" w:rsidRDefault="00C148C5" w:rsidP="00873C0B">
          <w:pPr>
            <w:spacing w:after="100"/>
            <w:ind w:left="720" w:hanging="720"/>
          </w:pPr>
          <w:r w:rsidRPr="00C148C5">
            <w:t>League of Arab States, Arab Charter on Human Rights, Sept. 15</w:t>
          </w:r>
          <w:r w:rsidR="00C0539E">
            <w:t>,</w:t>
          </w:r>
          <w:r w:rsidRPr="00C148C5">
            <w:t xml:space="preserve"> 1994, [ST/HR/]CHR/NONE/2004/40/Rev.1</w:t>
          </w:r>
          <w:r w:rsidRPr="00C148C5">
            <w:ptab w:relativeTo="margin" w:alignment="right" w:leader="dot"/>
          </w:r>
          <w:r w:rsidRPr="00C148C5">
            <w:t>18</w:t>
          </w:r>
        </w:p>
        <w:p w14:paraId="147C5F09" w14:textId="77777777" w:rsidR="00C148C5" w:rsidRPr="00C148C5" w:rsidRDefault="00C148C5" w:rsidP="00873C0B">
          <w:pPr>
            <w:spacing w:after="100"/>
            <w:ind w:left="720" w:hanging="720"/>
          </w:pPr>
          <w:r w:rsidRPr="00C148C5">
            <w:t>OAS, American Convention on Human Rights, Nov. 22, 1969, 1144 U.N.T.S. 123</w:t>
          </w:r>
          <w:r w:rsidRPr="00C148C5">
            <w:ptab w:relativeTo="margin" w:alignment="right" w:leader="dot"/>
          </w:r>
          <w:r w:rsidRPr="00C148C5">
            <w:t>7</w:t>
          </w:r>
        </w:p>
        <w:p w14:paraId="02569572" w14:textId="0306938E" w:rsidR="00C148C5" w:rsidRPr="00C148C5" w:rsidRDefault="00C148C5" w:rsidP="00873C0B">
          <w:pPr>
            <w:spacing w:after="100"/>
            <w:ind w:left="720" w:hanging="720"/>
          </w:pPr>
          <w:r w:rsidRPr="00C148C5">
            <w:t xml:space="preserve">OAU, African Charter on the Rights and Welfare of the Child, July 11, 1990, </w:t>
          </w:r>
          <w:r w:rsidR="00E26CA9">
            <w:t xml:space="preserve">   </w:t>
          </w:r>
          <w:r w:rsidRPr="00C148C5">
            <w:t>CAB/LEG/24.9/49</w:t>
          </w:r>
          <w:r w:rsidRPr="00C148C5">
            <w:ptab w:relativeTo="margin" w:alignment="right" w:leader="dot"/>
          </w:r>
          <w:r w:rsidRPr="00C148C5">
            <w:t>18</w:t>
          </w:r>
        </w:p>
        <w:p w14:paraId="4EAFDA3B" w14:textId="2B413971" w:rsidR="00C148C5" w:rsidRPr="00C148C5" w:rsidRDefault="00C148C5" w:rsidP="00873C0B">
          <w:pPr>
            <w:spacing w:after="100"/>
            <w:ind w:left="720" w:hanging="720"/>
          </w:pPr>
          <w:r w:rsidRPr="00C148C5">
            <w:t xml:space="preserve">Tunisia, Declaration under the Convention on the Reduction of Statelessness (done at New </w:t>
          </w:r>
          <w:r w:rsidR="00E26CA9">
            <w:t xml:space="preserve">  </w:t>
          </w:r>
          <w:r w:rsidRPr="00C148C5">
            <w:t>York on August 30, 1961)</w:t>
          </w:r>
          <w:r w:rsidRPr="00C148C5">
            <w:ptab w:relativeTo="margin" w:alignment="right" w:leader="dot"/>
          </w:r>
          <w:r w:rsidRPr="00C148C5">
            <w:t>9</w:t>
          </w:r>
        </w:p>
        <w:p w14:paraId="4B53DC88" w14:textId="74F6BA26" w:rsidR="00C148C5" w:rsidRPr="00C0539E" w:rsidRDefault="00C148C5" w:rsidP="00873C0B">
          <w:pPr>
            <w:spacing w:after="100"/>
            <w:ind w:left="720" w:hanging="720"/>
            <w:rPr>
              <w:i/>
              <w:iCs/>
            </w:rPr>
          </w:pPr>
          <w:r w:rsidRPr="00C148C5">
            <w:t>Vienna Convention on Consular Relations, 24 April 1963, 596 U.N.T.S. 261</w:t>
          </w:r>
          <w:r w:rsidRPr="00C148C5">
            <w:ptab w:relativeTo="margin" w:alignment="right" w:leader="dot"/>
          </w:r>
          <w:r w:rsidR="00C0539E">
            <w:rPr>
              <w:i/>
              <w:iCs/>
            </w:rPr>
            <w:t>passim</w:t>
          </w:r>
        </w:p>
        <w:p w14:paraId="6B4028BE" w14:textId="77777777" w:rsidR="00C148C5" w:rsidRPr="00C148C5" w:rsidRDefault="00C148C5" w:rsidP="00873C0B">
          <w:pPr>
            <w:spacing w:after="100"/>
            <w:ind w:left="720" w:hanging="720"/>
          </w:pPr>
          <w:r w:rsidRPr="00C148C5">
            <w:t>Vienna Convention on the Law of Treaties, May 23, 1969, 1155 U.N.T.S. 331</w:t>
          </w:r>
          <w:r w:rsidRPr="00C148C5">
            <w:ptab w:relativeTo="margin" w:alignment="right" w:leader="dot"/>
          </w:r>
          <w:r w:rsidRPr="00C148C5">
            <w:t xml:space="preserve">2, 3, 8, </w:t>
          </w:r>
        </w:p>
        <w:p w14:paraId="11C9D9D9" w14:textId="77777777" w:rsidR="00873C0B" w:rsidRDefault="00873C0B" w:rsidP="00C148C5">
          <w:pPr>
            <w:rPr>
              <w:b/>
              <w:smallCaps/>
            </w:rPr>
          </w:pPr>
        </w:p>
        <w:p w14:paraId="1767EAFA" w14:textId="379E3256" w:rsidR="00C148C5" w:rsidRPr="00C148C5" w:rsidRDefault="00C148C5" w:rsidP="00C148C5">
          <w:pPr>
            <w:rPr>
              <w:b/>
              <w:smallCaps/>
            </w:rPr>
          </w:pPr>
          <w:r w:rsidRPr="00C148C5">
            <w:rPr>
              <w:b/>
              <w:smallCaps/>
            </w:rPr>
            <w:t>Cases</w:t>
          </w:r>
        </w:p>
        <w:p w14:paraId="08AE264E" w14:textId="72AC005D" w:rsidR="00C148C5" w:rsidRPr="00C148C5" w:rsidRDefault="00C148C5" w:rsidP="00873C0B">
          <w:pPr>
            <w:ind w:left="720" w:hanging="720"/>
          </w:pPr>
          <w:r w:rsidRPr="00C148C5">
            <w:t xml:space="preserve">Accordance with International Law of the Unilateral Declaration of Independence in Respect </w:t>
          </w:r>
          <w:r w:rsidR="00E26CA9">
            <w:t xml:space="preserve">   </w:t>
          </w:r>
          <w:r w:rsidRPr="00C148C5">
            <w:t>of Kosovo, Advisory Opinion, 2010 I.C.J. Reports 403, (July 22)</w:t>
          </w:r>
          <w:r w:rsidRPr="00C148C5">
            <w:ptab w:relativeTo="margin" w:alignment="right" w:leader="dot"/>
          </w:r>
          <w:r w:rsidRPr="00C148C5">
            <w:t>24</w:t>
          </w:r>
        </w:p>
        <w:p w14:paraId="1C003BA1" w14:textId="52A87887" w:rsidR="00C148C5" w:rsidRPr="00C0539E" w:rsidRDefault="00C148C5" w:rsidP="00873C0B">
          <w:pPr>
            <w:spacing w:after="100"/>
            <w:ind w:left="720" w:hanging="720"/>
            <w:rPr>
              <w:lang w:val="it-IT"/>
            </w:rPr>
          </w:pPr>
          <w:r w:rsidRPr="00C148C5">
            <w:rPr>
              <w:lang w:val="it-IT"/>
            </w:rPr>
            <w:lastRenderedPageBreak/>
            <w:t>Acosta-Calderón v. Ecuador, IACtHR (ser. C) No. 129 (2005)</w:t>
          </w:r>
          <w:r w:rsidRPr="00C148C5">
            <w:ptab w:relativeTo="margin" w:alignment="right" w:leader="dot"/>
          </w:r>
          <w:r w:rsidRPr="00C0539E">
            <w:rPr>
              <w:lang w:val="it-IT"/>
            </w:rPr>
            <w:t>15</w:t>
          </w:r>
        </w:p>
        <w:p w14:paraId="4FFC594B" w14:textId="5BC5E9D5" w:rsidR="00C148C5" w:rsidRPr="00C148C5" w:rsidRDefault="00C148C5" w:rsidP="00873C0B">
          <w:pPr>
            <w:spacing w:after="100"/>
            <w:ind w:left="720" w:hanging="720"/>
          </w:pPr>
          <w:r w:rsidRPr="006E283D">
            <w:rPr>
              <w:lang w:val="it-IT"/>
            </w:rPr>
            <w:t xml:space="preserve">Almonacid-Arellano v. Chile, IACtHR (ser. </w:t>
          </w:r>
          <w:r w:rsidRPr="006E283D">
            <w:t>C) No. 254 (2006)</w:t>
          </w:r>
          <w:r w:rsidRPr="00C148C5">
            <w:ptab w:relativeTo="margin" w:alignment="right" w:leader="dot"/>
          </w:r>
          <w:r w:rsidRPr="00C148C5">
            <w:t>15</w:t>
          </w:r>
        </w:p>
        <w:p w14:paraId="1EFA68DE" w14:textId="2B35FD9B" w:rsidR="00C148C5" w:rsidRPr="00C148C5" w:rsidRDefault="00C148C5" w:rsidP="00873C0B">
          <w:pPr>
            <w:spacing w:after="100"/>
            <w:ind w:left="720" w:hanging="720"/>
          </w:pPr>
          <w:r w:rsidRPr="00C148C5">
            <w:rPr>
              <w:shd w:val="clear" w:color="auto" w:fill="FFFFFF"/>
            </w:rPr>
            <w:t xml:space="preserve">Anudo Ochieng Anudo v. United Republic of Tanzania, </w:t>
          </w:r>
          <w:r w:rsidRPr="00C148C5">
            <w:t xml:space="preserve">App. No. 012/2015, ACtHPR, </w:t>
          </w:r>
          <w:r w:rsidR="00E26CA9">
            <w:t xml:space="preserve">       </w:t>
          </w:r>
          <w:r w:rsidRPr="00C148C5">
            <w:t>(2018)</w:t>
          </w:r>
          <w:r w:rsidRPr="00C148C5">
            <w:ptab w:relativeTo="margin" w:alignment="right" w:leader="dot"/>
          </w:r>
          <w:r w:rsidRPr="00C148C5">
            <w:t>18</w:t>
          </w:r>
        </w:p>
        <w:p w14:paraId="0795BF3B" w14:textId="6F2F8D88" w:rsidR="00C148C5" w:rsidRPr="00C148C5" w:rsidRDefault="00C148C5" w:rsidP="00873C0B">
          <w:pPr>
            <w:spacing w:after="100"/>
            <w:ind w:left="720" w:hanging="720"/>
          </w:pPr>
          <w:bookmarkStart w:id="3" w:name="_Hlk155901183"/>
          <w:r w:rsidRPr="00C148C5">
            <w:t>Applicability of Article VI, Section 22, of the Convention on the Privileges and Immunities of the United Nations, Advisory Opinion, 1989 I.C.J. Rep. 177 (Dec. 15)</w:t>
          </w:r>
          <w:bookmarkEnd w:id="3"/>
          <w:r w:rsidRPr="00C148C5">
            <w:ptab w:relativeTo="margin" w:alignment="right" w:leader="dot"/>
          </w:r>
          <w:r w:rsidRPr="00C148C5">
            <w:t>22</w:t>
          </w:r>
        </w:p>
        <w:p w14:paraId="16D5DEDA" w14:textId="4749A444" w:rsidR="00C148C5" w:rsidRPr="00C148C5" w:rsidRDefault="00C148C5" w:rsidP="00873C0B">
          <w:pPr>
            <w:spacing w:after="100"/>
            <w:ind w:left="720" w:hanging="720"/>
          </w:pPr>
          <w:r w:rsidRPr="00C148C5">
            <w:t xml:space="preserve">Application of the Convention on the Prevention and Punishment of the Crime of Genocide (Gam. v. Myan.), Preliminary Objections, 2020 I.C.J. Rep. 477 (July 22) </w:t>
          </w:r>
          <w:r w:rsidRPr="00C148C5">
            <w:ptab w:relativeTo="margin" w:alignment="right" w:leader="dot"/>
          </w:r>
          <w:r w:rsidRPr="00C148C5">
            <w:t>1, 2</w:t>
          </w:r>
        </w:p>
        <w:p w14:paraId="25D30F50" w14:textId="74571E8F" w:rsidR="00C148C5" w:rsidRPr="00C148C5" w:rsidRDefault="00C148C5" w:rsidP="00873C0B">
          <w:pPr>
            <w:spacing w:after="100"/>
            <w:ind w:left="720" w:hanging="720"/>
          </w:pPr>
          <w:r w:rsidRPr="00C148C5">
            <w:t>Armed Activities on the Territory of the Congo (Dem. Rep. Congo v. Uganda), Judgments,</w:t>
          </w:r>
          <w:r w:rsidR="00E26CA9">
            <w:t xml:space="preserve">  </w:t>
          </w:r>
          <w:r w:rsidRPr="00C148C5">
            <w:t xml:space="preserve"> 2005 I.C.J. Rep 168 (Dec. 19)</w:t>
          </w:r>
          <w:r w:rsidRPr="00C148C5">
            <w:ptab w:relativeTo="margin" w:alignment="right" w:leader="dot"/>
          </w:r>
          <w:r w:rsidRPr="00C148C5">
            <w:t>6, 24</w:t>
          </w:r>
        </w:p>
        <w:p w14:paraId="2CFF39CB" w14:textId="52107503" w:rsidR="00C148C5" w:rsidRPr="00C148C5" w:rsidRDefault="00C148C5" w:rsidP="00873C0B">
          <w:pPr>
            <w:spacing w:after="100"/>
            <w:ind w:left="720" w:hanging="720"/>
          </w:pPr>
          <w:r w:rsidRPr="00C148C5">
            <w:t>Avena and Other Mexican Nationals (Mex. v. U.S.), Judgment, 2004 I.C.J. Rep. 12</w:t>
          </w:r>
          <w:r w:rsidR="00E26CA9">
            <w:t xml:space="preserve">              </w:t>
          </w:r>
          <w:r w:rsidRPr="00C148C5">
            <w:t>(Mar. 31)</w:t>
          </w:r>
          <w:r w:rsidRPr="00C148C5">
            <w:ptab w:relativeTo="margin" w:alignment="right" w:leader="dot"/>
          </w:r>
          <w:r w:rsidRPr="00C148C5">
            <w:t>14</w:t>
          </w:r>
        </w:p>
        <w:p w14:paraId="5658F065" w14:textId="568EE724" w:rsidR="00C148C5" w:rsidRPr="00C148C5" w:rsidRDefault="00C148C5" w:rsidP="00873C0B">
          <w:pPr>
            <w:spacing w:after="100"/>
            <w:ind w:left="720" w:hanging="720"/>
          </w:pPr>
          <w:r w:rsidRPr="00C148C5">
            <w:t xml:space="preserve">Barcelona Traction, Light and Power Company, (Belg. v. Spain), Judgment, 1970 I.C.J. </w:t>
          </w:r>
          <w:r w:rsidR="00E26CA9">
            <w:t xml:space="preserve">        </w:t>
          </w:r>
          <w:r w:rsidRPr="00C148C5">
            <w:t>Rep. 3, (Feb. 5)</w:t>
          </w:r>
          <w:r w:rsidRPr="00C148C5">
            <w:ptab w:relativeTo="margin" w:alignment="right" w:leader="dot"/>
          </w:r>
          <w:r w:rsidRPr="00C148C5">
            <w:t>1, 4, 5</w:t>
          </w:r>
        </w:p>
        <w:p w14:paraId="2D0B2FC1" w14:textId="77777777" w:rsidR="00C148C5" w:rsidRPr="00C148C5" w:rsidRDefault="00C148C5" w:rsidP="00873C0B">
          <w:pPr>
            <w:spacing w:after="100"/>
            <w:ind w:left="720" w:hanging="720"/>
          </w:pPr>
          <w:r w:rsidRPr="00C148C5">
            <w:rPr>
              <w:rFonts w:eastAsia="Calibri"/>
            </w:rPr>
            <w:t>Brief of Amici Curiae Republic of Argentina, Republic of Brazil, Republic of Ecuador, and Republic of Mexico in Support of Petition for a Writ of Certiorari, Paraguay v. Gilmore (No. 97–1390),</w:t>
          </w:r>
          <w:r w:rsidRPr="00C148C5">
            <w:ptab w:relativeTo="margin" w:alignment="right" w:leader="dot"/>
          </w:r>
          <w:r w:rsidRPr="00C148C5">
            <w:t>14</w:t>
          </w:r>
        </w:p>
        <w:p w14:paraId="2133C985" w14:textId="366F1AEA" w:rsidR="00C148C5" w:rsidRPr="00C148C5" w:rsidRDefault="00C148C5" w:rsidP="00873C0B">
          <w:pPr>
            <w:spacing w:after="100"/>
            <w:ind w:left="720" w:hanging="720"/>
          </w:pPr>
          <w:r w:rsidRPr="00C148C5">
            <w:rPr>
              <w:shd w:val="clear" w:color="auto" w:fill="FFFFFF"/>
            </w:rPr>
            <w:t>Corfu Channel (U.K. v. Alb.), Judgment, 1949 I.C.J. Rep. 4 (Apr. 9)</w:t>
          </w:r>
          <w:r w:rsidRPr="00C148C5">
            <w:ptab w:relativeTo="margin" w:alignment="right" w:leader="dot"/>
          </w:r>
          <w:r w:rsidRPr="00C148C5">
            <w:t>6</w:t>
          </w:r>
        </w:p>
        <w:p w14:paraId="5AC6B4F4" w14:textId="7E4BA112" w:rsidR="00C148C5" w:rsidRPr="00C148C5" w:rsidRDefault="00C148C5" w:rsidP="00873C0B">
          <w:pPr>
            <w:spacing w:after="100"/>
            <w:ind w:left="720" w:hanging="720"/>
          </w:pPr>
          <w:r w:rsidRPr="00C148C5">
            <w:t>East Timor (Port. v. Austl.) 1995 I.C.J. Rep. 90 (June 30)</w:t>
          </w:r>
          <w:r w:rsidRPr="00C148C5">
            <w:ptab w:relativeTo="margin" w:alignment="right" w:leader="dot"/>
          </w:r>
          <w:r w:rsidRPr="00C148C5">
            <w:t>5</w:t>
          </w:r>
        </w:p>
        <w:p w14:paraId="1418D2FA" w14:textId="061F6AAA" w:rsidR="00C148C5" w:rsidRPr="00C148C5" w:rsidRDefault="00C148C5" w:rsidP="00873C0B">
          <w:pPr>
            <w:spacing w:after="100"/>
            <w:ind w:left="720" w:hanging="720"/>
          </w:pPr>
          <w:r w:rsidRPr="00C148C5">
            <w:t>El-Masri v. The Former Yugoslav Republic of Macedonia, App. No. 39630/09, ECtHR</w:t>
          </w:r>
          <w:r w:rsidRPr="00C148C5">
            <w:rPr>
              <w:rFonts w:eastAsia="Calibri"/>
            </w:rPr>
            <w:t xml:space="preserve"> </w:t>
          </w:r>
          <w:r w:rsidR="00E26CA9">
            <w:rPr>
              <w:rFonts w:eastAsia="Calibri"/>
            </w:rPr>
            <w:t xml:space="preserve">    </w:t>
          </w:r>
          <w:r w:rsidRPr="006E283D">
            <w:t>(2012)</w:t>
          </w:r>
          <w:r w:rsidRPr="00C148C5">
            <w:ptab w:relativeTo="margin" w:alignment="right" w:leader="dot"/>
          </w:r>
          <w:r w:rsidRPr="00C148C5">
            <w:t>15</w:t>
          </w:r>
        </w:p>
        <w:p w14:paraId="17628E99" w14:textId="77777777" w:rsidR="00C148C5" w:rsidRPr="00C148C5" w:rsidRDefault="00C148C5" w:rsidP="00873C0B">
          <w:pPr>
            <w:spacing w:after="100"/>
            <w:ind w:left="720" w:hanging="720"/>
          </w:pPr>
          <w:r w:rsidRPr="00C148C5">
            <w:rPr>
              <w:shd w:val="clear" w:color="auto" w:fill="FFFFFF"/>
            </w:rPr>
            <w:t>Expelled Dominicans and Haitians v. Dominican Republic, Preliminary Objections, Merits, Reparations and Costs, IACtHR (ser. C) No. 282, (Aug. 28, 2014)</w:t>
          </w:r>
          <w:r w:rsidRPr="00C148C5">
            <w:ptab w:relativeTo="margin" w:alignment="right" w:leader="dot"/>
          </w:r>
          <w:r w:rsidRPr="00C148C5">
            <w:t>19</w:t>
          </w:r>
        </w:p>
        <w:p w14:paraId="3B054BE3" w14:textId="77777777" w:rsidR="00C148C5" w:rsidRPr="00C148C5" w:rsidRDefault="00C148C5" w:rsidP="00873C0B">
          <w:pPr>
            <w:spacing w:after="100"/>
            <w:ind w:left="720" w:hanging="720"/>
          </w:pPr>
          <w:r w:rsidRPr="00C148C5">
            <w:t>Foster &amp; Elam v. Neilson, 27 U.S. 253 (1829)</w:t>
          </w:r>
          <w:r w:rsidRPr="00C148C5">
            <w:ptab w:relativeTo="margin" w:alignment="right" w:leader="dot"/>
          </w:r>
          <w:r w:rsidRPr="00C148C5">
            <w:t>17</w:t>
          </w:r>
        </w:p>
        <w:p w14:paraId="553D282B" w14:textId="77777777" w:rsidR="00C148C5" w:rsidRPr="00B83DE4" w:rsidRDefault="00C148C5" w:rsidP="00873C0B">
          <w:pPr>
            <w:spacing w:after="100"/>
            <w:ind w:left="720" w:hanging="720"/>
          </w:pPr>
          <w:r w:rsidRPr="00B83DE4">
            <w:t>Genovese v. Malta,</w:t>
          </w:r>
          <w:r w:rsidRPr="00B83DE4">
            <w:rPr>
              <w:i/>
              <w:iCs/>
            </w:rPr>
            <w:t xml:space="preserve"> </w:t>
          </w:r>
          <w:r w:rsidRPr="00B83DE4">
            <w:t>App. No. 53124/09, ECtHR, (2011)</w:t>
          </w:r>
          <w:r w:rsidRPr="00C148C5">
            <w:ptab w:relativeTo="margin" w:alignment="right" w:leader="dot"/>
          </w:r>
          <w:r w:rsidRPr="00B83DE4">
            <w:t>19</w:t>
          </w:r>
        </w:p>
        <w:p w14:paraId="263AD842" w14:textId="77777777" w:rsidR="00C148C5" w:rsidRPr="00C148C5" w:rsidRDefault="00C148C5" w:rsidP="00873C0B">
          <w:pPr>
            <w:spacing w:after="100"/>
            <w:ind w:left="720" w:hanging="720"/>
          </w:pPr>
          <w:r w:rsidRPr="00C148C5">
            <w:rPr>
              <w:shd w:val="clear" w:color="auto" w:fill="FFFFFF"/>
            </w:rPr>
            <w:t>Girls Yean and Bosico v Dominican Republic</w:t>
          </w:r>
          <w:r w:rsidRPr="00C148C5">
            <w:rPr>
              <w:i/>
              <w:iCs/>
              <w:shd w:val="clear" w:color="auto" w:fill="FFFFFF"/>
            </w:rPr>
            <w:t>,</w:t>
          </w:r>
          <w:r w:rsidRPr="00C148C5">
            <w:rPr>
              <w:shd w:val="clear" w:color="auto" w:fill="FFFFFF"/>
            </w:rPr>
            <w:t xml:space="preserve"> IACtHR (ser. C) No. 130, (2005)</w:t>
          </w:r>
          <w:r w:rsidRPr="00C148C5">
            <w:ptab w:relativeTo="margin" w:alignment="right" w:leader="dot"/>
          </w:r>
          <w:r w:rsidRPr="00C148C5">
            <w:t>18</w:t>
          </w:r>
        </w:p>
        <w:p w14:paraId="3A871F43" w14:textId="77777777" w:rsidR="00C148C5" w:rsidRPr="00C148C5" w:rsidRDefault="00C148C5" w:rsidP="00873C0B">
          <w:pPr>
            <w:spacing w:after="100"/>
            <w:ind w:left="720" w:hanging="720"/>
          </w:pPr>
          <w:r w:rsidRPr="00C148C5">
            <w:t>Jadhav (India v. Pak.), Judgment, 2019 I.C.J. Rep. 418, (July 17)</w:t>
          </w:r>
          <w:r w:rsidRPr="00C148C5">
            <w:ptab w:relativeTo="margin" w:alignment="right" w:leader="dot"/>
          </w:r>
          <w:r w:rsidRPr="00C148C5">
            <w:t>14, 15</w:t>
          </w:r>
        </w:p>
        <w:p w14:paraId="6CC72B86" w14:textId="0212DF49" w:rsidR="00C148C5" w:rsidRPr="00C148C5" w:rsidRDefault="00C148C5" w:rsidP="00873C0B">
          <w:pPr>
            <w:spacing w:after="100"/>
            <w:ind w:left="720" w:hanging="720"/>
          </w:pPr>
          <w:r w:rsidRPr="00C148C5">
            <w:t xml:space="preserve">Jurisdictional Immunities of the State (Germany v. Italy: Greece intervening), Judgment, </w:t>
          </w:r>
          <w:r w:rsidR="00E26CA9">
            <w:t xml:space="preserve">     </w:t>
          </w:r>
          <w:r w:rsidRPr="00C148C5">
            <w:t>2012 I.C.J. Rep. 99, (Feb. 3)</w:t>
          </w:r>
          <w:r w:rsidRPr="00C148C5">
            <w:ptab w:relativeTo="margin" w:alignment="right" w:leader="dot"/>
          </w:r>
          <w:r w:rsidRPr="00C148C5">
            <w:t>18</w:t>
          </w:r>
        </w:p>
        <w:p w14:paraId="2FDD99E2" w14:textId="77777777" w:rsidR="00C148C5" w:rsidRPr="00C148C5" w:rsidRDefault="00C148C5" w:rsidP="00873C0B">
          <w:pPr>
            <w:spacing w:after="100"/>
            <w:ind w:left="720" w:hanging="720"/>
          </w:pPr>
          <w:r w:rsidRPr="00C148C5">
            <w:t>K2 v. U.K.., App. No. 42387/13, ECtHR (Feb. 7, 2017)</w:t>
          </w:r>
          <w:r w:rsidRPr="00C148C5">
            <w:ptab w:relativeTo="margin" w:alignment="right" w:leader="dot"/>
          </w:r>
          <w:r w:rsidRPr="00C148C5">
            <w:t>7, 8</w:t>
          </w:r>
        </w:p>
        <w:p w14:paraId="636543A6" w14:textId="77777777" w:rsidR="00C148C5" w:rsidRPr="00C148C5" w:rsidRDefault="00C148C5" w:rsidP="00873C0B">
          <w:pPr>
            <w:spacing w:after="100"/>
            <w:ind w:left="720" w:hanging="720"/>
          </w:pPr>
          <w:r w:rsidRPr="00B83DE4">
            <w:t>Karassev v. Finland, App. No. 31414/96, ECtHR, (1999)</w:t>
          </w:r>
          <w:r w:rsidRPr="00C148C5">
            <w:ptab w:relativeTo="margin" w:alignment="right" w:leader="dot"/>
          </w:r>
          <w:r w:rsidRPr="00C148C5">
            <w:t>18, 19</w:t>
          </w:r>
        </w:p>
        <w:p w14:paraId="3EE11B42" w14:textId="77777777" w:rsidR="00C148C5" w:rsidRPr="00C148C5" w:rsidRDefault="00C148C5" w:rsidP="00873C0B">
          <w:pPr>
            <w:spacing w:after="100"/>
            <w:ind w:left="720" w:hanging="720"/>
          </w:pPr>
          <w:r w:rsidRPr="00C148C5">
            <w:t>Kawas Fernández v. Honduras, IACtHR (ser. C) No. 118 (2009)</w:t>
          </w:r>
          <w:r w:rsidRPr="00C148C5">
            <w:ptab w:relativeTo="margin" w:alignment="right" w:leader="dot"/>
          </w:r>
          <w:r w:rsidRPr="00C148C5">
            <w:t>7</w:t>
          </w:r>
        </w:p>
        <w:p w14:paraId="5CDF98A7" w14:textId="77777777" w:rsidR="00C148C5" w:rsidRPr="00C148C5" w:rsidRDefault="00C148C5" w:rsidP="00873C0B">
          <w:pPr>
            <w:spacing w:after="100"/>
            <w:ind w:left="720" w:hanging="720"/>
          </w:pPr>
          <w:r w:rsidRPr="00C148C5">
            <w:t>LaGrand (Ger. v. U.S.), Judgment, 2001 I.C.J. Rep. 466, (June 27)</w:t>
          </w:r>
          <w:r w:rsidRPr="00C148C5">
            <w:ptab w:relativeTo="margin" w:alignment="right" w:leader="dot"/>
          </w:r>
          <w:r w:rsidRPr="00C148C5">
            <w:t>14, 15, 16</w:t>
          </w:r>
        </w:p>
        <w:p w14:paraId="08F02B2B" w14:textId="65D9B186" w:rsidR="00C148C5" w:rsidRPr="00C148C5" w:rsidRDefault="00C148C5" w:rsidP="00873C0B">
          <w:pPr>
            <w:spacing w:after="100"/>
            <w:ind w:left="720" w:hanging="720"/>
          </w:pPr>
          <w:r w:rsidRPr="00C148C5">
            <w:t xml:space="preserve">Legal Consequences for States of the Continued Presence of South Africa in Namibia (South West Africa) Notwithstanding Security Council Resolution 276, Advisory Opinion, </w:t>
          </w:r>
          <w:r w:rsidR="00E26CA9">
            <w:t xml:space="preserve">  </w:t>
          </w:r>
          <w:r w:rsidRPr="00C148C5">
            <w:t>1971 I.C.J. Rep. 16, (June 21)</w:t>
          </w:r>
          <w:r w:rsidRPr="00C148C5">
            <w:ptab w:relativeTo="margin" w:alignment="right" w:leader="dot"/>
          </w:r>
          <w:r w:rsidRPr="00C148C5">
            <w:t>5, 20, 21</w:t>
          </w:r>
        </w:p>
        <w:p w14:paraId="00B4C4B3" w14:textId="77777777" w:rsidR="00C148C5" w:rsidRPr="00C148C5" w:rsidRDefault="00C148C5" w:rsidP="00873C0B">
          <w:pPr>
            <w:spacing w:after="100"/>
            <w:ind w:left="720" w:hanging="720"/>
          </w:pPr>
          <w:r w:rsidRPr="00C148C5">
            <w:lastRenderedPageBreak/>
            <w:t>Legal Consequences of the Construction of a Wall in the Occupied Palestinian Territory, Advisory Opinion, 2004 I.C.J. Rep. 136, (July 9)</w:t>
          </w:r>
          <w:r w:rsidRPr="00C148C5">
            <w:ptab w:relativeTo="margin" w:alignment="right" w:leader="dot"/>
          </w:r>
          <w:r w:rsidRPr="00C148C5">
            <w:t>5</w:t>
          </w:r>
        </w:p>
        <w:p w14:paraId="31EAC3B8" w14:textId="77777777" w:rsidR="00C148C5" w:rsidRPr="00C148C5" w:rsidRDefault="00C148C5" w:rsidP="00873C0B">
          <w:pPr>
            <w:spacing w:after="100"/>
            <w:ind w:left="720" w:hanging="720"/>
          </w:pPr>
          <w:r w:rsidRPr="00C148C5">
            <w:t>Legality of the Threat or Use of Nuclear Weapons, Advisory Opinion, 1996 I.C.J. Rep. 226, (July 8)</w:t>
          </w:r>
          <w:r w:rsidRPr="00C148C5">
            <w:ptab w:relativeTo="margin" w:alignment="right" w:leader="dot"/>
          </w:r>
          <w:r w:rsidRPr="00C148C5">
            <w:t>5, 24</w:t>
          </w:r>
        </w:p>
        <w:p w14:paraId="166348A2" w14:textId="5453ACDE" w:rsidR="00C148C5" w:rsidRPr="00C148C5" w:rsidRDefault="00C148C5" w:rsidP="00873C0B">
          <w:pPr>
            <w:spacing w:after="100"/>
            <w:ind w:left="720" w:hanging="720"/>
          </w:pPr>
          <w:r w:rsidRPr="00C148C5">
            <w:t xml:space="preserve">Military and Paramilitary Activities in and Against Nicaragua (Nicar. v. U.S.), Judgment, </w:t>
          </w:r>
          <w:r w:rsidR="00E26CA9">
            <w:t xml:space="preserve">    </w:t>
          </w:r>
          <w:r w:rsidRPr="00C148C5">
            <w:t>1986 I.C.J. Rep. 14, (June 27)</w:t>
          </w:r>
          <w:r w:rsidRPr="00C148C5">
            <w:ptab w:relativeTo="margin" w:alignment="right" w:leader="dot"/>
          </w:r>
          <w:r w:rsidRPr="00C148C5">
            <w:t>6, 7, 18</w:t>
          </w:r>
        </w:p>
        <w:p w14:paraId="79E62535" w14:textId="511A3AEF" w:rsidR="00C148C5" w:rsidRPr="00C148C5" w:rsidRDefault="00C148C5" w:rsidP="00873C0B">
          <w:pPr>
            <w:spacing w:after="100"/>
            <w:ind w:left="720" w:hanging="720"/>
          </w:pPr>
          <w:r w:rsidRPr="00C148C5">
            <w:t>Mukong v. Cameroon, Communication No. 458/1991, HRComm, U</w:t>
          </w:r>
          <w:r w:rsidR="00E26CA9">
            <w:t>N</w:t>
          </w:r>
          <w:r w:rsidRPr="00C148C5">
            <w:t xml:space="preserve"> Doc. CCPR/C/51/D/458/1991, (July 21, 1994)</w:t>
          </w:r>
          <w:r w:rsidRPr="00C148C5">
            <w:ptab w:relativeTo="margin" w:alignment="right" w:leader="dot"/>
          </w:r>
          <w:r w:rsidRPr="00C148C5">
            <w:t>10</w:t>
          </w:r>
        </w:p>
        <w:p w14:paraId="0D2E6D36" w14:textId="2239342C" w:rsidR="00C148C5" w:rsidRPr="00C148C5" w:rsidRDefault="00C148C5" w:rsidP="00873C0B">
          <w:pPr>
            <w:spacing w:after="100"/>
            <w:ind w:left="720" w:hanging="720"/>
          </w:pPr>
          <w:r w:rsidRPr="00C148C5">
            <w:t>Nationality Decrees Issued in Tunis and Morocco, Advisory Opinion, 1923 P.C.I.J. (ser. B)</w:t>
          </w:r>
          <w:r w:rsidR="00E26CA9">
            <w:t xml:space="preserve">    </w:t>
          </w:r>
          <w:r w:rsidRPr="00C148C5">
            <w:t xml:space="preserve"> no. 4, (Feb. 7)</w:t>
          </w:r>
          <w:r w:rsidRPr="00C148C5">
            <w:ptab w:relativeTo="margin" w:alignment="right" w:leader="dot"/>
          </w:r>
          <w:r w:rsidRPr="00C148C5">
            <w:t>5, 12</w:t>
          </w:r>
        </w:p>
        <w:p w14:paraId="492071BB" w14:textId="77777777" w:rsidR="00C148C5" w:rsidRPr="00C148C5" w:rsidRDefault="00C148C5" w:rsidP="00873C0B">
          <w:pPr>
            <w:spacing w:after="100"/>
            <w:ind w:left="720" w:hanging="720"/>
          </w:pPr>
          <w:r w:rsidRPr="00C148C5">
            <w:t>North Sea Continental Shelf (</w:t>
          </w:r>
          <w:r w:rsidRPr="00C148C5">
            <w:rPr>
              <w:shd w:val="clear" w:color="auto" w:fill="FFFFFF"/>
            </w:rPr>
            <w:t>Ger. v. Neth.)</w:t>
          </w:r>
          <w:r w:rsidRPr="00C148C5">
            <w:t xml:space="preserve">, Judgment, 1969 I.C.J. Rep. 3 </w:t>
          </w:r>
          <w:r w:rsidRPr="00C148C5">
            <w:rPr>
              <w:rFonts w:eastAsia="Calibri"/>
            </w:rPr>
            <w:t xml:space="preserve">para. </w:t>
          </w:r>
          <w:r w:rsidRPr="00C148C5">
            <w:t>77 (Feb. 20)</w:t>
          </w:r>
          <w:r w:rsidRPr="00C148C5">
            <w:ptab w:relativeTo="margin" w:alignment="right" w:leader="dot"/>
          </w:r>
          <w:r w:rsidRPr="00C148C5">
            <w:t>18</w:t>
          </w:r>
        </w:p>
        <w:p w14:paraId="7CB7E6DA" w14:textId="4E7510C3" w:rsidR="00C148C5" w:rsidRPr="00EF1273" w:rsidRDefault="00C148C5" w:rsidP="00873C0B">
          <w:pPr>
            <w:spacing w:after="100"/>
            <w:ind w:left="720" w:hanging="720"/>
            <w:rPr>
              <w:i/>
              <w:iCs/>
            </w:rPr>
          </w:pPr>
          <w:r w:rsidRPr="00C148C5">
            <w:t>Nottebohm (Liech. v. Guat.), Judgment, 1955 I.C.J. Rep. 4, at 11 (Apr. 6).</w:t>
          </w:r>
          <w:r w:rsidRPr="00C148C5">
            <w:ptab w:relativeTo="margin" w:alignment="right" w:leader="dot"/>
          </w:r>
          <w:r w:rsidR="00EF1273">
            <w:rPr>
              <w:i/>
              <w:iCs/>
            </w:rPr>
            <w:t>passim</w:t>
          </w:r>
        </w:p>
        <w:p w14:paraId="362023D2" w14:textId="77777777" w:rsidR="00C148C5" w:rsidRPr="00C148C5" w:rsidRDefault="00C148C5" w:rsidP="00873C0B">
          <w:pPr>
            <w:spacing w:after="100"/>
            <w:ind w:left="720" w:hanging="720"/>
          </w:pPr>
          <w:r w:rsidRPr="00C148C5">
            <w:t xml:space="preserve">Pham v. U.K., App. No. 37478/20, ECtHR, </w:t>
          </w:r>
          <w:r w:rsidRPr="006E283D">
            <w:t>(Apr. 19, 2021)</w:t>
          </w:r>
          <w:r w:rsidRPr="00C148C5">
            <w:ptab w:relativeTo="margin" w:alignment="right" w:leader="dot"/>
          </w:r>
          <w:r w:rsidRPr="00C148C5">
            <w:t>19</w:t>
          </w:r>
        </w:p>
        <w:p w14:paraId="0A0AF50D" w14:textId="77777777" w:rsidR="00C148C5" w:rsidRPr="00C148C5" w:rsidRDefault="00C148C5" w:rsidP="00873C0B">
          <w:pPr>
            <w:spacing w:after="100"/>
            <w:ind w:left="720" w:hanging="720"/>
          </w:pPr>
          <w:r w:rsidRPr="00C148C5">
            <w:t>Proposed Amendments to the Naturalization Provision of the Constitution of Costa Rica, Advisory Opinion OC-4/84, IACtHR (ser. A) No. 4, (Jan. 19, 1984)</w:t>
          </w:r>
          <w:r w:rsidRPr="00C148C5">
            <w:ptab w:relativeTo="margin" w:alignment="right" w:leader="dot"/>
          </w:r>
          <w:r w:rsidRPr="00C148C5">
            <w:t>19</w:t>
          </w:r>
        </w:p>
        <w:p w14:paraId="6167AB51" w14:textId="67D38677" w:rsidR="00C148C5" w:rsidRPr="00C148C5" w:rsidRDefault="00C148C5" w:rsidP="00873C0B">
          <w:pPr>
            <w:spacing w:after="100"/>
            <w:ind w:left="720" w:hanging="720"/>
          </w:pPr>
          <w:r w:rsidRPr="00C148C5">
            <w:t xml:space="preserve">Questions Relating to the Obligation to Prosecute or Extradite (Belg. v. Sen.), Judgment, </w:t>
          </w:r>
          <w:r w:rsidR="00EF1273">
            <w:t xml:space="preserve">     </w:t>
          </w:r>
          <w:r w:rsidRPr="00C148C5">
            <w:t xml:space="preserve">2012 I.C.J. Rep. 422, (July 20) </w:t>
          </w:r>
          <w:r w:rsidRPr="00C148C5">
            <w:ptab w:relativeTo="margin" w:alignment="right" w:leader="dot"/>
          </w:r>
          <w:r w:rsidRPr="00C148C5">
            <w:t>1, 2, 17</w:t>
          </w:r>
        </w:p>
        <w:p w14:paraId="61243A16" w14:textId="77777777" w:rsidR="00C148C5" w:rsidRPr="00C148C5" w:rsidRDefault="00C148C5" w:rsidP="00873C0B">
          <w:pPr>
            <w:spacing w:after="100"/>
            <w:ind w:left="720" w:hanging="720"/>
          </w:pPr>
          <w:r w:rsidRPr="00C148C5">
            <w:t>Reservations to the Convention on the Prevention and Punishment of the Crime of Genocide, Advisory Opinion, 1951 I.C.J. Rep. 15, (May 28)</w:t>
          </w:r>
          <w:r w:rsidRPr="00C148C5">
            <w:ptab w:relativeTo="margin" w:alignment="right" w:leader="dot"/>
          </w:r>
          <w:r w:rsidRPr="00C148C5">
            <w:t>2</w:t>
          </w:r>
        </w:p>
        <w:p w14:paraId="45D53AE7" w14:textId="77777777" w:rsidR="00C148C5" w:rsidRPr="003921B0" w:rsidRDefault="00C148C5" w:rsidP="00873C0B">
          <w:pPr>
            <w:spacing w:after="100"/>
            <w:ind w:left="720" w:hanging="720"/>
            <w:rPr>
              <w:lang w:val="it-IT"/>
            </w:rPr>
          </w:pPr>
          <w:r w:rsidRPr="00C148C5">
            <w:rPr>
              <w:lang w:val="it-IT"/>
            </w:rPr>
            <w:t>Riener v. Bulgaria, App. No. 46343/99, ECtHR, (2006)</w:t>
          </w:r>
          <w:r w:rsidRPr="00C148C5">
            <w:ptab w:relativeTo="margin" w:alignment="right" w:leader="dot"/>
          </w:r>
          <w:r w:rsidRPr="003921B0">
            <w:rPr>
              <w:lang w:val="it-IT"/>
            </w:rPr>
            <w:t>18</w:t>
          </w:r>
        </w:p>
        <w:p w14:paraId="204192C0" w14:textId="3833E9A3" w:rsidR="00C148C5" w:rsidRPr="00C148C5" w:rsidRDefault="00C148C5" w:rsidP="00873C0B">
          <w:pPr>
            <w:spacing w:after="100"/>
            <w:ind w:left="720" w:hanging="720"/>
          </w:pPr>
          <w:r w:rsidRPr="00C148C5">
            <w:t>Robert John Penessis v. United Republic of Tanzania, App. No. 013/2015, ACtHPR, (2019)</w:t>
          </w:r>
          <w:r w:rsidRPr="00C148C5">
            <w:ptab w:relativeTo="margin" w:alignment="right" w:leader="dot"/>
          </w:r>
          <w:r w:rsidRPr="00C148C5">
            <w:t>18</w:t>
          </w:r>
        </w:p>
        <w:p w14:paraId="0EA799A2" w14:textId="77777777" w:rsidR="00C148C5" w:rsidRPr="00C148C5" w:rsidRDefault="00C148C5" w:rsidP="00873C0B">
          <w:pPr>
            <w:ind w:left="720"/>
          </w:pPr>
          <w:r w:rsidRPr="00C148C5">
            <w:t>Sanchez-Llamas v. Oregon, 548 U.S. 331 (2006)</w:t>
          </w:r>
          <w:r w:rsidRPr="00C148C5">
            <w:ptab w:relativeTo="margin" w:alignment="right" w:leader="dot"/>
          </w:r>
          <w:r w:rsidRPr="00C148C5">
            <w:t>17</w:t>
          </w:r>
        </w:p>
        <w:p w14:paraId="4EBD9313" w14:textId="77777777" w:rsidR="00C148C5" w:rsidRPr="00C148C5" w:rsidRDefault="00C148C5" w:rsidP="00873C0B">
          <w:pPr>
            <w:ind w:left="720"/>
          </w:pPr>
          <w:r w:rsidRPr="00C148C5">
            <w:t>S.S. “Lotus” (Fr. v. Turk.), Judgment, 1927 P.C.I.J. (ser. A) No. 10, (Sept. 7)</w:t>
          </w:r>
          <w:r w:rsidRPr="00C148C5">
            <w:ptab w:relativeTo="margin" w:alignment="right" w:leader="dot"/>
          </w:r>
          <w:r w:rsidRPr="00C148C5">
            <w:t>24</w:t>
          </w:r>
        </w:p>
        <w:p w14:paraId="59C014B8" w14:textId="77777777" w:rsidR="00C148C5" w:rsidRPr="00C0539E" w:rsidRDefault="00C148C5" w:rsidP="00873C0B">
          <w:pPr>
            <w:spacing w:after="100"/>
            <w:ind w:left="720" w:hanging="720"/>
            <w:rPr>
              <w:lang w:val="it-IT"/>
            </w:rPr>
          </w:pPr>
          <w:r w:rsidRPr="00C148C5">
            <w:rPr>
              <w:lang w:val="it-IT"/>
            </w:rPr>
            <w:t>Slivenko v. Latvia</w:t>
          </w:r>
          <w:r w:rsidRPr="00C148C5">
            <w:rPr>
              <w:i/>
              <w:iCs/>
              <w:lang w:val="it-IT"/>
            </w:rPr>
            <w:t xml:space="preserve">, </w:t>
          </w:r>
          <w:r w:rsidRPr="00C148C5">
            <w:rPr>
              <w:lang w:val="it-IT"/>
            </w:rPr>
            <w:t>App. No. 48321/99</w:t>
          </w:r>
          <w:r w:rsidRPr="00C148C5">
            <w:rPr>
              <w:i/>
              <w:iCs/>
              <w:lang w:val="it-IT"/>
            </w:rPr>
            <w:t>,</w:t>
          </w:r>
          <w:r w:rsidRPr="00C148C5">
            <w:rPr>
              <w:lang w:val="it-IT"/>
            </w:rPr>
            <w:t xml:space="preserve"> ECtHR, </w:t>
          </w:r>
          <w:r w:rsidRPr="00C0539E">
            <w:rPr>
              <w:lang w:val="it-IT"/>
            </w:rPr>
            <w:t>(2002)</w:t>
          </w:r>
          <w:r w:rsidRPr="00C148C5">
            <w:ptab w:relativeTo="margin" w:alignment="right" w:leader="dot"/>
          </w:r>
          <w:r w:rsidRPr="00C0539E">
            <w:rPr>
              <w:lang w:val="it-IT"/>
            </w:rPr>
            <w:t>18, 19</w:t>
          </w:r>
        </w:p>
        <w:p w14:paraId="38E7C85C" w14:textId="29D21650" w:rsidR="00C148C5" w:rsidRPr="00C148C5" w:rsidRDefault="00C148C5" w:rsidP="00873C0B">
          <w:pPr>
            <w:spacing w:after="100"/>
            <w:ind w:left="720" w:hanging="720"/>
          </w:pPr>
          <w:r w:rsidRPr="00C148C5">
            <w:t xml:space="preserve">South West Africa (Liberia v. South Africa), Second Phase, Judgment, 1966 I.C.J. Rep. 6 </w:t>
          </w:r>
          <w:r w:rsidR="00EF1273">
            <w:t xml:space="preserve">    </w:t>
          </w:r>
          <w:r w:rsidRPr="00C148C5">
            <w:t>(July 18)</w:t>
          </w:r>
          <w:r w:rsidRPr="00C148C5">
            <w:ptab w:relativeTo="margin" w:alignment="right" w:leader="dot"/>
          </w:r>
          <w:r w:rsidRPr="00C148C5">
            <w:t>1, 5</w:t>
          </w:r>
        </w:p>
        <w:p w14:paraId="2EFE5261" w14:textId="3CEB844D" w:rsidR="00C148C5" w:rsidRPr="00C148C5" w:rsidRDefault="00C148C5" w:rsidP="00873C0B">
          <w:pPr>
            <w:spacing w:after="100"/>
            <w:ind w:left="720" w:hanging="720"/>
          </w:pPr>
          <w:r w:rsidRPr="00C148C5">
            <w:t xml:space="preserve">United States Diplomatic and Consular Staff in Tehran (U.S. v. Iran), Judgment, 1980 I.C.J. </w:t>
          </w:r>
          <w:r w:rsidR="00EF1273">
            <w:t xml:space="preserve"> </w:t>
          </w:r>
          <w:r w:rsidRPr="00C148C5">
            <w:t>Rep. 3 (May 24).</w:t>
          </w:r>
          <w:r w:rsidRPr="00C148C5">
            <w:ptab w:relativeTo="margin" w:alignment="right" w:leader="dot"/>
          </w:r>
          <w:r w:rsidRPr="00C148C5">
            <w:t>14, 23</w:t>
          </w:r>
        </w:p>
        <w:p w14:paraId="5CEB1466" w14:textId="77777777" w:rsidR="00873C0B" w:rsidRDefault="00873C0B" w:rsidP="00C148C5">
          <w:pPr>
            <w:rPr>
              <w:b/>
              <w:smallCaps/>
            </w:rPr>
          </w:pPr>
        </w:p>
        <w:p w14:paraId="6DAB2EB9" w14:textId="7FC5A8D6" w:rsidR="00C148C5" w:rsidRPr="00C148C5" w:rsidRDefault="00C148C5" w:rsidP="00C148C5">
          <w:pPr>
            <w:rPr>
              <w:b/>
              <w:smallCaps/>
            </w:rPr>
          </w:pPr>
          <w:r w:rsidRPr="00C148C5">
            <w:rPr>
              <w:b/>
              <w:smallCaps/>
            </w:rPr>
            <w:t>United Nations Documents</w:t>
          </w:r>
        </w:p>
        <w:p w14:paraId="5B2C6717" w14:textId="77777777" w:rsidR="00C148C5" w:rsidRPr="00C148C5" w:rsidRDefault="00C148C5" w:rsidP="00873C0B">
          <w:pPr>
            <w:spacing w:after="100"/>
            <w:ind w:left="720" w:hanging="720"/>
          </w:pPr>
          <w:r w:rsidRPr="00C148C5">
            <w:t xml:space="preserve">3 UN, </w:t>
          </w:r>
          <w:r w:rsidRPr="00C148C5">
            <w:rPr>
              <w:i/>
              <w:iCs/>
            </w:rPr>
            <w:t xml:space="preserve">Article 34 </w:t>
          </w:r>
          <w:r w:rsidRPr="00C148C5">
            <w:t xml:space="preserve">in </w:t>
          </w:r>
          <w:r w:rsidRPr="00DE7412">
            <w:rPr>
              <w:smallCaps/>
            </w:rPr>
            <w:t xml:space="preserve">Repertory of Practice of United Nations Organs, Supplements No. 10 </w:t>
          </w:r>
          <w:r w:rsidRPr="00C148C5">
            <w:t>(2000-2009) (forthcoming)</w:t>
          </w:r>
          <w:r w:rsidRPr="00C148C5">
            <w:ptab w:relativeTo="margin" w:alignment="right" w:leader="dot"/>
          </w:r>
          <w:r w:rsidRPr="00C148C5">
            <w:t>21</w:t>
          </w:r>
        </w:p>
        <w:p w14:paraId="517BCF2C" w14:textId="41648DBB" w:rsidR="00C148C5" w:rsidRPr="00C148C5" w:rsidRDefault="00C148C5" w:rsidP="00873C0B">
          <w:pPr>
            <w:spacing w:after="100"/>
            <w:ind w:left="720" w:hanging="720"/>
          </w:pPr>
          <w:r w:rsidRPr="00C148C5">
            <w:t xml:space="preserve">4 </w:t>
          </w:r>
          <w:r w:rsidR="00E26CA9">
            <w:t>UN</w:t>
          </w:r>
          <w:r w:rsidRPr="00C148C5">
            <w:t xml:space="preserve">, </w:t>
          </w:r>
          <w:r w:rsidRPr="00DE7412">
            <w:rPr>
              <w:smallCaps/>
            </w:rPr>
            <w:t>Laws Concerning Nationality</w:t>
          </w:r>
          <w:r w:rsidRPr="00C148C5">
            <w:t xml:space="preserve"> (1954)</w:t>
          </w:r>
          <w:r w:rsidRPr="00C148C5">
            <w:ptab w:relativeTo="margin" w:alignment="right" w:leader="dot"/>
          </w:r>
          <w:r w:rsidRPr="00C148C5">
            <w:t>7</w:t>
          </w:r>
        </w:p>
        <w:p w14:paraId="15C7A174" w14:textId="3D4C076C" w:rsidR="00C148C5" w:rsidRPr="00C148C5" w:rsidRDefault="00C148C5" w:rsidP="00873C0B">
          <w:pPr>
            <w:spacing w:after="100"/>
            <w:ind w:left="720" w:hanging="720"/>
          </w:pPr>
          <w:r w:rsidRPr="00C148C5">
            <w:t>Draft Convention on the Reduction of Future Statelessness, 2 Y.B. Int’l Law Comm’n 143 (1954)</w:t>
          </w:r>
          <w:r w:rsidRPr="00C148C5">
            <w:ptab w:relativeTo="margin" w:alignment="right" w:leader="dot"/>
          </w:r>
          <w:r w:rsidRPr="00C148C5">
            <w:t>3</w:t>
          </w:r>
        </w:p>
        <w:p w14:paraId="2689AA25" w14:textId="77777777" w:rsidR="00C148C5" w:rsidRPr="00C148C5" w:rsidRDefault="00C148C5" w:rsidP="00873C0B">
          <w:pPr>
            <w:spacing w:after="100"/>
            <w:ind w:left="720" w:hanging="720"/>
          </w:pPr>
          <w:r w:rsidRPr="00C148C5">
            <w:rPr>
              <w:shd w:val="clear" w:color="auto" w:fill="FFFFFF"/>
            </w:rPr>
            <w:t>G.A. Res. 217 (III) A, Universal Declaration of Human Rights, (Dec. 10, 1948)</w:t>
          </w:r>
          <w:r w:rsidRPr="00C148C5">
            <w:ptab w:relativeTo="margin" w:alignment="right" w:leader="dot"/>
          </w:r>
          <w:r w:rsidRPr="00C148C5">
            <w:t>7, 18</w:t>
          </w:r>
        </w:p>
        <w:p w14:paraId="0A512077" w14:textId="77777777" w:rsidR="00C148C5" w:rsidRPr="00C148C5" w:rsidRDefault="00C148C5" w:rsidP="00873C0B">
          <w:pPr>
            <w:spacing w:after="100"/>
            <w:ind w:left="720" w:hanging="720"/>
          </w:pPr>
          <w:r w:rsidRPr="00C148C5">
            <w:lastRenderedPageBreak/>
            <w:t>G.A. Res. 46/59 (Dec. 9, 1991)</w:t>
          </w:r>
          <w:r w:rsidRPr="00C148C5">
            <w:ptab w:relativeTo="margin" w:alignment="right" w:leader="dot"/>
          </w:r>
          <w:r w:rsidRPr="00C148C5">
            <w:t>21</w:t>
          </w:r>
        </w:p>
        <w:p w14:paraId="65573298" w14:textId="77777777" w:rsidR="00C148C5" w:rsidRPr="00C148C5" w:rsidRDefault="00C148C5" w:rsidP="00873C0B">
          <w:pPr>
            <w:spacing w:after="100"/>
            <w:ind w:left="720" w:hanging="720"/>
          </w:pPr>
          <w:r w:rsidRPr="00C148C5">
            <w:rPr>
              <w:rFonts w:eastAsia="Calibri"/>
            </w:rPr>
            <w:t xml:space="preserve">G.A. Res. </w:t>
          </w:r>
          <w:r w:rsidRPr="00C148C5">
            <w:t>49/169, (Dec. 23, 1994)</w:t>
          </w:r>
          <w:r w:rsidRPr="00C148C5">
            <w:ptab w:relativeTo="margin" w:alignment="right" w:leader="dot"/>
          </w:r>
          <w:r w:rsidRPr="00C148C5">
            <w:t>18</w:t>
          </w:r>
        </w:p>
        <w:p w14:paraId="5D3CE85A" w14:textId="77777777" w:rsidR="00C148C5" w:rsidRPr="00C148C5" w:rsidRDefault="00C148C5" w:rsidP="00873C0B">
          <w:pPr>
            <w:spacing w:after="100"/>
            <w:ind w:left="720" w:hanging="720"/>
          </w:pPr>
          <w:r w:rsidRPr="00C148C5">
            <w:t>G.A. Res. 50/152, (Dec. 21 1995)</w:t>
          </w:r>
          <w:r w:rsidRPr="00C148C5">
            <w:ptab w:relativeTo="margin" w:alignment="right" w:leader="dot"/>
          </w:r>
          <w:r w:rsidRPr="00C148C5">
            <w:t>18</w:t>
          </w:r>
        </w:p>
        <w:p w14:paraId="04AABD8F" w14:textId="28C5877D" w:rsidR="00C148C5" w:rsidRPr="00C148C5" w:rsidRDefault="00C148C5" w:rsidP="00873C0B">
          <w:pPr>
            <w:spacing w:after="100"/>
            <w:ind w:left="720" w:hanging="720"/>
          </w:pPr>
          <w:r w:rsidRPr="00C148C5">
            <w:t xml:space="preserve">G.A. Res. 56/83, Articles on the Responsibility of States for Internationally Wrongful Acts, </w:t>
          </w:r>
          <w:r w:rsidR="00EF1273">
            <w:t xml:space="preserve"> </w:t>
          </w:r>
          <w:r w:rsidRPr="00C148C5">
            <w:t>(Jan. 28, 2002)</w:t>
          </w:r>
          <w:r w:rsidRPr="00C148C5">
            <w:ptab w:relativeTo="margin" w:alignment="right" w:leader="dot"/>
          </w:r>
          <w:r w:rsidRPr="00C148C5">
            <w:t>2, 4, 5</w:t>
          </w:r>
        </w:p>
        <w:p w14:paraId="2536C9E7" w14:textId="77777777" w:rsidR="00C148C5" w:rsidRPr="00C148C5" w:rsidRDefault="00C148C5" w:rsidP="00873C0B">
          <w:pPr>
            <w:spacing w:after="100"/>
            <w:ind w:left="720" w:hanging="720"/>
          </w:pPr>
          <w:r w:rsidRPr="00C148C5">
            <w:t>G.A. Res. 61/137 (Dec. 19, 2006)</w:t>
          </w:r>
          <w:r w:rsidRPr="00C148C5">
            <w:ptab w:relativeTo="margin" w:alignment="right" w:leader="dot"/>
          </w:r>
          <w:r w:rsidRPr="00C148C5">
            <w:t>18</w:t>
          </w:r>
        </w:p>
        <w:p w14:paraId="41EC6A2D" w14:textId="77777777" w:rsidR="00C148C5" w:rsidRPr="00C148C5" w:rsidRDefault="00C148C5" w:rsidP="00873C0B">
          <w:pPr>
            <w:spacing w:after="100"/>
            <w:ind w:left="720" w:hanging="720"/>
          </w:pPr>
          <w:r w:rsidRPr="00C148C5">
            <w:t>G.A. Res. 67/149 (December 20, 2012)</w:t>
          </w:r>
          <w:r w:rsidRPr="00C148C5">
            <w:ptab w:relativeTo="margin" w:alignment="right" w:leader="dot"/>
          </w:r>
          <w:r w:rsidRPr="00C148C5">
            <w:t>18</w:t>
          </w:r>
        </w:p>
        <w:p w14:paraId="25B21039" w14:textId="77777777" w:rsidR="00C148C5" w:rsidRPr="00C148C5" w:rsidRDefault="00C148C5" w:rsidP="00873C0B">
          <w:pPr>
            <w:spacing w:after="100"/>
            <w:ind w:left="720" w:hanging="720"/>
          </w:pPr>
          <w:r w:rsidRPr="00C148C5">
            <w:t>G.A. Res. 68/141 (December 18, 2013)</w:t>
          </w:r>
          <w:r w:rsidRPr="00C148C5">
            <w:ptab w:relativeTo="margin" w:alignment="right" w:leader="dot"/>
          </w:r>
          <w:r w:rsidRPr="00C148C5">
            <w:t>18</w:t>
          </w:r>
        </w:p>
        <w:p w14:paraId="3B25264F" w14:textId="77777777" w:rsidR="00C148C5" w:rsidRPr="00C148C5" w:rsidRDefault="00C148C5" w:rsidP="00873C0B">
          <w:pPr>
            <w:spacing w:after="100"/>
            <w:ind w:left="720" w:hanging="720"/>
          </w:pPr>
          <w:r w:rsidRPr="00C148C5">
            <w:t>G.A. Res. 70/135 (Dec. 17, 2015)</w:t>
          </w:r>
          <w:r w:rsidRPr="00C148C5">
            <w:ptab w:relativeTo="margin" w:alignment="right" w:leader="dot"/>
          </w:r>
          <w:r w:rsidRPr="00C148C5">
            <w:t>18</w:t>
          </w:r>
        </w:p>
        <w:p w14:paraId="1B3B891B" w14:textId="4F716963" w:rsidR="00C148C5" w:rsidRPr="00C148C5" w:rsidRDefault="00C148C5" w:rsidP="00873C0B">
          <w:pPr>
            <w:spacing w:after="100"/>
            <w:ind w:left="720" w:hanging="720"/>
          </w:pPr>
          <w:r w:rsidRPr="00C148C5">
            <w:t xml:space="preserve">HRComm, Communication No. 1450/2006, Views of the Human Rights Committee Under Article 5, Paragraph 4, of the Optional Protocol to the International Covenant on Civil and Political Rights, </w:t>
          </w:r>
          <w:r w:rsidR="00E26CA9">
            <w:t>UN</w:t>
          </w:r>
          <w:r w:rsidRPr="00C148C5">
            <w:t xml:space="preserve"> Doc. CCPR/C/93/D/1450/2006, (Aug. 5, 2008)</w:t>
          </w:r>
          <w:r w:rsidRPr="00C148C5">
            <w:ptab w:relativeTo="margin" w:alignment="right" w:leader="dot"/>
          </w:r>
          <w:r w:rsidRPr="00C148C5">
            <w:t>16</w:t>
          </w:r>
        </w:p>
        <w:p w14:paraId="56079392" w14:textId="00B5B6F2" w:rsidR="00C148C5" w:rsidRPr="00C148C5" w:rsidRDefault="00C148C5" w:rsidP="00873C0B">
          <w:pPr>
            <w:spacing w:after="100"/>
            <w:ind w:left="720" w:hanging="720"/>
          </w:pPr>
          <w:r w:rsidRPr="00C148C5">
            <w:t xml:space="preserve">HRComm, General Comment No. 35, Article 9, Liberty and Security of Person, </w:t>
          </w:r>
          <w:r w:rsidR="00E26CA9">
            <w:t>UN</w:t>
          </w:r>
          <w:r w:rsidRPr="00C148C5">
            <w:t xml:space="preserve"> Doc. CCPR/C/GC/35, (Dec. 16, 2014)</w:t>
          </w:r>
          <w:r w:rsidRPr="00C148C5">
            <w:ptab w:relativeTo="margin" w:alignment="right" w:leader="dot"/>
          </w:r>
          <w:r w:rsidRPr="00C148C5">
            <w:t>16</w:t>
          </w:r>
        </w:p>
        <w:p w14:paraId="7BB51BCE" w14:textId="77777777" w:rsidR="00C148C5" w:rsidRPr="00C148C5" w:rsidRDefault="00C148C5" w:rsidP="00873C0B">
          <w:pPr>
            <w:spacing w:after="100"/>
            <w:ind w:left="720" w:hanging="720"/>
          </w:pPr>
          <w:r w:rsidRPr="00C148C5">
            <w:t>ILC, Draft Articles on Consular Relations with Commentaries, 2 Y.B. Int’l Law Comm’n 92, (1961)</w:t>
          </w:r>
          <w:r w:rsidRPr="00C148C5">
            <w:ptab w:relativeTo="margin" w:alignment="right" w:leader="dot"/>
          </w:r>
          <w:r w:rsidRPr="00C148C5">
            <w:t>14</w:t>
          </w:r>
        </w:p>
        <w:p w14:paraId="6DF8B0E2" w14:textId="42095E73" w:rsidR="00C148C5" w:rsidRPr="00C148C5" w:rsidRDefault="00C148C5" w:rsidP="00873C0B">
          <w:pPr>
            <w:spacing w:after="100"/>
            <w:ind w:left="720" w:hanging="720"/>
          </w:pPr>
          <w:r w:rsidRPr="00C148C5">
            <w:t xml:space="preserve">ILC, Draft Articles on Diplomatic Protection with Commentaries, 30, </w:t>
          </w:r>
          <w:r w:rsidR="00E26CA9">
            <w:t>UN</w:t>
          </w:r>
          <w:r w:rsidRPr="00C148C5">
            <w:t xml:space="preserve"> Doc. A/65/10 (2006)</w:t>
          </w:r>
          <w:r w:rsidRPr="00C148C5">
            <w:ptab w:relativeTo="margin" w:alignment="right" w:leader="dot"/>
          </w:r>
          <w:r w:rsidRPr="00C148C5">
            <w:t>12</w:t>
          </w:r>
        </w:p>
        <w:p w14:paraId="78A6C276" w14:textId="77777777" w:rsidR="00C148C5" w:rsidRPr="00C148C5" w:rsidRDefault="00C148C5" w:rsidP="00873C0B">
          <w:pPr>
            <w:spacing w:after="100"/>
            <w:ind w:left="720" w:hanging="720"/>
          </w:pPr>
          <w:r w:rsidRPr="00C148C5">
            <w:t>ILC, Draft Articles on Diplomatic Protection, 2 Y.B. Int’l Law Comm’n 26, (2006).</w:t>
          </w:r>
          <w:r w:rsidRPr="00C148C5">
            <w:ptab w:relativeTo="margin" w:alignment="right" w:leader="dot"/>
          </w:r>
          <w:r w:rsidRPr="00C148C5">
            <w:t>11, 12</w:t>
          </w:r>
        </w:p>
        <w:p w14:paraId="307F2C84" w14:textId="77777777" w:rsidR="00C148C5" w:rsidRPr="00C148C5" w:rsidRDefault="00C148C5" w:rsidP="00873C0B">
          <w:pPr>
            <w:spacing w:after="100"/>
            <w:ind w:left="720" w:hanging="720"/>
          </w:pPr>
          <w:r w:rsidRPr="00C148C5">
            <w:t>ILC, Draft Articles on Responsibility of States for Internationally Wrongful Acts with Commentaries, art. 42(b)(ii), 2 Y.B. Int’l Law Comm’n 31, (2001)</w:t>
          </w:r>
          <w:r w:rsidRPr="00C148C5">
            <w:ptab w:relativeTo="margin" w:alignment="right" w:leader="dot"/>
          </w:r>
          <w:r w:rsidRPr="00C148C5">
            <w:t>2</w:t>
          </w:r>
        </w:p>
        <w:p w14:paraId="19DBA357" w14:textId="77777777" w:rsidR="00C148C5" w:rsidRPr="00C148C5" w:rsidRDefault="00C148C5" w:rsidP="00873C0B">
          <w:pPr>
            <w:spacing w:after="100"/>
            <w:ind w:left="720" w:hanging="720"/>
          </w:pPr>
          <w:r w:rsidRPr="00C148C5">
            <w:t>ILC, Draft Conclusions on Identification and Legal Consequences of Peremptory Norms of General International Law (</w:t>
          </w:r>
          <w:r w:rsidRPr="00C148C5">
            <w:rPr>
              <w:i/>
              <w:iCs/>
            </w:rPr>
            <w:t>Jus Cogens</w:t>
          </w:r>
          <w:r w:rsidRPr="00C148C5">
            <w:t>), 2, UN. Doc. A/74/10 (2022)</w:t>
          </w:r>
          <w:r w:rsidRPr="00C148C5">
            <w:ptab w:relativeTo="margin" w:alignment="right" w:leader="dot"/>
          </w:r>
          <w:r w:rsidRPr="00C148C5">
            <w:t>5</w:t>
          </w:r>
        </w:p>
        <w:p w14:paraId="1A15FCDA" w14:textId="77777777" w:rsidR="00C148C5" w:rsidRPr="00C148C5" w:rsidRDefault="00C148C5" w:rsidP="00873C0B">
          <w:pPr>
            <w:spacing w:after="100"/>
            <w:ind w:left="720" w:hanging="720"/>
          </w:pPr>
          <w:r w:rsidRPr="00C148C5">
            <w:t>Press Release, UNHRC, Myanmar Refuses Access to UN Special Rapporteur (Dec. 20 2017)</w:t>
          </w:r>
          <w:r w:rsidRPr="00C148C5">
            <w:ptab w:relativeTo="margin" w:alignment="right" w:leader="dot"/>
          </w:r>
          <w:r w:rsidRPr="00C148C5">
            <w:t>24</w:t>
          </w:r>
        </w:p>
        <w:p w14:paraId="5891EC2B" w14:textId="77777777" w:rsidR="00C148C5" w:rsidRPr="00C148C5" w:rsidRDefault="00C148C5" w:rsidP="00873C0B">
          <w:pPr>
            <w:spacing w:after="100"/>
            <w:ind w:left="720" w:hanging="720"/>
          </w:pPr>
          <w:r w:rsidRPr="00C148C5">
            <w:t>Press Release, UNSC, Security Council Rejects Text to Investigate Complaint Concerning Non-Compliance of Biological Weapons Convention by Ukraine, United States, UN Doc. SC/15095 (Nov. 2, 2022</w:t>
          </w:r>
          <w:r w:rsidRPr="00C148C5">
            <w:ptab w:relativeTo="margin" w:alignment="right" w:leader="dot"/>
          </w:r>
          <w:r w:rsidRPr="00C148C5">
            <w:t>25</w:t>
          </w:r>
        </w:p>
        <w:p w14:paraId="711E1791" w14:textId="77777777" w:rsidR="00C148C5" w:rsidRPr="00C148C5" w:rsidRDefault="00C148C5" w:rsidP="00873C0B">
          <w:pPr>
            <w:spacing w:after="100"/>
            <w:ind w:left="720" w:hanging="720"/>
          </w:pPr>
          <w:r w:rsidRPr="00C148C5">
            <w:t>The Right to Information on Consular Assistance in the Framework of the Guarantees of the Due Process of Law, IACtHR (ser. C) No. OC-16/99, (1999)</w:t>
          </w:r>
          <w:r w:rsidRPr="00C148C5">
            <w:ptab w:relativeTo="margin" w:alignment="right" w:leader="dot"/>
          </w:r>
          <w:r w:rsidRPr="00C148C5">
            <w:t>17</w:t>
          </w:r>
        </w:p>
        <w:p w14:paraId="2A7B0FBC" w14:textId="4F47ACB8" w:rsidR="00C148C5" w:rsidRPr="00C148C5" w:rsidRDefault="00E26CA9" w:rsidP="00873C0B">
          <w:pPr>
            <w:spacing w:after="100"/>
            <w:ind w:left="720" w:hanging="720"/>
          </w:pPr>
          <w:r>
            <w:t>UN</w:t>
          </w:r>
          <w:r w:rsidR="00C148C5" w:rsidRPr="00C148C5">
            <w:t xml:space="preserve"> High Comm’r for Refugees, Handbook on Protection of Stateless Persons, (2014).</w:t>
          </w:r>
          <w:r w:rsidR="00C148C5" w:rsidRPr="00C148C5">
            <w:ptab w:relativeTo="margin" w:alignment="right" w:leader="dot"/>
          </w:r>
          <w:r w:rsidR="00C148C5" w:rsidRPr="00C148C5">
            <w:t>3</w:t>
          </w:r>
        </w:p>
        <w:p w14:paraId="4E177517" w14:textId="78B5757F" w:rsidR="00C148C5" w:rsidRPr="00C148C5" w:rsidRDefault="00E26CA9" w:rsidP="00873C0B">
          <w:pPr>
            <w:spacing w:after="100"/>
            <w:ind w:left="720" w:hanging="720"/>
          </w:pPr>
          <w:r>
            <w:t>UN</w:t>
          </w:r>
          <w:r w:rsidR="00C148C5" w:rsidRPr="00C148C5">
            <w:t xml:space="preserve"> High Comm’r for Refugees, </w:t>
          </w:r>
          <w:r w:rsidR="00C148C5" w:rsidRPr="00C148C5">
            <w:rPr>
              <w:smallCaps/>
            </w:rPr>
            <w:t>Preventing and Reducing Statelessness,</w:t>
          </w:r>
          <w:r w:rsidR="00C148C5" w:rsidRPr="00C148C5">
            <w:t xml:space="preserve"> (2010)</w:t>
          </w:r>
          <w:r w:rsidR="00C148C5" w:rsidRPr="00C148C5">
            <w:ptab w:relativeTo="margin" w:alignment="right" w:leader="dot"/>
          </w:r>
          <w:r w:rsidR="00C148C5" w:rsidRPr="00C148C5">
            <w:t>4</w:t>
          </w:r>
        </w:p>
        <w:p w14:paraId="74F3CC5E" w14:textId="77777777" w:rsidR="00C148C5" w:rsidRPr="00C148C5" w:rsidRDefault="00C148C5" w:rsidP="00873C0B">
          <w:pPr>
            <w:spacing w:after="100"/>
            <w:ind w:left="720" w:hanging="720"/>
          </w:pPr>
          <w:r w:rsidRPr="00C148C5">
            <w:t>UN High Comm’n Hum. Rts., The Rights OF NON-Citizens 5 (2005)</w:t>
          </w:r>
          <w:r w:rsidRPr="00C148C5">
            <w:ptab w:relativeTo="margin" w:alignment="right" w:leader="dot"/>
          </w:r>
          <w:r w:rsidRPr="00C148C5">
            <w:t>14</w:t>
          </w:r>
        </w:p>
        <w:p w14:paraId="47F42A42" w14:textId="45EAF0EA" w:rsidR="00C148C5" w:rsidRPr="00C148C5" w:rsidRDefault="00C148C5" w:rsidP="00873C0B">
          <w:pPr>
            <w:spacing w:after="100"/>
            <w:ind w:left="720" w:hanging="720"/>
          </w:pPr>
          <w:r w:rsidRPr="00C148C5">
            <w:t>UN Secretary-General, Human Rights and Arbitrary Deprivation of Nationality, UN Doc. A/HRC/25/28 (Dec. 19, 2013)</w:t>
          </w:r>
          <w:r w:rsidRPr="00C148C5">
            <w:ptab w:relativeTo="margin" w:alignment="right" w:leader="dot"/>
          </w:r>
          <w:r w:rsidRPr="00C148C5">
            <w:t>4</w:t>
          </w:r>
        </w:p>
        <w:p w14:paraId="7D060668" w14:textId="7DFD80C1" w:rsidR="00C148C5" w:rsidRPr="00C148C5" w:rsidRDefault="00C148C5" w:rsidP="00873C0B">
          <w:pPr>
            <w:spacing w:after="100"/>
            <w:ind w:left="720" w:hanging="720"/>
          </w:pPr>
          <w:r w:rsidRPr="00C148C5">
            <w:t>UN Secretary-General, Human Rights and Arbitrary Deprivation of Nationality, UN Doc. A/HRC/19/43 (Dec. 19, 2011)</w:t>
          </w:r>
          <w:r w:rsidRPr="00C148C5">
            <w:ptab w:relativeTo="margin" w:alignment="right" w:leader="dot"/>
          </w:r>
          <w:r w:rsidRPr="00C148C5">
            <w:t>4, 19</w:t>
          </w:r>
        </w:p>
        <w:p w14:paraId="6B30BB37" w14:textId="77777777" w:rsidR="00C148C5" w:rsidRPr="00C148C5" w:rsidRDefault="00C148C5" w:rsidP="00873C0B">
          <w:pPr>
            <w:spacing w:after="100"/>
            <w:ind w:left="720" w:hanging="720"/>
          </w:pPr>
          <w:r w:rsidRPr="00C148C5">
            <w:lastRenderedPageBreak/>
            <w:t>UN Secretary-General, Impact of the Arbitrary Deprivation of Nationality on the Enjoyment of the Rights of Children Concerned, UN. Doc. A/HRC/31/29 (Dec. 16, 2015)</w:t>
          </w:r>
          <w:r w:rsidRPr="00C148C5">
            <w:ptab w:relativeTo="margin" w:alignment="right" w:leader="dot"/>
          </w:r>
          <w:r w:rsidRPr="00C148C5">
            <w:t>4</w:t>
          </w:r>
        </w:p>
        <w:p w14:paraId="478B1B80" w14:textId="77777777" w:rsidR="00C148C5" w:rsidRPr="00C148C5" w:rsidRDefault="00C148C5" w:rsidP="00873C0B">
          <w:pPr>
            <w:ind w:left="720" w:hanging="720"/>
          </w:pPr>
          <w:r w:rsidRPr="00C148C5">
            <w:t>UNGA, 1961 Signatory States, Declarations and Reservations on the Reduction of Statelessness, 30 August 1961 (Apr. 19, 2012).</w:t>
          </w:r>
          <w:r w:rsidRPr="00C148C5">
            <w:ptab w:relativeTo="margin" w:alignment="right" w:leader="dot"/>
          </w:r>
          <w:r w:rsidRPr="00C148C5">
            <w:t>9</w:t>
          </w:r>
        </w:p>
        <w:p w14:paraId="3EAAD458" w14:textId="77777777" w:rsidR="00C148C5" w:rsidRPr="00C148C5" w:rsidRDefault="00C148C5" w:rsidP="00873C0B">
          <w:pPr>
            <w:spacing w:after="100"/>
            <w:ind w:left="720" w:hanging="720"/>
          </w:pPr>
          <w:r w:rsidRPr="00C148C5">
            <w:t>UNHCR, Expert Meeting, Interpreting the 1961 Statelessness Convention and Avoiding Statelessness resulting from Loss and Deprivation of Nationality, Summary Conclusion, (2013)</w:t>
          </w:r>
          <w:r w:rsidRPr="00C148C5">
            <w:ptab w:relativeTo="margin" w:alignment="right" w:leader="dot"/>
          </w:r>
          <w:r w:rsidRPr="00C148C5">
            <w:t>19</w:t>
          </w:r>
        </w:p>
        <w:p w14:paraId="3AA0FB73" w14:textId="77777777" w:rsidR="00C148C5" w:rsidRPr="00C148C5" w:rsidRDefault="00C148C5" w:rsidP="00873C0B">
          <w:pPr>
            <w:spacing w:after="100"/>
            <w:ind w:left="720" w:hanging="720"/>
          </w:pPr>
          <w:r w:rsidRPr="00C148C5">
            <w:t>UNHCR, Guidelines on Statelessness No. 5: Loss and Deprivation of Nationality under Articles 5-9 of the 1961 Convention on the Reduction of Statelessness, HCR/GS/20/05, (May 2020)</w:t>
          </w:r>
          <w:r w:rsidRPr="00C148C5">
            <w:ptab w:relativeTo="margin" w:alignment="right" w:leader="dot"/>
          </w:r>
          <w:r w:rsidRPr="00C148C5">
            <w:t>18</w:t>
          </w:r>
        </w:p>
        <w:p w14:paraId="33B1C734" w14:textId="77777777" w:rsidR="00873C0B" w:rsidRDefault="00873C0B" w:rsidP="00C148C5">
          <w:pPr>
            <w:rPr>
              <w:b/>
              <w:smallCaps/>
            </w:rPr>
          </w:pPr>
        </w:p>
        <w:p w14:paraId="4CDB4F8E" w14:textId="493C91CA" w:rsidR="00C148C5" w:rsidRPr="00C148C5" w:rsidRDefault="00C148C5" w:rsidP="00C148C5">
          <w:pPr>
            <w:rPr>
              <w:b/>
              <w:smallCaps/>
            </w:rPr>
          </w:pPr>
          <w:r w:rsidRPr="00C148C5">
            <w:rPr>
              <w:b/>
              <w:smallCaps/>
            </w:rPr>
            <w:t>Treatises, Manuals, and Books</w:t>
          </w:r>
        </w:p>
        <w:p w14:paraId="1487E031" w14:textId="77777777" w:rsidR="00C148C5" w:rsidRPr="00C148C5" w:rsidRDefault="00C148C5" w:rsidP="00873C0B">
          <w:pPr>
            <w:ind w:left="720" w:hanging="720"/>
          </w:pPr>
          <w:r w:rsidRPr="00DE7412">
            <w:rPr>
              <w:smallCaps/>
            </w:rPr>
            <w:t>Bos. U. Sch. L.,</w:t>
          </w:r>
          <w:r w:rsidRPr="00C148C5">
            <w:t xml:space="preserve"> </w:t>
          </w:r>
          <w:r w:rsidRPr="00C148C5">
            <w:rPr>
              <w:smallCaps/>
            </w:rPr>
            <w:t>Statelessness and National Policy in Tunisia</w:t>
          </w:r>
          <w:r w:rsidRPr="00C148C5">
            <w:t xml:space="preserve"> (2023)</w:t>
          </w:r>
          <w:r w:rsidRPr="00C148C5">
            <w:ptab w:relativeTo="margin" w:alignment="right" w:leader="dot"/>
          </w:r>
          <w:r w:rsidRPr="00C148C5">
            <w:t>9</w:t>
          </w:r>
        </w:p>
        <w:p w14:paraId="3BB076F7" w14:textId="77777777" w:rsidR="00C148C5" w:rsidRPr="00C148C5" w:rsidRDefault="00C148C5" w:rsidP="00873C0B">
          <w:pPr>
            <w:spacing w:after="100"/>
            <w:ind w:left="720" w:hanging="720"/>
          </w:pPr>
          <w:r w:rsidRPr="00C148C5">
            <w:rPr>
              <w:smallCaps/>
            </w:rPr>
            <w:t xml:space="preserve">Guilio Bartolini, </w:t>
          </w:r>
          <w:r w:rsidRPr="00C148C5">
            <w:rPr>
              <w:i/>
              <w:iCs/>
            </w:rPr>
            <w:t>The Historical Roots of the Due Diligence Standard</w:t>
          </w:r>
          <w:r w:rsidRPr="00C148C5">
            <w:t xml:space="preserve"> in </w:t>
          </w:r>
          <w:r w:rsidRPr="00C148C5">
            <w:rPr>
              <w:smallCaps/>
            </w:rPr>
            <w:t xml:space="preserve">Due Diligence in the International Legal Order </w:t>
          </w:r>
          <w:r w:rsidRPr="00C148C5">
            <w:t>(Heidi Krieger et al. eds. 2020)</w:t>
          </w:r>
          <w:r w:rsidRPr="00C148C5">
            <w:ptab w:relativeTo="margin" w:alignment="right" w:leader="dot"/>
          </w:r>
          <w:r w:rsidRPr="00C148C5">
            <w:t>7</w:t>
          </w:r>
        </w:p>
        <w:p w14:paraId="7BD0C049" w14:textId="77777777" w:rsidR="00C148C5" w:rsidRPr="00C148C5" w:rsidRDefault="00C148C5" w:rsidP="00873C0B">
          <w:pPr>
            <w:spacing w:after="100"/>
            <w:ind w:left="720" w:hanging="720"/>
          </w:pPr>
          <w:r w:rsidRPr="00DE7412">
            <w:rPr>
              <w:smallCaps/>
            </w:rPr>
            <w:t xml:space="preserve">Stanford Crim. Justice Ctr, Virtual Justice? A National Study Analyzing the Transition to Remote Criminal Court </w:t>
          </w:r>
          <w:r w:rsidRPr="00C148C5">
            <w:t>(2021)</w:t>
          </w:r>
          <w:r w:rsidRPr="00C148C5">
            <w:ptab w:relativeTo="margin" w:alignment="right" w:leader="dot"/>
          </w:r>
          <w:r w:rsidRPr="00C148C5">
            <w:t>22</w:t>
          </w:r>
        </w:p>
        <w:p w14:paraId="126DB991" w14:textId="1B03FE09" w:rsidR="00C148C5" w:rsidRPr="00C148C5" w:rsidRDefault="00C148C5" w:rsidP="00873C0B">
          <w:pPr>
            <w:spacing w:after="100"/>
            <w:ind w:left="720" w:hanging="720"/>
          </w:pPr>
          <w:r w:rsidRPr="00C148C5">
            <w:rPr>
              <w:i/>
              <w:iCs/>
            </w:rPr>
            <w:t xml:space="preserve">The Right to Consular Access </w:t>
          </w:r>
          <w:r w:rsidRPr="00C148C5">
            <w:t xml:space="preserve">in </w:t>
          </w:r>
          <w:r w:rsidRPr="00DE7412">
            <w:rPr>
              <w:smallCaps/>
            </w:rPr>
            <w:t>A Jailhouse Lawyer’s Manual: Immigration and Consular Access Supplement</w:t>
          </w:r>
          <w:r w:rsidRPr="00C148C5">
            <w:t xml:space="preserve">, 11 </w:t>
          </w:r>
          <w:r w:rsidRPr="00DE7412">
            <w:rPr>
              <w:smallCaps/>
            </w:rPr>
            <w:t>Supp. Columb</w:t>
          </w:r>
          <w:r w:rsidR="00DE7412">
            <w:rPr>
              <w:smallCaps/>
            </w:rPr>
            <w:t>i</w:t>
          </w:r>
          <w:r w:rsidRPr="00DE7412">
            <w:rPr>
              <w:smallCaps/>
            </w:rPr>
            <w:t>a Hum. Rts. L.R.</w:t>
          </w:r>
          <w:r w:rsidRPr="00C148C5">
            <w:t xml:space="preserve"> 70 (2018)</w:t>
          </w:r>
          <w:r w:rsidRPr="00C148C5">
            <w:ptab w:relativeTo="margin" w:alignment="right" w:leader="dot"/>
          </w:r>
          <w:r w:rsidRPr="00C148C5">
            <w:t xml:space="preserve">16 </w:t>
          </w:r>
        </w:p>
        <w:p w14:paraId="4F4D43F4" w14:textId="77777777" w:rsidR="00873C0B" w:rsidRDefault="00873C0B" w:rsidP="00C148C5">
          <w:pPr>
            <w:rPr>
              <w:b/>
              <w:smallCaps/>
            </w:rPr>
          </w:pPr>
        </w:p>
        <w:p w14:paraId="1674ABB2" w14:textId="4633E10B" w:rsidR="00C148C5" w:rsidRPr="00C148C5" w:rsidRDefault="00C148C5" w:rsidP="00C148C5">
          <w:pPr>
            <w:rPr>
              <w:b/>
              <w:smallCaps/>
            </w:rPr>
          </w:pPr>
          <w:r w:rsidRPr="00C148C5">
            <w:rPr>
              <w:b/>
              <w:smallCaps/>
            </w:rPr>
            <w:t>Articles, Journals, and Working Papers</w:t>
          </w:r>
        </w:p>
      </w:sdtContent>
    </w:sdt>
    <w:p w14:paraId="14EB921A" w14:textId="77777777" w:rsidR="00C148C5" w:rsidRPr="00C148C5" w:rsidRDefault="00C148C5" w:rsidP="00873C0B">
      <w:pPr>
        <w:spacing w:after="100"/>
        <w:ind w:left="720" w:hanging="720"/>
      </w:pPr>
      <w:r w:rsidRPr="00DE7412">
        <w:t>Adam Entous</w:t>
      </w:r>
      <w:r w:rsidRPr="00DE7412">
        <w:rPr>
          <w:i/>
          <w:iCs/>
        </w:rPr>
        <w:t>, Israel Denies Entry to U.N. Rights Investigator</w:t>
      </w:r>
      <w:r w:rsidRPr="00C148C5">
        <w:t xml:space="preserve">, </w:t>
      </w:r>
      <w:r w:rsidRPr="00C148C5">
        <w:rPr>
          <w:smallCaps/>
        </w:rPr>
        <w:t>Reuters</w:t>
      </w:r>
      <w:r w:rsidRPr="00C148C5">
        <w:t xml:space="preserve"> (Dec. 15, 2008), https://www.reuters.com/article/us-palestinians-israel-un-sb-idUSTRE4BE33A20081215</w:t>
      </w:r>
      <w:r w:rsidRPr="00C148C5">
        <w:ptab w:relativeTo="margin" w:alignment="right" w:leader="dot"/>
      </w:r>
      <w:r w:rsidRPr="00C148C5">
        <w:t>24</w:t>
      </w:r>
    </w:p>
    <w:p w14:paraId="2C509908" w14:textId="77777777" w:rsidR="00C148C5" w:rsidRPr="00C148C5" w:rsidRDefault="00C148C5" w:rsidP="00873C0B">
      <w:pPr>
        <w:spacing w:after="100"/>
        <w:ind w:left="720" w:hanging="720"/>
      </w:pPr>
      <w:r w:rsidRPr="00C148C5">
        <w:t xml:space="preserve">Anne Sanders, </w:t>
      </w:r>
      <w:r w:rsidRPr="00DE7412">
        <w:rPr>
          <w:i/>
          <w:iCs/>
        </w:rPr>
        <w:t>Video-Hearings in Europe Before, During and After the COVID-19 Pandemic</w:t>
      </w:r>
      <w:r w:rsidRPr="00C148C5">
        <w:t xml:space="preserve">, 12 </w:t>
      </w:r>
      <w:r w:rsidRPr="00C148C5">
        <w:rPr>
          <w:smallCaps/>
        </w:rPr>
        <w:t>Int’l J. Court Admin</w:t>
      </w:r>
      <w:r w:rsidRPr="00C148C5">
        <w:t>. 1, (2020)</w:t>
      </w:r>
      <w:r w:rsidRPr="00C148C5">
        <w:ptab w:relativeTo="margin" w:alignment="right" w:leader="dot"/>
      </w:r>
      <w:r w:rsidRPr="00C148C5">
        <w:t>22</w:t>
      </w:r>
    </w:p>
    <w:p w14:paraId="2B0B9A7B" w14:textId="77777777" w:rsidR="00C148C5" w:rsidRPr="00C148C5" w:rsidRDefault="00C148C5" w:rsidP="00873C0B">
      <w:pPr>
        <w:spacing w:after="100"/>
        <w:ind w:left="720" w:hanging="720"/>
      </w:pPr>
      <w:r w:rsidRPr="00C148C5">
        <w:rPr>
          <w:rFonts w:eastAsia="Calibri"/>
        </w:rPr>
        <w:t xml:space="preserve">Cindy Buys, </w:t>
      </w:r>
      <w:r w:rsidRPr="00DE7412">
        <w:rPr>
          <w:rFonts w:eastAsia="Calibri"/>
          <w:i/>
          <w:iCs/>
        </w:rPr>
        <w:t>Do Unto Others: The Importance of Better Compliance with Consular Notification Rights</w:t>
      </w:r>
      <w:r w:rsidRPr="00C148C5">
        <w:rPr>
          <w:rFonts w:eastAsia="Calibri"/>
        </w:rPr>
        <w:t xml:space="preserve">, 21 </w:t>
      </w:r>
      <w:r w:rsidRPr="00C148C5">
        <w:rPr>
          <w:rFonts w:eastAsia="Calibri"/>
          <w:smallCaps/>
        </w:rPr>
        <w:t>Duke J. Comp. &amp; Int’l. L.</w:t>
      </w:r>
      <w:r w:rsidRPr="00C148C5">
        <w:rPr>
          <w:rFonts w:eastAsia="Calibri"/>
        </w:rPr>
        <w:t xml:space="preserve"> 461 (2011)</w:t>
      </w:r>
      <w:r w:rsidRPr="00C148C5">
        <w:ptab w:relativeTo="margin" w:alignment="right" w:leader="dot"/>
      </w:r>
      <w:r w:rsidRPr="00C148C5">
        <w:t>13</w:t>
      </w:r>
    </w:p>
    <w:p w14:paraId="77321A9A" w14:textId="77777777" w:rsidR="00C148C5" w:rsidRPr="00C148C5" w:rsidRDefault="00C148C5" w:rsidP="00873C0B">
      <w:pPr>
        <w:spacing w:after="100"/>
        <w:ind w:left="720" w:hanging="720"/>
      </w:pPr>
      <w:r w:rsidRPr="00C148C5">
        <w:t xml:space="preserve">Craig Meyers, </w:t>
      </w:r>
      <w:r w:rsidRPr="00DE7412">
        <w:rPr>
          <w:i/>
          <w:iCs/>
        </w:rPr>
        <w:t>“Checkbook Citizenship”: Renewed Relevance for the Nottebohm Ruling</w:t>
      </w:r>
      <w:r w:rsidRPr="00C148C5">
        <w:t xml:space="preserve">, </w:t>
      </w:r>
      <w:r w:rsidRPr="00C148C5">
        <w:rPr>
          <w:smallCaps/>
        </w:rPr>
        <w:t xml:space="preserve">E-Int’l. Relations </w:t>
      </w:r>
      <w:r w:rsidRPr="00C148C5">
        <w:t xml:space="preserve">(Oct. 5, 2020), https://www.e-ir.info/pdf/88004. </w:t>
      </w:r>
      <w:r w:rsidRPr="00C148C5">
        <w:ptab w:relativeTo="margin" w:alignment="right" w:leader="dot"/>
      </w:r>
      <w:r w:rsidRPr="00C148C5">
        <w:t>12</w:t>
      </w:r>
    </w:p>
    <w:p w14:paraId="58336F71" w14:textId="77777777" w:rsidR="00C148C5" w:rsidRPr="00C148C5" w:rsidRDefault="00C148C5" w:rsidP="00873C0B">
      <w:pPr>
        <w:spacing w:after="100"/>
        <w:ind w:left="720" w:hanging="720"/>
      </w:pPr>
      <w:r w:rsidRPr="00C148C5">
        <w:t xml:space="preserve">D. R. Gilmour, </w:t>
      </w:r>
      <w:r w:rsidRPr="00DE7412">
        <w:rPr>
          <w:i/>
          <w:iCs/>
        </w:rPr>
        <w:t>The Meaning of ‘Intervene’ within Article 2 (7) of the United Nations Charter, An Historical Perspective</w:t>
      </w:r>
      <w:r w:rsidRPr="00C148C5">
        <w:t xml:space="preserve">, 16 </w:t>
      </w:r>
      <w:r w:rsidRPr="00C148C5">
        <w:rPr>
          <w:smallCaps/>
        </w:rPr>
        <w:t>Int'l &amp; Comp. L.Q</w:t>
      </w:r>
      <w:r w:rsidRPr="00C148C5">
        <w:t>., (1967).</w:t>
      </w:r>
      <w:r w:rsidRPr="00C148C5">
        <w:ptab w:relativeTo="margin" w:alignment="right" w:leader="dot"/>
      </w:r>
      <w:r w:rsidRPr="00C148C5">
        <w:t>20</w:t>
      </w:r>
    </w:p>
    <w:p w14:paraId="484738A9" w14:textId="77777777" w:rsidR="00C148C5" w:rsidRPr="00C148C5" w:rsidRDefault="00C148C5" w:rsidP="00873C0B">
      <w:pPr>
        <w:spacing w:after="100"/>
        <w:ind w:left="720" w:hanging="720"/>
      </w:pPr>
      <w:r w:rsidRPr="00C148C5">
        <w:t xml:space="preserve">Dechlan Brennan, </w:t>
      </w:r>
      <w:r w:rsidRPr="00C148C5">
        <w:rPr>
          <w:i/>
          <w:iCs/>
        </w:rPr>
        <w:t>2 State Governments in Australia Block UN Visits to Prisons</w:t>
      </w:r>
      <w:r w:rsidRPr="00C148C5">
        <w:t xml:space="preserve">, </w:t>
      </w:r>
      <w:r w:rsidRPr="00C148C5">
        <w:rPr>
          <w:smallCaps/>
        </w:rPr>
        <w:t>The Diplomat</w:t>
      </w:r>
      <w:r w:rsidRPr="00C148C5">
        <w:t xml:space="preserve"> (Nov. 19, 2022), https://thediplomat.com/2022/11/2-state-governments-in-australia-block-un-visits-to-prisons</w:t>
      </w:r>
      <w:r w:rsidRPr="00C148C5">
        <w:ptab w:relativeTo="margin" w:alignment="right" w:leader="dot"/>
      </w:r>
      <w:r w:rsidRPr="00C148C5">
        <w:t>24</w:t>
      </w:r>
    </w:p>
    <w:p w14:paraId="6F5599D6" w14:textId="77777777" w:rsidR="00C148C5" w:rsidRPr="00C148C5" w:rsidRDefault="00C148C5" w:rsidP="00873C0B">
      <w:pPr>
        <w:spacing w:after="100"/>
        <w:ind w:left="720" w:hanging="720"/>
      </w:pPr>
      <w:r w:rsidRPr="00C148C5">
        <w:t xml:space="preserve">Francisca Fernando et al., </w:t>
      </w:r>
      <w:r w:rsidRPr="00C148C5">
        <w:rPr>
          <w:i/>
          <w:iCs/>
        </w:rPr>
        <w:t>Citizenship for Sale</w:t>
      </w:r>
      <w:r w:rsidRPr="00C148C5">
        <w:t xml:space="preserve">, </w:t>
      </w:r>
      <w:r w:rsidRPr="00C148C5">
        <w:rPr>
          <w:smallCaps/>
        </w:rPr>
        <w:t>Int’l Monetary Fund</w:t>
      </w:r>
      <w:r w:rsidRPr="00C148C5">
        <w:t xml:space="preserve"> (2021).</w:t>
      </w:r>
      <w:r w:rsidRPr="00C148C5">
        <w:ptab w:relativeTo="margin" w:alignment="right" w:leader="dot"/>
      </w:r>
      <w:r w:rsidRPr="00C148C5">
        <w:t>12</w:t>
      </w:r>
    </w:p>
    <w:p w14:paraId="41FB9CE8" w14:textId="77777777" w:rsidR="00C148C5" w:rsidRPr="00C148C5" w:rsidRDefault="00C148C5" w:rsidP="00873C0B">
      <w:pPr>
        <w:spacing w:after="100"/>
        <w:ind w:left="720" w:hanging="720"/>
      </w:pPr>
      <w:r w:rsidRPr="00C148C5">
        <w:lastRenderedPageBreak/>
        <w:t>G20 Anti-Corruption Working Group, G20 Denial of Entry Experts Network Inaugural Meeting, Chairman’s Summary</w:t>
      </w:r>
      <w:r w:rsidRPr="00C148C5">
        <w:rPr>
          <w:i/>
          <w:iCs/>
        </w:rPr>
        <w:t xml:space="preserve"> </w:t>
      </w:r>
      <w:r w:rsidRPr="00C148C5">
        <w:t xml:space="preserve">(Oct. 14, 2015). </w:t>
      </w:r>
      <w:r w:rsidRPr="00C148C5">
        <w:ptab w:relativeTo="margin" w:alignment="right" w:leader="dot"/>
      </w:r>
      <w:r w:rsidRPr="00C148C5">
        <w:t>22</w:t>
      </w:r>
    </w:p>
    <w:p w14:paraId="6CBF34FD" w14:textId="77777777" w:rsidR="00C148C5" w:rsidRPr="00C148C5" w:rsidRDefault="00C148C5" w:rsidP="00873C0B">
      <w:pPr>
        <w:spacing w:after="100"/>
        <w:ind w:left="720" w:hanging="720"/>
      </w:pPr>
      <w:r w:rsidRPr="00C148C5">
        <w:t xml:space="preserve">Gehan Gunatilleke, </w:t>
      </w:r>
      <w:r w:rsidRPr="00DE7412">
        <w:rPr>
          <w:i/>
          <w:iCs/>
        </w:rPr>
        <w:t>Justifying Limitations on the Freedom of Expression</w:t>
      </w:r>
      <w:r w:rsidRPr="00C148C5">
        <w:t xml:space="preserve">, 22 </w:t>
      </w:r>
      <w:r w:rsidRPr="00C148C5">
        <w:rPr>
          <w:smallCaps/>
        </w:rPr>
        <w:t>Hum. Rts. Q. 91 (2021).</w:t>
      </w:r>
      <w:r w:rsidRPr="00C148C5">
        <w:ptab w:relativeTo="margin" w:alignment="right" w:leader="dot"/>
      </w:r>
      <w:r w:rsidRPr="00C148C5">
        <w:t>10</w:t>
      </w:r>
    </w:p>
    <w:p w14:paraId="7E60BD66" w14:textId="77777777" w:rsidR="00C148C5" w:rsidRPr="00C148C5" w:rsidRDefault="00C148C5" w:rsidP="00873C0B">
      <w:pPr>
        <w:spacing w:after="100"/>
        <w:ind w:left="720" w:hanging="720"/>
      </w:pPr>
      <w:r w:rsidRPr="00C148C5">
        <w:t xml:space="preserve">Hurst Hannum, </w:t>
      </w:r>
      <w:r w:rsidRPr="00DE7412">
        <w:rPr>
          <w:i/>
          <w:iCs/>
        </w:rPr>
        <w:t>The Status of the Universal Declaration of Human Rights in National and International Law</w:t>
      </w:r>
      <w:r w:rsidRPr="00C148C5">
        <w:t xml:space="preserve">, 25 </w:t>
      </w:r>
      <w:r w:rsidRPr="00C148C5">
        <w:rPr>
          <w:smallCaps/>
        </w:rPr>
        <w:t xml:space="preserve">Ga. J. Int'l &amp; Comp. </w:t>
      </w:r>
      <w:r w:rsidRPr="00C148C5">
        <w:t>L. 287 (1995)</w:t>
      </w:r>
      <w:r w:rsidRPr="00C148C5">
        <w:ptab w:relativeTo="margin" w:alignment="right" w:leader="dot"/>
      </w:r>
      <w:r w:rsidRPr="00C148C5">
        <w:t>7</w:t>
      </w:r>
    </w:p>
    <w:p w14:paraId="604EFD0C" w14:textId="77777777" w:rsidR="00C148C5" w:rsidRPr="00C148C5" w:rsidRDefault="00C148C5" w:rsidP="00873C0B">
      <w:pPr>
        <w:spacing w:after="100"/>
        <w:ind w:left="720" w:hanging="720"/>
      </w:pPr>
      <w:r w:rsidRPr="00C148C5">
        <w:t xml:space="preserve">Jeffrey L. Blackman, </w:t>
      </w:r>
      <w:r w:rsidRPr="00DE7412">
        <w:rPr>
          <w:i/>
          <w:iCs/>
        </w:rPr>
        <w:t>State Successions and Statelessness: The Emerging Right to an Effective Nationality Under International Law</w:t>
      </w:r>
      <w:r w:rsidRPr="00C148C5">
        <w:t xml:space="preserve">, 19 </w:t>
      </w:r>
      <w:r w:rsidRPr="00C148C5">
        <w:rPr>
          <w:smallCaps/>
        </w:rPr>
        <w:t>Mich. J. Int’l L.</w:t>
      </w:r>
      <w:r w:rsidRPr="00C148C5">
        <w:t xml:space="preserve"> 1141 (1998)</w:t>
      </w:r>
      <w:r w:rsidRPr="00C148C5">
        <w:ptab w:relativeTo="margin" w:alignment="right" w:leader="dot"/>
      </w:r>
      <w:r w:rsidRPr="00C148C5">
        <w:t>4</w:t>
      </w:r>
    </w:p>
    <w:p w14:paraId="71E81F51" w14:textId="77777777" w:rsidR="00DE7412" w:rsidRDefault="00C148C5" w:rsidP="00873C0B">
      <w:pPr>
        <w:spacing w:after="100"/>
        <w:ind w:left="720" w:hanging="720"/>
      </w:pPr>
      <w:r w:rsidRPr="00C148C5">
        <w:t xml:space="preserve">Kelebogile Zvobgo et al., </w:t>
      </w:r>
      <w:r w:rsidRPr="00DE7412">
        <w:rPr>
          <w:i/>
          <w:iCs/>
        </w:rPr>
        <w:t>Reserving Rights: Explaining Human Rights Treaty Reservations</w:t>
      </w:r>
      <w:r w:rsidRPr="00C148C5">
        <w:t xml:space="preserve">, 64 </w:t>
      </w:r>
      <w:r w:rsidRPr="00C148C5">
        <w:rPr>
          <w:smallCaps/>
        </w:rPr>
        <w:t>Int'l Studies Q.</w:t>
      </w:r>
      <w:r w:rsidRPr="00C148C5">
        <w:t>, 785, 797 (2020)</w:t>
      </w:r>
      <w:r w:rsidRPr="00C148C5">
        <w:ptab w:relativeTo="margin" w:alignment="right" w:leader="dot"/>
      </w:r>
    </w:p>
    <w:p w14:paraId="514E8D1A" w14:textId="1AF2DBD4" w:rsidR="00C148C5" w:rsidRPr="00C148C5" w:rsidRDefault="00C148C5" w:rsidP="00873C0B">
      <w:pPr>
        <w:spacing w:after="100"/>
        <w:ind w:left="720" w:hanging="720"/>
      </w:pPr>
      <w:r w:rsidRPr="00C148C5">
        <w:t xml:space="preserve">Luca Bucken &amp; Rene de Groot, </w:t>
      </w:r>
      <w:r w:rsidRPr="00DE7412">
        <w:rPr>
          <w:i/>
          <w:iCs/>
        </w:rPr>
        <w:t>Deprivation of Nationality under Article 8 (3) of the 1961 Convention on the Reduction of Statelessness</w:t>
      </w:r>
      <w:r w:rsidRPr="00C148C5">
        <w:t xml:space="preserve">, 25 </w:t>
      </w:r>
      <w:r w:rsidRPr="00C148C5">
        <w:rPr>
          <w:smallCaps/>
        </w:rPr>
        <w:t>Maastricht J. Eur. &amp; Comp. L</w:t>
      </w:r>
      <w:r w:rsidRPr="00C148C5">
        <w:t>. 38 (2018).</w:t>
      </w:r>
      <w:r w:rsidRPr="00C148C5">
        <w:ptab w:relativeTo="margin" w:alignment="right" w:leader="dot"/>
      </w:r>
      <w:r w:rsidRPr="00C148C5">
        <w:t>9</w:t>
      </w:r>
    </w:p>
    <w:p w14:paraId="4D87ECD2" w14:textId="77777777" w:rsidR="00C148C5" w:rsidRPr="00C148C5" w:rsidRDefault="00C148C5" w:rsidP="00873C0B">
      <w:pPr>
        <w:spacing w:after="100"/>
        <w:ind w:left="720" w:hanging="720"/>
      </w:pPr>
      <w:r w:rsidRPr="00C148C5">
        <w:t xml:space="preserve">Luke Hurst, </w:t>
      </w:r>
      <w:r w:rsidRPr="00DE7412">
        <w:rPr>
          <w:i/>
          <w:iCs/>
        </w:rPr>
        <w:t>Buying EU Citizenship: What are Golden Passports and Visas and How Do They Work?</w:t>
      </w:r>
      <w:r w:rsidRPr="00C148C5">
        <w:t xml:space="preserve">, </w:t>
      </w:r>
      <w:r w:rsidRPr="00C148C5">
        <w:rPr>
          <w:smallCaps/>
        </w:rPr>
        <w:t>EuroNews</w:t>
      </w:r>
      <w:r w:rsidRPr="00C148C5">
        <w:t xml:space="preserve"> (Oct. 20, 2020), https://www.euronews.com/2020/10/20/buying-eu-citizenship-what-are-golden-passports-and-visas-and-how-do-they-work.</w:t>
      </w:r>
      <w:r w:rsidRPr="00C148C5">
        <w:ptab w:relativeTo="margin" w:alignment="right" w:leader="dot"/>
      </w:r>
      <w:r w:rsidRPr="00C148C5">
        <w:t>11</w:t>
      </w:r>
    </w:p>
    <w:p w14:paraId="72950DFA" w14:textId="77777777" w:rsidR="00C148C5" w:rsidRPr="00C148C5" w:rsidRDefault="00C148C5" w:rsidP="00873C0B">
      <w:pPr>
        <w:spacing w:after="100"/>
        <w:ind w:left="720" w:hanging="720"/>
      </w:pPr>
      <w:r w:rsidRPr="00C148C5">
        <w:t xml:space="preserve">Maarten P. Bolhuis &amp; Joris van Wijk, </w:t>
      </w:r>
      <w:r w:rsidRPr="00DE7412">
        <w:rPr>
          <w:i/>
          <w:iCs/>
        </w:rPr>
        <w:t>Citizenship Deprivation as a Counterterrorism Measure in Europe; Possible Follow-Up Scenarios, Human Rights Infringements and the Effect on Counterterrorism</w:t>
      </w:r>
      <w:r w:rsidRPr="00C148C5">
        <w:t xml:space="preserve">, 22 </w:t>
      </w:r>
      <w:r w:rsidRPr="00C148C5">
        <w:rPr>
          <w:smallCaps/>
        </w:rPr>
        <w:t>Eur. J. Migration &amp; L.</w:t>
      </w:r>
      <w:r w:rsidRPr="00C148C5">
        <w:t xml:space="preserve"> 338 (2020).</w:t>
      </w:r>
      <w:r w:rsidRPr="00C148C5">
        <w:ptab w:relativeTo="margin" w:alignment="right" w:leader="dot"/>
      </w:r>
      <w:r w:rsidRPr="00C148C5">
        <w:t>3</w:t>
      </w:r>
    </w:p>
    <w:p w14:paraId="5B4619EB" w14:textId="77777777" w:rsidR="00C148C5" w:rsidRPr="00C148C5" w:rsidRDefault="00C148C5" w:rsidP="00873C0B">
      <w:pPr>
        <w:spacing w:after="100"/>
        <w:ind w:left="720" w:hanging="720"/>
      </w:pPr>
      <w:r w:rsidRPr="00C148C5">
        <w:t xml:space="preserve">Medes Malaihollo, </w:t>
      </w:r>
      <w:r w:rsidRPr="00DE7412">
        <w:rPr>
          <w:i/>
          <w:iCs/>
        </w:rPr>
        <w:t>Due Diligence in International Environmental Law and International Human Rights Law: A Comparative Legal Study of the Nationally Determined Contributions under the Paris Agreement and Positive Obligations under the European Convention on Human Rights</w:t>
      </w:r>
      <w:r w:rsidRPr="00C148C5">
        <w:t xml:space="preserve">, 68 </w:t>
      </w:r>
      <w:r w:rsidRPr="00C148C5">
        <w:rPr>
          <w:smallCaps/>
        </w:rPr>
        <w:t xml:space="preserve">Netherlands Int’l. LR </w:t>
      </w:r>
      <w:r w:rsidRPr="00C148C5">
        <w:t>121 (2021)</w:t>
      </w:r>
      <w:r w:rsidRPr="00C148C5">
        <w:ptab w:relativeTo="margin" w:alignment="right" w:leader="dot"/>
      </w:r>
      <w:r w:rsidRPr="00C148C5">
        <w:t>7</w:t>
      </w:r>
    </w:p>
    <w:p w14:paraId="2B5D2E01" w14:textId="104750C9" w:rsidR="00C148C5" w:rsidRPr="00C148C5" w:rsidRDefault="00C148C5" w:rsidP="00873C0B">
      <w:pPr>
        <w:spacing w:after="100"/>
        <w:ind w:left="720" w:hanging="720"/>
      </w:pPr>
      <w:r w:rsidRPr="00DE7412">
        <w:t>Michelle Foster</w:t>
      </w:r>
      <w:r w:rsidRPr="00C148C5">
        <w:t xml:space="preserve">, </w:t>
      </w:r>
      <w:r w:rsidRPr="00DE7412">
        <w:rPr>
          <w:i/>
          <w:iCs/>
        </w:rPr>
        <w:t xml:space="preserve">Protection Elsewhere: The Legal Implications of Requiring Refugees to Seek Protection in </w:t>
      </w:r>
      <w:r w:rsidR="00DE7412" w:rsidRPr="00DE7412">
        <w:rPr>
          <w:i/>
          <w:iCs/>
        </w:rPr>
        <w:t>A</w:t>
      </w:r>
      <w:r w:rsidRPr="00DE7412">
        <w:rPr>
          <w:i/>
          <w:iCs/>
        </w:rPr>
        <w:t>nother State</w:t>
      </w:r>
      <w:r w:rsidRPr="00C148C5">
        <w:t xml:space="preserve">, 28 </w:t>
      </w:r>
      <w:r w:rsidRPr="00C148C5">
        <w:rPr>
          <w:smallCaps/>
        </w:rPr>
        <w:t>Mich. J. Int'l L.</w:t>
      </w:r>
      <w:r w:rsidRPr="00C148C5">
        <w:t xml:space="preserve"> 223 (2007)</w:t>
      </w:r>
      <w:r w:rsidRPr="00C148C5">
        <w:ptab w:relativeTo="margin" w:alignment="right" w:leader="dot"/>
      </w:r>
      <w:r w:rsidRPr="00C148C5">
        <w:t>6</w:t>
      </w:r>
    </w:p>
    <w:p w14:paraId="30BAA9D7" w14:textId="77777777" w:rsidR="00C148C5" w:rsidRPr="00C148C5" w:rsidRDefault="00C148C5" w:rsidP="00873C0B">
      <w:pPr>
        <w:spacing w:after="100"/>
        <w:ind w:left="720" w:hanging="720"/>
      </w:pPr>
      <w:r w:rsidRPr="00C148C5">
        <w:t xml:space="preserve">Mike Ives, </w:t>
      </w:r>
      <w:r w:rsidRPr="00C148C5">
        <w:rPr>
          <w:i/>
          <w:iCs/>
        </w:rPr>
        <w:t>Myanmar Vows to Block U.N. Investigators From Entering</w:t>
      </w:r>
      <w:r w:rsidRPr="00C148C5">
        <w:t xml:space="preserve">, </w:t>
      </w:r>
      <w:r w:rsidRPr="00C148C5">
        <w:rPr>
          <w:smallCaps/>
        </w:rPr>
        <w:t xml:space="preserve">N.Y. Times </w:t>
      </w:r>
      <w:r w:rsidRPr="00C148C5">
        <w:t>(June 30, 2017), https://www.nytimes.com/2017/06/30/world/asia/myanmar-united-nations-rohingya.html</w:t>
      </w:r>
      <w:r w:rsidRPr="00C148C5">
        <w:ptab w:relativeTo="margin" w:alignment="right" w:leader="dot"/>
      </w:r>
      <w:r w:rsidRPr="00C148C5">
        <w:t>24</w:t>
      </w:r>
    </w:p>
    <w:p w14:paraId="04126FE8" w14:textId="77777777" w:rsidR="00C148C5" w:rsidRPr="00C148C5" w:rsidRDefault="00C148C5" w:rsidP="00873C0B">
      <w:pPr>
        <w:spacing w:after="100"/>
        <w:ind w:left="720" w:hanging="720"/>
      </w:pPr>
      <w:r w:rsidRPr="00C148C5">
        <w:t xml:space="preserve">Mohammad Alipour, </w:t>
      </w:r>
      <w:r w:rsidRPr="00DE7412">
        <w:rPr>
          <w:i/>
          <w:iCs/>
        </w:rPr>
        <w:t>The Competence of the Security Council Over Situations or Disputes Arising from Human Rights Violations by a State Under Chapter VI of the United Nations Charter</w:t>
      </w:r>
      <w:r w:rsidRPr="00C148C5">
        <w:t xml:space="preserve">, </w:t>
      </w:r>
      <w:r w:rsidRPr="00C148C5">
        <w:rPr>
          <w:smallCaps/>
        </w:rPr>
        <w:t>Hungarian J. Legal Studies</w:t>
      </w:r>
      <w:r w:rsidRPr="00C148C5">
        <w:t xml:space="preserve"> 1, (2023).</w:t>
      </w:r>
      <w:r w:rsidRPr="00C148C5">
        <w:ptab w:relativeTo="margin" w:alignment="right" w:leader="dot"/>
      </w:r>
      <w:r w:rsidRPr="00C148C5">
        <w:t>20</w:t>
      </w:r>
    </w:p>
    <w:p w14:paraId="525BBFBE" w14:textId="77777777" w:rsidR="00C148C5" w:rsidRPr="00C148C5" w:rsidRDefault="00C148C5" w:rsidP="00873C0B">
      <w:pPr>
        <w:spacing w:after="100"/>
        <w:ind w:left="720" w:hanging="720"/>
      </w:pPr>
      <w:r w:rsidRPr="00C148C5">
        <w:t xml:space="preserve">Petra Weingerl &amp; Matjaz Tratnik, </w:t>
      </w:r>
      <w:r w:rsidRPr="00DE7412">
        <w:rPr>
          <w:i/>
          <w:iCs/>
        </w:rPr>
        <w:t>Citizenship by Investment Programs from the Perspective of International and EU Law</w:t>
      </w:r>
      <w:r w:rsidRPr="00C148C5">
        <w:t xml:space="preserve">, 11 </w:t>
      </w:r>
      <w:r w:rsidRPr="00C148C5">
        <w:rPr>
          <w:smallCaps/>
        </w:rPr>
        <w:t xml:space="preserve">LeXonomica 95 </w:t>
      </w:r>
      <w:r w:rsidRPr="00C148C5">
        <w:t>(2019).</w:t>
      </w:r>
      <w:r w:rsidRPr="00C148C5">
        <w:ptab w:relativeTo="margin" w:alignment="right" w:leader="dot"/>
      </w:r>
      <w:r w:rsidRPr="00C148C5">
        <w:t>12</w:t>
      </w:r>
    </w:p>
    <w:p w14:paraId="24D7B929" w14:textId="77777777" w:rsidR="00C148C5" w:rsidRPr="00C148C5" w:rsidRDefault="00C148C5" w:rsidP="00873C0B">
      <w:pPr>
        <w:spacing w:after="100"/>
        <w:ind w:left="720" w:hanging="720"/>
      </w:pPr>
      <w:r w:rsidRPr="00C148C5">
        <w:t xml:space="preserve">Satvinder S. Juss, </w:t>
      </w:r>
      <w:r w:rsidRPr="00DE7412">
        <w:rPr>
          <w:i/>
          <w:iCs/>
        </w:rPr>
        <w:t>Nationality Law, Sovereignty, and the Doctrine of Exclusive Domestic Jurisdiction</w:t>
      </w:r>
      <w:r w:rsidRPr="00C148C5">
        <w:t xml:space="preserve">, 9 </w:t>
      </w:r>
      <w:r w:rsidRPr="00C148C5">
        <w:rPr>
          <w:smallCaps/>
        </w:rPr>
        <w:t>FLA. J. Int'l L.</w:t>
      </w:r>
      <w:r w:rsidRPr="00C148C5">
        <w:t xml:space="preserve"> 219 (1994)</w:t>
      </w:r>
      <w:r w:rsidRPr="00C148C5">
        <w:ptab w:relativeTo="margin" w:alignment="right" w:leader="dot"/>
      </w:r>
      <w:r w:rsidRPr="00C148C5">
        <w:t>6</w:t>
      </w:r>
    </w:p>
    <w:p w14:paraId="02E72B45" w14:textId="77777777" w:rsidR="00C148C5" w:rsidRPr="00C148C5" w:rsidRDefault="00C148C5" w:rsidP="00873C0B">
      <w:pPr>
        <w:spacing w:after="100"/>
        <w:ind w:left="720" w:hanging="720"/>
      </w:pPr>
      <w:r w:rsidRPr="00C148C5">
        <w:t xml:space="preserve">Tsilly Dagan &amp; Talia Fisher, </w:t>
      </w:r>
      <w:r w:rsidRPr="00C148C5">
        <w:rPr>
          <w:i/>
          <w:iCs/>
        </w:rPr>
        <w:t>State Inc.</w:t>
      </w:r>
      <w:r w:rsidRPr="00C148C5">
        <w:t xml:space="preserve">, 27 </w:t>
      </w:r>
      <w:r w:rsidRPr="00C148C5">
        <w:rPr>
          <w:smallCaps/>
        </w:rPr>
        <w:t>Cornell J. L. &amp; Pub. Pol’y</w:t>
      </w:r>
      <w:r w:rsidRPr="00C148C5">
        <w:t xml:space="preserve"> 661 (2018).</w:t>
      </w:r>
      <w:r w:rsidRPr="00C148C5">
        <w:ptab w:relativeTo="margin" w:alignment="right" w:leader="dot"/>
      </w:r>
      <w:r w:rsidRPr="00C148C5">
        <w:t>11</w:t>
      </w:r>
    </w:p>
    <w:p w14:paraId="7973B394" w14:textId="77777777" w:rsidR="00C148C5" w:rsidRPr="00C148C5" w:rsidRDefault="00C148C5" w:rsidP="00873C0B">
      <w:pPr>
        <w:spacing w:after="100"/>
        <w:ind w:left="720" w:hanging="720"/>
      </w:pPr>
      <w:r w:rsidRPr="00C148C5">
        <w:rPr>
          <w:i/>
          <w:iCs/>
        </w:rPr>
        <w:t>UN Expert 'Denied Zimbabwe Entry' 2009</w:t>
      </w:r>
      <w:r w:rsidRPr="00C148C5">
        <w:t>, BBC (Oct. 29, 2009), http://news.bbc.co.uk/2/hi/africa/8329984.stm</w:t>
      </w:r>
      <w:r w:rsidRPr="00C148C5">
        <w:ptab w:relativeTo="margin" w:alignment="right" w:leader="dot"/>
      </w:r>
      <w:r w:rsidRPr="00C148C5">
        <w:t>24</w:t>
      </w:r>
    </w:p>
    <w:p w14:paraId="66BD39D7" w14:textId="77777777" w:rsidR="00C148C5" w:rsidRPr="00C148C5" w:rsidRDefault="00C148C5" w:rsidP="00873C0B">
      <w:pPr>
        <w:spacing w:after="100"/>
        <w:ind w:left="720" w:hanging="720"/>
      </w:pPr>
      <w:r w:rsidRPr="00C148C5">
        <w:lastRenderedPageBreak/>
        <w:t xml:space="preserve">William J. Aceves, </w:t>
      </w:r>
      <w:r w:rsidRPr="00C148C5">
        <w:rPr>
          <w:i/>
          <w:iCs/>
        </w:rPr>
        <w:t>Actio Popularis - The Class Action in International Law</w:t>
      </w:r>
      <w:r w:rsidRPr="00C148C5">
        <w:t xml:space="preserve">, 2003 </w:t>
      </w:r>
      <w:r w:rsidRPr="00C148C5">
        <w:rPr>
          <w:smallCaps/>
        </w:rPr>
        <w:t>U. Chi. Legal F.</w:t>
      </w:r>
      <w:r w:rsidRPr="00C148C5">
        <w:t xml:space="preserve"> 356 (2003)</w:t>
      </w:r>
      <w:r w:rsidRPr="00C148C5">
        <w:ptab w:relativeTo="margin" w:alignment="right" w:leader="dot"/>
      </w:r>
      <w:r w:rsidRPr="00C148C5">
        <w:t>1</w:t>
      </w:r>
    </w:p>
    <w:p w14:paraId="0460CE71" w14:textId="77777777" w:rsidR="00C148C5" w:rsidRPr="00C148C5" w:rsidRDefault="00C148C5" w:rsidP="00873C0B">
      <w:pPr>
        <w:spacing w:after="100"/>
        <w:ind w:left="720" w:hanging="720"/>
      </w:pPr>
      <w:r w:rsidRPr="00C148C5">
        <w:t xml:space="preserve">William J. Aceves, </w:t>
      </w:r>
      <w:r w:rsidRPr="00DE7412">
        <w:rPr>
          <w:i/>
          <w:iCs/>
        </w:rPr>
        <w:t>The Right of Information on Consular Assistance in the Framework of the Guarantees of the Due Process of Law. Advisory Opinion OC-16-99</w:t>
      </w:r>
      <w:r w:rsidRPr="00C148C5">
        <w:t xml:space="preserve">, 94 </w:t>
      </w:r>
      <w:r w:rsidRPr="00C148C5">
        <w:rPr>
          <w:smallCaps/>
        </w:rPr>
        <w:t>Am. J. Int’l. L</w:t>
      </w:r>
      <w:r w:rsidRPr="00C148C5">
        <w:t>. 555 (2000).</w:t>
      </w:r>
      <w:r w:rsidRPr="00C148C5">
        <w:ptab w:relativeTo="margin" w:alignment="right" w:leader="dot"/>
      </w:r>
      <w:r w:rsidRPr="00C148C5">
        <w:t>17</w:t>
      </w:r>
    </w:p>
    <w:p w14:paraId="5D383655" w14:textId="7BF04E60" w:rsidR="00D348FF" w:rsidRPr="00D163B4" w:rsidRDefault="00C148C5" w:rsidP="00873C0B">
      <w:pPr>
        <w:spacing w:after="100"/>
        <w:ind w:left="720" w:hanging="720"/>
      </w:pPr>
      <w:r w:rsidRPr="00C148C5">
        <w:t xml:space="preserve">Willian J. Aceves, </w:t>
      </w:r>
      <w:r w:rsidRPr="00DE7412">
        <w:rPr>
          <w:i/>
          <w:iCs/>
        </w:rPr>
        <w:t>The Vienna Convention on Consular Relations: A Study of Rights, Wrongs, and Remedies</w:t>
      </w:r>
      <w:r w:rsidRPr="00C148C5">
        <w:t xml:space="preserve">, 31 </w:t>
      </w:r>
      <w:r w:rsidRPr="00C148C5">
        <w:rPr>
          <w:smallCaps/>
        </w:rPr>
        <w:t>Vand. J. Transactional L.</w:t>
      </w:r>
      <w:r w:rsidRPr="00C148C5">
        <w:t xml:space="preserve"> 257 (1998)</w:t>
      </w:r>
      <w:r w:rsidRPr="00C148C5">
        <w:ptab w:relativeTo="margin" w:alignment="right" w:leader="dot"/>
      </w:r>
      <w:r w:rsidRPr="00C148C5">
        <w:t>13</w:t>
      </w:r>
    </w:p>
    <w:p w14:paraId="4122D85F" w14:textId="3710B8EB" w:rsidR="00511351" w:rsidRPr="00F83EC8" w:rsidRDefault="00511351">
      <w:pPr>
        <w:rPr>
          <w:b/>
          <w:smallCaps/>
          <w:highlight w:val="white"/>
        </w:rPr>
      </w:pPr>
      <w:r w:rsidRPr="00F83EC8">
        <w:rPr>
          <w:b/>
          <w:smallCaps/>
          <w:highlight w:val="white"/>
        </w:rPr>
        <w:br w:type="page"/>
      </w:r>
    </w:p>
    <w:p w14:paraId="0000005B" w14:textId="1A3D6A47" w:rsidR="00CA4105" w:rsidRPr="00F83EC8" w:rsidRDefault="00A90B56">
      <w:pPr>
        <w:pBdr>
          <w:bottom w:val="single" w:sz="6" w:space="1" w:color="000000"/>
        </w:pBdr>
        <w:spacing w:before="0" w:after="160" w:line="360" w:lineRule="auto"/>
        <w:jc w:val="center"/>
        <w:rPr>
          <w:smallCaps/>
        </w:rPr>
      </w:pPr>
      <w:r w:rsidRPr="00F83EC8">
        <w:rPr>
          <w:b/>
          <w:smallCaps/>
          <w:highlight w:val="white"/>
        </w:rPr>
        <w:lastRenderedPageBreak/>
        <w:t xml:space="preserve">Statement of Jurisdiction </w:t>
      </w:r>
    </w:p>
    <w:p w14:paraId="0000005C" w14:textId="42831F44" w:rsidR="00CA4105" w:rsidRPr="00F83EC8" w:rsidRDefault="00A90B56" w:rsidP="009C4193">
      <w:pPr>
        <w:spacing w:line="360" w:lineRule="auto"/>
        <w:ind w:firstLine="720"/>
        <w:jc w:val="both"/>
        <w:rPr>
          <w:smallCaps/>
        </w:rPr>
      </w:pPr>
      <w:r w:rsidRPr="00F83EC8">
        <w:t>Under Articles 36(1) and 40 of the Statute of the Court, the Kingdom of Remisia (“Remisia”) and the Republic of Antrano (“Antrano”) have agreed to submit the present dispute to the International Court of Justice by a Special Agreement (“Compromis”) done in The Hague, The Netherlands, on the fourteenth day of September 2023. According to Article 2 of the Compromis, Antrano shall appear as Applicant and Remisia as Respondent, without prejudice to any question of the burden of proof. According to Article 5 of the Compromis, each party shall accept any judgment as final and binding and execute it in good faith.</w:t>
      </w:r>
    </w:p>
    <w:p w14:paraId="0000005D" w14:textId="77777777" w:rsidR="00CA4105" w:rsidRPr="00F83EC8" w:rsidRDefault="00A90B56">
      <w:pPr>
        <w:spacing w:line="360" w:lineRule="auto"/>
        <w:ind w:firstLine="720"/>
        <w:rPr>
          <w:smallCaps/>
        </w:rPr>
      </w:pPr>
      <w:r w:rsidRPr="00F83EC8">
        <w:br w:type="page"/>
      </w:r>
    </w:p>
    <w:p w14:paraId="21A9D313" w14:textId="5E725A8F" w:rsidR="009C4193" w:rsidRPr="00F83EC8" w:rsidRDefault="009C4193" w:rsidP="00FA6336">
      <w:pPr>
        <w:pBdr>
          <w:bottom w:val="single" w:sz="6" w:space="1" w:color="000000"/>
        </w:pBdr>
        <w:spacing w:line="360" w:lineRule="auto"/>
        <w:jc w:val="center"/>
        <w:rPr>
          <w:b/>
          <w:smallCaps/>
        </w:rPr>
      </w:pPr>
      <w:r w:rsidRPr="00F83EC8">
        <w:rPr>
          <w:b/>
          <w:smallCaps/>
        </w:rPr>
        <w:lastRenderedPageBreak/>
        <w:t>Questions Presented</w:t>
      </w:r>
    </w:p>
    <w:p w14:paraId="70C4885D" w14:textId="77777777" w:rsidR="00E26CA9" w:rsidRPr="00E26CA9" w:rsidRDefault="00E26CA9" w:rsidP="00E26CA9">
      <w:pPr>
        <w:pStyle w:val="ListParagraph"/>
        <w:jc w:val="both"/>
        <w:rPr>
          <w:bCs/>
          <w:sz w:val="18"/>
          <w:szCs w:val="18"/>
        </w:rPr>
      </w:pPr>
    </w:p>
    <w:p w14:paraId="48B1FFFD" w14:textId="416592FB" w:rsidR="009C4193" w:rsidRPr="00F83EC8" w:rsidRDefault="009C4193" w:rsidP="00EF1273">
      <w:pPr>
        <w:pStyle w:val="ListParagraph"/>
        <w:numPr>
          <w:ilvl w:val="0"/>
          <w:numId w:val="10"/>
        </w:numPr>
        <w:jc w:val="both"/>
        <w:rPr>
          <w:bCs/>
        </w:rPr>
      </w:pPr>
      <w:r w:rsidRPr="00F83EC8">
        <w:rPr>
          <w:bCs/>
        </w:rPr>
        <w:t xml:space="preserve">Whether Antrano lacks standing to bring the dispute of the Sterren Forty’s nationality to this Court. </w:t>
      </w:r>
    </w:p>
    <w:p w14:paraId="342183DD" w14:textId="77777777" w:rsidR="009C4193" w:rsidRPr="00F83EC8" w:rsidRDefault="009C4193" w:rsidP="00EF1273">
      <w:pPr>
        <w:pStyle w:val="ListParagraph"/>
        <w:jc w:val="both"/>
        <w:rPr>
          <w:bCs/>
        </w:rPr>
      </w:pPr>
    </w:p>
    <w:p w14:paraId="093D21E9" w14:textId="11A38706" w:rsidR="009C4193" w:rsidRPr="00F83EC8" w:rsidRDefault="009C4193" w:rsidP="00EF1273">
      <w:pPr>
        <w:pStyle w:val="ListParagraph"/>
        <w:numPr>
          <w:ilvl w:val="0"/>
          <w:numId w:val="10"/>
        </w:numPr>
        <w:jc w:val="both"/>
        <w:rPr>
          <w:bCs/>
        </w:rPr>
      </w:pPr>
      <w:r w:rsidRPr="00F83EC8">
        <w:rPr>
          <w:bCs/>
        </w:rPr>
        <w:t xml:space="preserve">Whether Remisia complied with international law when it revoked the Sterren Forty’s Remisian nationality. </w:t>
      </w:r>
    </w:p>
    <w:p w14:paraId="36061706" w14:textId="77777777" w:rsidR="009C4193" w:rsidRPr="00F83EC8" w:rsidRDefault="009C4193" w:rsidP="00EF1273">
      <w:pPr>
        <w:pStyle w:val="ListParagraph"/>
        <w:jc w:val="both"/>
        <w:rPr>
          <w:bCs/>
        </w:rPr>
      </w:pPr>
    </w:p>
    <w:p w14:paraId="5F834CDD" w14:textId="49AFE130" w:rsidR="009C4193" w:rsidRPr="00F83EC8" w:rsidRDefault="009C4193" w:rsidP="00EF1273">
      <w:pPr>
        <w:pStyle w:val="ListParagraph"/>
        <w:numPr>
          <w:ilvl w:val="0"/>
          <w:numId w:val="10"/>
        </w:numPr>
        <w:jc w:val="both"/>
        <w:rPr>
          <w:bCs/>
        </w:rPr>
      </w:pPr>
      <w:r w:rsidRPr="00F83EC8">
        <w:rPr>
          <w:bCs/>
        </w:rPr>
        <w:t xml:space="preserve">Whether Antrano violated international law when it denied Saki Shaw, a Remisian citizen, Remisian consular access while detained in Antrano. </w:t>
      </w:r>
    </w:p>
    <w:p w14:paraId="09DCBCAF" w14:textId="77777777" w:rsidR="009C4193" w:rsidRPr="00F83EC8" w:rsidRDefault="009C4193" w:rsidP="00EF1273">
      <w:pPr>
        <w:pStyle w:val="ListParagraph"/>
        <w:jc w:val="both"/>
        <w:rPr>
          <w:bCs/>
        </w:rPr>
      </w:pPr>
    </w:p>
    <w:p w14:paraId="4E1A2A04" w14:textId="29D21DF4" w:rsidR="009C4193" w:rsidRPr="00F83EC8" w:rsidRDefault="009C4193" w:rsidP="00EF1273">
      <w:pPr>
        <w:pStyle w:val="ListParagraph"/>
        <w:numPr>
          <w:ilvl w:val="0"/>
          <w:numId w:val="10"/>
        </w:numPr>
        <w:jc w:val="both"/>
        <w:rPr>
          <w:bCs/>
        </w:rPr>
      </w:pPr>
      <w:r w:rsidRPr="00F83EC8">
        <w:rPr>
          <w:bCs/>
        </w:rPr>
        <w:t xml:space="preserve">Whether Remisia complied with international law when it denied Dr. Malex entry into Remisia. </w:t>
      </w:r>
    </w:p>
    <w:p w14:paraId="285425F8" w14:textId="4D80BA27" w:rsidR="00FA6336" w:rsidRPr="00F83EC8" w:rsidRDefault="009C4193" w:rsidP="00FA6336">
      <w:pPr>
        <w:pBdr>
          <w:bottom w:val="single" w:sz="6" w:space="1" w:color="000000"/>
        </w:pBdr>
        <w:spacing w:line="360" w:lineRule="auto"/>
        <w:jc w:val="center"/>
        <w:rPr>
          <w:b/>
          <w:smallCaps/>
        </w:rPr>
      </w:pPr>
      <w:r w:rsidRPr="00F83EC8">
        <w:rPr>
          <w:b/>
          <w:smallCaps/>
        </w:rPr>
        <w:br w:type="page"/>
      </w:r>
      <w:r w:rsidRPr="00F83EC8">
        <w:rPr>
          <w:b/>
          <w:smallCaps/>
        </w:rPr>
        <w:lastRenderedPageBreak/>
        <w:t>Statement of Facts</w:t>
      </w:r>
    </w:p>
    <w:p w14:paraId="6ECAEF05" w14:textId="12357848" w:rsidR="00D625F4" w:rsidRPr="00F83EC8" w:rsidRDefault="00D625F4" w:rsidP="00FA6336">
      <w:pPr>
        <w:spacing w:line="360" w:lineRule="auto"/>
        <w:ind w:firstLine="720"/>
        <w:jc w:val="both"/>
      </w:pPr>
      <w:r w:rsidRPr="00F83EC8">
        <w:t>The Kingdom of Remisia (“Remisia”)</w:t>
      </w:r>
      <w:r w:rsidR="004F764C" w:rsidRPr="00F83EC8">
        <w:t xml:space="preserve">, </w:t>
      </w:r>
      <w:r w:rsidRPr="00F83EC8">
        <w:t>a land-locked country in the Isidre Plateau</w:t>
      </w:r>
      <w:r w:rsidR="004F764C" w:rsidRPr="00F83EC8">
        <w:t xml:space="preserve">, </w:t>
      </w:r>
      <w:r w:rsidRPr="00F83EC8">
        <w:t xml:space="preserve">is a constitutional monarchy governed by Queen Khasat. </w:t>
      </w:r>
      <w:r w:rsidR="004F764C" w:rsidRPr="00F83EC8">
        <w:t xml:space="preserve">Remisia’s </w:t>
      </w:r>
      <w:r w:rsidRPr="00F83EC8">
        <w:t>two million citizens deeply venerate the monarchy. The Republic of Antrano (“Antrano”) is an island country in the Mahali Archipelago.</w:t>
      </w:r>
    </w:p>
    <w:p w14:paraId="7A40890D" w14:textId="77777777" w:rsidR="00D625F4" w:rsidRPr="00F83EC8" w:rsidRDefault="00D625F4" w:rsidP="00B57C9D">
      <w:pPr>
        <w:spacing w:line="360" w:lineRule="auto"/>
        <w:jc w:val="both"/>
        <w:rPr>
          <w:b/>
          <w:smallCaps/>
        </w:rPr>
      </w:pPr>
      <w:r w:rsidRPr="00F83EC8">
        <w:rPr>
          <w:b/>
          <w:smallCaps/>
        </w:rPr>
        <w:t>The Disrespect to the Crown Act</w:t>
      </w:r>
    </w:p>
    <w:p w14:paraId="18D6A9D7" w14:textId="0B63288F" w:rsidR="00D625F4" w:rsidRPr="00F83EC8" w:rsidRDefault="00994E7F" w:rsidP="00B57C9D">
      <w:pPr>
        <w:spacing w:line="360" w:lineRule="auto"/>
        <w:ind w:firstLine="720"/>
        <w:jc w:val="both"/>
      </w:pPr>
      <w:r w:rsidRPr="00F83EC8">
        <w:t>The</w:t>
      </w:r>
      <w:r w:rsidR="00D625F4" w:rsidRPr="00F83EC8">
        <w:t xml:space="preserve"> Remisian legislature adopted the Disrespect to the Crown Act (“DCA”)</w:t>
      </w:r>
      <w:r w:rsidR="002259E5" w:rsidRPr="00F83EC8">
        <w:t xml:space="preserve"> in 1955</w:t>
      </w:r>
      <w:r w:rsidR="00D625F4" w:rsidRPr="00F83EC8">
        <w:t>. Under the DCA,</w:t>
      </w:r>
      <w:r w:rsidR="004F764C" w:rsidRPr="00F83EC8">
        <w:t xml:space="preserve"> any</w:t>
      </w:r>
      <w:r w:rsidR="00D625F4" w:rsidRPr="00F83EC8">
        <w:t xml:space="preserve"> Remisian who defame</w:t>
      </w:r>
      <w:r w:rsidR="004F764C" w:rsidRPr="00F83EC8">
        <w:t>s</w:t>
      </w:r>
      <w:r w:rsidR="00D625F4" w:rsidRPr="00F83EC8">
        <w:t>, insult</w:t>
      </w:r>
      <w:r w:rsidR="004F764C" w:rsidRPr="00F83EC8">
        <w:t>s</w:t>
      </w:r>
      <w:r w:rsidR="00D625F4" w:rsidRPr="00F83EC8">
        <w:t>, or threaten</w:t>
      </w:r>
      <w:r w:rsidR="004F764C" w:rsidRPr="00F83EC8">
        <w:t>s</w:t>
      </w:r>
      <w:r w:rsidR="00D625F4" w:rsidRPr="00F83EC8">
        <w:t xml:space="preserve"> the monarch may be imprisoned up to five years. </w:t>
      </w:r>
      <w:r w:rsidR="004F764C" w:rsidRPr="00F83EC8">
        <w:t>Additionally, o</w:t>
      </w:r>
      <w:r w:rsidR="00D625F4" w:rsidRPr="00F83EC8">
        <w:t xml:space="preserve">nce convicted, the </w:t>
      </w:r>
      <w:r w:rsidR="004F764C" w:rsidRPr="00F83EC8">
        <w:t>individual’s nationality</w:t>
      </w:r>
      <w:r w:rsidR="00D625F4" w:rsidRPr="00F83EC8">
        <w:t xml:space="preserve"> may be </w:t>
      </w:r>
      <w:r w:rsidR="004F764C" w:rsidRPr="00F83EC8">
        <w:t xml:space="preserve">revoked, and he may be </w:t>
      </w:r>
      <w:r w:rsidR="00D625F4" w:rsidRPr="00F83EC8">
        <w:t>subject to expulsion following his sentence.</w:t>
      </w:r>
    </w:p>
    <w:p w14:paraId="7E3E6927" w14:textId="77777777" w:rsidR="00D625F4" w:rsidRPr="00F83EC8" w:rsidRDefault="00D625F4" w:rsidP="00B57C9D">
      <w:pPr>
        <w:spacing w:line="360" w:lineRule="auto"/>
        <w:jc w:val="both"/>
        <w:rPr>
          <w:b/>
          <w:smallCaps/>
        </w:rPr>
      </w:pPr>
      <w:r w:rsidRPr="00F83EC8">
        <w:rPr>
          <w:b/>
          <w:smallCaps/>
        </w:rPr>
        <w:t>ShawCorps Mining</w:t>
      </w:r>
    </w:p>
    <w:p w14:paraId="3B550B62" w14:textId="1D355662" w:rsidR="00D625F4" w:rsidRPr="00F83EC8" w:rsidRDefault="00D625F4" w:rsidP="00E26CA9">
      <w:pPr>
        <w:spacing w:before="0" w:after="0" w:line="360" w:lineRule="auto"/>
        <w:ind w:firstLine="720"/>
        <w:jc w:val="both"/>
      </w:pPr>
      <w:r w:rsidRPr="00F83EC8">
        <w:t>Saki Shaw was born in Molvania</w:t>
      </w:r>
      <w:r w:rsidR="00447201" w:rsidRPr="00F83EC8">
        <w:t xml:space="preserve"> </w:t>
      </w:r>
      <w:r w:rsidR="004F764C" w:rsidRPr="00F83EC8">
        <w:t>in 1970</w:t>
      </w:r>
      <w:r w:rsidRPr="00F83EC8">
        <w:t>. Shaw</w:t>
      </w:r>
      <w:r w:rsidR="00B57C9D" w:rsidRPr="00F83EC8">
        <w:t>’s</w:t>
      </w:r>
      <w:r w:rsidRPr="00F83EC8">
        <w:t xml:space="preserve"> </w:t>
      </w:r>
      <w:r w:rsidR="00B57C9D" w:rsidRPr="00F83EC8">
        <w:t xml:space="preserve">family founded the Shaw Corporation (“ShawCorp”), a multinational mining conglomerate. </w:t>
      </w:r>
      <w:r w:rsidR="002259E5" w:rsidRPr="00F83EC8">
        <w:t>She</w:t>
      </w:r>
      <w:r w:rsidRPr="00F83EC8">
        <w:t xml:space="preserve"> heads Lithos Limited, a wholly owned subsidiary of ShawCorp</w:t>
      </w:r>
      <w:r w:rsidR="742A5BCA" w:rsidRPr="00F83EC8">
        <w:t>.</w:t>
      </w:r>
      <w:r w:rsidRPr="00F83EC8">
        <w:t xml:space="preserve"> </w:t>
      </w:r>
    </w:p>
    <w:p w14:paraId="48A27F26" w14:textId="7B3E6B72" w:rsidR="00D625F4" w:rsidRPr="00F83EC8" w:rsidRDefault="00D625F4" w:rsidP="00E26CA9">
      <w:pPr>
        <w:spacing w:before="0" w:after="0" w:line="360" w:lineRule="auto"/>
        <w:ind w:firstLine="720"/>
        <w:jc w:val="both"/>
      </w:pPr>
      <w:r w:rsidRPr="00F83EC8">
        <w:t xml:space="preserve">In 1988, Shaw met Queen Khasat. </w:t>
      </w:r>
      <w:r w:rsidR="004F764C" w:rsidRPr="00F83EC8">
        <w:t xml:space="preserve">They </w:t>
      </w:r>
      <w:r w:rsidRPr="00F83EC8">
        <w:t xml:space="preserve">formed a close </w:t>
      </w:r>
      <w:r w:rsidR="00447201" w:rsidRPr="00F83EC8">
        <w:t xml:space="preserve">and long-lasting </w:t>
      </w:r>
      <w:r w:rsidRPr="00F83EC8">
        <w:t>friendship. In 2015, Shaw proposed a joint venture between Lithos Limited and the Remisian Ministry of Mines. This proposal aimed to increase Remisian cobalt mining over the next ten years.</w:t>
      </w:r>
    </w:p>
    <w:p w14:paraId="1CF4B8C3" w14:textId="62B9DCCB" w:rsidR="00D625F4" w:rsidRPr="00F83EC8" w:rsidRDefault="00D625F4" w:rsidP="00E26CA9">
      <w:pPr>
        <w:spacing w:before="0" w:after="0" w:line="360" w:lineRule="auto"/>
        <w:ind w:firstLine="720"/>
        <w:jc w:val="both"/>
      </w:pPr>
      <w:r w:rsidRPr="00F83EC8">
        <w:t xml:space="preserve">Queen Khasat forwarded Shaw’s proposal to Prime Minister Van Sezan. On November 10, 2015, Shaw and Prime Minister Sezan agreed to the joint venture. </w:t>
      </w:r>
      <w:r w:rsidR="00AF0E55" w:rsidRPr="00F83EC8">
        <w:t xml:space="preserve">After conducting standard due diligence tests and finding </w:t>
      </w:r>
      <w:r w:rsidRPr="00F83EC8">
        <w:t xml:space="preserve">no substantial environmental consequences, the Remisian Ministry of Mines approved permits for seven mining sites. The mines </w:t>
      </w:r>
      <w:r w:rsidR="00AF0E55" w:rsidRPr="00F83EC8">
        <w:t>employ</w:t>
      </w:r>
      <w:r w:rsidR="5131CE24" w:rsidRPr="00F83EC8">
        <w:t xml:space="preserve"> </w:t>
      </w:r>
      <w:r w:rsidRPr="00F83EC8">
        <w:t>more than 4,000 Remisians</w:t>
      </w:r>
      <w:r w:rsidR="00E930DC" w:rsidRPr="00F83EC8">
        <w:t xml:space="preserve">. </w:t>
      </w:r>
      <w:r w:rsidR="436CA19A" w:rsidRPr="00F83EC8">
        <w:t>Further, the mines produce s</w:t>
      </w:r>
      <w:r w:rsidR="00E930DC" w:rsidRPr="00F83EC8">
        <w:t>ignificant</w:t>
      </w:r>
      <w:r w:rsidRPr="00F83EC8">
        <w:t xml:space="preserve"> public revenue through export taxes.</w:t>
      </w:r>
    </w:p>
    <w:p w14:paraId="7360D027" w14:textId="47A872E9" w:rsidR="00D625F4" w:rsidRPr="00F83EC8" w:rsidRDefault="00D625F4" w:rsidP="00E26CA9">
      <w:pPr>
        <w:spacing w:before="0" w:after="0" w:line="360" w:lineRule="auto"/>
        <w:ind w:firstLine="720"/>
        <w:jc w:val="both"/>
      </w:pPr>
      <w:r w:rsidRPr="00F83EC8">
        <w:t xml:space="preserve">In 2008, Queen Khasat signed the Naturalization by Investment Act (“NIA”). </w:t>
      </w:r>
      <w:r w:rsidR="002259E5" w:rsidRPr="00F83EC8">
        <w:t>The NIA</w:t>
      </w:r>
      <w:r w:rsidRPr="00F83EC8">
        <w:t xml:space="preserve"> </w:t>
      </w:r>
      <w:r w:rsidR="00AF0E55" w:rsidRPr="00F83EC8">
        <w:t xml:space="preserve">grants </w:t>
      </w:r>
      <w:r w:rsidRPr="00F83EC8">
        <w:t xml:space="preserve">Remisian </w:t>
      </w:r>
      <w:r w:rsidR="002259E5" w:rsidRPr="00F83EC8">
        <w:t>nationality</w:t>
      </w:r>
      <w:r w:rsidRPr="00F83EC8">
        <w:t xml:space="preserve"> to any applicant who invests over 500,000 euros </w:t>
      </w:r>
      <w:r w:rsidR="00E930DC" w:rsidRPr="00F83EC8">
        <w:t>i</w:t>
      </w:r>
      <w:r w:rsidRPr="00F83EC8">
        <w:t xml:space="preserve">nto the Remisian economy. Remisia enacted the </w:t>
      </w:r>
      <w:r w:rsidR="41516F7B" w:rsidRPr="00F83EC8">
        <w:t>NIA</w:t>
      </w:r>
      <w:r w:rsidRPr="00F83EC8">
        <w:t xml:space="preserve"> to raise revenue and promote Queen Khasat’s goal of encouraging foreign investment. From 2008 until 2021, the NIA generated over 1.5 billion euros in gross revenue. As part of the joint venture between </w:t>
      </w:r>
      <w:r w:rsidR="00447201" w:rsidRPr="00F83EC8">
        <w:t>Remisia</w:t>
      </w:r>
      <w:r w:rsidRPr="00F83EC8">
        <w:t xml:space="preserve"> and Lithos Limited, Shaw contributed 500,000 euros to apply for </w:t>
      </w:r>
      <w:r w:rsidR="00447201" w:rsidRPr="00F83EC8">
        <w:t xml:space="preserve">nationality </w:t>
      </w:r>
      <w:r w:rsidRPr="00F83EC8">
        <w:t xml:space="preserve">under the </w:t>
      </w:r>
      <w:r w:rsidR="002259E5" w:rsidRPr="00F83EC8">
        <w:t>Act</w:t>
      </w:r>
      <w:r w:rsidRPr="00F83EC8">
        <w:t xml:space="preserve">. Shaw </w:t>
      </w:r>
      <w:r w:rsidR="00447201" w:rsidRPr="00F83EC8">
        <w:t>naturalized</w:t>
      </w:r>
      <w:r w:rsidR="00AF0E55" w:rsidRPr="00F83EC8">
        <w:t xml:space="preserve"> as</w:t>
      </w:r>
      <w:r w:rsidRPr="00F83EC8">
        <w:t xml:space="preserve"> Remisian on June 1, 2016.</w:t>
      </w:r>
    </w:p>
    <w:p w14:paraId="641E54AA" w14:textId="77777777" w:rsidR="00D625F4" w:rsidRPr="00F83EC8" w:rsidRDefault="00D625F4" w:rsidP="00B57C9D">
      <w:pPr>
        <w:spacing w:line="360" w:lineRule="auto"/>
        <w:jc w:val="both"/>
        <w:rPr>
          <w:b/>
          <w:smallCaps/>
        </w:rPr>
      </w:pPr>
      <w:r w:rsidRPr="00F83EC8">
        <w:rPr>
          <w:b/>
          <w:smallCaps/>
        </w:rPr>
        <w:lastRenderedPageBreak/>
        <w:t>The Sterren Forty</w:t>
      </w:r>
    </w:p>
    <w:p w14:paraId="4F87C687" w14:textId="6B6EA97F" w:rsidR="00E930DC" w:rsidRPr="00F83EC8" w:rsidRDefault="00D625F4" w:rsidP="00E26CA9">
      <w:pPr>
        <w:spacing w:before="0" w:after="0" w:line="360" w:lineRule="auto"/>
        <w:ind w:firstLine="720"/>
        <w:jc w:val="both"/>
      </w:pPr>
      <w:r w:rsidRPr="00F83EC8">
        <w:t xml:space="preserve">In September 2019, </w:t>
      </w:r>
      <w:r w:rsidR="00447201" w:rsidRPr="00F83EC8">
        <w:t xml:space="preserve">Remisian university </w:t>
      </w:r>
      <w:r w:rsidRPr="00F83EC8">
        <w:t xml:space="preserve">students </w:t>
      </w:r>
      <w:r w:rsidR="3395F02B" w:rsidRPr="00F83EC8">
        <w:t>rallied against</w:t>
      </w:r>
      <w:r w:rsidRPr="00F83EC8">
        <w:t xml:space="preserve"> </w:t>
      </w:r>
      <w:r w:rsidR="00E930DC" w:rsidRPr="00F83EC8">
        <w:t>the</w:t>
      </w:r>
      <w:r w:rsidRPr="00F83EC8">
        <w:t xml:space="preserve"> alleged environmental hazards caused by cobalt mining. The leaders of these rallies </w:t>
      </w:r>
      <w:r w:rsidR="00E81079" w:rsidRPr="00F83EC8">
        <w:t xml:space="preserve">founded </w:t>
      </w:r>
      <w:r w:rsidRPr="00F83EC8">
        <w:t xml:space="preserve">the Isidre League of Student Activists (“ILSA”). In December, ILSA issued a manifesto calling for the immediate end of all cobalt mining in Remisia. </w:t>
      </w:r>
    </w:p>
    <w:p w14:paraId="0B68DC6A" w14:textId="60347EAD" w:rsidR="00D625F4" w:rsidRPr="00F83EC8" w:rsidRDefault="00372438" w:rsidP="00E26CA9">
      <w:pPr>
        <w:spacing w:before="0" w:after="0" w:line="360" w:lineRule="auto"/>
        <w:ind w:firstLine="720"/>
        <w:jc w:val="both"/>
      </w:pPr>
      <w:r w:rsidRPr="00F83EC8">
        <w:t>Between</w:t>
      </w:r>
      <w:r w:rsidR="002259E5" w:rsidRPr="00F83EC8">
        <w:t xml:space="preserve"> February </w:t>
      </w:r>
      <w:r w:rsidRPr="00F83EC8">
        <w:t>3</w:t>
      </w:r>
      <w:r w:rsidR="00447201" w:rsidRPr="00F83EC8">
        <w:t xml:space="preserve"> </w:t>
      </w:r>
      <w:r w:rsidRPr="00F83EC8">
        <w:t xml:space="preserve">and February 8, 2020, </w:t>
      </w:r>
      <w:r w:rsidR="002259E5" w:rsidRPr="00F83EC8">
        <w:t>o</w:t>
      </w:r>
      <w:r w:rsidR="00D625F4" w:rsidRPr="00F83EC8">
        <w:t xml:space="preserve">ver 30,000 </w:t>
      </w:r>
      <w:r w:rsidR="00E81079" w:rsidRPr="00F83EC8">
        <w:t xml:space="preserve">demonstrators </w:t>
      </w:r>
      <w:r w:rsidR="7CB66665" w:rsidRPr="00F83EC8">
        <w:t xml:space="preserve">joined ILSA </w:t>
      </w:r>
      <w:r w:rsidR="00E81079" w:rsidRPr="00F83EC8">
        <w:t>protests</w:t>
      </w:r>
      <w:r w:rsidR="7CB66665" w:rsidRPr="00F83EC8">
        <w:t xml:space="preserve">, </w:t>
      </w:r>
      <w:r w:rsidR="00E81079" w:rsidRPr="00F83EC8">
        <w:t>displaying</w:t>
      </w:r>
      <w:r w:rsidR="00D625F4" w:rsidRPr="00F83EC8">
        <w:t xml:space="preserve"> placards </w:t>
      </w:r>
      <w:r w:rsidR="19727EC1" w:rsidRPr="00F83EC8">
        <w:t>that read</w:t>
      </w:r>
      <w:r w:rsidR="00D625F4" w:rsidRPr="00F83EC8">
        <w:t>, “The Queen’s friend is threatening our future</w:t>
      </w:r>
      <w:r w:rsidR="00E81079" w:rsidRPr="00F83EC8">
        <w:t>;</w:t>
      </w:r>
      <w:r w:rsidR="00D625F4" w:rsidRPr="00F83EC8">
        <w:t>”</w:t>
      </w:r>
      <w:r w:rsidR="336EAEC1" w:rsidRPr="00F83EC8">
        <w:t xml:space="preserve"> </w:t>
      </w:r>
      <w:r w:rsidR="00E81079" w:rsidRPr="00F83EC8">
        <w:t xml:space="preserve">others chanting </w:t>
      </w:r>
      <w:r w:rsidR="336EAEC1" w:rsidRPr="00F83EC8">
        <w:t>“Her Majesty has betrayed us.”</w:t>
      </w:r>
      <w:r w:rsidR="0511CF73" w:rsidRPr="00F83EC8">
        <w:t xml:space="preserve"> </w:t>
      </w:r>
      <w:r w:rsidRPr="00F83EC8">
        <w:t xml:space="preserve">On February 8, 2020, </w:t>
      </w:r>
      <w:r w:rsidR="0511CF73" w:rsidRPr="00F83EC8">
        <w:t>protestors chained themselves to mining machinery and blocked entrance</w:t>
      </w:r>
      <w:r w:rsidR="00E81079" w:rsidRPr="00F83EC8">
        <w:t xml:space="preserve">s to the </w:t>
      </w:r>
      <w:r w:rsidRPr="00F83EC8">
        <w:t>mining facilities, completely halting mining operations and blocking thousands of Remisia’s from being able to arrive to their jobs</w:t>
      </w:r>
      <w:r w:rsidRPr="00F83EC8" w:rsidDel="00E81079">
        <w:t xml:space="preserve"> </w:t>
      </w:r>
      <w:r w:rsidR="0511CF73" w:rsidRPr="00F83EC8">
        <w:t>.</w:t>
      </w:r>
      <w:r w:rsidR="00D625F4" w:rsidRPr="00F83EC8">
        <w:t xml:space="preserve"> Seven students</w:t>
      </w:r>
      <w:r w:rsidR="518D47F5" w:rsidRPr="00F83EC8">
        <w:t>, the leaders of ILSA, were arrested.</w:t>
      </w:r>
      <w:r w:rsidR="00D625F4" w:rsidRPr="00F83EC8">
        <w:t xml:space="preserve"> Although the </w:t>
      </w:r>
      <w:r w:rsidR="0DF8F94E" w:rsidRPr="00F83EC8">
        <w:t xml:space="preserve">Remisian </w:t>
      </w:r>
      <w:r w:rsidR="00D625F4" w:rsidRPr="00F83EC8">
        <w:t xml:space="preserve">Minister of Mines released the </w:t>
      </w:r>
      <w:r w:rsidR="3D28B534" w:rsidRPr="00F83EC8">
        <w:t>ILSA leaders</w:t>
      </w:r>
      <w:r w:rsidR="00D625F4" w:rsidRPr="00F83EC8">
        <w:t xml:space="preserve">, </w:t>
      </w:r>
      <w:r w:rsidR="00E81079" w:rsidRPr="00F83EC8">
        <w:t xml:space="preserve">disruptive </w:t>
      </w:r>
      <w:r w:rsidR="618C965A" w:rsidRPr="00F83EC8">
        <w:t xml:space="preserve">rallies </w:t>
      </w:r>
      <w:r w:rsidR="00D625F4" w:rsidRPr="00F83EC8">
        <w:t xml:space="preserve">continued </w:t>
      </w:r>
      <w:r w:rsidR="00E81079" w:rsidRPr="00F83EC8">
        <w:t xml:space="preserve">across Remisia </w:t>
      </w:r>
      <w:r w:rsidR="00D625F4" w:rsidRPr="00F83EC8">
        <w:t xml:space="preserve">for three </w:t>
      </w:r>
      <w:r w:rsidRPr="00F83EC8">
        <w:t xml:space="preserve">more </w:t>
      </w:r>
      <w:r w:rsidR="00D625F4" w:rsidRPr="00F83EC8">
        <w:t>weeks.</w:t>
      </w:r>
      <w:r w:rsidR="19355F24" w:rsidRPr="00F83EC8">
        <w:t xml:space="preserve"> </w:t>
      </w:r>
    </w:p>
    <w:p w14:paraId="2627CD43" w14:textId="07B29888" w:rsidR="00372438" w:rsidRPr="00F83EC8" w:rsidRDefault="00D625F4" w:rsidP="00E26CA9">
      <w:pPr>
        <w:spacing w:before="0" w:after="0" w:line="360" w:lineRule="auto"/>
        <w:ind w:firstLine="720"/>
        <w:jc w:val="both"/>
      </w:pPr>
      <w:r w:rsidRPr="00F83EC8">
        <w:t xml:space="preserve">On February 27, 2020, </w:t>
      </w:r>
      <w:r w:rsidR="00372438" w:rsidRPr="00F83EC8">
        <w:t xml:space="preserve">forty protestors, including the seven ILSA leaders, formed a human chain </w:t>
      </w:r>
      <w:r w:rsidR="00447201" w:rsidRPr="00F83EC8">
        <w:t>blockading</w:t>
      </w:r>
      <w:r w:rsidR="00372438" w:rsidRPr="00F83EC8">
        <w:t xml:space="preserve"> the Sterren Palace, Queen Khasat’s primary residence. Global news outlets </w:t>
      </w:r>
      <w:r w:rsidR="009D4EE8" w:rsidRPr="00F83EC8">
        <w:t>coined</w:t>
      </w:r>
      <w:r w:rsidR="00372438" w:rsidRPr="00F83EC8">
        <w:t xml:space="preserve"> the forty </w:t>
      </w:r>
      <w:r w:rsidR="009D4EE8" w:rsidRPr="00F83EC8">
        <w:t>instigators</w:t>
      </w:r>
      <w:r w:rsidR="00372438" w:rsidRPr="00F83EC8">
        <w:t xml:space="preserve"> “the Sterren Forty.”</w:t>
      </w:r>
    </w:p>
    <w:p w14:paraId="63B3361B" w14:textId="216ED508" w:rsidR="00D625F4" w:rsidRPr="00F83EC8" w:rsidRDefault="00372438" w:rsidP="00E26CA9">
      <w:pPr>
        <w:spacing w:before="0" w:after="0" w:line="360" w:lineRule="auto"/>
        <w:ind w:firstLine="720"/>
        <w:jc w:val="both"/>
      </w:pPr>
      <w:r w:rsidRPr="00F83EC8">
        <w:t>A</w:t>
      </w:r>
      <w:r w:rsidR="6084BC7B" w:rsidRPr="00F83EC8">
        <w:t xml:space="preserve">fter </w:t>
      </w:r>
      <w:r w:rsidR="009D4EE8" w:rsidRPr="00F83EC8">
        <w:t>one month</w:t>
      </w:r>
      <w:r w:rsidR="6084BC7B" w:rsidRPr="00F83EC8">
        <w:t xml:space="preserve"> of </w:t>
      </w:r>
      <w:r w:rsidR="009D4EE8" w:rsidRPr="00F83EC8">
        <w:t>continuous civil unrest</w:t>
      </w:r>
      <w:r w:rsidR="6084BC7B" w:rsidRPr="00F83EC8">
        <w:t xml:space="preserve">, </w:t>
      </w:r>
      <w:r w:rsidR="00D625F4" w:rsidRPr="00F83EC8">
        <w:t xml:space="preserve">Remisia detained more than 1,000 </w:t>
      </w:r>
      <w:r w:rsidR="6FF3CBAA" w:rsidRPr="00F83EC8">
        <w:t xml:space="preserve">protestors </w:t>
      </w:r>
      <w:r w:rsidR="00D625F4" w:rsidRPr="00F83EC8">
        <w:t>across the country. The Remisian Attorney-General charged all</w:t>
      </w:r>
      <w:r w:rsidR="1519DAE0" w:rsidRPr="00F83EC8">
        <w:t xml:space="preserve"> </w:t>
      </w:r>
      <w:r w:rsidR="00D625F4" w:rsidRPr="00F83EC8">
        <w:t xml:space="preserve">protestors under the DCA. </w:t>
      </w:r>
      <w:r w:rsidR="00E81079" w:rsidRPr="00F83EC8">
        <w:t>However, t</w:t>
      </w:r>
      <w:r w:rsidR="00D625F4" w:rsidRPr="00F83EC8">
        <w:t xml:space="preserve">he Attorney-General </w:t>
      </w:r>
      <w:r w:rsidR="009D4EE8" w:rsidRPr="00F83EC8">
        <w:t>dismissed</w:t>
      </w:r>
      <w:r w:rsidR="00D625F4" w:rsidRPr="00F83EC8">
        <w:t xml:space="preserve"> the charges for </w:t>
      </w:r>
      <w:r w:rsidR="00E81079" w:rsidRPr="00F83EC8">
        <w:t xml:space="preserve">any person </w:t>
      </w:r>
      <w:r w:rsidR="00D625F4" w:rsidRPr="00F83EC8">
        <w:t xml:space="preserve">who wrote an apology to the Queen. </w:t>
      </w:r>
      <w:r w:rsidR="009D4EE8" w:rsidRPr="00F83EC8">
        <w:t>Of the detainees, t</w:t>
      </w:r>
      <w:r w:rsidR="00D625F4" w:rsidRPr="00F83EC8">
        <w:t xml:space="preserve">wo-hundred and thirty, including the Sterren Forty, refused to apologize. </w:t>
      </w:r>
      <w:r w:rsidR="0FE7C500" w:rsidRPr="00F83EC8">
        <w:t>Consequently, t</w:t>
      </w:r>
      <w:r w:rsidR="00D625F4" w:rsidRPr="00F83EC8">
        <w:t xml:space="preserve">he court pronounced a guilty verdict for </w:t>
      </w:r>
      <w:r w:rsidR="009D4EE8" w:rsidRPr="00F83EC8">
        <w:t>those</w:t>
      </w:r>
      <w:r w:rsidR="18DFF40C" w:rsidRPr="00F83EC8">
        <w:t xml:space="preserve"> </w:t>
      </w:r>
      <w:r w:rsidR="186408DF" w:rsidRPr="00F83EC8">
        <w:t>two hundred</w:t>
      </w:r>
      <w:r w:rsidR="18DFF40C" w:rsidRPr="00F83EC8">
        <w:t xml:space="preserve"> and thirty protestors.</w:t>
      </w:r>
      <w:r w:rsidR="3AE3A1FC" w:rsidRPr="00F83EC8">
        <w:t xml:space="preserve"> </w:t>
      </w:r>
      <w:r w:rsidR="009D4EE8" w:rsidRPr="00F83EC8">
        <w:t>One-hundred and ninty demonstrators were sentenced to one to three years in Remisian prison. However, t</w:t>
      </w:r>
      <w:r w:rsidR="3AE3A1FC" w:rsidRPr="00F83EC8">
        <w:t>he Sterren Forty</w:t>
      </w:r>
      <w:r w:rsidR="009D4EE8" w:rsidRPr="00F83EC8">
        <w:t>, who had protested</w:t>
      </w:r>
      <w:r w:rsidR="3AE3A1FC" w:rsidRPr="00F83EC8">
        <w:t xml:space="preserve"> </w:t>
      </w:r>
      <w:r w:rsidR="009D4EE8" w:rsidRPr="00F83EC8">
        <w:t xml:space="preserve">at the gates of the Sterren Palace, </w:t>
      </w:r>
      <w:r w:rsidR="3AE3A1FC" w:rsidRPr="00F83EC8">
        <w:t xml:space="preserve">received five-year sentences and revocation of their </w:t>
      </w:r>
      <w:r w:rsidR="00E81079" w:rsidRPr="00F83EC8">
        <w:t xml:space="preserve">nationality </w:t>
      </w:r>
      <w:r w:rsidR="3AE3A1FC" w:rsidRPr="00F83EC8">
        <w:t xml:space="preserve">as </w:t>
      </w:r>
      <w:r w:rsidR="4ABFF36A" w:rsidRPr="00F83EC8">
        <w:t xml:space="preserve">established </w:t>
      </w:r>
      <w:r w:rsidR="3AE3A1FC" w:rsidRPr="00F83EC8">
        <w:t xml:space="preserve">by </w:t>
      </w:r>
      <w:r w:rsidR="009D4EE8" w:rsidRPr="00F83EC8">
        <w:t xml:space="preserve">the </w:t>
      </w:r>
      <w:r w:rsidR="3AE3A1FC" w:rsidRPr="00F83EC8">
        <w:t>DCA.</w:t>
      </w:r>
    </w:p>
    <w:p w14:paraId="6D4E3AF3" w14:textId="633D70B5" w:rsidR="00D625F4" w:rsidRPr="00F83EC8" w:rsidRDefault="00D625F4" w:rsidP="00E26CA9">
      <w:pPr>
        <w:spacing w:before="0" w:after="0" w:line="360" w:lineRule="auto"/>
        <w:ind w:firstLine="720"/>
        <w:jc w:val="both"/>
      </w:pPr>
      <w:r w:rsidRPr="00F83EC8">
        <w:t xml:space="preserve">The Sterren Forty appealed to the Supreme Court of Remisia arguing that stripping them of their </w:t>
      </w:r>
      <w:r w:rsidR="00E81079" w:rsidRPr="00F83EC8">
        <w:t>nationality</w:t>
      </w:r>
      <w:r w:rsidR="4FD6D314" w:rsidRPr="00F83EC8">
        <w:t xml:space="preserve">, </w:t>
      </w:r>
      <w:r w:rsidRPr="00F83EC8">
        <w:t>rendering them stateless</w:t>
      </w:r>
      <w:r w:rsidR="2A8386A1" w:rsidRPr="00F83EC8">
        <w:t xml:space="preserve">, </w:t>
      </w:r>
      <w:r w:rsidRPr="00F83EC8">
        <w:t>violated international law. The Supreme Court upheld the sentences</w:t>
      </w:r>
      <w:r w:rsidR="445DB127" w:rsidRPr="00F83EC8">
        <w:t xml:space="preserve">, </w:t>
      </w:r>
      <w:r w:rsidR="00E81079" w:rsidRPr="00F83EC8">
        <w:t xml:space="preserve">asserting </w:t>
      </w:r>
      <w:r w:rsidR="445DB127" w:rsidRPr="00F83EC8">
        <w:t xml:space="preserve">the evidence of </w:t>
      </w:r>
      <w:bookmarkStart w:id="4" w:name="_Int_3LbSXg8s"/>
      <w:r w:rsidR="445DB127" w:rsidRPr="00F83EC8">
        <w:t>the</w:t>
      </w:r>
      <w:r w:rsidR="2765EE7B" w:rsidRPr="00F83EC8">
        <w:t xml:space="preserve"> Sterren</w:t>
      </w:r>
      <w:bookmarkEnd w:id="4"/>
      <w:r w:rsidR="2765EE7B" w:rsidRPr="00F83EC8">
        <w:t xml:space="preserve"> Forty’s </w:t>
      </w:r>
      <w:r w:rsidR="445DB127" w:rsidRPr="00F83EC8">
        <w:t>disloyalty was manifested and the</w:t>
      </w:r>
      <w:r w:rsidR="6D49F8BC" w:rsidRPr="00F83EC8">
        <w:t>ir</w:t>
      </w:r>
      <w:r w:rsidR="445DB127" w:rsidRPr="00F83EC8">
        <w:t xml:space="preserve"> sentences complied with domestic and international law.</w:t>
      </w:r>
      <w:r w:rsidRPr="00F83EC8">
        <w:t xml:space="preserve"> </w:t>
      </w:r>
      <w:r w:rsidR="00E81079" w:rsidRPr="00F83EC8">
        <w:t xml:space="preserve">Subsequently, </w:t>
      </w:r>
      <w:r w:rsidR="3320F8EA" w:rsidRPr="00F83EC8">
        <w:t>Remisia issued t</w:t>
      </w:r>
      <w:r w:rsidRPr="00F83EC8">
        <w:t>he Sterren Forty non-citizen identity cards</w:t>
      </w:r>
      <w:r w:rsidR="00E81079" w:rsidRPr="00F83EC8">
        <w:t xml:space="preserve"> and </w:t>
      </w:r>
      <w:r w:rsidR="001C236C" w:rsidRPr="00F83EC8">
        <w:t xml:space="preserve">imprisoned them in the national penitentiary, where they remain to this day. </w:t>
      </w:r>
    </w:p>
    <w:p w14:paraId="6D387057" w14:textId="77777777" w:rsidR="00D625F4" w:rsidRPr="00F83EC8" w:rsidRDefault="00D625F4" w:rsidP="00B57C9D">
      <w:pPr>
        <w:spacing w:line="360" w:lineRule="auto"/>
        <w:jc w:val="both"/>
        <w:rPr>
          <w:b/>
          <w:smallCaps/>
        </w:rPr>
      </w:pPr>
      <w:r w:rsidRPr="00F83EC8">
        <w:rPr>
          <w:b/>
          <w:bCs/>
          <w:smallCaps/>
        </w:rPr>
        <w:t>Resolution 99997</w:t>
      </w:r>
    </w:p>
    <w:p w14:paraId="293AA162" w14:textId="4719C3F8" w:rsidR="00D625F4" w:rsidRPr="00F83EC8" w:rsidRDefault="00D625F4" w:rsidP="00E26CA9">
      <w:pPr>
        <w:spacing w:before="0" w:after="0" w:line="360" w:lineRule="auto"/>
        <w:ind w:firstLine="720"/>
        <w:jc w:val="both"/>
      </w:pPr>
      <w:r w:rsidRPr="00F83EC8">
        <w:lastRenderedPageBreak/>
        <w:t xml:space="preserve">In April 2021, </w:t>
      </w:r>
      <w:r w:rsidR="006108EB" w:rsidRPr="00F83EC8">
        <w:t xml:space="preserve">Antrano </w:t>
      </w:r>
      <w:r w:rsidRPr="00F83EC8">
        <w:t xml:space="preserve">President Iyali spoke </w:t>
      </w:r>
      <w:r w:rsidR="000379FB" w:rsidRPr="00F83EC8">
        <w:t xml:space="preserve">at an Antranan ceremony about </w:t>
      </w:r>
      <w:r w:rsidRPr="00F83EC8">
        <w:t>Antrano’s mission to protect stateless people</w:t>
      </w:r>
      <w:r w:rsidR="000379FB" w:rsidRPr="00F83EC8">
        <w:t>, alluding to Remisia’s response to its domestic unrest</w:t>
      </w:r>
      <w:r w:rsidRPr="00F83EC8">
        <w:t xml:space="preserve">. Following the speech, Remisia’s foreign minister stated in a diplomatic note that President Iyali’s speech </w:t>
      </w:r>
      <w:r w:rsidR="000379FB" w:rsidRPr="00F83EC8">
        <w:t>interefered</w:t>
      </w:r>
      <w:r w:rsidR="71C5DE1B" w:rsidRPr="00F83EC8">
        <w:t xml:space="preserve"> in Remisia’s domestic affairs</w:t>
      </w:r>
      <w:r w:rsidRPr="00F83EC8">
        <w:t>.</w:t>
      </w:r>
    </w:p>
    <w:p w14:paraId="494DF61B" w14:textId="6FFD9EDC" w:rsidR="00D625F4" w:rsidRPr="00F83EC8" w:rsidRDefault="00D625F4" w:rsidP="00E26CA9">
      <w:pPr>
        <w:spacing w:before="0" w:after="0" w:line="360" w:lineRule="auto"/>
        <w:ind w:firstLine="720"/>
        <w:jc w:val="both"/>
      </w:pPr>
      <w:r w:rsidRPr="00F83EC8">
        <w:t xml:space="preserve">In January 2022, Antrano </w:t>
      </w:r>
      <w:r w:rsidR="006108EB" w:rsidRPr="00F83EC8">
        <w:t>became</w:t>
      </w:r>
      <w:r w:rsidRPr="00F83EC8">
        <w:t xml:space="preserve"> President of the United Nations Security Council</w:t>
      </w:r>
      <w:r w:rsidR="577EE718" w:rsidRPr="00F83EC8">
        <w:t xml:space="preserve"> (“UNSC”)</w:t>
      </w:r>
      <w:r w:rsidRPr="00F83EC8">
        <w:t xml:space="preserve">. The Antranan Ambassador to the UN submitted a memorandum to the Secretary-General and the </w:t>
      </w:r>
      <w:r w:rsidR="7E9A2661" w:rsidRPr="00F83EC8">
        <w:t>UNSC</w:t>
      </w:r>
      <w:r w:rsidR="006108EB" w:rsidRPr="00F83EC8">
        <w:t xml:space="preserve"> </w:t>
      </w:r>
      <w:r w:rsidRPr="00F83EC8">
        <w:t>claim</w:t>
      </w:r>
      <w:r w:rsidR="006108EB" w:rsidRPr="00F83EC8">
        <w:t>ing</w:t>
      </w:r>
      <w:r w:rsidRPr="00F83EC8">
        <w:t xml:space="preserve"> Remisia’s application of the DCA to ILSA protesters violated international law. The </w:t>
      </w:r>
      <w:r w:rsidR="4C9C6B55" w:rsidRPr="00F83EC8">
        <w:t>UNSC</w:t>
      </w:r>
      <w:r w:rsidRPr="00F83EC8">
        <w:t xml:space="preserve"> heard </w:t>
      </w:r>
      <w:r w:rsidR="46BA0713" w:rsidRPr="00F83EC8">
        <w:t xml:space="preserve">testimony from </w:t>
      </w:r>
      <w:r w:rsidRPr="00F83EC8">
        <w:t>both Antran</w:t>
      </w:r>
      <w:r w:rsidR="09932D83" w:rsidRPr="00F83EC8">
        <w:t>an</w:t>
      </w:r>
      <w:r w:rsidRPr="00F83EC8">
        <w:t xml:space="preserve"> and Remisia</w:t>
      </w:r>
      <w:r w:rsidR="6FF16DFB" w:rsidRPr="00F83EC8">
        <w:t>n</w:t>
      </w:r>
      <w:r w:rsidR="7AE0371C" w:rsidRPr="00F83EC8">
        <w:t xml:space="preserve"> representatives</w:t>
      </w:r>
      <w:r w:rsidRPr="00F83EC8">
        <w:t xml:space="preserve">. Following testimony, the </w:t>
      </w:r>
      <w:r w:rsidR="5C5EC52D" w:rsidRPr="00F83EC8">
        <w:t xml:space="preserve">UNSC </w:t>
      </w:r>
      <w:r w:rsidRPr="00F83EC8">
        <w:t>adopted Resolution 99997, establishing the United Nations Inspection Mission to Remisia (“UNIMR”)</w:t>
      </w:r>
      <w:r w:rsidR="47265ACC" w:rsidRPr="00F83EC8">
        <w:t>, invoked under Article 34 of the UN Charter</w:t>
      </w:r>
      <w:r w:rsidRPr="00F83EC8">
        <w:t>.</w:t>
      </w:r>
      <w:r w:rsidR="59E82707" w:rsidRPr="00F83EC8">
        <w:t xml:space="preserve"> UNIMR </w:t>
      </w:r>
      <w:r w:rsidR="000379FB" w:rsidRPr="00F83EC8">
        <w:t xml:space="preserve">aimed to </w:t>
      </w:r>
      <w:r w:rsidR="00447201" w:rsidRPr="00F83EC8">
        <w:t xml:space="preserve">investigate and report the facts surrounding the Sterren Forty’s arrest, </w:t>
      </w:r>
      <w:r w:rsidR="002447FE" w:rsidRPr="00F83EC8">
        <w:t>nationality</w:t>
      </w:r>
      <w:r w:rsidR="00447201" w:rsidRPr="00F83EC8">
        <w:t xml:space="preserve"> revocation, and detainment. </w:t>
      </w:r>
    </w:p>
    <w:p w14:paraId="4EE74AEA" w14:textId="77777777" w:rsidR="00D625F4" w:rsidRPr="00F83EC8" w:rsidRDefault="00D625F4" w:rsidP="00B57C9D">
      <w:pPr>
        <w:spacing w:line="360" w:lineRule="auto"/>
        <w:jc w:val="both"/>
        <w:rPr>
          <w:b/>
          <w:smallCaps/>
        </w:rPr>
      </w:pPr>
      <w:r w:rsidRPr="00F83EC8">
        <w:rPr>
          <w:b/>
          <w:bCs/>
          <w:smallCaps/>
        </w:rPr>
        <w:t>The Arrest of Saki Shaw</w:t>
      </w:r>
    </w:p>
    <w:p w14:paraId="577CD727" w14:textId="5E67EEAB" w:rsidR="000379FB" w:rsidRPr="00F83EC8" w:rsidRDefault="000379FB" w:rsidP="00E26CA9">
      <w:pPr>
        <w:spacing w:before="0" w:after="0" w:line="360" w:lineRule="auto"/>
        <w:ind w:firstLine="720"/>
        <w:jc w:val="both"/>
      </w:pPr>
      <w:r w:rsidRPr="00F83EC8">
        <w:t xml:space="preserve">In April 2014, Molvania issued an arrest warrant for Saki Shaw </w:t>
      </w:r>
      <w:r w:rsidR="00C0539E">
        <w:t>resulting from</w:t>
      </w:r>
      <w:r w:rsidRPr="00F83EC8">
        <w:t xml:space="preserve"> allegations against ShawCorps and its subsidiaries. Given Shaw no longer lived in Molvania, the Molvanian Attorney-General requested Antrano extradite her upon entry into Antrano for an upcoming ShawCorp meeting.</w:t>
      </w:r>
    </w:p>
    <w:p w14:paraId="05E2579C" w14:textId="2F9D6DC2" w:rsidR="00D625F4" w:rsidRPr="00F83EC8" w:rsidRDefault="000379FB" w:rsidP="00E26CA9">
      <w:pPr>
        <w:spacing w:before="0" w:after="0" w:line="360" w:lineRule="auto"/>
        <w:ind w:firstLine="720"/>
        <w:jc w:val="both"/>
      </w:pPr>
      <w:r w:rsidRPr="00F83EC8">
        <w:t xml:space="preserve">On March 15, 2022, </w:t>
      </w:r>
      <w:r w:rsidR="006108EB" w:rsidRPr="00F83EC8">
        <w:t>Shaw legally entered Antrano with a valid Remisian passport</w:t>
      </w:r>
      <w:r w:rsidR="00D625F4" w:rsidRPr="00F83EC8">
        <w:t>. The following day, Antran</w:t>
      </w:r>
      <w:r w:rsidR="66F41063" w:rsidRPr="00F83EC8">
        <w:t>an</w:t>
      </w:r>
      <w:r w:rsidR="00D625F4" w:rsidRPr="00F83EC8">
        <w:t xml:space="preserve"> police detained Shaw on the authority of the </w:t>
      </w:r>
      <w:r w:rsidR="00731300" w:rsidRPr="00F83EC8">
        <w:t xml:space="preserve">Molvanian </w:t>
      </w:r>
      <w:r w:rsidR="00D625F4" w:rsidRPr="00F83EC8">
        <w:t>extradition request. Shaw was taken into custody</w:t>
      </w:r>
      <w:r w:rsidR="006108EB" w:rsidRPr="00F83EC8">
        <w:t xml:space="preserve"> where both </w:t>
      </w:r>
      <w:r w:rsidR="00D625F4" w:rsidRPr="00F83EC8">
        <w:t xml:space="preserve">her Molvanian and Remisian passports were confiscated. As a Remisian </w:t>
      </w:r>
      <w:r w:rsidR="006108EB" w:rsidRPr="00F83EC8">
        <w:t>national</w:t>
      </w:r>
      <w:r w:rsidR="00D625F4" w:rsidRPr="00F83EC8">
        <w:t>, Shaw demanded Remisian consular</w:t>
      </w:r>
      <w:r w:rsidR="006108EB" w:rsidRPr="00F83EC8">
        <w:t xml:space="preserve"> representation</w:t>
      </w:r>
      <w:r w:rsidR="00D625F4" w:rsidRPr="00F83EC8">
        <w:t>. The Antran</w:t>
      </w:r>
      <w:r w:rsidR="08D4FCB1" w:rsidRPr="00F83EC8">
        <w:t>an</w:t>
      </w:r>
      <w:r w:rsidR="00D625F4" w:rsidRPr="00F83EC8">
        <w:t xml:space="preserve"> chief of police denied her request, </w:t>
      </w:r>
      <w:r w:rsidR="006108EB" w:rsidRPr="00F83EC8">
        <w:t xml:space="preserve">asserting </w:t>
      </w:r>
      <w:r w:rsidR="00D625F4" w:rsidRPr="00F83EC8">
        <w:t xml:space="preserve">Antrano does not recognize purchased nationality and Shaw’s </w:t>
      </w:r>
      <w:r w:rsidR="006108EB" w:rsidRPr="00F83EC8">
        <w:t>admittance by Antrano immigration officials into Antrano with a Remisian passport was done in error</w:t>
      </w:r>
      <w:r w:rsidR="00D625F4" w:rsidRPr="00F83EC8">
        <w:t>.</w:t>
      </w:r>
    </w:p>
    <w:p w14:paraId="5747A182" w14:textId="4DF00C7B" w:rsidR="00D625F4" w:rsidRPr="00F83EC8" w:rsidRDefault="00D625F4" w:rsidP="00B57C9D">
      <w:pPr>
        <w:spacing w:line="360" w:lineRule="auto"/>
        <w:ind w:firstLine="720"/>
        <w:jc w:val="both"/>
      </w:pPr>
      <w:r w:rsidRPr="00F83EC8">
        <w:t xml:space="preserve">Remisia’s </w:t>
      </w:r>
      <w:r w:rsidR="10F3BDD5" w:rsidRPr="00F83EC8">
        <w:t xml:space="preserve">UN </w:t>
      </w:r>
      <w:r w:rsidRPr="00F83EC8">
        <w:t xml:space="preserve">Ambassador delivered a message to the Foreign Ministry of Antrano asserting </w:t>
      </w:r>
      <w:r w:rsidR="006108EB" w:rsidRPr="00F83EC8">
        <w:t xml:space="preserve">its </w:t>
      </w:r>
      <w:r w:rsidRPr="00F83EC8">
        <w:t xml:space="preserve">right to a consular meeting with Shaw. </w:t>
      </w:r>
      <w:r w:rsidR="00731300" w:rsidRPr="00F83EC8">
        <w:t xml:space="preserve">However, </w:t>
      </w:r>
      <w:r w:rsidRPr="00F83EC8">
        <w:t xml:space="preserve">Antrano </w:t>
      </w:r>
      <w:r w:rsidR="006108EB" w:rsidRPr="00F83EC8">
        <w:t xml:space="preserve">responded to </w:t>
      </w:r>
      <w:r w:rsidRPr="00F83EC8">
        <w:t>Remisia</w:t>
      </w:r>
      <w:r w:rsidR="006108EB" w:rsidRPr="00F83EC8">
        <w:t xml:space="preserve"> maintaining Remisia could only</w:t>
      </w:r>
      <w:r w:rsidRPr="00F83EC8">
        <w:t xml:space="preserve"> communicate with Shaw through Molvania as her Remisian </w:t>
      </w:r>
      <w:r w:rsidR="006108EB" w:rsidRPr="00F83EC8">
        <w:t xml:space="preserve">nationality </w:t>
      </w:r>
      <w:r w:rsidRPr="00F83EC8">
        <w:t xml:space="preserve">was not recognized. Two weeks later, Saki Shaw died of a heart attack. </w:t>
      </w:r>
    </w:p>
    <w:p w14:paraId="720BEE03" w14:textId="66F52703" w:rsidR="00D625F4" w:rsidRPr="00F83EC8" w:rsidRDefault="00D625F4" w:rsidP="00B57C9D">
      <w:pPr>
        <w:spacing w:line="360" w:lineRule="auto"/>
        <w:jc w:val="both"/>
        <w:rPr>
          <w:b/>
          <w:smallCaps/>
        </w:rPr>
      </w:pPr>
      <w:r w:rsidRPr="00F83EC8">
        <w:rPr>
          <w:b/>
          <w:bCs/>
          <w:smallCaps/>
        </w:rPr>
        <w:t xml:space="preserve">Dr. </w:t>
      </w:r>
      <w:r w:rsidR="00731300" w:rsidRPr="00F83EC8">
        <w:rPr>
          <w:b/>
          <w:bCs/>
          <w:smallCaps/>
        </w:rPr>
        <w:t xml:space="preserve">Tulous </w:t>
      </w:r>
      <w:r w:rsidRPr="00F83EC8">
        <w:rPr>
          <w:b/>
          <w:bCs/>
          <w:smallCaps/>
        </w:rPr>
        <w:t>Malex</w:t>
      </w:r>
    </w:p>
    <w:p w14:paraId="4EB6D79C" w14:textId="1EAB6AE0" w:rsidR="00D625F4" w:rsidRPr="00F83EC8" w:rsidRDefault="00D625F4" w:rsidP="00E26CA9">
      <w:pPr>
        <w:spacing w:before="0" w:after="0" w:line="360" w:lineRule="auto"/>
        <w:jc w:val="both"/>
      </w:pPr>
      <w:r w:rsidRPr="00F83EC8">
        <w:rPr>
          <w:b/>
        </w:rPr>
        <w:lastRenderedPageBreak/>
        <w:tab/>
      </w:r>
      <w:r w:rsidRPr="00F83EC8">
        <w:t xml:space="preserve">Performing under Resolution 99997, the UNIMR began conducting </w:t>
      </w:r>
      <w:r w:rsidR="00731300" w:rsidRPr="00F83EC8">
        <w:t xml:space="preserve">their </w:t>
      </w:r>
      <w:r w:rsidRPr="00F83EC8">
        <w:t>research</w:t>
      </w:r>
      <w:r w:rsidR="00731300" w:rsidRPr="00F83EC8">
        <w:t xml:space="preserve"> on the Sterren Forty</w:t>
      </w:r>
      <w:r w:rsidRPr="00F83EC8">
        <w:t xml:space="preserve">. Dr. </w:t>
      </w:r>
      <w:r w:rsidR="00731300" w:rsidRPr="00F83EC8">
        <w:t xml:space="preserve">Tulous </w:t>
      </w:r>
      <w:r w:rsidRPr="00F83EC8">
        <w:t>Malex, a</w:t>
      </w:r>
      <w:r w:rsidR="00EF69DD" w:rsidRPr="00F83EC8">
        <w:t>n Antranan</w:t>
      </w:r>
      <w:r w:rsidRPr="00F83EC8">
        <w:t xml:space="preserve"> expert on statelessness, was elected to lead the UNIMR. Dr. Malex requested to meet with the Sterren Fo</w:t>
      </w:r>
      <w:r w:rsidR="28B2FFF4" w:rsidRPr="00F83EC8">
        <w:t>rty</w:t>
      </w:r>
      <w:r w:rsidRPr="00F83EC8">
        <w:t xml:space="preserve">. Remisia’s UN Ambassador wrote to the Secretary-General announcing </w:t>
      </w:r>
      <w:r w:rsidR="004F764C" w:rsidRPr="00F83EC8">
        <w:t>Remisia</w:t>
      </w:r>
      <w:r w:rsidRPr="00F83EC8">
        <w:t xml:space="preserve"> would not permit</w:t>
      </w:r>
      <w:r w:rsidR="008411E7" w:rsidRPr="00F83EC8">
        <w:t xml:space="preserve"> Dr. Malex’s</w:t>
      </w:r>
      <w:r w:rsidRPr="00F83EC8">
        <w:t xml:space="preserve"> </w:t>
      </w:r>
      <w:r w:rsidR="004F764C" w:rsidRPr="00F83EC8">
        <w:t>entry into the country to,</w:t>
      </w:r>
      <w:r w:rsidRPr="00F83EC8">
        <w:t xml:space="preserve"> </w:t>
      </w:r>
      <w:r w:rsidR="004F764C" w:rsidRPr="00F83EC8">
        <w:t>asserting</w:t>
      </w:r>
      <w:r w:rsidR="65A0CE78" w:rsidRPr="00F83EC8">
        <w:t xml:space="preserve"> </w:t>
      </w:r>
      <w:r w:rsidRPr="00F83EC8">
        <w:t>Dr. Malex</w:t>
      </w:r>
      <w:r w:rsidR="5366E732" w:rsidRPr="00F83EC8">
        <w:t>, an Antrano national</w:t>
      </w:r>
      <w:r w:rsidR="004F764C" w:rsidRPr="00F83EC8">
        <w:t>,</w:t>
      </w:r>
      <w:r w:rsidR="5FBE6A36" w:rsidRPr="00F83EC8">
        <w:t xml:space="preserve"> </w:t>
      </w:r>
      <w:r w:rsidR="028D9276" w:rsidRPr="00F83EC8">
        <w:t>would</w:t>
      </w:r>
      <w:r w:rsidRPr="00F83EC8">
        <w:t xml:space="preserve"> </w:t>
      </w:r>
      <w:r w:rsidR="004F764C" w:rsidRPr="00F83EC8">
        <w:t xml:space="preserve">inappropriately </w:t>
      </w:r>
      <w:r w:rsidR="00EF69DD" w:rsidRPr="00F83EC8">
        <w:t>interfer</w:t>
      </w:r>
      <w:r w:rsidR="5F55C56D" w:rsidRPr="00F83EC8">
        <w:t>e</w:t>
      </w:r>
      <w:r w:rsidRPr="00F83EC8">
        <w:t xml:space="preserve"> in </w:t>
      </w:r>
      <w:r w:rsidR="79CC9ED6" w:rsidRPr="00F83EC8">
        <w:t>Remisia</w:t>
      </w:r>
      <w:r w:rsidR="004F764C" w:rsidRPr="00F83EC8">
        <w:t>’s</w:t>
      </w:r>
      <w:r w:rsidRPr="00F83EC8">
        <w:t xml:space="preserve"> domestic affairs. The </w:t>
      </w:r>
      <w:r w:rsidR="004F764C" w:rsidRPr="00F83EC8">
        <w:t xml:space="preserve">Security Council </w:t>
      </w:r>
      <w:r w:rsidRPr="00F83EC8">
        <w:t xml:space="preserve">President </w:t>
      </w:r>
      <w:r w:rsidR="00731300" w:rsidRPr="00F83EC8">
        <w:t>responded,</w:t>
      </w:r>
      <w:r w:rsidR="004F764C" w:rsidRPr="00F83EC8">
        <w:t xml:space="preserve"> alleging that to</w:t>
      </w:r>
      <w:r w:rsidRPr="00F83EC8">
        <w:t xml:space="preserve"> </w:t>
      </w:r>
      <w:r w:rsidR="004F764C" w:rsidRPr="00F83EC8">
        <w:t xml:space="preserve">deny </w:t>
      </w:r>
      <w:r w:rsidRPr="00F83EC8">
        <w:t xml:space="preserve">Dr. Malex </w:t>
      </w:r>
      <w:r w:rsidR="004F764C" w:rsidRPr="00F83EC8">
        <w:t xml:space="preserve">entry into Remisia </w:t>
      </w:r>
      <w:r w:rsidRPr="00F83EC8">
        <w:t>violate</w:t>
      </w:r>
      <w:r w:rsidR="008411E7" w:rsidRPr="00F83EC8">
        <w:t>s</w:t>
      </w:r>
      <w:r w:rsidRPr="00F83EC8">
        <w:t xml:space="preserve"> </w:t>
      </w:r>
      <w:r w:rsidR="004F764C" w:rsidRPr="00F83EC8">
        <w:t xml:space="preserve">Remisia’s </w:t>
      </w:r>
      <w:r w:rsidRPr="00F83EC8">
        <w:t xml:space="preserve">UN membership </w:t>
      </w:r>
      <w:r w:rsidR="004F764C" w:rsidRPr="00F83EC8">
        <w:t xml:space="preserve">obligations </w:t>
      </w:r>
      <w:r w:rsidRPr="00F83EC8">
        <w:t>and Resolution 99997.</w:t>
      </w:r>
    </w:p>
    <w:p w14:paraId="0CED3E48" w14:textId="12D514E3" w:rsidR="00D625F4" w:rsidRPr="00F83EC8" w:rsidRDefault="00D625F4" w:rsidP="00E26CA9">
      <w:pPr>
        <w:spacing w:before="0" w:after="0" w:line="360" w:lineRule="auto"/>
        <w:jc w:val="both"/>
        <w:rPr>
          <w:b/>
          <w:bCs/>
        </w:rPr>
      </w:pPr>
      <w:r w:rsidRPr="00F83EC8">
        <w:tab/>
        <w:t xml:space="preserve">On July 25, 2022, Dr. Malex informed Remisia he </w:t>
      </w:r>
      <w:r w:rsidR="4E83EE13" w:rsidRPr="00F83EC8">
        <w:t xml:space="preserve">would </w:t>
      </w:r>
      <w:r w:rsidR="008411E7" w:rsidRPr="00F83EC8">
        <w:t>travel to</w:t>
      </w:r>
      <w:r w:rsidR="4E83EE13" w:rsidRPr="00F83EC8">
        <w:t xml:space="preserve"> Remisia </w:t>
      </w:r>
      <w:r w:rsidR="008411E7" w:rsidRPr="00F83EC8">
        <w:t xml:space="preserve">from </w:t>
      </w:r>
      <w:r w:rsidR="4E83EE13" w:rsidRPr="00F83EC8">
        <w:t>August 10</w:t>
      </w:r>
      <w:r w:rsidR="008411E7" w:rsidRPr="00F83EC8">
        <w:t xml:space="preserve"> to August 20, </w:t>
      </w:r>
      <w:r w:rsidR="00731300" w:rsidRPr="00F83EC8">
        <w:t>2022.</w:t>
      </w:r>
      <w:r w:rsidRPr="00F83EC8">
        <w:t xml:space="preserve"> On August 9, 2022, Dr. Malex boarded a flight to Remisia. </w:t>
      </w:r>
      <w:r w:rsidR="6B318872" w:rsidRPr="00F83EC8">
        <w:t xml:space="preserve">Dr. Malex </w:t>
      </w:r>
      <w:r w:rsidRPr="00F83EC8">
        <w:t>arrived at the</w:t>
      </w:r>
      <w:r w:rsidR="2CD6F589" w:rsidRPr="00F83EC8">
        <w:t xml:space="preserve"> Remisian</w:t>
      </w:r>
      <w:r w:rsidRPr="00F83EC8">
        <w:t xml:space="preserve"> airport </w:t>
      </w:r>
      <w:r w:rsidR="008411E7" w:rsidRPr="00F83EC8">
        <w:t xml:space="preserve">where he </w:t>
      </w:r>
      <w:r w:rsidRPr="00F83EC8">
        <w:t xml:space="preserve">was stopped at passport control. Remisian border agents denied </w:t>
      </w:r>
      <w:r w:rsidR="008411E7" w:rsidRPr="00F83EC8">
        <w:t xml:space="preserve">his </w:t>
      </w:r>
      <w:r w:rsidRPr="00F83EC8">
        <w:t xml:space="preserve">entry and </w:t>
      </w:r>
      <w:r w:rsidR="008411E7" w:rsidRPr="00F83EC8">
        <w:t xml:space="preserve">boarded </w:t>
      </w:r>
      <w:r w:rsidR="4EBE2A0D" w:rsidRPr="00F83EC8">
        <w:t>Dr. Malex</w:t>
      </w:r>
      <w:r w:rsidR="57A2D21B" w:rsidRPr="00F83EC8">
        <w:t xml:space="preserve"> </w:t>
      </w:r>
      <w:r w:rsidRPr="00F83EC8">
        <w:t xml:space="preserve">on a return flight to New York. </w:t>
      </w:r>
    </w:p>
    <w:p w14:paraId="0ABC5970" w14:textId="56C234CE" w:rsidR="00D625F4" w:rsidRPr="00F83EC8" w:rsidRDefault="00D625F4" w:rsidP="4B7C72D6">
      <w:pPr>
        <w:spacing w:line="360" w:lineRule="auto"/>
        <w:ind w:firstLine="720"/>
        <w:jc w:val="both"/>
      </w:pPr>
      <w:r w:rsidRPr="00F83EC8">
        <w:t xml:space="preserve">On August 15, 2023, the Remisian </w:t>
      </w:r>
      <w:r w:rsidR="004807EA" w:rsidRPr="00F83EC8">
        <w:t xml:space="preserve">and Antranan </w:t>
      </w:r>
      <w:r w:rsidR="00731300" w:rsidRPr="00F83EC8">
        <w:t>F</w:t>
      </w:r>
      <w:r w:rsidRPr="00F83EC8">
        <w:t xml:space="preserve">oreign </w:t>
      </w:r>
      <w:r w:rsidR="00731300" w:rsidRPr="00F83EC8">
        <w:t>M</w:t>
      </w:r>
      <w:r w:rsidRPr="00F83EC8">
        <w:t>inister</w:t>
      </w:r>
      <w:r w:rsidR="004807EA" w:rsidRPr="00F83EC8">
        <w:t>s</w:t>
      </w:r>
      <w:r w:rsidRPr="00F83EC8">
        <w:t xml:space="preserve"> met </w:t>
      </w:r>
      <w:r w:rsidR="004807EA" w:rsidRPr="00F83EC8">
        <w:t>to arbitrate an agreement. The</w:t>
      </w:r>
      <w:r w:rsidRPr="00F83EC8">
        <w:t xml:space="preserve"> parties successfully negotiated the terms of the Special Agreement and submitted it to the Registrar of </w:t>
      </w:r>
      <w:r w:rsidR="004807EA" w:rsidRPr="00F83EC8">
        <w:t>this</w:t>
      </w:r>
      <w:r w:rsidRPr="00F83EC8">
        <w:t xml:space="preserve"> Court.</w:t>
      </w:r>
    </w:p>
    <w:p w14:paraId="508D98EC" w14:textId="77777777" w:rsidR="00FA6336" w:rsidRPr="00F83EC8" w:rsidRDefault="00FA6336" w:rsidP="4B7C72D6">
      <w:pPr>
        <w:spacing w:line="360" w:lineRule="auto"/>
        <w:ind w:firstLine="720"/>
        <w:jc w:val="both"/>
      </w:pPr>
    </w:p>
    <w:p w14:paraId="68E081F4" w14:textId="77777777" w:rsidR="00FA6336" w:rsidRPr="00F83EC8" w:rsidRDefault="00FA6336">
      <w:pPr>
        <w:rPr>
          <w:b/>
          <w:smallCaps/>
        </w:rPr>
      </w:pPr>
      <w:r w:rsidRPr="00F83EC8">
        <w:rPr>
          <w:b/>
          <w:smallCaps/>
        </w:rPr>
        <w:br w:type="page"/>
      </w:r>
    </w:p>
    <w:p w14:paraId="38779FCF" w14:textId="0A1CCE47" w:rsidR="00FA6336" w:rsidRPr="00F83EC8" w:rsidRDefault="00FA6336" w:rsidP="00FA6336">
      <w:pPr>
        <w:pBdr>
          <w:bottom w:val="single" w:sz="6" w:space="1" w:color="000000"/>
        </w:pBdr>
        <w:spacing w:line="360" w:lineRule="auto"/>
        <w:jc w:val="center"/>
        <w:rPr>
          <w:b/>
          <w:smallCaps/>
        </w:rPr>
      </w:pPr>
      <w:r w:rsidRPr="00F83EC8">
        <w:rPr>
          <w:b/>
          <w:smallCaps/>
        </w:rPr>
        <w:lastRenderedPageBreak/>
        <w:t>Summary of Pleadings</w:t>
      </w:r>
    </w:p>
    <w:p w14:paraId="725010DE" w14:textId="18027114" w:rsidR="00F63433" w:rsidRPr="00F83EC8" w:rsidRDefault="00F63433" w:rsidP="00D121A0">
      <w:pPr>
        <w:pStyle w:val="ListParagraph"/>
        <w:numPr>
          <w:ilvl w:val="0"/>
          <w:numId w:val="11"/>
        </w:numPr>
        <w:shd w:val="clear" w:color="auto" w:fill="FFFFFF"/>
        <w:spacing w:line="360" w:lineRule="auto"/>
        <w:ind w:left="540"/>
        <w:jc w:val="both"/>
        <w:textAlignment w:val="baseline"/>
        <w:rPr>
          <w:bdr w:val="none" w:sz="0" w:space="0" w:color="auto" w:frame="1"/>
        </w:rPr>
      </w:pPr>
      <w:r w:rsidRPr="00F83EC8">
        <w:rPr>
          <w:bdr w:val="none" w:sz="0" w:space="0" w:color="auto" w:frame="1"/>
        </w:rPr>
        <w:t xml:space="preserve">Antrano lacks standing to dispute the revocation of the Sterren Forty’s nationality before this Court. As a threshold matter, Antrano cannot exert diplomatic protection over the Sterren Forty because Antrano has no connections to the injured parties. </w:t>
      </w:r>
      <w:r w:rsidR="00EF1273">
        <w:rPr>
          <w:bdr w:val="none" w:sz="0" w:space="0" w:color="auto" w:frame="1"/>
        </w:rPr>
        <w:t xml:space="preserve">Further, </w:t>
      </w:r>
      <w:r w:rsidR="0081329C">
        <w:rPr>
          <w:bdr w:val="none" w:sz="0" w:space="0" w:color="auto" w:frame="1"/>
        </w:rPr>
        <w:t>per</w:t>
      </w:r>
      <w:r w:rsidRPr="00F83EC8">
        <w:rPr>
          <w:bdr w:val="none" w:sz="0" w:space="0" w:color="auto" w:frame="1"/>
        </w:rPr>
        <w:t xml:space="preserve"> treaty law, Remisia did not breach its </w:t>
      </w:r>
      <w:r w:rsidRPr="00F83EC8">
        <w:rPr>
          <w:i/>
          <w:iCs/>
          <w:bdr w:val="none" w:sz="0" w:space="0" w:color="auto" w:frame="1"/>
        </w:rPr>
        <w:t>erga omnes partes</w:t>
      </w:r>
      <w:r w:rsidRPr="00F83EC8">
        <w:rPr>
          <w:bdr w:val="none" w:sz="0" w:space="0" w:color="auto" w:frame="1"/>
        </w:rPr>
        <w:t xml:space="preserve"> obligations under the CRS, CSP, and ICCPR because a guarantee to nationality is not a common interest of the treaties. Finally, under customary international law, statelessness is not considered a </w:t>
      </w:r>
      <w:r w:rsidRPr="00F83EC8">
        <w:rPr>
          <w:i/>
          <w:iCs/>
          <w:bdr w:val="none" w:sz="0" w:space="0" w:color="auto" w:frame="1"/>
        </w:rPr>
        <w:t>jus cogens</w:t>
      </w:r>
      <w:r w:rsidRPr="00F83EC8">
        <w:rPr>
          <w:bdr w:val="none" w:sz="0" w:space="0" w:color="auto" w:frame="1"/>
        </w:rPr>
        <w:t xml:space="preserve"> norm, and, thus, is not considered an </w:t>
      </w:r>
      <w:r w:rsidRPr="00F83EC8">
        <w:rPr>
          <w:i/>
          <w:iCs/>
          <w:bdr w:val="none" w:sz="0" w:space="0" w:color="auto" w:frame="1"/>
        </w:rPr>
        <w:t>erga omnes</w:t>
      </w:r>
      <w:r w:rsidRPr="00F83EC8">
        <w:rPr>
          <w:bdr w:val="none" w:sz="0" w:space="0" w:color="auto" w:frame="1"/>
        </w:rPr>
        <w:t xml:space="preserve"> obligation. </w:t>
      </w:r>
    </w:p>
    <w:p w14:paraId="3424B60A" w14:textId="39825E3A" w:rsidR="00F63433" w:rsidRPr="00F83EC8" w:rsidRDefault="00F63433" w:rsidP="00D121A0">
      <w:pPr>
        <w:numPr>
          <w:ilvl w:val="0"/>
          <w:numId w:val="11"/>
        </w:numPr>
        <w:shd w:val="clear" w:color="auto" w:fill="FFFFFF"/>
        <w:spacing w:line="360" w:lineRule="auto"/>
        <w:ind w:left="540"/>
        <w:jc w:val="both"/>
        <w:textAlignment w:val="baseline"/>
        <w:rPr>
          <w:bdr w:val="none" w:sz="0" w:space="0" w:color="auto" w:frame="1"/>
        </w:rPr>
      </w:pPr>
      <w:r w:rsidRPr="00F83EC8">
        <w:rPr>
          <w:bdr w:val="none" w:sz="0" w:space="0" w:color="auto" w:frame="1"/>
        </w:rPr>
        <w:t xml:space="preserve">Remisia complied with international law when it revoked the Sterren Forty’s nationality. Under treaty and customary international law, there are permissible exceptions when a State may revoke an individual’s nationality. The DCA adheres to these exceptions. Under customary international law, Remisia is permitted to maintain its domestic nationality laws without interference pursuant to the principle of nonintervention. Additionally, Remisia complied with customary human rights instruments because the revocation </w:t>
      </w:r>
      <w:r w:rsidR="002B3B54" w:rsidRPr="00F83EC8">
        <w:rPr>
          <w:bdr w:val="none" w:sz="0" w:space="0" w:color="auto" w:frame="1"/>
        </w:rPr>
        <w:t xml:space="preserve">of the Sterren Forty’s nationality </w:t>
      </w:r>
      <w:r w:rsidRPr="00F83EC8">
        <w:rPr>
          <w:bdr w:val="none" w:sz="0" w:space="0" w:color="auto" w:frame="1"/>
        </w:rPr>
        <w:t xml:space="preserve">was foreseeable. Next, Remisia complied with treaty law by submitting a valid reservation under the CRS. Additionally, Remisia, complied with the CSP by issuing non-citizen identity cards to the Sterren Forty. Finally, Remisia complied with Articles 19 and 21 of the ICCPR by validly limiting speech and assembly, as well as Article 14 by providing the Sterren Forty with a fair trial and due process. </w:t>
      </w:r>
    </w:p>
    <w:p w14:paraId="5FD868B4" w14:textId="470327D7" w:rsidR="00F63433" w:rsidRPr="00F83EC8" w:rsidRDefault="00F63433" w:rsidP="00D121A0">
      <w:pPr>
        <w:numPr>
          <w:ilvl w:val="0"/>
          <w:numId w:val="11"/>
        </w:numPr>
        <w:shd w:val="clear" w:color="auto" w:fill="FFFFFF"/>
        <w:spacing w:line="360" w:lineRule="auto"/>
        <w:ind w:left="540"/>
        <w:jc w:val="both"/>
        <w:textAlignment w:val="baseline"/>
        <w:rPr>
          <w:bdr w:val="none" w:sz="0" w:space="0" w:color="auto" w:frame="1"/>
        </w:rPr>
      </w:pPr>
      <w:r w:rsidRPr="00F83EC8">
        <w:rPr>
          <w:bdr w:val="none" w:sz="0" w:space="0" w:color="auto" w:frame="1"/>
        </w:rPr>
        <w:t xml:space="preserve">Antrano violated international law when it denied a Remisian </w:t>
      </w:r>
      <w:r w:rsidR="000E7E07">
        <w:rPr>
          <w:bdr w:val="none" w:sz="0" w:space="0" w:color="auto" w:frame="1"/>
        </w:rPr>
        <w:t>national</w:t>
      </w:r>
      <w:r w:rsidRPr="00F83EC8">
        <w:rPr>
          <w:bdr w:val="none" w:sz="0" w:space="0" w:color="auto" w:frame="1"/>
        </w:rPr>
        <w:t xml:space="preserve"> consular access to Remisa while detained in Antrano. By denying Saki Shaw</w:t>
      </w:r>
      <w:r w:rsidR="000E7E07">
        <w:rPr>
          <w:bdr w:val="none" w:sz="0" w:space="0" w:color="auto" w:frame="1"/>
        </w:rPr>
        <w:t xml:space="preserve"> </w:t>
      </w:r>
      <w:r w:rsidRPr="00F83EC8">
        <w:rPr>
          <w:bdr w:val="none" w:sz="0" w:space="0" w:color="auto" w:frame="1"/>
        </w:rPr>
        <w:t>consular access to Remisia, Antrano violated its treaty obligations under the VCCR and ICCPR</w:t>
      </w:r>
      <w:r w:rsidR="002B3B54" w:rsidRPr="00F83EC8">
        <w:rPr>
          <w:bdr w:val="none" w:sz="0" w:space="0" w:color="auto" w:frame="1"/>
        </w:rPr>
        <w:t xml:space="preserve">, as well as </w:t>
      </w:r>
      <w:r w:rsidRPr="00F83EC8">
        <w:rPr>
          <w:bdr w:val="none" w:sz="0" w:space="0" w:color="auto" w:frame="1"/>
        </w:rPr>
        <w:t>its customary international law obligations. First, Antrano violated Articles 36 and 5 of the VCCR by failing to notify and provide Shaw her right to communicate with Remisian consular representatives. Second, Antrano violated Articles 9 and 14 of the ICCPR by denying her right to liberty and right to due process, respectively. Finally, Antrano's arbitrary deprivation of Shaw’s Remisian nationality constitutes a violation of customary international law. Because the deprivation does not serve a legitimate purpose and is not proportional, Antrano arbitrarily deprived Shaw of her Remisian nationality. Accordingly, Antrano violated customary international law.</w:t>
      </w:r>
    </w:p>
    <w:p w14:paraId="3F07564E" w14:textId="4816B450" w:rsidR="00F63433" w:rsidRPr="00F83EC8" w:rsidRDefault="00F63433" w:rsidP="00D121A0">
      <w:pPr>
        <w:pStyle w:val="ListParagraph"/>
        <w:numPr>
          <w:ilvl w:val="0"/>
          <w:numId w:val="11"/>
        </w:numPr>
        <w:spacing w:after="0" w:line="360" w:lineRule="auto"/>
        <w:ind w:left="540"/>
        <w:jc w:val="both"/>
      </w:pPr>
      <w:r w:rsidRPr="00F83EC8">
        <w:rPr>
          <w:bdr w:val="none" w:sz="0" w:space="0" w:color="auto" w:frame="1"/>
        </w:rPr>
        <w:lastRenderedPageBreak/>
        <w:t xml:space="preserve">Remisia complied with international law when it refused to allow </w:t>
      </w:r>
      <w:r w:rsidR="002B3B54" w:rsidRPr="00F83EC8">
        <w:rPr>
          <w:bdr w:val="none" w:sz="0" w:space="0" w:color="auto" w:frame="1"/>
        </w:rPr>
        <w:t xml:space="preserve">Dr. Malex </w:t>
      </w:r>
      <w:r w:rsidRPr="00F83EC8">
        <w:rPr>
          <w:bdr w:val="none" w:sz="0" w:space="0" w:color="auto" w:frame="1"/>
        </w:rPr>
        <w:t xml:space="preserve">entry into Remsia. Because UNSC Resolution 99997’s adoption was in violation of Article 27(3) of the UN Charter, it is void. If this Court finds </w:t>
      </w:r>
      <w:r w:rsidR="002B3B54" w:rsidRPr="00F83EC8">
        <w:rPr>
          <w:bdr w:val="none" w:sz="0" w:space="0" w:color="auto" w:frame="1"/>
        </w:rPr>
        <w:t>Resolution 99997</w:t>
      </w:r>
      <w:r w:rsidRPr="00F83EC8">
        <w:rPr>
          <w:bdr w:val="none" w:sz="0" w:space="0" w:color="auto" w:frame="1"/>
        </w:rPr>
        <w:t xml:space="preserve"> is valid, Remisia still complied with Article 2(7) of The UN Charter by maintaining its sovereign authority of its domestic affairs. Further, Remisia complied with the CPI when it denied entry to Dr. Malex as his travel to Remisia is not necessary. Additionally, Remisia complied with Article 9 of the VCDR when it denied a diplomatic agent entry into its territory. Finally, Remisia Complied with its </w:t>
      </w:r>
      <w:r w:rsidR="002B3B54" w:rsidRPr="00F83EC8">
        <w:rPr>
          <w:bdr w:val="none" w:sz="0" w:space="0" w:color="auto" w:frame="1"/>
        </w:rPr>
        <w:t>i</w:t>
      </w:r>
      <w:r w:rsidRPr="00F83EC8">
        <w:rPr>
          <w:bdr w:val="none" w:sz="0" w:space="0" w:color="auto" w:frame="1"/>
        </w:rPr>
        <w:t xml:space="preserve">nternational </w:t>
      </w:r>
      <w:r w:rsidR="002B3B54" w:rsidRPr="00F83EC8">
        <w:rPr>
          <w:bdr w:val="none" w:sz="0" w:space="0" w:color="auto" w:frame="1"/>
        </w:rPr>
        <w:t>l</w:t>
      </w:r>
      <w:r w:rsidRPr="00F83EC8">
        <w:rPr>
          <w:bdr w:val="none" w:sz="0" w:space="0" w:color="auto" w:frame="1"/>
        </w:rPr>
        <w:t xml:space="preserve">aw </w:t>
      </w:r>
      <w:r w:rsidR="002B3B54" w:rsidRPr="00F83EC8">
        <w:rPr>
          <w:bdr w:val="none" w:sz="0" w:space="0" w:color="auto" w:frame="1"/>
        </w:rPr>
        <w:t>o</w:t>
      </w:r>
      <w:r w:rsidRPr="00F83EC8">
        <w:rPr>
          <w:bdr w:val="none" w:sz="0" w:space="0" w:color="auto" w:frame="1"/>
        </w:rPr>
        <w:t xml:space="preserve">bligations when </w:t>
      </w:r>
      <w:r w:rsidR="002B3B54" w:rsidRPr="00F83EC8">
        <w:rPr>
          <w:bdr w:val="none" w:sz="0" w:space="0" w:color="auto" w:frame="1"/>
        </w:rPr>
        <w:t>i</w:t>
      </w:r>
      <w:r w:rsidRPr="00F83EC8">
        <w:rPr>
          <w:bdr w:val="none" w:sz="0" w:space="0" w:color="auto" w:frame="1"/>
        </w:rPr>
        <w:t xml:space="preserve">t denied entry to Dr. Malex. </w:t>
      </w:r>
      <w:r w:rsidR="002B3B54" w:rsidRPr="00F83EC8">
        <w:t xml:space="preserve">Customary international law </w:t>
      </w:r>
      <w:r w:rsidRPr="00F83EC8">
        <w:t xml:space="preserve">does not specifically prohibit states from denying entry, and therefore Remisa is free to act in absence of this prohibitory rule. In denying entry to Dr. Malex, Remisia </w:t>
      </w:r>
      <w:r w:rsidR="002B3B54" w:rsidRPr="00F83EC8">
        <w:t>stopped Antrano from</w:t>
      </w:r>
      <w:r w:rsidRPr="00F83EC8">
        <w:t xml:space="preserve"> intervention into Remisian domestic affairs. Finally, international law recognizes the </w:t>
      </w:r>
      <w:r w:rsidR="002B3B54" w:rsidRPr="00F83EC8">
        <w:t xml:space="preserve">sovereignty </w:t>
      </w:r>
      <w:r w:rsidRPr="00F83EC8">
        <w:t xml:space="preserve">of States to </w:t>
      </w:r>
      <w:r w:rsidR="002B3B54" w:rsidRPr="00F83EC8">
        <w:t xml:space="preserve">maintain the integrity of their borders through the principle of non-intervention. </w:t>
      </w:r>
    </w:p>
    <w:p w14:paraId="49A64F3C" w14:textId="1792C250" w:rsidR="00FA6336" w:rsidRPr="00F83EC8" w:rsidRDefault="00FA6336" w:rsidP="00FA6336">
      <w:pPr>
        <w:spacing w:before="0" w:after="0"/>
        <w:rPr>
          <w:smallCaps/>
        </w:rPr>
      </w:pPr>
      <w:bookmarkStart w:id="5" w:name="_Toc155683557"/>
    </w:p>
    <w:p w14:paraId="55DEA7FD" w14:textId="77777777" w:rsidR="00F63433" w:rsidRPr="00F83EC8" w:rsidRDefault="00F63433">
      <w:pPr>
        <w:rPr>
          <w:b/>
          <w:smallCaps/>
        </w:rPr>
      </w:pPr>
      <w:r w:rsidRPr="00F83EC8">
        <w:rPr>
          <w:b/>
          <w:smallCaps/>
        </w:rPr>
        <w:br w:type="page"/>
      </w:r>
    </w:p>
    <w:p w14:paraId="6622478A" w14:textId="77777777" w:rsidR="00CA09AF" w:rsidRPr="00F83EC8" w:rsidRDefault="00CA09AF" w:rsidP="00FA6336">
      <w:pPr>
        <w:pBdr>
          <w:bottom w:val="single" w:sz="6" w:space="1" w:color="000000"/>
        </w:pBdr>
        <w:spacing w:line="360" w:lineRule="auto"/>
        <w:jc w:val="center"/>
        <w:rPr>
          <w:b/>
          <w:smallCaps/>
        </w:rPr>
        <w:sectPr w:rsidR="00CA09AF" w:rsidRPr="00F83EC8" w:rsidSect="00C65AC2">
          <w:footerReference w:type="default" r:id="rId13"/>
          <w:pgSz w:w="12240" w:h="15840"/>
          <w:pgMar w:top="1440" w:right="1440" w:bottom="1440" w:left="1440" w:header="720" w:footer="720" w:gutter="0"/>
          <w:pgNumType w:fmt="lowerRoman" w:start="1"/>
          <w:cols w:space="720"/>
        </w:sectPr>
      </w:pPr>
    </w:p>
    <w:p w14:paraId="4C62E581" w14:textId="231ACAB1" w:rsidR="00FA6336" w:rsidRPr="00F77F3B" w:rsidRDefault="00FA6336" w:rsidP="00FA6336">
      <w:pPr>
        <w:pBdr>
          <w:bottom w:val="single" w:sz="6" w:space="1" w:color="000000"/>
        </w:pBdr>
        <w:spacing w:line="360" w:lineRule="auto"/>
        <w:jc w:val="center"/>
        <w:rPr>
          <w:b/>
          <w:smallCaps/>
        </w:rPr>
      </w:pPr>
      <w:r w:rsidRPr="00F77F3B">
        <w:rPr>
          <w:b/>
          <w:smallCaps/>
        </w:rPr>
        <w:lastRenderedPageBreak/>
        <w:t>Pleadings</w:t>
      </w:r>
    </w:p>
    <w:p w14:paraId="048AD040" w14:textId="634258D8" w:rsidR="00967B40" w:rsidRPr="00F77F3B" w:rsidRDefault="00967B40" w:rsidP="00151AEB">
      <w:pPr>
        <w:pStyle w:val="Heading1"/>
        <w:numPr>
          <w:ilvl w:val="0"/>
          <w:numId w:val="3"/>
        </w:numPr>
        <w:spacing w:line="240" w:lineRule="auto"/>
        <w:rPr>
          <w:b/>
        </w:rPr>
      </w:pPr>
      <w:bookmarkStart w:id="6" w:name="_Toc155924014"/>
      <w:r w:rsidRPr="00F77F3B">
        <w:rPr>
          <w:b/>
        </w:rPr>
        <w:t xml:space="preserve">Antrano Lacks Standing To Bring The Matter </w:t>
      </w:r>
      <w:r w:rsidR="00890252" w:rsidRPr="00F77F3B">
        <w:rPr>
          <w:b/>
        </w:rPr>
        <w:t xml:space="preserve">of </w:t>
      </w:r>
      <w:r w:rsidRPr="00F77F3B">
        <w:rPr>
          <w:b/>
        </w:rPr>
        <w:t>The Sterren Forty’s Nationality To This Court</w:t>
      </w:r>
      <w:bookmarkEnd w:id="5"/>
      <w:bookmarkEnd w:id="6"/>
    </w:p>
    <w:p w14:paraId="5C63E5F7" w14:textId="1FB6B6C5" w:rsidR="00967B40" w:rsidRPr="00F77F3B" w:rsidRDefault="00967B40" w:rsidP="009C4193">
      <w:pPr>
        <w:spacing w:before="0" w:line="360" w:lineRule="auto"/>
        <w:ind w:firstLine="720"/>
        <w:jc w:val="both"/>
      </w:pPr>
      <w:r w:rsidRPr="00F77F3B">
        <w:t xml:space="preserve">Antrano lacks standing to dispute the revocation of the Sterren Forty’s </w:t>
      </w:r>
      <w:r w:rsidR="009B089D" w:rsidRPr="00F77F3B">
        <w:t xml:space="preserve">nationality </w:t>
      </w:r>
      <w:r w:rsidRPr="00F77F3B">
        <w:t xml:space="preserve">because: (1) Antrano </w:t>
      </w:r>
      <w:r w:rsidR="00943884" w:rsidRPr="00F77F3B">
        <w:t>cannot exert diplomatic protection over the Sterren Forty</w:t>
      </w:r>
      <w:r w:rsidRPr="00F77F3B">
        <w:t xml:space="preserve">; (2) there was no </w:t>
      </w:r>
      <w:r w:rsidRPr="00F77F3B">
        <w:rPr>
          <w:i/>
        </w:rPr>
        <w:t>erga omnes partes</w:t>
      </w:r>
      <w:r w:rsidRPr="00F77F3B">
        <w:t xml:space="preserve"> breach under treaty law; and (3) statelessness is not a </w:t>
      </w:r>
      <w:r w:rsidRPr="00F77F3B">
        <w:rPr>
          <w:i/>
        </w:rPr>
        <w:t>jus cogens</w:t>
      </w:r>
      <w:r w:rsidRPr="00F77F3B">
        <w:t xml:space="preserve"> norm. </w:t>
      </w:r>
    </w:p>
    <w:p w14:paraId="7F7A0FD7" w14:textId="714D591D" w:rsidR="00967B40" w:rsidRPr="00F77F3B" w:rsidRDefault="00967B40" w:rsidP="007B39FF">
      <w:pPr>
        <w:pStyle w:val="Heading2"/>
        <w:numPr>
          <w:ilvl w:val="1"/>
          <w:numId w:val="3"/>
        </w:numPr>
        <w:ind w:left="1800" w:hanging="720"/>
        <w:rPr>
          <w:b/>
          <w:bCs/>
        </w:rPr>
      </w:pPr>
      <w:bookmarkStart w:id="7" w:name="_Toc155683558"/>
      <w:bookmarkStart w:id="8" w:name="_Toc155924015"/>
      <w:r w:rsidRPr="00F77F3B">
        <w:rPr>
          <w:b/>
          <w:bCs/>
        </w:rPr>
        <w:t xml:space="preserve">Antrano Lacks Standing Because </w:t>
      </w:r>
      <w:r w:rsidR="007B39FF" w:rsidRPr="00F77F3B">
        <w:rPr>
          <w:b/>
          <w:bCs/>
        </w:rPr>
        <w:t>I</w:t>
      </w:r>
      <w:r w:rsidR="00666D68" w:rsidRPr="00F77F3B">
        <w:rPr>
          <w:b/>
          <w:bCs/>
        </w:rPr>
        <w:t>t</w:t>
      </w:r>
      <w:r w:rsidRPr="00F77F3B">
        <w:rPr>
          <w:b/>
          <w:bCs/>
        </w:rPr>
        <w:t xml:space="preserve"> </w:t>
      </w:r>
      <w:r w:rsidR="00E75258" w:rsidRPr="00F77F3B">
        <w:rPr>
          <w:b/>
          <w:bCs/>
        </w:rPr>
        <w:t xml:space="preserve">Cannot Exert Diplomatic Protection </w:t>
      </w:r>
      <w:r w:rsidR="001A3480" w:rsidRPr="00F77F3B">
        <w:rPr>
          <w:b/>
          <w:bCs/>
        </w:rPr>
        <w:t>O</w:t>
      </w:r>
      <w:r w:rsidR="00E75258" w:rsidRPr="00F77F3B">
        <w:rPr>
          <w:b/>
          <w:bCs/>
        </w:rPr>
        <w:t xml:space="preserve">ver </w:t>
      </w:r>
      <w:r w:rsidR="00666D68" w:rsidRPr="00F77F3B">
        <w:rPr>
          <w:b/>
          <w:bCs/>
        </w:rPr>
        <w:t>t</w:t>
      </w:r>
      <w:r w:rsidR="00E75258" w:rsidRPr="00F77F3B">
        <w:rPr>
          <w:b/>
          <w:bCs/>
        </w:rPr>
        <w:t>he Sterren Forty</w:t>
      </w:r>
      <w:r w:rsidR="001D2C5B" w:rsidRPr="00F77F3B">
        <w:rPr>
          <w:b/>
          <w:bCs/>
        </w:rPr>
        <w:t>.</w:t>
      </w:r>
      <w:bookmarkEnd w:id="7"/>
      <w:bookmarkEnd w:id="8"/>
    </w:p>
    <w:p w14:paraId="3C6B4007" w14:textId="77777777" w:rsidR="000E2DB3" w:rsidRPr="00F77F3B" w:rsidRDefault="00967B40" w:rsidP="000E2DB3">
      <w:pPr>
        <w:spacing w:before="0" w:after="0" w:line="360" w:lineRule="auto"/>
        <w:ind w:firstLine="720"/>
        <w:jc w:val="both"/>
      </w:pPr>
      <w:r w:rsidRPr="00F77F3B">
        <w:t>To have standing in this Court, a State must cite direct injury to the State itself or to its nationals.</w:t>
      </w:r>
      <w:r w:rsidRPr="00F77F3B">
        <w:rPr>
          <w:vertAlign w:val="superscript"/>
        </w:rPr>
        <w:footnoteReference w:id="2"/>
      </w:r>
      <w:r w:rsidRPr="00F77F3B">
        <w:t xml:space="preserve"> Antrano lacks such injury.</w:t>
      </w:r>
      <w:r w:rsidR="00890252" w:rsidRPr="00F77F3B">
        <w:t xml:space="preserve"> </w:t>
      </w:r>
      <w:r w:rsidR="00E75258" w:rsidRPr="00F77F3B">
        <w:t xml:space="preserve">Without direct injury, a State cannot exert diplomatic protection over the injured </w:t>
      </w:r>
      <w:r w:rsidR="00943884" w:rsidRPr="00F77F3B">
        <w:t>nationals</w:t>
      </w:r>
      <w:r w:rsidR="00E75258" w:rsidRPr="00F77F3B">
        <w:t>.</w:t>
      </w:r>
      <w:r w:rsidR="00E75258" w:rsidRPr="00F77F3B">
        <w:rPr>
          <w:rStyle w:val="FootnoteReference"/>
        </w:rPr>
        <w:footnoteReference w:id="3"/>
      </w:r>
      <w:r w:rsidR="00E75258" w:rsidRPr="00F77F3B">
        <w:t xml:space="preserve"> </w:t>
      </w:r>
      <w:r w:rsidRPr="00F77F3B">
        <w:t xml:space="preserve">In </w:t>
      </w:r>
      <w:r w:rsidRPr="00F77F3B">
        <w:rPr>
          <w:i/>
        </w:rPr>
        <w:t>Nottebohm</w:t>
      </w:r>
      <w:r w:rsidRPr="00F77F3B">
        <w:t>, this Court ruled nationality is determined through “any genuine intention to establish a durable link” to a State.</w:t>
      </w:r>
      <w:r w:rsidRPr="00F77F3B">
        <w:rPr>
          <w:vertAlign w:val="superscript"/>
        </w:rPr>
        <w:footnoteReference w:id="4"/>
      </w:r>
    </w:p>
    <w:p w14:paraId="08BEA684" w14:textId="69C4C29F" w:rsidR="00967B40" w:rsidRPr="00F77F3B" w:rsidRDefault="00967B40" w:rsidP="00C67599">
      <w:pPr>
        <w:spacing w:before="0" w:line="360" w:lineRule="auto"/>
        <w:ind w:firstLine="720"/>
        <w:jc w:val="both"/>
      </w:pPr>
      <w:r w:rsidRPr="00F77F3B">
        <w:t>Here, the Sterren Forty have no genuine links to Antrano because their sole nationality is Remisian</w:t>
      </w:r>
      <w:r w:rsidR="00890252" w:rsidRPr="00F77F3B">
        <w:t>,</w:t>
      </w:r>
      <w:r w:rsidRPr="00F77F3B">
        <w:rPr>
          <w:rStyle w:val="FootnoteReference"/>
        </w:rPr>
        <w:footnoteReference w:id="5"/>
      </w:r>
      <w:r w:rsidRPr="00F77F3B">
        <w:t xml:space="preserve"> </w:t>
      </w:r>
      <w:r w:rsidR="00943884" w:rsidRPr="00F77F3B">
        <w:t>and</w:t>
      </w:r>
      <w:r w:rsidR="00890252" w:rsidRPr="00F77F3B">
        <w:t xml:space="preserve"> there </w:t>
      </w:r>
      <w:r w:rsidR="00943884" w:rsidRPr="00F77F3B">
        <w:t>is no</w:t>
      </w:r>
      <w:r w:rsidR="00890252" w:rsidRPr="00F77F3B">
        <w:t xml:space="preserve"> indication the Sterren Forty have connections to Antrano. </w:t>
      </w:r>
      <w:r w:rsidRPr="00F77F3B">
        <w:t xml:space="preserve">Without a demonstrable link to the Sterren Forty, Antrano </w:t>
      </w:r>
      <w:r w:rsidR="00943884" w:rsidRPr="00F77F3B">
        <w:t>can neither</w:t>
      </w:r>
      <w:r w:rsidRPr="00F77F3B">
        <w:t xml:space="preserve"> prove injury</w:t>
      </w:r>
      <w:r w:rsidR="00E75258" w:rsidRPr="00F77F3B">
        <w:t xml:space="preserve"> nor exert diplomatic protection</w:t>
      </w:r>
      <w:r w:rsidRPr="00F77F3B">
        <w:t>.</w:t>
      </w:r>
      <w:r w:rsidR="00E75258" w:rsidRPr="00F77F3B">
        <w:t xml:space="preserve"> </w:t>
      </w:r>
      <w:r w:rsidR="00943884" w:rsidRPr="00F77F3B">
        <w:t>Permitting</w:t>
      </w:r>
      <w:r w:rsidR="00E75258" w:rsidRPr="00F77F3B">
        <w:t xml:space="preserve"> such would constitute </w:t>
      </w:r>
      <w:r w:rsidR="009525F3" w:rsidRPr="00F77F3B">
        <w:t>an</w:t>
      </w:r>
      <w:r w:rsidR="00E75258" w:rsidRPr="00F77F3B">
        <w:t xml:space="preserve"> </w:t>
      </w:r>
      <w:r w:rsidR="00E75258" w:rsidRPr="00F77F3B">
        <w:rPr>
          <w:i/>
          <w:iCs/>
        </w:rPr>
        <w:t>actio popularis</w:t>
      </w:r>
      <w:r w:rsidR="009525F3" w:rsidRPr="00F77F3B">
        <w:rPr>
          <w:i/>
          <w:iCs/>
        </w:rPr>
        <w:t xml:space="preserve"> </w:t>
      </w:r>
      <w:r w:rsidR="009525F3" w:rsidRPr="00F77F3B">
        <w:t>claim</w:t>
      </w:r>
      <w:r w:rsidR="00E75258" w:rsidRPr="00F77F3B">
        <w:t>, which this Court has affirmatively rejected.</w:t>
      </w:r>
      <w:r w:rsidR="00E75258" w:rsidRPr="00F77F3B">
        <w:rPr>
          <w:rStyle w:val="FootnoteReference"/>
        </w:rPr>
        <w:footnoteReference w:id="6"/>
      </w:r>
    </w:p>
    <w:p w14:paraId="790BA90E" w14:textId="1C31CF0D" w:rsidR="00967B40" w:rsidRPr="00F77F3B" w:rsidRDefault="00967B40" w:rsidP="007B39FF">
      <w:pPr>
        <w:pStyle w:val="Heading2"/>
        <w:numPr>
          <w:ilvl w:val="1"/>
          <w:numId w:val="3"/>
        </w:numPr>
        <w:ind w:left="1890" w:hanging="810"/>
        <w:jc w:val="both"/>
        <w:rPr>
          <w:b/>
          <w:bCs/>
        </w:rPr>
      </w:pPr>
      <w:bookmarkStart w:id="9" w:name="_Toc155683559"/>
      <w:bookmarkStart w:id="10" w:name="_Toc155924016"/>
      <w:r w:rsidRPr="00F77F3B">
        <w:rPr>
          <w:b/>
          <w:bCs/>
        </w:rPr>
        <w:t xml:space="preserve">Antrano Lacks Standing Because There </w:t>
      </w:r>
      <w:r w:rsidR="00666D68" w:rsidRPr="00F77F3B">
        <w:rPr>
          <w:b/>
          <w:bCs/>
        </w:rPr>
        <w:t>i</w:t>
      </w:r>
      <w:r w:rsidRPr="00F77F3B">
        <w:rPr>
          <w:b/>
          <w:bCs/>
        </w:rPr>
        <w:t xml:space="preserve">s </w:t>
      </w:r>
      <w:r w:rsidR="00666D68" w:rsidRPr="00F77F3B">
        <w:rPr>
          <w:b/>
          <w:bCs/>
        </w:rPr>
        <w:t>n</w:t>
      </w:r>
      <w:r w:rsidRPr="00F77F3B">
        <w:rPr>
          <w:b/>
          <w:bCs/>
        </w:rPr>
        <w:t xml:space="preserve">o </w:t>
      </w:r>
      <w:r w:rsidRPr="00F77F3B">
        <w:rPr>
          <w:b/>
          <w:bCs/>
          <w:i/>
        </w:rPr>
        <w:t xml:space="preserve">Erga Omnes Partes </w:t>
      </w:r>
      <w:r w:rsidRPr="00F77F3B">
        <w:rPr>
          <w:b/>
          <w:bCs/>
        </w:rPr>
        <w:t xml:space="preserve">Obligation </w:t>
      </w:r>
      <w:r w:rsidR="00666D68" w:rsidRPr="00F77F3B">
        <w:rPr>
          <w:b/>
          <w:bCs/>
        </w:rPr>
        <w:t>t</w:t>
      </w:r>
      <w:r w:rsidRPr="00F77F3B">
        <w:rPr>
          <w:b/>
          <w:bCs/>
        </w:rPr>
        <w:t xml:space="preserve">o Guarantee </w:t>
      </w:r>
      <w:r w:rsidR="00943884" w:rsidRPr="00F77F3B">
        <w:rPr>
          <w:b/>
          <w:bCs/>
        </w:rPr>
        <w:t>Nationality</w:t>
      </w:r>
      <w:r w:rsidRPr="00F77F3B">
        <w:rPr>
          <w:b/>
          <w:bCs/>
        </w:rPr>
        <w:t xml:space="preserve"> </w:t>
      </w:r>
      <w:r w:rsidR="00666D68" w:rsidRPr="00F77F3B">
        <w:rPr>
          <w:b/>
          <w:bCs/>
        </w:rPr>
        <w:t>U</w:t>
      </w:r>
      <w:r w:rsidRPr="00F77F3B">
        <w:rPr>
          <w:b/>
          <w:bCs/>
        </w:rPr>
        <w:t>nder Treaty Law</w:t>
      </w:r>
      <w:bookmarkEnd w:id="9"/>
      <w:bookmarkEnd w:id="10"/>
      <w:r w:rsidRPr="00F77F3B">
        <w:rPr>
          <w:b/>
          <w:bCs/>
        </w:rPr>
        <w:t xml:space="preserve"> </w:t>
      </w:r>
    </w:p>
    <w:p w14:paraId="4F616BC8" w14:textId="5C05C1A1" w:rsidR="00967B40" w:rsidRPr="00F77F3B" w:rsidRDefault="00E75258" w:rsidP="00C67599">
      <w:pPr>
        <w:spacing w:before="0" w:after="0" w:line="360" w:lineRule="auto"/>
        <w:ind w:firstLine="720"/>
        <w:jc w:val="both"/>
      </w:pPr>
      <w:r w:rsidRPr="00F77F3B">
        <w:rPr>
          <w:i/>
        </w:rPr>
        <w:t>E</w:t>
      </w:r>
      <w:r w:rsidR="00967B40" w:rsidRPr="00F77F3B">
        <w:rPr>
          <w:i/>
        </w:rPr>
        <w:t>rga omnes partes</w:t>
      </w:r>
      <w:r w:rsidR="00967B40" w:rsidRPr="00F77F3B">
        <w:t xml:space="preserve"> obligations are common interests in a treaty “owed by any State party to all other States parties to </w:t>
      </w:r>
      <w:r w:rsidRPr="00F77F3B">
        <w:t>the [</w:t>
      </w:r>
      <w:r w:rsidR="00967B40" w:rsidRPr="00F77F3B">
        <w:t>treaty].”</w:t>
      </w:r>
      <w:r w:rsidR="00967B40" w:rsidRPr="00F77F3B">
        <w:rPr>
          <w:vertAlign w:val="superscript"/>
        </w:rPr>
        <w:footnoteReference w:id="7"/>
      </w:r>
      <w:r w:rsidR="00967B40" w:rsidRPr="00F77F3B">
        <w:t xml:space="preserve"> These obligations are collective obligations each State </w:t>
      </w:r>
      <w:r w:rsidR="00967B40" w:rsidRPr="00F77F3B">
        <w:lastRenderedPageBreak/>
        <w:t xml:space="preserve">party has an interest </w:t>
      </w:r>
      <w:r w:rsidR="00CF52F1" w:rsidRPr="00F77F3B">
        <w:t>to comply.</w:t>
      </w:r>
      <w:r w:rsidR="00967B40" w:rsidRPr="00F77F3B">
        <w:rPr>
          <w:vertAlign w:val="superscript"/>
        </w:rPr>
        <w:footnoteReference w:id="8"/>
      </w:r>
      <w:r w:rsidR="00967B40" w:rsidRPr="00F77F3B">
        <w:t xml:space="preserve"> </w:t>
      </w:r>
      <w:r w:rsidR="00967B40" w:rsidRPr="00F77F3B">
        <w:rPr>
          <w:i/>
        </w:rPr>
        <w:t>Erga omnes partes</w:t>
      </w:r>
      <w:r w:rsidR="00967B40" w:rsidRPr="00F77F3B">
        <w:t xml:space="preserve"> obligations arise when non-compliance with the obligation would “radically . . . change” all parties’ commitment to upholding the obligation.</w:t>
      </w:r>
      <w:r w:rsidR="00967B40" w:rsidRPr="00F77F3B">
        <w:rPr>
          <w:vertAlign w:val="superscript"/>
        </w:rPr>
        <w:footnoteReference w:id="9"/>
      </w:r>
      <w:r w:rsidR="00967B40" w:rsidRPr="00F77F3B">
        <w:t xml:space="preserve"> </w:t>
      </w:r>
      <w:r w:rsidR="001B7AAB" w:rsidRPr="00F77F3B">
        <w:t>Although</w:t>
      </w:r>
      <w:r w:rsidR="00967B40" w:rsidRPr="00F77F3B">
        <w:t xml:space="preserve"> any party may claim injury on the collective’s behalf for </w:t>
      </w:r>
      <w:r w:rsidR="00967B40" w:rsidRPr="00F77F3B">
        <w:rPr>
          <w:i/>
        </w:rPr>
        <w:t xml:space="preserve">erga omnes partes </w:t>
      </w:r>
      <w:r w:rsidR="00967B40" w:rsidRPr="00F77F3B">
        <w:t>breaches</w:t>
      </w:r>
      <w:r w:rsidR="001B7AAB" w:rsidRPr="00F77F3B">
        <w:t>,</w:t>
      </w:r>
      <w:r w:rsidR="001B7AAB" w:rsidRPr="00F77F3B">
        <w:rPr>
          <w:rStyle w:val="FootnoteReference"/>
        </w:rPr>
        <w:footnoteReference w:id="10"/>
      </w:r>
      <w:r w:rsidR="001B7AAB" w:rsidRPr="00F77F3B">
        <w:t xml:space="preserve"> this Court has only applied this theory in limited circumstances</w:t>
      </w:r>
      <w:r w:rsidR="00967B40" w:rsidRPr="00F77F3B">
        <w:t>.</w:t>
      </w:r>
      <w:r w:rsidR="00967B40" w:rsidRPr="00F77F3B">
        <w:rPr>
          <w:vertAlign w:val="superscript"/>
        </w:rPr>
        <w:footnoteReference w:id="11"/>
      </w:r>
    </w:p>
    <w:p w14:paraId="6770AE7F" w14:textId="629E4060" w:rsidR="00967B40" w:rsidRPr="00F77F3B" w:rsidRDefault="00967B40" w:rsidP="00C67599">
      <w:pPr>
        <w:spacing w:before="0" w:after="0" w:line="360" w:lineRule="auto"/>
        <w:ind w:firstLine="720"/>
        <w:jc w:val="both"/>
      </w:pPr>
      <w:r w:rsidRPr="00F77F3B">
        <w:t xml:space="preserve">To establish an </w:t>
      </w:r>
      <w:r w:rsidRPr="00F77F3B">
        <w:rPr>
          <w:i/>
        </w:rPr>
        <w:t xml:space="preserve">erga omnes partes </w:t>
      </w:r>
      <w:r w:rsidRPr="00F77F3B">
        <w:t>obligation, this Court considers the treaty’s common interests.</w:t>
      </w:r>
      <w:r w:rsidRPr="00F77F3B">
        <w:rPr>
          <w:vertAlign w:val="superscript"/>
        </w:rPr>
        <w:footnoteReference w:id="12"/>
      </w:r>
      <w:r w:rsidRPr="00F77F3B">
        <w:t xml:space="preserve"> </w:t>
      </w:r>
      <w:bookmarkStart w:id="12" w:name="_Hlk154347264"/>
      <w:r w:rsidRPr="00F77F3B">
        <w:t>Common interests are found in cooperative treaty regimes where States lack individual interests,</w:t>
      </w:r>
      <w:r w:rsidRPr="00F77F3B">
        <w:rPr>
          <w:rStyle w:val="FootnoteReference"/>
        </w:rPr>
        <w:footnoteReference w:id="13"/>
      </w:r>
      <w:r w:rsidRPr="00F77F3B">
        <w:t xml:space="preserve"> but rather share “a common interest [in] the accomplishment of those high purposes which are the </w:t>
      </w:r>
      <w:r w:rsidRPr="00F77F3B">
        <w:rPr>
          <w:i/>
          <w:iCs/>
        </w:rPr>
        <w:t>raison</w:t>
      </w:r>
      <w:r w:rsidRPr="00F77F3B">
        <w:t xml:space="preserve"> </w:t>
      </w:r>
      <w:r w:rsidRPr="00F77F3B">
        <w:rPr>
          <w:i/>
          <w:iCs/>
        </w:rPr>
        <w:t xml:space="preserve">d’être </w:t>
      </w:r>
      <w:r w:rsidRPr="00F77F3B">
        <w:t>of the [c]onvention.”</w:t>
      </w:r>
      <w:r w:rsidRPr="00F77F3B">
        <w:rPr>
          <w:rStyle w:val="FootnoteReference"/>
        </w:rPr>
        <w:footnoteReference w:id="14"/>
      </w:r>
      <w:bookmarkEnd w:id="12"/>
      <w:r w:rsidRPr="00F77F3B">
        <w:t xml:space="preserve"> These interests are found in the treaty’s object and purpose,</w:t>
      </w:r>
      <w:r w:rsidRPr="00F77F3B">
        <w:rPr>
          <w:vertAlign w:val="superscript"/>
        </w:rPr>
        <w:footnoteReference w:id="15"/>
      </w:r>
      <w:r w:rsidRPr="00F77F3B">
        <w:t xml:space="preserve"> which can be determined through analyzing its text, context, negotiating history, and surrounding circumstances.</w:t>
      </w:r>
      <w:r w:rsidRPr="00F77F3B">
        <w:rPr>
          <w:rStyle w:val="FootnoteReference"/>
        </w:rPr>
        <w:footnoteReference w:id="16"/>
      </w:r>
      <w:r w:rsidRPr="00F77F3B">
        <w:t xml:space="preserve"> </w:t>
      </w:r>
    </w:p>
    <w:p w14:paraId="68E32BFB" w14:textId="4690620B" w:rsidR="00967B40" w:rsidRPr="00F77F3B" w:rsidRDefault="00967B40" w:rsidP="00C67599">
      <w:pPr>
        <w:spacing w:before="0" w:after="0" w:line="360" w:lineRule="auto"/>
        <w:ind w:firstLine="720"/>
        <w:jc w:val="both"/>
      </w:pPr>
      <w:r w:rsidRPr="00F77F3B">
        <w:t xml:space="preserve">While Antrano submits Remisia is bound to certain </w:t>
      </w:r>
      <w:r w:rsidRPr="00F77F3B">
        <w:rPr>
          <w:i/>
        </w:rPr>
        <w:t>erga omnes partes</w:t>
      </w:r>
      <w:r w:rsidRPr="00F77F3B">
        <w:t xml:space="preserve"> obligations under the CRS, CSP, and ICCPR,</w:t>
      </w:r>
      <w:r w:rsidRPr="00F77F3B">
        <w:rPr>
          <w:vertAlign w:val="superscript"/>
        </w:rPr>
        <w:footnoteReference w:id="17"/>
      </w:r>
      <w:r w:rsidRPr="00F77F3B">
        <w:t xml:space="preserve"> an unequivocal guarantee to </w:t>
      </w:r>
      <w:r w:rsidR="000A5BF7" w:rsidRPr="00F77F3B">
        <w:t>nationality</w:t>
      </w:r>
      <w:r w:rsidRPr="00F77F3B">
        <w:t xml:space="preserve"> is not a common interest of any of the</w:t>
      </w:r>
      <w:r w:rsidR="00943884" w:rsidRPr="00F77F3B">
        <w:t>se</w:t>
      </w:r>
      <w:r w:rsidRPr="00F77F3B">
        <w:t xml:space="preserve"> treaties.</w:t>
      </w:r>
      <w:r w:rsidRPr="00F77F3B">
        <w:rPr>
          <w:rStyle w:val="FootnoteReference"/>
        </w:rPr>
        <w:footnoteReference w:id="18"/>
      </w:r>
      <w:r w:rsidRPr="00F77F3B">
        <w:t xml:space="preserve"> Therefore, under certain conditions, it is permissible for Remisia to revoke its own </w:t>
      </w:r>
      <w:r w:rsidR="00943884" w:rsidRPr="00F77F3B">
        <w:t>people’s</w:t>
      </w:r>
      <w:r w:rsidRPr="00F77F3B">
        <w:t xml:space="preserve"> nationality</w:t>
      </w:r>
      <w:r w:rsidR="004617F8" w:rsidRPr="00F77F3B">
        <w:t>; t</w:t>
      </w:r>
      <w:r w:rsidRPr="00F77F3B">
        <w:t xml:space="preserve">he violation of the DCA </w:t>
      </w:r>
      <w:r w:rsidR="004617F8" w:rsidRPr="00F77F3B">
        <w:t>being one of these</w:t>
      </w:r>
      <w:r w:rsidRPr="00F77F3B">
        <w:t xml:space="preserve"> conditions. </w:t>
      </w:r>
    </w:p>
    <w:p w14:paraId="684BE184" w14:textId="56C0F033" w:rsidR="00434E97" w:rsidRPr="00F77F3B" w:rsidRDefault="00434E97" w:rsidP="007B39FF">
      <w:pPr>
        <w:pStyle w:val="Heading3"/>
        <w:numPr>
          <w:ilvl w:val="2"/>
          <w:numId w:val="3"/>
        </w:numPr>
        <w:spacing w:before="240" w:after="240" w:line="240" w:lineRule="auto"/>
        <w:ind w:left="2340" w:hanging="360"/>
      </w:pPr>
      <w:bookmarkStart w:id="14" w:name="_Toc155683560"/>
      <w:bookmarkStart w:id="15" w:name="_Toc155924017"/>
      <w:r w:rsidRPr="00F77F3B">
        <w:t xml:space="preserve">An </w:t>
      </w:r>
      <w:r w:rsidR="00666D68" w:rsidRPr="00F77F3B">
        <w:t>u</w:t>
      </w:r>
      <w:r w:rsidRPr="00F77F3B">
        <w:t xml:space="preserve">nequivocal </w:t>
      </w:r>
      <w:r w:rsidR="00666D68" w:rsidRPr="00F77F3B">
        <w:t>g</w:t>
      </w:r>
      <w:r w:rsidRPr="00F77F3B">
        <w:t xml:space="preserve">uarantee to </w:t>
      </w:r>
      <w:r w:rsidR="00666D68" w:rsidRPr="00F77F3B">
        <w:t>n</w:t>
      </w:r>
      <w:r w:rsidRPr="00F77F3B">
        <w:t xml:space="preserve">ationality is not an </w:t>
      </w:r>
      <w:r w:rsidR="00666D68" w:rsidRPr="00F77F3B">
        <w:rPr>
          <w:i/>
          <w:iCs/>
        </w:rPr>
        <w:t>e</w:t>
      </w:r>
      <w:r w:rsidRPr="00F77F3B">
        <w:rPr>
          <w:i/>
          <w:iCs/>
        </w:rPr>
        <w:t xml:space="preserve">rga </w:t>
      </w:r>
      <w:r w:rsidR="00666D68" w:rsidRPr="00F77F3B">
        <w:rPr>
          <w:i/>
          <w:iCs/>
        </w:rPr>
        <w:t>o</w:t>
      </w:r>
      <w:r w:rsidRPr="00F77F3B">
        <w:rPr>
          <w:i/>
          <w:iCs/>
        </w:rPr>
        <w:t xml:space="preserve">mnes </w:t>
      </w:r>
      <w:r w:rsidR="00666D68" w:rsidRPr="00F77F3B">
        <w:rPr>
          <w:i/>
          <w:iCs/>
        </w:rPr>
        <w:t>p</w:t>
      </w:r>
      <w:r w:rsidRPr="00F77F3B">
        <w:rPr>
          <w:i/>
          <w:iCs/>
        </w:rPr>
        <w:t xml:space="preserve">artes </w:t>
      </w:r>
      <w:r w:rsidR="00666D68" w:rsidRPr="00F77F3B">
        <w:t>o</w:t>
      </w:r>
      <w:r w:rsidRPr="00F77F3B">
        <w:t xml:space="preserve">bligation </w:t>
      </w:r>
      <w:r w:rsidR="00666D68" w:rsidRPr="00F77F3B">
        <w:t>u</w:t>
      </w:r>
      <w:r w:rsidRPr="00F77F3B">
        <w:t>nder the CRS</w:t>
      </w:r>
      <w:bookmarkEnd w:id="14"/>
      <w:bookmarkEnd w:id="15"/>
      <w:r w:rsidR="000E2DB3" w:rsidRPr="00F77F3B">
        <w:t>.</w:t>
      </w:r>
    </w:p>
    <w:p w14:paraId="4E94CDFC" w14:textId="71867D6D" w:rsidR="00F77716" w:rsidRPr="00F77F3B" w:rsidRDefault="00E02527" w:rsidP="00C67599">
      <w:pPr>
        <w:spacing w:before="0" w:after="0" w:line="360" w:lineRule="auto"/>
        <w:ind w:firstLine="720"/>
        <w:jc w:val="both"/>
      </w:pPr>
      <w:r w:rsidRPr="00F77F3B">
        <w:t>Although a</w:t>
      </w:r>
      <w:r w:rsidR="00967B40" w:rsidRPr="00F77F3B">
        <w:t xml:space="preserve"> </w:t>
      </w:r>
      <w:r w:rsidR="004617F8" w:rsidRPr="00F77F3B">
        <w:t>common interest</w:t>
      </w:r>
      <w:r w:rsidR="00967B40" w:rsidRPr="00F77F3B">
        <w:t xml:space="preserve"> of the CRS is to provide feasible conditions for </w:t>
      </w:r>
      <w:r w:rsidRPr="00F77F3B">
        <w:t>S</w:t>
      </w:r>
      <w:r w:rsidR="00967B40" w:rsidRPr="00F77F3B">
        <w:t xml:space="preserve">tates to </w:t>
      </w:r>
      <w:r w:rsidRPr="00F77F3B">
        <w:t>prevent</w:t>
      </w:r>
      <w:r w:rsidR="00967B40" w:rsidRPr="00F77F3B">
        <w:t xml:space="preserve"> statelessness</w:t>
      </w:r>
      <w:r w:rsidRPr="00F77F3B">
        <w:t>,</w:t>
      </w:r>
      <w:r w:rsidR="00967B40" w:rsidRPr="00F77F3B">
        <w:rPr>
          <w:vertAlign w:val="superscript"/>
        </w:rPr>
        <w:footnoteReference w:id="19"/>
      </w:r>
      <w:r w:rsidRPr="00F77F3B">
        <w:t xml:space="preserve"> </w:t>
      </w:r>
      <w:r w:rsidR="00967B40" w:rsidRPr="00F77F3B">
        <w:t xml:space="preserve">it does not create a </w:t>
      </w:r>
      <w:r w:rsidR="005B37DC" w:rsidRPr="00F77F3B">
        <w:t xml:space="preserve">unequivocal </w:t>
      </w:r>
      <w:r w:rsidR="00967B40" w:rsidRPr="00F77F3B">
        <w:t>guarantee to nationality.</w:t>
      </w:r>
      <w:r w:rsidR="004617F8" w:rsidRPr="00F77F3B">
        <w:rPr>
          <w:rStyle w:val="FootnoteReference"/>
        </w:rPr>
        <w:footnoteReference w:id="20"/>
      </w:r>
      <w:r w:rsidR="00967B40" w:rsidRPr="00F77F3B">
        <w:t xml:space="preserve"> </w:t>
      </w:r>
      <w:r w:rsidR="004617F8" w:rsidRPr="00F77F3B">
        <w:t>Rather, it establishes safeguards to reduce statelessness by ensuring</w:t>
      </w:r>
      <w:r w:rsidRPr="00F77F3B">
        <w:t>, when appropriate,</w:t>
      </w:r>
      <w:r w:rsidR="004617F8" w:rsidRPr="00F77F3B">
        <w:t xml:space="preserve"> </w:t>
      </w:r>
      <w:r w:rsidRPr="00F77F3B">
        <w:t>nationality</w:t>
      </w:r>
      <w:r w:rsidR="004617F8" w:rsidRPr="00F77F3B">
        <w:t xml:space="preserve"> is not </w:t>
      </w:r>
      <w:r w:rsidR="004617F8" w:rsidRPr="00F77F3B">
        <w:lastRenderedPageBreak/>
        <w:t xml:space="preserve">revoked </w:t>
      </w:r>
      <w:r w:rsidRPr="00F77F3B">
        <w:t>arbitrarily</w:t>
      </w:r>
      <w:r w:rsidR="004617F8" w:rsidRPr="00F77F3B">
        <w:t>.</w:t>
      </w:r>
      <w:r w:rsidR="004617F8" w:rsidRPr="00F77F3B">
        <w:rPr>
          <w:rStyle w:val="FootnoteReference"/>
        </w:rPr>
        <w:footnoteReference w:id="21"/>
      </w:r>
      <w:r w:rsidR="004617F8" w:rsidRPr="00F77F3B">
        <w:t xml:space="preserve"> </w:t>
      </w:r>
      <w:r w:rsidR="00F77716" w:rsidRPr="00F77F3B">
        <w:t xml:space="preserve">In the Draft Convention on the Reduction of Future Statelessness, </w:t>
      </w:r>
      <w:r w:rsidR="008053BE" w:rsidRPr="00F77F3B">
        <w:t>considered a</w:t>
      </w:r>
      <w:r w:rsidR="00F77716" w:rsidRPr="00F77F3B">
        <w:t xml:space="preserve"> part of the</w:t>
      </w:r>
      <w:r w:rsidR="008608AC" w:rsidRPr="00F77F3B">
        <w:t xml:space="preserve"> CRS’s</w:t>
      </w:r>
      <w:r w:rsidR="00F77716" w:rsidRPr="00F77F3B">
        <w:t xml:space="preserve"> </w:t>
      </w:r>
      <w:r w:rsidR="00F77716" w:rsidRPr="00F77F3B">
        <w:rPr>
          <w:i/>
          <w:iCs/>
        </w:rPr>
        <w:t>trauvaux preparatoires</w:t>
      </w:r>
      <w:r w:rsidR="00F77716" w:rsidRPr="00F77F3B">
        <w:t>,</w:t>
      </w:r>
      <w:r w:rsidR="0029005F" w:rsidRPr="00F77F3B">
        <w:rPr>
          <w:rStyle w:val="FootnoteReference"/>
        </w:rPr>
        <w:footnoteReference w:id="22"/>
      </w:r>
      <w:r w:rsidR="00F77716" w:rsidRPr="00F77F3B">
        <w:t xml:space="preserve"> the drafters observed “it was not feasible to suggest measures for the total and immediate elimination of present statelessness.”</w:t>
      </w:r>
      <w:r w:rsidR="00F77716" w:rsidRPr="00F77F3B">
        <w:rPr>
          <w:rStyle w:val="FootnoteReference"/>
        </w:rPr>
        <w:footnoteReference w:id="23"/>
      </w:r>
      <w:r w:rsidR="00F77716" w:rsidRPr="00F77F3B">
        <w:t xml:space="preserve"> </w:t>
      </w:r>
    </w:p>
    <w:p w14:paraId="6E1B20F6" w14:textId="6B36D62F" w:rsidR="00967B40" w:rsidRPr="00F77F3B" w:rsidRDefault="00F77716" w:rsidP="00C67599">
      <w:pPr>
        <w:spacing w:before="0" w:line="360" w:lineRule="auto"/>
        <w:ind w:firstLine="720"/>
        <w:jc w:val="both"/>
      </w:pPr>
      <w:r w:rsidRPr="00F77F3B">
        <w:t>For example, i</w:t>
      </w:r>
      <w:r w:rsidR="00E02527" w:rsidRPr="00F77F3B">
        <w:t>n</w:t>
      </w:r>
      <w:r w:rsidR="004617F8" w:rsidRPr="00F77F3B">
        <w:t xml:space="preserve"> circumstances where individuals demonstrated </w:t>
      </w:r>
      <w:r w:rsidR="00434E97" w:rsidRPr="00F77F3B">
        <w:t>disloyalty to the State</w:t>
      </w:r>
      <w:r w:rsidR="004617F8" w:rsidRPr="00F77F3B">
        <w:t>, an individual</w:t>
      </w:r>
      <w:r w:rsidR="00E02527" w:rsidRPr="00F77F3B">
        <w:t xml:space="preserve">’s nationality </w:t>
      </w:r>
      <w:r w:rsidR="004617F8" w:rsidRPr="00F77F3B">
        <w:t xml:space="preserve">may be </w:t>
      </w:r>
      <w:r w:rsidR="00E02527" w:rsidRPr="00F77F3B">
        <w:t>revoked even if it renders him stateless</w:t>
      </w:r>
      <w:r w:rsidR="004617F8" w:rsidRPr="00F77F3B">
        <w:t>.</w:t>
      </w:r>
      <w:r w:rsidR="004617F8" w:rsidRPr="00F77F3B">
        <w:rPr>
          <w:rStyle w:val="FootnoteReference"/>
        </w:rPr>
        <w:footnoteReference w:id="24"/>
      </w:r>
      <w:r w:rsidR="00EA3E20" w:rsidRPr="00F77F3B">
        <w:t xml:space="preserve"> Preventing </w:t>
      </w:r>
      <w:r w:rsidR="00E9797A" w:rsidRPr="00F77F3B">
        <w:t>a State</w:t>
      </w:r>
      <w:r w:rsidR="00EA3E20" w:rsidRPr="00F77F3B">
        <w:t xml:space="preserve"> from revoking nationality in exigent circumstances would force </w:t>
      </w:r>
      <w:r w:rsidR="00E9797A" w:rsidRPr="00F77F3B">
        <w:t>the State</w:t>
      </w:r>
      <w:r w:rsidR="00EA3E20" w:rsidRPr="00F77F3B">
        <w:t xml:space="preserve"> </w:t>
      </w:r>
      <w:r w:rsidR="00E9797A" w:rsidRPr="00F77F3B">
        <w:t xml:space="preserve">to maintain an individual within its borders who </w:t>
      </w:r>
      <w:r w:rsidR="00EA3E20" w:rsidRPr="00F77F3B">
        <w:t>may jeopardize the State's vital interests.</w:t>
      </w:r>
      <w:r w:rsidR="00EA3E20" w:rsidRPr="00F77F3B">
        <w:rPr>
          <w:rStyle w:val="FootnoteReference"/>
        </w:rPr>
        <w:footnoteReference w:id="25"/>
      </w:r>
      <w:r w:rsidR="00EA3E20" w:rsidRPr="00F77F3B">
        <w:t xml:space="preserve"> T</w:t>
      </w:r>
      <w:r w:rsidR="004617F8" w:rsidRPr="00F77F3B">
        <w:t>herefore, an unequivocal guarantee to nationality is not a common interest to the CRS</w:t>
      </w:r>
      <w:r w:rsidRPr="00F77F3B">
        <w:t xml:space="preserve"> and Remisia did not breach </w:t>
      </w:r>
      <w:r w:rsidR="00E9797A" w:rsidRPr="00F77F3B">
        <w:t>its</w:t>
      </w:r>
      <w:r w:rsidR="00434E97" w:rsidRPr="00F77F3B">
        <w:t xml:space="preserve"> </w:t>
      </w:r>
      <w:r w:rsidR="00434E97" w:rsidRPr="00F77F3B">
        <w:rPr>
          <w:i/>
          <w:iCs/>
        </w:rPr>
        <w:t xml:space="preserve">erga omnes partes </w:t>
      </w:r>
      <w:r w:rsidR="00434E97" w:rsidRPr="00F77F3B">
        <w:t>obligation</w:t>
      </w:r>
      <w:r w:rsidRPr="00F77F3B">
        <w:t xml:space="preserve"> under th</w:t>
      </w:r>
      <w:r w:rsidR="00E9797A" w:rsidRPr="00F77F3B">
        <w:t>is treaty</w:t>
      </w:r>
      <w:r w:rsidRPr="00F77F3B">
        <w:t>.</w:t>
      </w:r>
    </w:p>
    <w:p w14:paraId="14735A75" w14:textId="25528030" w:rsidR="00434E97" w:rsidRPr="00F77F3B" w:rsidRDefault="00434E97" w:rsidP="007B39FF">
      <w:pPr>
        <w:pStyle w:val="Heading3"/>
        <w:numPr>
          <w:ilvl w:val="2"/>
          <w:numId w:val="3"/>
        </w:numPr>
        <w:spacing w:before="240" w:after="240" w:line="240" w:lineRule="auto"/>
        <w:ind w:left="2340" w:hanging="360"/>
      </w:pPr>
      <w:bookmarkStart w:id="17" w:name="_Toc155683561"/>
      <w:bookmarkStart w:id="18" w:name="_Toc155924018"/>
      <w:r w:rsidRPr="00F77F3B">
        <w:t xml:space="preserve">An </w:t>
      </w:r>
      <w:r w:rsidR="00362861" w:rsidRPr="00F77F3B">
        <w:t>u</w:t>
      </w:r>
      <w:r w:rsidRPr="00F77F3B">
        <w:t xml:space="preserve">nequivocal </w:t>
      </w:r>
      <w:r w:rsidR="00362861" w:rsidRPr="00F77F3B">
        <w:t>g</w:t>
      </w:r>
      <w:r w:rsidRPr="00F77F3B">
        <w:t xml:space="preserve">uarantee to </w:t>
      </w:r>
      <w:r w:rsidR="00362861" w:rsidRPr="00F77F3B">
        <w:t>n</w:t>
      </w:r>
      <w:r w:rsidRPr="00F77F3B">
        <w:t xml:space="preserve">ationality is not an </w:t>
      </w:r>
      <w:r w:rsidR="00362861" w:rsidRPr="00F77F3B">
        <w:rPr>
          <w:i/>
          <w:iCs/>
        </w:rPr>
        <w:t>e</w:t>
      </w:r>
      <w:r w:rsidRPr="00F77F3B">
        <w:rPr>
          <w:i/>
          <w:iCs/>
        </w:rPr>
        <w:t xml:space="preserve">rga </w:t>
      </w:r>
      <w:r w:rsidR="00362861" w:rsidRPr="00F77F3B">
        <w:rPr>
          <w:i/>
          <w:iCs/>
        </w:rPr>
        <w:t>o</w:t>
      </w:r>
      <w:r w:rsidRPr="00F77F3B">
        <w:rPr>
          <w:i/>
          <w:iCs/>
        </w:rPr>
        <w:t xml:space="preserve">mnes </w:t>
      </w:r>
      <w:r w:rsidR="00362861" w:rsidRPr="00F77F3B">
        <w:rPr>
          <w:i/>
          <w:iCs/>
        </w:rPr>
        <w:t>p</w:t>
      </w:r>
      <w:r w:rsidRPr="00F77F3B">
        <w:rPr>
          <w:i/>
          <w:iCs/>
        </w:rPr>
        <w:t>artes</w:t>
      </w:r>
      <w:r w:rsidRPr="00F77F3B">
        <w:t xml:space="preserve"> </w:t>
      </w:r>
      <w:r w:rsidR="00362861" w:rsidRPr="00F77F3B">
        <w:t>o</w:t>
      </w:r>
      <w:r w:rsidRPr="00F77F3B">
        <w:t xml:space="preserve">bligation </w:t>
      </w:r>
      <w:r w:rsidR="00F268F1" w:rsidRPr="00F77F3B">
        <w:t>u</w:t>
      </w:r>
      <w:r w:rsidRPr="00F77F3B">
        <w:t>nder the CSP</w:t>
      </w:r>
      <w:bookmarkEnd w:id="17"/>
      <w:bookmarkEnd w:id="18"/>
    </w:p>
    <w:p w14:paraId="0DD94531" w14:textId="5E6E176A" w:rsidR="0029005F" w:rsidRPr="00F77F3B" w:rsidRDefault="00967B40" w:rsidP="00C67599">
      <w:pPr>
        <w:spacing w:before="0" w:line="360" w:lineRule="auto"/>
        <w:ind w:firstLine="720"/>
        <w:jc w:val="both"/>
      </w:pPr>
      <w:r w:rsidRPr="00F77F3B">
        <w:t xml:space="preserve">Similarly, the </w:t>
      </w:r>
      <w:r w:rsidR="0029005F" w:rsidRPr="00F77F3B">
        <w:t xml:space="preserve">object and </w:t>
      </w:r>
      <w:r w:rsidRPr="00F77F3B">
        <w:t xml:space="preserve">purpose of the CSP </w:t>
      </w:r>
      <w:r w:rsidR="00EB2460" w:rsidRPr="00F77F3B">
        <w:t xml:space="preserve">is not to </w:t>
      </w:r>
      <w:r w:rsidRPr="00F77F3B">
        <w:t xml:space="preserve">guarantee </w:t>
      </w:r>
      <w:r w:rsidR="00EB2460" w:rsidRPr="00F77F3B">
        <w:t>nationality, b</w:t>
      </w:r>
      <w:r w:rsidRPr="00F77F3B">
        <w:t xml:space="preserve">ut provide minimum standards of treatment to </w:t>
      </w:r>
      <w:r w:rsidR="0029005F" w:rsidRPr="00F77F3B">
        <w:t>individuals</w:t>
      </w:r>
      <w:r w:rsidRPr="00F77F3B">
        <w:t xml:space="preserve"> already classified as stateless.</w:t>
      </w:r>
      <w:r w:rsidRPr="00F77F3B">
        <w:rPr>
          <w:vertAlign w:val="superscript"/>
        </w:rPr>
        <w:footnoteReference w:id="26"/>
      </w:r>
      <w:r w:rsidRPr="00F77F3B">
        <w:t xml:space="preserve"> </w:t>
      </w:r>
      <w:r w:rsidR="0029005F" w:rsidRPr="00F77F3B">
        <w:t>This core purpose does not apply to the Sterren Forty, whose treatment is not in question.</w:t>
      </w:r>
      <w:r w:rsidR="0029005F" w:rsidRPr="00F77F3B">
        <w:rPr>
          <w:rStyle w:val="FootnoteReference"/>
        </w:rPr>
        <w:footnoteReference w:id="27"/>
      </w:r>
      <w:r w:rsidR="0029005F" w:rsidRPr="00F77F3B">
        <w:t xml:space="preserve"> The drafters intended for the CSP to be exclusive to this purpose and designated safeguards against the prevention of statelessness to the CRS.</w:t>
      </w:r>
      <w:r w:rsidR="0029005F" w:rsidRPr="00F77F3B">
        <w:rPr>
          <w:rStyle w:val="FootnoteReference"/>
        </w:rPr>
        <w:footnoteReference w:id="28"/>
      </w:r>
      <w:r w:rsidR="0029005F" w:rsidRPr="00F77F3B">
        <w:t xml:space="preserve"> Therefore, because the CSP does not </w:t>
      </w:r>
      <w:r w:rsidR="00EB2460" w:rsidRPr="00F77F3B">
        <w:t>concern</w:t>
      </w:r>
      <w:r w:rsidR="0029005F" w:rsidRPr="00F77F3B">
        <w:t xml:space="preserve"> matters involving </w:t>
      </w:r>
      <w:r w:rsidR="00EB2460" w:rsidRPr="00F77F3B">
        <w:t>the conferral</w:t>
      </w:r>
      <w:r w:rsidR="0029005F" w:rsidRPr="00F77F3B">
        <w:t xml:space="preserve"> or </w:t>
      </w:r>
      <w:r w:rsidR="00EB2460" w:rsidRPr="00F77F3B">
        <w:t>revocation</w:t>
      </w:r>
      <w:r w:rsidR="0029005F" w:rsidRPr="00F77F3B">
        <w:t xml:space="preserve"> </w:t>
      </w:r>
      <w:r w:rsidR="00EB2460" w:rsidRPr="00F77F3B">
        <w:t xml:space="preserve">of </w:t>
      </w:r>
      <w:r w:rsidR="0029005F" w:rsidRPr="00F77F3B">
        <w:t>nationality, there is no common interest</w:t>
      </w:r>
      <w:r w:rsidR="00EB2460" w:rsidRPr="00F77F3B">
        <w:t xml:space="preserve"> in the CSP</w:t>
      </w:r>
      <w:r w:rsidR="0029005F" w:rsidRPr="00F77F3B">
        <w:t xml:space="preserve"> to guarantee nationality. Accordingly, Remisia </w:t>
      </w:r>
      <w:r w:rsidR="00EB2460" w:rsidRPr="00F77F3B">
        <w:t>did not breach its</w:t>
      </w:r>
      <w:r w:rsidR="0029005F" w:rsidRPr="00F77F3B">
        <w:t xml:space="preserve"> </w:t>
      </w:r>
      <w:r w:rsidR="0029005F" w:rsidRPr="00F77F3B">
        <w:rPr>
          <w:i/>
          <w:iCs/>
        </w:rPr>
        <w:t>erga omnes partes</w:t>
      </w:r>
      <w:r w:rsidR="0029005F" w:rsidRPr="00F77F3B">
        <w:t xml:space="preserve"> obligation</w:t>
      </w:r>
      <w:r w:rsidR="00EB2460" w:rsidRPr="00F77F3B">
        <w:t>s</w:t>
      </w:r>
      <w:r w:rsidR="0029005F" w:rsidRPr="00F77F3B">
        <w:t xml:space="preserve"> under this treaty.</w:t>
      </w:r>
    </w:p>
    <w:p w14:paraId="2080408F" w14:textId="4420470C" w:rsidR="00434E97" w:rsidRPr="00F77F3B" w:rsidRDefault="00434E97" w:rsidP="007B39FF">
      <w:pPr>
        <w:pStyle w:val="Heading3"/>
        <w:numPr>
          <w:ilvl w:val="2"/>
          <w:numId w:val="3"/>
        </w:numPr>
        <w:spacing w:before="240" w:after="240" w:line="240" w:lineRule="auto"/>
        <w:ind w:left="2340" w:hanging="360"/>
      </w:pPr>
      <w:bookmarkStart w:id="19" w:name="_Toc155683562"/>
      <w:bookmarkStart w:id="20" w:name="_Toc155924019"/>
      <w:r w:rsidRPr="00F77F3B">
        <w:t xml:space="preserve">An </w:t>
      </w:r>
      <w:r w:rsidR="00362861" w:rsidRPr="00F77F3B">
        <w:t>u</w:t>
      </w:r>
      <w:r w:rsidRPr="00F77F3B">
        <w:t xml:space="preserve">nequivocal </w:t>
      </w:r>
      <w:r w:rsidR="00362861" w:rsidRPr="00F77F3B">
        <w:t>g</w:t>
      </w:r>
      <w:r w:rsidRPr="00F77F3B">
        <w:t xml:space="preserve">uarantee to </w:t>
      </w:r>
      <w:r w:rsidR="00362861" w:rsidRPr="00F77F3B">
        <w:t>n</w:t>
      </w:r>
      <w:r w:rsidRPr="00F77F3B">
        <w:t xml:space="preserve">ationality is not an </w:t>
      </w:r>
      <w:r w:rsidR="00362861" w:rsidRPr="00F77F3B">
        <w:rPr>
          <w:i/>
          <w:iCs/>
        </w:rPr>
        <w:t>e</w:t>
      </w:r>
      <w:r w:rsidRPr="00F77F3B">
        <w:rPr>
          <w:i/>
          <w:iCs/>
        </w:rPr>
        <w:t xml:space="preserve">rga </w:t>
      </w:r>
      <w:r w:rsidR="00362861" w:rsidRPr="00F77F3B">
        <w:rPr>
          <w:i/>
          <w:iCs/>
        </w:rPr>
        <w:t>o</w:t>
      </w:r>
      <w:r w:rsidRPr="00F77F3B">
        <w:rPr>
          <w:i/>
          <w:iCs/>
        </w:rPr>
        <w:t xml:space="preserve">mnes </w:t>
      </w:r>
      <w:r w:rsidR="00362861" w:rsidRPr="00F77F3B">
        <w:rPr>
          <w:i/>
          <w:iCs/>
        </w:rPr>
        <w:t>p</w:t>
      </w:r>
      <w:r w:rsidRPr="00F77F3B">
        <w:rPr>
          <w:i/>
          <w:iCs/>
        </w:rPr>
        <w:t>artes</w:t>
      </w:r>
      <w:r w:rsidRPr="00F77F3B">
        <w:t xml:space="preserve"> </w:t>
      </w:r>
      <w:r w:rsidR="00362861" w:rsidRPr="00F77F3B">
        <w:t>o</w:t>
      </w:r>
      <w:r w:rsidRPr="00F77F3B">
        <w:t xml:space="preserve">bligation </w:t>
      </w:r>
      <w:r w:rsidR="00362861" w:rsidRPr="00F77F3B">
        <w:t>u</w:t>
      </w:r>
      <w:r w:rsidRPr="00F77F3B">
        <w:t>nder the ICCPR</w:t>
      </w:r>
      <w:bookmarkEnd w:id="19"/>
      <w:bookmarkEnd w:id="20"/>
    </w:p>
    <w:p w14:paraId="3922294C" w14:textId="77777777" w:rsidR="0080370E" w:rsidRPr="00F77F3B" w:rsidRDefault="00967B40" w:rsidP="0080370E">
      <w:pPr>
        <w:spacing w:before="0" w:after="0" w:line="360" w:lineRule="auto"/>
        <w:ind w:firstLine="720"/>
        <w:jc w:val="both"/>
      </w:pPr>
      <w:r w:rsidRPr="00F77F3B">
        <w:lastRenderedPageBreak/>
        <w:t xml:space="preserve">The </w:t>
      </w:r>
      <w:r w:rsidR="008C628D" w:rsidRPr="00F77F3B">
        <w:t xml:space="preserve">object and </w:t>
      </w:r>
      <w:r w:rsidRPr="00F77F3B">
        <w:t>purpose of the ICCPR is to “promote universal respect for, and observance of, human rights and freedoms”</w:t>
      </w:r>
      <w:r w:rsidR="0003384A" w:rsidRPr="00F77F3B">
        <w:t xml:space="preserve"> to “all members of the human family.”</w:t>
      </w:r>
      <w:r w:rsidRPr="00F77F3B">
        <w:rPr>
          <w:vertAlign w:val="superscript"/>
        </w:rPr>
        <w:footnoteReference w:id="29"/>
      </w:r>
      <w:r w:rsidRPr="00F77F3B">
        <w:t xml:space="preserve"> </w:t>
      </w:r>
      <w:r w:rsidR="008C628D" w:rsidRPr="00F77F3B">
        <w:t>Although nationality is important to the enjoyment of rights,</w:t>
      </w:r>
      <w:r w:rsidR="008C628D" w:rsidRPr="00F77F3B">
        <w:rPr>
          <w:rStyle w:val="FootnoteReference"/>
        </w:rPr>
        <w:footnoteReference w:id="30"/>
      </w:r>
      <w:r w:rsidR="008C628D" w:rsidRPr="00F77F3B">
        <w:t xml:space="preserve"> </w:t>
      </w:r>
      <w:r w:rsidRPr="00F77F3B">
        <w:t xml:space="preserve">the ICCPR does not </w:t>
      </w:r>
      <w:r w:rsidR="0003384A" w:rsidRPr="00F77F3B">
        <w:t>require</w:t>
      </w:r>
      <w:r w:rsidRPr="00F77F3B">
        <w:t xml:space="preserve"> nationality</w:t>
      </w:r>
      <w:r w:rsidR="008C628D" w:rsidRPr="00F77F3B">
        <w:t xml:space="preserve"> </w:t>
      </w:r>
      <w:r w:rsidR="0003384A" w:rsidRPr="00F77F3B">
        <w:t>to enjoy these</w:t>
      </w:r>
      <w:r w:rsidR="008C628D" w:rsidRPr="00F77F3B">
        <w:t xml:space="preserve"> freedoms</w:t>
      </w:r>
      <w:r w:rsidRPr="00F77F3B">
        <w:t>.</w:t>
      </w:r>
      <w:r w:rsidR="00EB2460" w:rsidRPr="00F77F3B">
        <w:t xml:space="preserve"> </w:t>
      </w:r>
      <w:r w:rsidR="008C628D" w:rsidRPr="00F77F3B">
        <w:t xml:space="preserve">Rather, </w:t>
      </w:r>
      <w:r w:rsidRPr="00F77F3B">
        <w:t xml:space="preserve">the core purpose and objective of the ICCPR is to ensure </w:t>
      </w:r>
      <w:r w:rsidR="00184827" w:rsidRPr="00F77F3B">
        <w:t xml:space="preserve">human rights </w:t>
      </w:r>
      <w:r w:rsidRPr="00F77F3B">
        <w:t>regardless of an individual’s nationality</w:t>
      </w:r>
      <w:r w:rsidR="0096504F" w:rsidRPr="00F77F3B">
        <w:t xml:space="preserve"> or</w:t>
      </w:r>
      <w:r w:rsidRPr="00F77F3B">
        <w:t xml:space="preserve"> status.</w:t>
      </w:r>
      <w:r w:rsidRPr="00F77F3B">
        <w:rPr>
          <w:rStyle w:val="FootnoteReference"/>
        </w:rPr>
        <w:footnoteReference w:id="31"/>
      </w:r>
    </w:p>
    <w:p w14:paraId="76611751" w14:textId="504D1B6E" w:rsidR="00967B40" w:rsidRPr="00F77F3B" w:rsidRDefault="00736CF0" w:rsidP="00C67599">
      <w:pPr>
        <w:spacing w:before="0" w:line="360" w:lineRule="auto"/>
        <w:ind w:firstLine="720"/>
        <w:jc w:val="both"/>
      </w:pPr>
      <w:r w:rsidRPr="00F77F3B">
        <w:t>Requiring nationality to enjoy the rights enshrined in the ICCPR would exclude stateless persons from its protection, which contravenes the object and purpose of the treaty.</w:t>
      </w:r>
      <w:r w:rsidR="0003384A" w:rsidRPr="00F77F3B">
        <w:rPr>
          <w:rStyle w:val="FootnoteReference"/>
        </w:rPr>
        <w:footnoteReference w:id="32"/>
      </w:r>
      <w:r w:rsidRPr="00F77F3B">
        <w:t xml:space="preserve"> </w:t>
      </w:r>
      <w:r w:rsidR="00BB6075" w:rsidRPr="00F77F3B">
        <w:t>Moreover, Article 2 guarantees the enjoyment of these rights “without distinction” to an individual's nationality or status.</w:t>
      </w:r>
      <w:r w:rsidR="00BB6075" w:rsidRPr="00F77F3B">
        <w:rPr>
          <w:rStyle w:val="FootnoteReference"/>
        </w:rPr>
        <w:footnoteReference w:id="33"/>
      </w:r>
      <w:r w:rsidR="00BB6075" w:rsidRPr="00F77F3B">
        <w:t xml:space="preserve"> </w:t>
      </w:r>
      <w:r w:rsidR="00967B40" w:rsidRPr="00F77F3B">
        <w:t xml:space="preserve">As such, there is no </w:t>
      </w:r>
      <w:r w:rsidR="00967B40" w:rsidRPr="00F77F3B">
        <w:rPr>
          <w:i/>
        </w:rPr>
        <w:t>erga omnes partes</w:t>
      </w:r>
      <w:r w:rsidR="00967B40" w:rsidRPr="00F77F3B">
        <w:t xml:space="preserve"> obligation </w:t>
      </w:r>
      <w:r w:rsidR="008C628D" w:rsidRPr="00F77F3B">
        <w:t xml:space="preserve">to guarantee nationality </w:t>
      </w:r>
      <w:r w:rsidR="00967B40" w:rsidRPr="00F77F3B">
        <w:t xml:space="preserve">under the ICCPR, and Antrano lacks standing to bring this claim. </w:t>
      </w:r>
    </w:p>
    <w:p w14:paraId="7901E8F9" w14:textId="3113152E" w:rsidR="00967B40" w:rsidRPr="00F77F3B" w:rsidRDefault="00967B40" w:rsidP="007B39FF">
      <w:pPr>
        <w:pStyle w:val="Heading2"/>
        <w:numPr>
          <w:ilvl w:val="1"/>
          <w:numId w:val="3"/>
        </w:numPr>
        <w:ind w:left="1800" w:hanging="720"/>
        <w:jc w:val="both"/>
        <w:rPr>
          <w:b/>
          <w:bCs/>
        </w:rPr>
      </w:pPr>
      <w:bookmarkStart w:id="21" w:name="_Toc155683563"/>
      <w:bookmarkStart w:id="22" w:name="_Toc155924020"/>
      <w:r w:rsidRPr="00F77F3B">
        <w:rPr>
          <w:b/>
          <w:bCs/>
        </w:rPr>
        <w:t xml:space="preserve">Antrano Lacks Standing Because Statelessness </w:t>
      </w:r>
      <w:r w:rsidR="00362861" w:rsidRPr="00F77F3B">
        <w:rPr>
          <w:b/>
          <w:bCs/>
        </w:rPr>
        <w:t>i</w:t>
      </w:r>
      <w:r w:rsidRPr="00F77F3B">
        <w:rPr>
          <w:b/>
          <w:bCs/>
        </w:rPr>
        <w:t xml:space="preserve">s </w:t>
      </w:r>
      <w:r w:rsidR="00362861" w:rsidRPr="00F77F3B">
        <w:rPr>
          <w:b/>
          <w:bCs/>
        </w:rPr>
        <w:t>n</w:t>
      </w:r>
      <w:r w:rsidRPr="00F77F3B">
        <w:rPr>
          <w:b/>
          <w:bCs/>
        </w:rPr>
        <w:t xml:space="preserve">ot </w:t>
      </w:r>
      <w:r w:rsidR="00362861" w:rsidRPr="00F77F3B">
        <w:rPr>
          <w:b/>
          <w:bCs/>
        </w:rPr>
        <w:t>a</w:t>
      </w:r>
      <w:r w:rsidRPr="00F77F3B">
        <w:rPr>
          <w:b/>
          <w:bCs/>
        </w:rPr>
        <w:t xml:space="preserve">n </w:t>
      </w:r>
      <w:r w:rsidRPr="00F77F3B">
        <w:rPr>
          <w:b/>
          <w:bCs/>
          <w:i/>
          <w:iCs/>
        </w:rPr>
        <w:t>Erga Omnes</w:t>
      </w:r>
      <w:r w:rsidRPr="00F77F3B">
        <w:rPr>
          <w:b/>
          <w:bCs/>
        </w:rPr>
        <w:t xml:space="preserve"> Obligation </w:t>
      </w:r>
      <w:r w:rsidR="00666D68" w:rsidRPr="00F77F3B">
        <w:rPr>
          <w:b/>
          <w:bCs/>
        </w:rPr>
        <w:t>U</w:t>
      </w:r>
      <w:r w:rsidRPr="00F77F3B">
        <w:rPr>
          <w:b/>
          <w:bCs/>
        </w:rPr>
        <w:t xml:space="preserve">nder Customary </w:t>
      </w:r>
      <w:r w:rsidR="0003384A" w:rsidRPr="00F77F3B">
        <w:rPr>
          <w:b/>
          <w:bCs/>
        </w:rPr>
        <w:t xml:space="preserve">International </w:t>
      </w:r>
      <w:r w:rsidRPr="00F77F3B">
        <w:rPr>
          <w:b/>
          <w:bCs/>
        </w:rPr>
        <w:t>Law</w:t>
      </w:r>
      <w:r w:rsidR="001D2C5B" w:rsidRPr="00F77F3B">
        <w:rPr>
          <w:b/>
          <w:bCs/>
        </w:rPr>
        <w:t>.</w:t>
      </w:r>
      <w:bookmarkEnd w:id="21"/>
      <w:bookmarkEnd w:id="22"/>
      <w:r w:rsidRPr="00F77F3B">
        <w:rPr>
          <w:b/>
          <w:bCs/>
        </w:rPr>
        <w:t xml:space="preserve"> </w:t>
      </w:r>
    </w:p>
    <w:p w14:paraId="59538540" w14:textId="47AFD294" w:rsidR="00967B40" w:rsidRPr="00F77F3B" w:rsidRDefault="00967B40" w:rsidP="00C67599">
      <w:pPr>
        <w:pBdr>
          <w:top w:val="nil"/>
          <w:left w:val="nil"/>
          <w:bottom w:val="nil"/>
          <w:right w:val="nil"/>
          <w:between w:val="nil"/>
        </w:pBdr>
        <w:spacing w:before="0" w:line="360" w:lineRule="auto"/>
        <w:ind w:firstLine="720"/>
        <w:jc w:val="both"/>
      </w:pPr>
      <w:bookmarkStart w:id="23" w:name="_heading=h.2s8eyo1" w:colFirst="0" w:colLast="0"/>
      <w:bookmarkEnd w:id="23"/>
      <w:r w:rsidRPr="00F77F3B">
        <w:t xml:space="preserve">Antrano lacks standing because statelessness is not </w:t>
      </w:r>
      <w:r w:rsidR="0003384A" w:rsidRPr="00F77F3B">
        <w:t>a</w:t>
      </w:r>
      <w:r w:rsidRPr="00F77F3B">
        <w:t xml:space="preserve">n </w:t>
      </w:r>
      <w:r w:rsidRPr="00F77F3B">
        <w:rPr>
          <w:i/>
          <w:iCs/>
        </w:rPr>
        <w:t xml:space="preserve">erga omnes </w:t>
      </w:r>
      <w:r w:rsidRPr="00F77F3B">
        <w:t xml:space="preserve">obligation under customary </w:t>
      </w:r>
      <w:r w:rsidR="0003384A" w:rsidRPr="00F77F3B">
        <w:t xml:space="preserve">international </w:t>
      </w:r>
      <w:r w:rsidRPr="00F77F3B">
        <w:t>law.</w:t>
      </w:r>
      <w:r w:rsidR="00F268F1" w:rsidRPr="00F77F3B">
        <w:rPr>
          <w:rStyle w:val="FootnoteReference"/>
        </w:rPr>
        <w:footnoteReference w:id="34"/>
      </w:r>
      <w:r w:rsidRPr="00F77F3B">
        <w:t xml:space="preserve"> This Court established in </w:t>
      </w:r>
      <w:r w:rsidRPr="00F77F3B">
        <w:rPr>
          <w:i/>
          <w:iCs/>
        </w:rPr>
        <w:t>B</w:t>
      </w:r>
      <w:r w:rsidRPr="00F77F3B">
        <w:rPr>
          <w:i/>
        </w:rPr>
        <w:t xml:space="preserve">arcelona Traction </w:t>
      </w:r>
      <w:r w:rsidRPr="00F77F3B">
        <w:t xml:space="preserve">that </w:t>
      </w:r>
      <w:r w:rsidRPr="00F77F3B">
        <w:rPr>
          <w:i/>
        </w:rPr>
        <w:t>erga omnes</w:t>
      </w:r>
      <w:r w:rsidRPr="00F77F3B">
        <w:t xml:space="preserve"> obligations are “obligations of a State toward the international community as a whol</w:t>
      </w:r>
      <w:r w:rsidR="003A08C7" w:rsidRPr="00F77F3B">
        <w:t>e</w:t>
      </w:r>
      <w:r w:rsidR="0096504F" w:rsidRPr="00F77F3B">
        <w:t>.</w:t>
      </w:r>
      <w:r w:rsidRPr="00F77F3B">
        <w:t>”</w:t>
      </w:r>
      <w:r w:rsidRPr="00F77F3B">
        <w:rPr>
          <w:vertAlign w:val="superscript"/>
        </w:rPr>
        <w:footnoteReference w:id="35"/>
      </w:r>
      <w:r w:rsidRPr="00F77F3B">
        <w:t xml:space="preserve"> Distinct from </w:t>
      </w:r>
      <w:r w:rsidRPr="00F77F3B">
        <w:rPr>
          <w:i/>
        </w:rPr>
        <w:t>erga omnes partes</w:t>
      </w:r>
      <w:r w:rsidRPr="00F77F3B">
        <w:t xml:space="preserve"> obligations, </w:t>
      </w:r>
      <w:r w:rsidRPr="00F77F3B">
        <w:rPr>
          <w:i/>
        </w:rPr>
        <w:t>erga omnes</w:t>
      </w:r>
      <w:r w:rsidRPr="00F77F3B">
        <w:t xml:space="preserve"> obligations are “by their very nature</w:t>
      </w:r>
      <w:r w:rsidR="0096504F" w:rsidRPr="00F77F3B">
        <w:t xml:space="preserve"> . . .</w:t>
      </w:r>
      <w:r w:rsidRPr="00F77F3B">
        <w:t xml:space="preserve"> the concern of all States” </w:t>
      </w:r>
      <w:r w:rsidR="003A08C7" w:rsidRPr="00F77F3B">
        <w:t>where</w:t>
      </w:r>
      <w:r w:rsidRPr="00F77F3B">
        <w:t xml:space="preserve"> “all States </w:t>
      </w:r>
      <w:r w:rsidR="003A08C7" w:rsidRPr="00F77F3B">
        <w:t>[are]</w:t>
      </w:r>
      <w:r w:rsidRPr="00F77F3B">
        <w:t xml:space="preserve"> held to have a legal interest in their </w:t>
      </w:r>
      <w:r w:rsidR="00F268F1" w:rsidRPr="00F77F3B">
        <w:t>protection.</w:t>
      </w:r>
      <w:r w:rsidRPr="00F77F3B">
        <w:t>”</w:t>
      </w:r>
      <w:r w:rsidRPr="00F77F3B">
        <w:rPr>
          <w:vertAlign w:val="superscript"/>
        </w:rPr>
        <w:footnoteReference w:id="36"/>
      </w:r>
      <w:r w:rsidR="00142DAC" w:rsidRPr="00F77F3B">
        <w:t xml:space="preserve"> </w:t>
      </w:r>
    </w:p>
    <w:p w14:paraId="4E59646C" w14:textId="306C4C9F" w:rsidR="0055353E" w:rsidRPr="00F77F3B" w:rsidRDefault="0055353E" w:rsidP="007B39FF">
      <w:pPr>
        <w:pStyle w:val="Heading3"/>
        <w:numPr>
          <w:ilvl w:val="2"/>
          <w:numId w:val="3"/>
        </w:numPr>
        <w:spacing w:before="240" w:after="240" w:line="240" w:lineRule="auto"/>
        <w:ind w:left="2340" w:hanging="360"/>
      </w:pPr>
      <w:bookmarkStart w:id="24" w:name="_Toc155683564"/>
      <w:bookmarkStart w:id="25" w:name="_Toc155924021"/>
      <w:r w:rsidRPr="00F77F3B">
        <w:t xml:space="preserve">Statelessness is not a </w:t>
      </w:r>
      <w:r w:rsidRPr="00F77F3B">
        <w:rPr>
          <w:i/>
          <w:iCs/>
        </w:rPr>
        <w:t>jus cogens</w:t>
      </w:r>
      <w:r w:rsidRPr="00F77F3B">
        <w:t xml:space="preserve"> norm</w:t>
      </w:r>
      <w:bookmarkEnd w:id="24"/>
      <w:bookmarkEnd w:id="25"/>
      <w:r w:rsidR="007B39FF" w:rsidRPr="00F77F3B">
        <w:t>.</w:t>
      </w:r>
    </w:p>
    <w:p w14:paraId="5310FCED" w14:textId="6E6434CB" w:rsidR="00E87066" w:rsidRPr="00F77F3B" w:rsidRDefault="00142DAC" w:rsidP="00C67599">
      <w:pPr>
        <w:spacing w:before="0" w:after="0" w:line="360" w:lineRule="auto"/>
        <w:ind w:firstLine="720"/>
        <w:jc w:val="both"/>
      </w:pPr>
      <w:r w:rsidRPr="00F77F3B">
        <w:rPr>
          <w:i/>
          <w:iCs/>
        </w:rPr>
        <w:lastRenderedPageBreak/>
        <w:t xml:space="preserve">Erga </w:t>
      </w:r>
      <w:r w:rsidR="00F564FA" w:rsidRPr="00F77F3B">
        <w:rPr>
          <w:i/>
          <w:iCs/>
        </w:rPr>
        <w:t>o</w:t>
      </w:r>
      <w:r w:rsidRPr="00F77F3B">
        <w:rPr>
          <w:i/>
          <w:iCs/>
        </w:rPr>
        <w:t xml:space="preserve">mnes </w:t>
      </w:r>
      <w:r w:rsidRPr="00F77F3B">
        <w:t xml:space="preserve">obligations reflect </w:t>
      </w:r>
      <w:r w:rsidRPr="00F77F3B">
        <w:rPr>
          <w:i/>
          <w:iCs/>
        </w:rPr>
        <w:t xml:space="preserve">jus cogens </w:t>
      </w:r>
      <w:r w:rsidRPr="00F77F3B">
        <w:t>norms.</w:t>
      </w:r>
      <w:r w:rsidRPr="00F77F3B">
        <w:rPr>
          <w:rStyle w:val="FootnoteReference"/>
        </w:rPr>
        <w:footnoteReference w:id="37"/>
      </w:r>
      <w:r w:rsidRPr="00F77F3B">
        <w:t xml:space="preserve"> </w:t>
      </w:r>
      <w:r w:rsidR="0093325A" w:rsidRPr="00F77F3B">
        <w:t xml:space="preserve">This Court has identified several </w:t>
      </w:r>
      <w:r w:rsidR="0093325A" w:rsidRPr="00F77F3B">
        <w:rPr>
          <w:i/>
          <w:iCs/>
        </w:rPr>
        <w:t>erga omnes</w:t>
      </w:r>
      <w:r w:rsidR="0093325A" w:rsidRPr="00F77F3B">
        <w:t xml:space="preserve"> obligations, including prohibitions against genocide, slavery, and racial discrimination,</w:t>
      </w:r>
      <w:r w:rsidR="0093325A" w:rsidRPr="00F77F3B">
        <w:rPr>
          <w:rStyle w:val="FootnoteReference"/>
        </w:rPr>
        <w:footnoteReference w:id="38"/>
      </w:r>
      <w:r w:rsidR="0093325A" w:rsidRPr="00F77F3B">
        <w:t xml:space="preserve"> as well as the right to self-determination.</w:t>
      </w:r>
      <w:r w:rsidR="0093325A" w:rsidRPr="00F77F3B">
        <w:rPr>
          <w:rStyle w:val="FootnoteReference"/>
        </w:rPr>
        <w:footnoteReference w:id="39"/>
      </w:r>
      <w:r w:rsidR="0093325A" w:rsidRPr="00F77F3B">
        <w:t xml:space="preserve">  </w:t>
      </w:r>
      <w:r w:rsidR="0093325A" w:rsidRPr="00F77F3B">
        <w:rPr>
          <w:i/>
          <w:iCs/>
        </w:rPr>
        <w:t>Erga omnes</w:t>
      </w:r>
      <w:r w:rsidR="0093325A" w:rsidRPr="00F77F3B">
        <w:t xml:space="preserve"> obligations continue to be formed through customary international law</w:t>
      </w:r>
      <w:r w:rsidR="0093325A" w:rsidRPr="00F77F3B">
        <w:rPr>
          <w:rStyle w:val="FootnoteReference"/>
        </w:rPr>
        <w:footnoteReference w:id="40"/>
      </w:r>
      <w:r w:rsidR="0093325A" w:rsidRPr="00F77F3B">
        <w:t xml:space="preserve"> and are identified by their non-derogable character.</w:t>
      </w:r>
      <w:r w:rsidR="0093325A" w:rsidRPr="00F77F3B">
        <w:rPr>
          <w:rStyle w:val="FootnoteReference"/>
        </w:rPr>
        <w:footnoteReference w:id="41"/>
      </w:r>
      <w:r w:rsidR="0093325A" w:rsidRPr="00F77F3B">
        <w:t xml:space="preserve"> </w:t>
      </w:r>
      <w:r w:rsidR="003A08C7" w:rsidRPr="00F77F3B">
        <w:t xml:space="preserve">Statelessness </w:t>
      </w:r>
      <w:r w:rsidR="0093325A" w:rsidRPr="00F77F3B">
        <w:t xml:space="preserve">has </w:t>
      </w:r>
      <w:r w:rsidR="00815958" w:rsidRPr="00F77F3B">
        <w:t>neither been</w:t>
      </w:r>
      <w:r w:rsidR="0093325A" w:rsidRPr="00F77F3B">
        <w:t xml:space="preserve"> considered a </w:t>
      </w:r>
      <w:r w:rsidR="0093325A" w:rsidRPr="00F77F3B">
        <w:rPr>
          <w:i/>
          <w:iCs/>
        </w:rPr>
        <w:t>jus cogens</w:t>
      </w:r>
      <w:r w:rsidR="0093325A" w:rsidRPr="00F77F3B">
        <w:t xml:space="preserve"> norm, </w:t>
      </w:r>
      <w:r w:rsidR="00815958" w:rsidRPr="00F77F3B">
        <w:t>nor</w:t>
      </w:r>
      <w:r w:rsidR="0093325A" w:rsidRPr="00F77F3B">
        <w:t xml:space="preserve"> an </w:t>
      </w:r>
      <w:r w:rsidR="0093325A" w:rsidRPr="00F77F3B">
        <w:rPr>
          <w:i/>
          <w:iCs/>
        </w:rPr>
        <w:t>erga omnes</w:t>
      </w:r>
      <w:r w:rsidR="0093325A" w:rsidRPr="00F77F3B">
        <w:t xml:space="preserve"> obligation</w:t>
      </w:r>
      <w:r w:rsidR="005A0ADC" w:rsidRPr="00F77F3B">
        <w:t>, given treaties such as the CRS and CSP still permit forms of derogation</w:t>
      </w:r>
      <w:r w:rsidR="0093325A" w:rsidRPr="00F77F3B">
        <w:t>.</w:t>
      </w:r>
      <w:r w:rsidR="0093325A" w:rsidRPr="00F77F3B">
        <w:rPr>
          <w:rStyle w:val="FootnoteReference"/>
        </w:rPr>
        <w:footnoteReference w:id="42"/>
      </w:r>
      <w:r w:rsidR="00E87066" w:rsidRPr="00F77F3B">
        <w:t xml:space="preserve"> </w:t>
      </w:r>
    </w:p>
    <w:p w14:paraId="09E61B9D" w14:textId="0033251F" w:rsidR="0093325A" w:rsidRPr="00F77F3B" w:rsidRDefault="00E87066" w:rsidP="00C67599">
      <w:pPr>
        <w:spacing w:before="0" w:line="360" w:lineRule="auto"/>
        <w:ind w:firstLine="720"/>
        <w:jc w:val="both"/>
      </w:pPr>
      <w:r w:rsidRPr="00F77F3B">
        <w:t xml:space="preserve">Further, </w:t>
      </w:r>
      <w:r w:rsidR="0055353E" w:rsidRPr="00F77F3B">
        <w:t xml:space="preserve">this Court has determined </w:t>
      </w:r>
      <w:r w:rsidRPr="00F77F3B">
        <w:t>moral reasoning alon</w:t>
      </w:r>
      <w:r w:rsidR="0055353E" w:rsidRPr="00F77F3B">
        <w:t>e</w:t>
      </w:r>
      <w:r w:rsidRPr="00F77F3B">
        <w:t xml:space="preserve"> </w:t>
      </w:r>
      <w:r w:rsidR="0080370E" w:rsidRPr="00F77F3B">
        <w:t>can</w:t>
      </w:r>
      <w:r w:rsidRPr="00F77F3B">
        <w:t xml:space="preserve">not constitute the basis of an </w:t>
      </w:r>
      <w:r w:rsidRPr="00F77F3B">
        <w:rPr>
          <w:i/>
          <w:iCs/>
        </w:rPr>
        <w:t xml:space="preserve">erga omnes </w:t>
      </w:r>
      <w:r w:rsidRPr="00F77F3B">
        <w:t>obligation.</w:t>
      </w:r>
      <w:r w:rsidRPr="00F77F3B">
        <w:rPr>
          <w:rStyle w:val="FootnoteReference"/>
        </w:rPr>
        <w:footnoteReference w:id="43"/>
      </w:r>
      <w:r w:rsidRPr="00F77F3B">
        <w:t xml:space="preserve"> </w:t>
      </w:r>
      <w:r w:rsidR="0055353E" w:rsidRPr="00F77F3B">
        <w:t>Simply because Antrano feels strongly about the plight of statelessness</w:t>
      </w:r>
      <w:r w:rsidR="00815958" w:rsidRPr="00F77F3B">
        <w:t xml:space="preserve"> does</w:t>
      </w:r>
      <w:r w:rsidR="0055353E" w:rsidRPr="00F77F3B">
        <w:t xml:space="preserve"> not mean this issue </w:t>
      </w:r>
      <w:r w:rsidR="00815958" w:rsidRPr="00F77F3B">
        <w:t>rises</w:t>
      </w:r>
      <w:r w:rsidR="0055353E" w:rsidRPr="00F77F3B">
        <w:t xml:space="preserve"> to the level of </w:t>
      </w:r>
      <w:r w:rsidR="0055353E" w:rsidRPr="00F77F3B">
        <w:rPr>
          <w:i/>
          <w:iCs/>
        </w:rPr>
        <w:t>erga omnes</w:t>
      </w:r>
      <w:r w:rsidR="0055353E" w:rsidRPr="00F77F3B">
        <w:t>. Considering the lack of consensus about statelessness and its protections, this Court should not rely on Antrano</w:t>
      </w:r>
      <w:r w:rsidR="00A02694" w:rsidRPr="00F77F3B">
        <w:t>’</w:t>
      </w:r>
      <w:r w:rsidR="0055353E" w:rsidRPr="00F77F3B">
        <w:t xml:space="preserve">s moral reasoning alone to render statelessness an </w:t>
      </w:r>
      <w:r w:rsidR="0055353E" w:rsidRPr="00F77F3B">
        <w:rPr>
          <w:i/>
          <w:iCs/>
        </w:rPr>
        <w:t>erga omnes</w:t>
      </w:r>
      <w:r w:rsidR="0055353E" w:rsidRPr="00F77F3B">
        <w:t xml:space="preserve"> obligation.</w:t>
      </w:r>
    </w:p>
    <w:p w14:paraId="5B840724" w14:textId="4D3F7005" w:rsidR="001148FE" w:rsidRPr="00F77F3B" w:rsidRDefault="001148FE" w:rsidP="007B39FF">
      <w:pPr>
        <w:pStyle w:val="Heading3"/>
        <w:numPr>
          <w:ilvl w:val="2"/>
          <w:numId w:val="3"/>
        </w:numPr>
        <w:spacing w:before="240" w:after="240" w:line="240" w:lineRule="auto"/>
        <w:ind w:left="2340" w:hanging="360"/>
      </w:pPr>
      <w:bookmarkStart w:id="28" w:name="_Toc155683565"/>
      <w:bookmarkStart w:id="29" w:name="_Toc155924022"/>
      <w:r w:rsidRPr="00F77F3B">
        <w:t>Statelessness is not an obligation owed to the international community</w:t>
      </w:r>
      <w:bookmarkEnd w:id="28"/>
      <w:bookmarkEnd w:id="29"/>
      <w:r w:rsidR="007B39FF" w:rsidRPr="00F77F3B">
        <w:t>.</w:t>
      </w:r>
    </w:p>
    <w:p w14:paraId="27CC9B79" w14:textId="3E963941" w:rsidR="00815958" w:rsidRPr="00F77F3B" w:rsidRDefault="00337FCC" w:rsidP="00C67599">
      <w:pPr>
        <w:spacing w:before="0" w:after="0" w:line="360" w:lineRule="auto"/>
        <w:ind w:firstLine="720"/>
        <w:jc w:val="both"/>
      </w:pPr>
      <w:r w:rsidRPr="00F77F3B">
        <w:t>A State</w:t>
      </w:r>
      <w:r w:rsidR="00967B40" w:rsidRPr="00F77F3B">
        <w:t xml:space="preserve"> may “invoke the responsibility of another </w:t>
      </w:r>
      <w:r w:rsidR="00815958" w:rsidRPr="00F77F3B">
        <w:t>S</w:t>
      </w:r>
      <w:r w:rsidR="00967B40" w:rsidRPr="00F77F3B">
        <w:t xml:space="preserve">tate if the obligation breached </w:t>
      </w:r>
      <w:r w:rsidRPr="00F77F3B">
        <w:t xml:space="preserve">. . . </w:t>
      </w:r>
      <w:r w:rsidR="00967B40" w:rsidRPr="00F77F3B">
        <w:t>radically [changes] the position of all other States.</w:t>
      </w:r>
      <w:r w:rsidR="00A80013" w:rsidRPr="00F77F3B">
        <w:t>”</w:t>
      </w:r>
      <w:r w:rsidR="00967B40" w:rsidRPr="00F77F3B">
        <w:rPr>
          <w:vertAlign w:val="superscript"/>
        </w:rPr>
        <w:footnoteReference w:id="44"/>
      </w:r>
      <w:r w:rsidR="00967B40" w:rsidRPr="00F77F3B">
        <w:t xml:space="preserve"> A guarantee </w:t>
      </w:r>
      <w:r w:rsidR="0003384A" w:rsidRPr="00F77F3B">
        <w:t xml:space="preserve">to </w:t>
      </w:r>
      <w:r w:rsidR="00967B40" w:rsidRPr="00F77F3B">
        <w:t xml:space="preserve">nationality is not an obligation owed to the international community as a whole because it is a matter of </w:t>
      </w:r>
      <w:r w:rsidR="00967B40" w:rsidRPr="00F77F3B">
        <w:rPr>
          <w:i/>
        </w:rPr>
        <w:t>domaine réservé</w:t>
      </w:r>
      <w:r w:rsidR="00967B40" w:rsidRPr="00F77F3B">
        <w:t>.</w:t>
      </w:r>
      <w:r w:rsidR="00967B40" w:rsidRPr="00F77F3B">
        <w:rPr>
          <w:vertAlign w:val="superscript"/>
        </w:rPr>
        <w:footnoteReference w:id="45"/>
      </w:r>
      <w:r w:rsidR="00967B40" w:rsidRPr="00F77F3B">
        <w:t xml:space="preserve"> </w:t>
      </w:r>
    </w:p>
    <w:p w14:paraId="68DF3CEF" w14:textId="30D92588" w:rsidR="00F06D91" w:rsidRPr="00F77F3B" w:rsidRDefault="00815958" w:rsidP="00C67599">
      <w:pPr>
        <w:spacing w:before="0" w:after="0" w:line="360" w:lineRule="auto"/>
        <w:ind w:firstLine="720"/>
        <w:jc w:val="both"/>
      </w:pPr>
      <w:r w:rsidRPr="00F77F3B">
        <w:t>Furthermore, i</w:t>
      </w:r>
      <w:r w:rsidR="00967B40" w:rsidRPr="00F77F3B">
        <w:t xml:space="preserve">f this Court </w:t>
      </w:r>
      <w:r w:rsidRPr="00F77F3B">
        <w:t>were to determine</w:t>
      </w:r>
      <w:r w:rsidR="00967B40" w:rsidRPr="00F77F3B">
        <w:t xml:space="preserve"> statelessness is an obligation owed to the international community</w:t>
      </w:r>
      <w:r w:rsidRPr="00F77F3B">
        <w:t xml:space="preserve"> as a whole</w:t>
      </w:r>
      <w:r w:rsidR="00967B40" w:rsidRPr="00F77F3B">
        <w:t xml:space="preserve">, the breach of this obligation </w:t>
      </w:r>
      <w:r w:rsidRPr="00F77F3B">
        <w:t>would</w:t>
      </w:r>
      <w:r w:rsidR="00967B40" w:rsidRPr="00F77F3B">
        <w:t xml:space="preserve"> not radically change the position of all other States to which </w:t>
      </w:r>
      <w:r w:rsidR="001148FE" w:rsidRPr="00F77F3B">
        <w:t>the</w:t>
      </w:r>
      <w:r w:rsidR="00967B40" w:rsidRPr="00F77F3B">
        <w:t xml:space="preserve"> obligation is owed. Although the status of stateless persons may impact other States, the resulting </w:t>
      </w:r>
      <w:r w:rsidRPr="00F77F3B">
        <w:t>effect</w:t>
      </w:r>
      <w:r w:rsidR="00967B40" w:rsidRPr="00F77F3B">
        <w:t xml:space="preserve"> is too attenuated</w:t>
      </w:r>
      <w:r w:rsidRPr="00F77F3B">
        <w:t xml:space="preserve"> to determine what the consequence </w:t>
      </w:r>
      <w:r w:rsidRPr="00F77F3B">
        <w:lastRenderedPageBreak/>
        <w:t>would look like</w:t>
      </w:r>
      <w:r w:rsidR="00967B40" w:rsidRPr="00F77F3B">
        <w:t>.</w:t>
      </w:r>
      <w:r w:rsidR="00F06D91" w:rsidRPr="00F77F3B">
        <w:rPr>
          <w:rStyle w:val="FootnoteReference"/>
        </w:rPr>
        <w:footnoteReference w:id="46"/>
      </w:r>
      <w:r w:rsidR="00967B40" w:rsidRPr="00F77F3B">
        <w:t xml:space="preserve"> </w:t>
      </w:r>
      <w:r w:rsidR="001148FE" w:rsidRPr="00F77F3B">
        <w:t>In fact, most stateless persons are stateless within their own countries</w:t>
      </w:r>
      <w:r w:rsidRPr="00F77F3B">
        <w:t xml:space="preserve"> meaning the effect of statelessness on other States is uncertain</w:t>
      </w:r>
      <w:r w:rsidR="001148FE" w:rsidRPr="00F77F3B">
        <w:t>.</w:t>
      </w:r>
      <w:r w:rsidR="001148FE" w:rsidRPr="00F77F3B">
        <w:rPr>
          <w:rStyle w:val="FootnoteReference"/>
        </w:rPr>
        <w:footnoteReference w:id="47"/>
      </w:r>
      <w:r w:rsidR="00F06D91" w:rsidRPr="00F77F3B">
        <w:t xml:space="preserve"> </w:t>
      </w:r>
    </w:p>
    <w:p w14:paraId="742BDE8F" w14:textId="01618B72" w:rsidR="00967B40" w:rsidRPr="00F77F3B" w:rsidRDefault="00815958" w:rsidP="00C67599">
      <w:pPr>
        <w:spacing w:before="0" w:line="360" w:lineRule="auto"/>
        <w:ind w:firstLine="720"/>
        <w:jc w:val="both"/>
      </w:pPr>
      <w:r w:rsidRPr="00F77F3B">
        <w:t>Moreover, g</w:t>
      </w:r>
      <w:r w:rsidR="00967B40" w:rsidRPr="00F77F3B">
        <w:t xml:space="preserve">iven the safeguards created by the CSP to protect stateless persons, even if a </w:t>
      </w:r>
      <w:r w:rsidRPr="00F77F3B">
        <w:t>State</w:t>
      </w:r>
      <w:r w:rsidR="00967B40" w:rsidRPr="00F77F3B">
        <w:t xml:space="preserve"> revokes the </w:t>
      </w:r>
      <w:r w:rsidR="00F06D91" w:rsidRPr="00F77F3B">
        <w:t>nationality</w:t>
      </w:r>
      <w:r w:rsidR="00967B40" w:rsidRPr="00F77F3B">
        <w:t xml:space="preserve"> of its </w:t>
      </w:r>
      <w:r w:rsidRPr="00F77F3B">
        <w:t>nationals</w:t>
      </w:r>
      <w:r w:rsidR="00967B40" w:rsidRPr="00F77F3B">
        <w:t xml:space="preserve">, it is required to afford them certain protections within its borders. Therefore, the consequences stemming from the revocation of </w:t>
      </w:r>
      <w:r w:rsidR="00F06D91" w:rsidRPr="00F77F3B">
        <w:t>nationality</w:t>
      </w:r>
      <w:r w:rsidR="00967B40" w:rsidRPr="00F77F3B">
        <w:t xml:space="preserve"> does not extend so far as to impact other </w:t>
      </w:r>
      <w:r w:rsidRPr="00F77F3B">
        <w:t>S</w:t>
      </w:r>
      <w:r w:rsidR="00967B40" w:rsidRPr="00F77F3B">
        <w:t xml:space="preserve">tates’ performance of this obligation. Therefore, statelessness is not an </w:t>
      </w:r>
      <w:r w:rsidR="00967B40" w:rsidRPr="00F77F3B">
        <w:rPr>
          <w:i/>
          <w:iCs/>
        </w:rPr>
        <w:t>erga omnes</w:t>
      </w:r>
      <w:r w:rsidR="00967B40" w:rsidRPr="00F77F3B">
        <w:t xml:space="preserve"> obligation and Antrano lacks standing</w:t>
      </w:r>
      <w:r w:rsidR="00F06D91" w:rsidRPr="00F77F3B">
        <w:t>.</w:t>
      </w:r>
    </w:p>
    <w:p w14:paraId="3CE60B1A" w14:textId="5E102F18" w:rsidR="00967B40" w:rsidRPr="00F77F3B" w:rsidRDefault="00967B40" w:rsidP="00151AEB">
      <w:pPr>
        <w:pStyle w:val="Heading1"/>
        <w:numPr>
          <w:ilvl w:val="0"/>
          <w:numId w:val="3"/>
        </w:numPr>
        <w:spacing w:line="240" w:lineRule="auto"/>
        <w:rPr>
          <w:b/>
        </w:rPr>
      </w:pPr>
      <w:bookmarkStart w:id="30" w:name="_Toc155683566"/>
      <w:bookmarkStart w:id="31" w:name="_Toc155924023"/>
      <w:r w:rsidRPr="00F77F3B">
        <w:rPr>
          <w:b/>
        </w:rPr>
        <w:t xml:space="preserve">Remisia Complied </w:t>
      </w:r>
      <w:r w:rsidR="002C611F" w:rsidRPr="00F77F3B">
        <w:rPr>
          <w:b/>
        </w:rPr>
        <w:t>w</w:t>
      </w:r>
      <w:r w:rsidRPr="00F77F3B">
        <w:rPr>
          <w:b/>
        </w:rPr>
        <w:t xml:space="preserve">ith International Law </w:t>
      </w:r>
      <w:r w:rsidR="002C611F" w:rsidRPr="00F77F3B">
        <w:rPr>
          <w:b/>
        </w:rPr>
        <w:t>w</w:t>
      </w:r>
      <w:r w:rsidRPr="00F77F3B">
        <w:rPr>
          <w:b/>
        </w:rPr>
        <w:t>hen</w:t>
      </w:r>
      <w:r w:rsidR="002C611F" w:rsidRPr="00F77F3B">
        <w:rPr>
          <w:b/>
        </w:rPr>
        <w:t xml:space="preserve"> i</w:t>
      </w:r>
      <w:r w:rsidRPr="00F77F3B">
        <w:rPr>
          <w:b/>
        </w:rPr>
        <w:t xml:space="preserve">t Revoked </w:t>
      </w:r>
      <w:r w:rsidR="002C611F" w:rsidRPr="00F77F3B">
        <w:rPr>
          <w:b/>
        </w:rPr>
        <w:t>t</w:t>
      </w:r>
      <w:r w:rsidRPr="00F77F3B">
        <w:rPr>
          <w:b/>
        </w:rPr>
        <w:t>he Sterren Forty’s Nationality.</w:t>
      </w:r>
      <w:bookmarkEnd w:id="30"/>
      <w:bookmarkEnd w:id="31"/>
    </w:p>
    <w:p w14:paraId="6044B4B1" w14:textId="5134C227" w:rsidR="00967B40" w:rsidRPr="00F77F3B" w:rsidRDefault="00967B40" w:rsidP="00C67599">
      <w:pPr>
        <w:spacing w:before="0" w:line="360" w:lineRule="auto"/>
        <w:ind w:firstLine="720"/>
        <w:jc w:val="both"/>
      </w:pPr>
      <w:r w:rsidRPr="00F77F3B">
        <w:t>Under treaty and customary</w:t>
      </w:r>
      <w:r w:rsidR="002C611F" w:rsidRPr="00F77F3B">
        <w:t xml:space="preserve"> international</w:t>
      </w:r>
      <w:r w:rsidRPr="00F77F3B">
        <w:t xml:space="preserve"> law, there are permissible exceptions </w:t>
      </w:r>
      <w:r w:rsidR="002C611F" w:rsidRPr="00F77F3B">
        <w:t>when</w:t>
      </w:r>
      <w:r w:rsidRPr="00F77F3B">
        <w:t xml:space="preserve"> </w:t>
      </w:r>
      <w:r w:rsidR="002C611F" w:rsidRPr="00F77F3B">
        <w:t>a State may revoke an individual’s nationality</w:t>
      </w:r>
      <w:r w:rsidRPr="00F77F3B">
        <w:t xml:space="preserve">. The </w:t>
      </w:r>
      <w:r w:rsidR="002C611F" w:rsidRPr="00F77F3B">
        <w:t>DCA</w:t>
      </w:r>
      <w:r w:rsidRPr="00F77F3B">
        <w:t xml:space="preserve"> </w:t>
      </w:r>
      <w:r w:rsidR="002C611F" w:rsidRPr="00F77F3B">
        <w:t>adheres to the</w:t>
      </w:r>
      <w:r w:rsidRPr="00F77F3B">
        <w:t xml:space="preserve"> exceptions. </w:t>
      </w:r>
    </w:p>
    <w:p w14:paraId="4BF968D5" w14:textId="3A88E305" w:rsidR="005D040B" w:rsidRPr="00F77F3B" w:rsidRDefault="005D040B" w:rsidP="007B39FF">
      <w:pPr>
        <w:pStyle w:val="Heading2"/>
        <w:numPr>
          <w:ilvl w:val="1"/>
          <w:numId w:val="4"/>
        </w:numPr>
        <w:ind w:left="1800" w:hanging="720"/>
        <w:jc w:val="both"/>
        <w:rPr>
          <w:b/>
          <w:bCs/>
        </w:rPr>
      </w:pPr>
      <w:bookmarkStart w:id="32" w:name="_Toc155683567"/>
      <w:bookmarkStart w:id="33" w:name="_Toc155924024"/>
      <w:r w:rsidRPr="00F77F3B">
        <w:rPr>
          <w:b/>
          <w:bCs/>
        </w:rPr>
        <w:t xml:space="preserve">Remisia Complied </w:t>
      </w:r>
      <w:r w:rsidR="00362861" w:rsidRPr="00F77F3B">
        <w:rPr>
          <w:b/>
          <w:bCs/>
        </w:rPr>
        <w:t>with</w:t>
      </w:r>
      <w:r w:rsidRPr="00F77F3B">
        <w:rPr>
          <w:b/>
          <w:bCs/>
        </w:rPr>
        <w:t xml:space="preserve"> Customary International Law </w:t>
      </w:r>
      <w:r w:rsidR="00362861" w:rsidRPr="00F77F3B">
        <w:rPr>
          <w:b/>
          <w:bCs/>
        </w:rPr>
        <w:t>w</w:t>
      </w:r>
      <w:r w:rsidRPr="00F77F3B">
        <w:rPr>
          <w:b/>
          <w:bCs/>
        </w:rPr>
        <w:t xml:space="preserve">hen </w:t>
      </w:r>
      <w:r w:rsidR="007C6D37" w:rsidRPr="00F77F3B">
        <w:rPr>
          <w:b/>
          <w:bCs/>
        </w:rPr>
        <w:t>i</w:t>
      </w:r>
      <w:r w:rsidRPr="00F77F3B">
        <w:rPr>
          <w:b/>
          <w:bCs/>
        </w:rPr>
        <w:t xml:space="preserve">t Revoked </w:t>
      </w:r>
      <w:r w:rsidR="00362861" w:rsidRPr="00F77F3B">
        <w:rPr>
          <w:b/>
          <w:bCs/>
        </w:rPr>
        <w:t>t</w:t>
      </w:r>
      <w:r w:rsidRPr="00F77F3B">
        <w:rPr>
          <w:b/>
          <w:bCs/>
        </w:rPr>
        <w:t>he Sterren Forty’s Nationality</w:t>
      </w:r>
      <w:bookmarkEnd w:id="32"/>
      <w:bookmarkEnd w:id="33"/>
    </w:p>
    <w:p w14:paraId="6B98AFC5" w14:textId="567FF53D" w:rsidR="00B007F5" w:rsidRPr="00F77F3B" w:rsidRDefault="00D93BDC" w:rsidP="00C67599">
      <w:pPr>
        <w:spacing w:before="0" w:line="360" w:lineRule="auto"/>
        <w:ind w:firstLine="720"/>
      </w:pPr>
      <w:r w:rsidRPr="00F77F3B">
        <w:t xml:space="preserve">Remisia complied with customary international law when it revoked the Sterren Forty’s nationality. It adhered to the principle of </w:t>
      </w:r>
      <w:r w:rsidR="0012372A" w:rsidRPr="00F77F3B">
        <w:t>non-intervention and</w:t>
      </w:r>
      <w:r w:rsidRPr="00F77F3B">
        <w:t xml:space="preserve"> abided by the principles enshrined within international and regional human rights instruments. </w:t>
      </w:r>
    </w:p>
    <w:p w14:paraId="46D4D8BF" w14:textId="69FF8202" w:rsidR="00967B40" w:rsidRPr="00F77F3B" w:rsidRDefault="00967B40" w:rsidP="005A39C3">
      <w:pPr>
        <w:pStyle w:val="Heading3"/>
        <w:numPr>
          <w:ilvl w:val="2"/>
          <w:numId w:val="3"/>
        </w:numPr>
        <w:spacing w:before="240" w:after="240" w:line="240" w:lineRule="auto"/>
        <w:ind w:left="2340" w:hanging="360"/>
      </w:pPr>
      <w:bookmarkStart w:id="34" w:name="_Toc155683568"/>
      <w:bookmarkStart w:id="35" w:name="_Toc155924025"/>
      <w:r w:rsidRPr="00F77F3B">
        <w:t xml:space="preserve">Remisia </w:t>
      </w:r>
      <w:r w:rsidR="00B829F4" w:rsidRPr="00F77F3B">
        <w:t xml:space="preserve">is </w:t>
      </w:r>
      <w:r w:rsidR="0022631B" w:rsidRPr="00F77F3B">
        <w:t>p</w:t>
      </w:r>
      <w:r w:rsidR="00B829F4" w:rsidRPr="00F77F3B">
        <w:t xml:space="preserve">ermitted to </w:t>
      </w:r>
      <w:r w:rsidR="0022631B" w:rsidRPr="00F77F3B">
        <w:t>m</w:t>
      </w:r>
      <w:r w:rsidR="00B829F4" w:rsidRPr="00F77F3B">
        <w:t xml:space="preserve">aintain its </w:t>
      </w:r>
      <w:r w:rsidR="0022631B" w:rsidRPr="00F77F3B">
        <w:t>d</w:t>
      </w:r>
      <w:r w:rsidR="00B829F4" w:rsidRPr="00F77F3B">
        <w:t xml:space="preserve">omestic </w:t>
      </w:r>
      <w:r w:rsidR="0022631B" w:rsidRPr="00F77F3B">
        <w:t>n</w:t>
      </w:r>
      <w:r w:rsidR="00B829F4" w:rsidRPr="00F77F3B">
        <w:t xml:space="preserve">ationality </w:t>
      </w:r>
      <w:r w:rsidR="0022631B" w:rsidRPr="00F77F3B">
        <w:t>l</w:t>
      </w:r>
      <w:r w:rsidR="00B829F4" w:rsidRPr="00F77F3B">
        <w:t xml:space="preserve">aws </w:t>
      </w:r>
      <w:r w:rsidR="0022631B" w:rsidRPr="00F77F3B">
        <w:t>w</w:t>
      </w:r>
      <w:r w:rsidR="00B829F4" w:rsidRPr="00F77F3B">
        <w:t xml:space="preserve">ithout </w:t>
      </w:r>
      <w:r w:rsidR="0022631B" w:rsidRPr="00F77F3B">
        <w:t>i</w:t>
      </w:r>
      <w:r w:rsidR="00B829F4" w:rsidRPr="00F77F3B">
        <w:t>nterference</w:t>
      </w:r>
      <w:bookmarkEnd w:id="34"/>
      <w:bookmarkEnd w:id="35"/>
      <w:r w:rsidR="007B39FF" w:rsidRPr="00F77F3B">
        <w:t>.</w:t>
      </w:r>
    </w:p>
    <w:p w14:paraId="22658582" w14:textId="1C139D28" w:rsidR="00A63311" w:rsidRPr="00F77F3B" w:rsidRDefault="00165F2B" w:rsidP="00C67599">
      <w:pPr>
        <w:spacing w:before="0" w:after="0" w:line="360" w:lineRule="auto"/>
        <w:ind w:firstLine="720"/>
        <w:jc w:val="both"/>
      </w:pPr>
      <w:bookmarkStart w:id="36" w:name="_heading=h.26in1rg" w:colFirst="0" w:colLast="0"/>
      <w:bookmarkEnd w:id="36"/>
      <w:r w:rsidRPr="00F77F3B">
        <w:t xml:space="preserve">The principle of non-intervention prohibits a State from intervening into another State’s </w:t>
      </w:r>
      <w:r w:rsidRPr="00F77F3B">
        <w:rPr>
          <w:i/>
          <w:iCs/>
        </w:rPr>
        <w:t>domaine r</w:t>
      </w:r>
      <w:r w:rsidRPr="00F77F3B">
        <w:t>éservé.</w:t>
      </w:r>
      <w:r w:rsidRPr="00F77F3B">
        <w:rPr>
          <w:rStyle w:val="FootnoteReference"/>
        </w:rPr>
        <w:footnoteReference w:id="48"/>
      </w:r>
      <w:r w:rsidRPr="00F77F3B">
        <w:rPr>
          <w:i/>
          <w:iCs/>
        </w:rPr>
        <w:t xml:space="preserve"> </w:t>
      </w:r>
      <w:r w:rsidR="002C611F" w:rsidRPr="00F77F3B">
        <w:rPr>
          <w:rStyle w:val="normaltextrun"/>
          <w:shd w:val="clear" w:color="auto" w:fill="FFFFFF"/>
        </w:rPr>
        <w:t>This Court affirmed the principle of non-intervention as “part and parcel of customary international law.”</w:t>
      </w:r>
      <w:r w:rsidR="002C611F" w:rsidRPr="00F77F3B">
        <w:rPr>
          <w:rStyle w:val="FootnoteReference"/>
          <w:shd w:val="clear" w:color="auto" w:fill="FFFFFF"/>
        </w:rPr>
        <w:footnoteReference w:id="49"/>
      </w:r>
      <w:r w:rsidR="002C611F" w:rsidRPr="00F77F3B">
        <w:t xml:space="preserve"> </w:t>
      </w:r>
      <w:bookmarkStart w:id="37" w:name="_heading=h.lnxbz9" w:colFirst="0" w:colLast="0"/>
      <w:bookmarkEnd w:id="37"/>
      <w:r w:rsidR="00967B40" w:rsidRPr="00F77F3B">
        <w:t xml:space="preserve">Naturalization, regulation, and revocation of </w:t>
      </w:r>
      <w:r w:rsidR="00560822" w:rsidRPr="00F77F3B">
        <w:t>nationality</w:t>
      </w:r>
      <w:r w:rsidR="00967B40" w:rsidRPr="00F77F3B">
        <w:t xml:space="preserve"> are inherent aspects of a State's domestic affairs and fall within the ambit of its sovereign privileges.</w:t>
      </w:r>
      <w:r w:rsidR="00967B40" w:rsidRPr="00F77F3B">
        <w:rPr>
          <w:vertAlign w:val="superscript"/>
        </w:rPr>
        <w:footnoteReference w:id="50"/>
      </w:r>
      <w:r w:rsidR="00967B40" w:rsidRPr="00F77F3B">
        <w:t xml:space="preserve"> </w:t>
      </w:r>
      <w:r w:rsidR="00F70194" w:rsidRPr="00F77F3B">
        <w:lastRenderedPageBreak/>
        <w:t>Customary international law</w:t>
      </w:r>
      <w:r w:rsidR="00951387" w:rsidRPr="00F77F3B">
        <w:t xml:space="preserve"> </w:t>
      </w:r>
      <w:r w:rsidR="00F70194" w:rsidRPr="00F77F3B">
        <w:t>reaffirms</w:t>
      </w:r>
      <w:r w:rsidR="00951387" w:rsidRPr="00F77F3B">
        <w:t xml:space="preserve"> how </w:t>
      </w:r>
      <w:r w:rsidR="00F70194" w:rsidRPr="00F77F3B">
        <w:t>States historically maintained sovereign authority to confer nationality, which</w:t>
      </w:r>
      <w:r w:rsidR="00951387" w:rsidRPr="00F77F3B">
        <w:t xml:space="preserve"> exclusively </w:t>
      </w:r>
      <w:r w:rsidR="00D20BF1" w:rsidRPr="00F77F3B">
        <w:t>is</w:t>
      </w:r>
      <w:r w:rsidR="00951387" w:rsidRPr="00F77F3B">
        <w:t xml:space="preserve"> within a State's domestic affairs.</w:t>
      </w:r>
      <w:r w:rsidR="00951387" w:rsidRPr="00F77F3B">
        <w:rPr>
          <w:rStyle w:val="FootnoteReference"/>
        </w:rPr>
        <w:footnoteReference w:id="51"/>
      </w:r>
    </w:p>
    <w:p w14:paraId="6AB1D99A" w14:textId="251B454C" w:rsidR="00967B40" w:rsidRPr="00F77F3B" w:rsidRDefault="00165F2B" w:rsidP="00C67599">
      <w:pPr>
        <w:spacing w:before="0" w:line="360" w:lineRule="auto"/>
        <w:ind w:firstLine="720"/>
        <w:jc w:val="both"/>
      </w:pPr>
      <w:r w:rsidRPr="00F77F3B">
        <w:t>As</w:t>
      </w:r>
      <w:r w:rsidR="00560822" w:rsidRPr="00F77F3B">
        <w:t xml:space="preserve"> </w:t>
      </w:r>
      <w:r w:rsidRPr="00F77F3B">
        <w:t xml:space="preserve">a </w:t>
      </w:r>
      <w:r w:rsidR="00560822" w:rsidRPr="00F77F3B">
        <w:t xml:space="preserve">domestic law </w:t>
      </w:r>
      <w:r w:rsidRPr="00F77F3B">
        <w:t>regulating</w:t>
      </w:r>
      <w:r w:rsidR="00560822" w:rsidRPr="00F77F3B">
        <w:t xml:space="preserve"> nationality,</w:t>
      </w:r>
      <w:r w:rsidR="00E97774" w:rsidRPr="00F77F3B">
        <w:rPr>
          <w:vertAlign w:val="superscript"/>
        </w:rPr>
        <w:footnoteReference w:id="52"/>
      </w:r>
      <w:r w:rsidR="00560822" w:rsidRPr="00F77F3B">
        <w:t xml:space="preserve"> </w:t>
      </w:r>
      <w:r w:rsidRPr="00F77F3B">
        <w:t>the DCA reflects Remisia</w:t>
      </w:r>
      <w:r w:rsidR="00E97774" w:rsidRPr="00F77F3B">
        <w:t>’</w:t>
      </w:r>
      <w:r w:rsidRPr="00F77F3B">
        <w:t>s exercise of sovereign authority within its domestic jurisdiction.</w:t>
      </w:r>
      <w:r w:rsidRPr="00F77F3B">
        <w:rPr>
          <w:vertAlign w:val="superscript"/>
        </w:rPr>
        <w:t xml:space="preserve"> </w:t>
      </w:r>
      <w:r w:rsidRPr="00F77F3B">
        <w:t>The</w:t>
      </w:r>
      <w:r w:rsidR="00951387" w:rsidRPr="00F77F3B">
        <w:t>refore, the</w:t>
      </w:r>
      <w:r w:rsidRPr="00F77F3B">
        <w:t xml:space="preserve"> principle of non-intervention preserves Remisia’s right to </w:t>
      </w:r>
      <w:r w:rsidR="00951387" w:rsidRPr="00F77F3B">
        <w:t xml:space="preserve">create and </w:t>
      </w:r>
      <w:r w:rsidRPr="00F77F3B">
        <w:t>administer domestic laws without undue interference by Antrano.</w:t>
      </w:r>
      <w:r w:rsidRPr="00F77F3B">
        <w:rPr>
          <w:vertAlign w:val="superscript"/>
        </w:rPr>
        <w:footnoteReference w:id="53"/>
      </w:r>
      <w:r w:rsidRPr="00F77F3B">
        <w:t xml:space="preserve"> </w:t>
      </w:r>
    </w:p>
    <w:p w14:paraId="64185DA1" w14:textId="0A2B8549" w:rsidR="005D040B" w:rsidRPr="00F77F3B" w:rsidRDefault="0022631B" w:rsidP="005A39C3">
      <w:pPr>
        <w:pStyle w:val="Heading3"/>
        <w:numPr>
          <w:ilvl w:val="2"/>
          <w:numId w:val="3"/>
        </w:numPr>
        <w:spacing w:before="240" w:after="240" w:line="240" w:lineRule="auto"/>
        <w:ind w:left="2340" w:hanging="360"/>
      </w:pPr>
      <w:bookmarkStart w:id="40" w:name="_Toc155683569"/>
      <w:bookmarkStart w:id="41" w:name="_Toc155924026"/>
      <w:r w:rsidRPr="00F77F3B">
        <w:t xml:space="preserve">Remisia complied with </w:t>
      </w:r>
      <w:r w:rsidR="00D82822" w:rsidRPr="00F77F3B">
        <w:t>international and regional human rights instruments</w:t>
      </w:r>
      <w:bookmarkEnd w:id="40"/>
      <w:bookmarkEnd w:id="41"/>
      <w:r w:rsidR="007B39FF" w:rsidRPr="00F77F3B">
        <w:t>.</w:t>
      </w:r>
    </w:p>
    <w:p w14:paraId="44C31C1C" w14:textId="575BFE2C" w:rsidR="00A11F51" w:rsidRPr="00F77F3B" w:rsidRDefault="005D040B" w:rsidP="00EE446C">
      <w:pPr>
        <w:spacing w:before="0" w:after="0" w:line="360" w:lineRule="auto"/>
        <w:ind w:firstLine="720"/>
        <w:jc w:val="both"/>
        <w:rPr>
          <w:rStyle w:val="normaltextrun"/>
        </w:rPr>
      </w:pPr>
      <w:r w:rsidRPr="00F77F3B">
        <w:t xml:space="preserve">Even if </w:t>
      </w:r>
      <w:r w:rsidR="00AE6F18" w:rsidRPr="00F77F3B">
        <w:t>the right to nationality is absolute</w:t>
      </w:r>
      <w:r w:rsidRPr="00F77F3B">
        <w:t xml:space="preserve">, </w:t>
      </w:r>
      <w:r w:rsidR="00AE6F18" w:rsidRPr="00F77F3B">
        <w:t>Remisia</w:t>
      </w:r>
      <w:r w:rsidRPr="00F77F3B">
        <w:t xml:space="preserve"> complied with </w:t>
      </w:r>
      <w:r w:rsidR="00C20AE6" w:rsidRPr="00F77F3B">
        <w:t>this obligation as interpreted through</w:t>
      </w:r>
      <w:r w:rsidR="00D20BF1" w:rsidRPr="00F77F3B">
        <w:t xml:space="preserve"> international and regional human rights instruments.</w:t>
      </w:r>
      <w:r w:rsidR="00236972" w:rsidRPr="00F77F3B">
        <w:t xml:space="preserve"> </w:t>
      </w:r>
      <w:bookmarkStart w:id="42" w:name="_heading=h.147n2zr" w:colFirst="0" w:colLast="0"/>
      <w:bookmarkEnd w:id="42"/>
      <w:r w:rsidR="00A11F51" w:rsidRPr="00F77F3B">
        <w:t>This Court recognizes the Universal Declaration of Human Rights as customary international law.</w:t>
      </w:r>
      <w:r w:rsidR="00A11F51" w:rsidRPr="00F77F3B">
        <w:rPr>
          <w:rStyle w:val="FootnoteReference"/>
        </w:rPr>
        <w:footnoteReference w:id="54"/>
      </w:r>
      <w:r w:rsidR="00A11F51" w:rsidRPr="00F77F3B">
        <w:t xml:space="preserve"> </w:t>
      </w:r>
      <w:r w:rsidRPr="00F77F3B">
        <w:t>Article 15(2)</w:t>
      </w:r>
      <w:r w:rsidR="00A11F51" w:rsidRPr="00F77F3B">
        <w:t xml:space="preserve"> of the Universal Declaration of Human Rights</w:t>
      </w:r>
      <w:r w:rsidRPr="00F77F3B">
        <w:t xml:space="preserve"> asserts </w:t>
      </w:r>
      <w:r w:rsidR="00DE724D" w:rsidRPr="00F77F3B">
        <w:t>“</w:t>
      </w:r>
      <w:r w:rsidRPr="00F77F3B">
        <w:t xml:space="preserve">no </w:t>
      </w:r>
      <w:r w:rsidR="00DE724D" w:rsidRPr="00F77F3B">
        <w:t>[</w:t>
      </w:r>
      <w:r w:rsidR="00A11F51" w:rsidRPr="00F77F3B">
        <w:t>person</w:t>
      </w:r>
      <w:r w:rsidR="00DE724D" w:rsidRPr="00F77F3B">
        <w:t>]</w:t>
      </w:r>
      <w:r w:rsidRPr="00F77F3B">
        <w:t xml:space="preserve"> shall be arbitrarily deprived of </w:t>
      </w:r>
      <w:r w:rsidR="00236972" w:rsidRPr="00F77F3B">
        <w:t>his</w:t>
      </w:r>
      <w:r w:rsidRPr="00F77F3B">
        <w:t xml:space="preserve"> nationality.</w:t>
      </w:r>
      <w:r w:rsidR="00AB2535" w:rsidRPr="00F77F3B">
        <w:t>”</w:t>
      </w:r>
      <w:r w:rsidRPr="00F77F3B">
        <w:rPr>
          <w:vertAlign w:val="superscript"/>
        </w:rPr>
        <w:footnoteReference w:id="55"/>
      </w:r>
      <w:r w:rsidR="00EE446C" w:rsidRPr="00F77F3B">
        <w:t xml:space="preserve"> </w:t>
      </w:r>
      <w:r w:rsidR="00CF4818" w:rsidRPr="00F77F3B">
        <w:t>V</w:t>
      </w:r>
      <w:r w:rsidR="00D20BF1" w:rsidRPr="00F77F3B">
        <w:t xml:space="preserve">arious </w:t>
      </w:r>
      <w:r w:rsidR="00A11F51" w:rsidRPr="00F77F3B">
        <w:t>regional treaties and human rights courts</w:t>
      </w:r>
      <w:r w:rsidR="00A11F51" w:rsidRPr="00F77F3B">
        <w:rPr>
          <w:rStyle w:val="FootnoteReference"/>
        </w:rPr>
        <w:footnoteReference w:id="56"/>
      </w:r>
      <w:r w:rsidR="00A11F51" w:rsidRPr="00F77F3B">
        <w:t xml:space="preserve"> have affirmed </w:t>
      </w:r>
      <w:r w:rsidR="00CF4818" w:rsidRPr="00F77F3B">
        <w:t>this</w:t>
      </w:r>
      <w:r w:rsidR="00A11F51" w:rsidRPr="00F77F3B">
        <w:t xml:space="preserve"> </w:t>
      </w:r>
      <w:r w:rsidR="009E62CA" w:rsidRPr="00F77F3B">
        <w:t>principle</w:t>
      </w:r>
      <w:r w:rsidR="00A11F51" w:rsidRPr="00F77F3B">
        <w:t xml:space="preserve">, concluding </w:t>
      </w:r>
      <w:r w:rsidR="002D06EC" w:rsidRPr="00F77F3B">
        <w:t xml:space="preserve">if </w:t>
      </w:r>
      <w:r w:rsidR="00D20BF1" w:rsidRPr="00F77F3B">
        <w:t xml:space="preserve">the revocation of </w:t>
      </w:r>
      <w:r w:rsidR="002D06EC" w:rsidRPr="00F77F3B">
        <w:t xml:space="preserve">nationality is foreseeable, it </w:t>
      </w:r>
      <w:r w:rsidR="00407011" w:rsidRPr="00F77F3B">
        <w:t>is</w:t>
      </w:r>
      <w:r w:rsidR="00D20BF1" w:rsidRPr="00F77F3B">
        <w:t xml:space="preserve"> not </w:t>
      </w:r>
      <w:r w:rsidR="002D06EC" w:rsidRPr="00F77F3B">
        <w:t>ar</w:t>
      </w:r>
      <w:r w:rsidR="00D20BF1" w:rsidRPr="00F77F3B">
        <w:t>b</w:t>
      </w:r>
      <w:r w:rsidR="002D06EC" w:rsidRPr="00F77F3B">
        <w:t>itrar</w:t>
      </w:r>
      <w:r w:rsidR="00D20BF1" w:rsidRPr="00F77F3B">
        <w:t>ily</w:t>
      </w:r>
      <w:r w:rsidR="002D06EC" w:rsidRPr="00F77F3B">
        <w:t>.</w:t>
      </w:r>
      <w:r w:rsidR="002D06EC" w:rsidRPr="00F77F3B">
        <w:rPr>
          <w:rStyle w:val="FootnoteReference"/>
        </w:rPr>
        <w:footnoteReference w:id="57"/>
      </w:r>
      <w:r w:rsidR="00D20BF1" w:rsidRPr="00F77F3B">
        <w:t xml:space="preserve"> Foreseeability </w:t>
      </w:r>
      <w:r w:rsidR="00252FE6" w:rsidRPr="00F77F3B">
        <w:t>is</w:t>
      </w:r>
      <w:r w:rsidR="00D20BF1" w:rsidRPr="00F77F3B">
        <w:t xml:space="preserve"> constructive </w:t>
      </w:r>
      <w:r w:rsidR="00252FE6" w:rsidRPr="00F77F3B">
        <w:t xml:space="preserve">rather than actual </w:t>
      </w:r>
      <w:r w:rsidR="00D20BF1" w:rsidRPr="00F77F3B">
        <w:t>knowledge</w:t>
      </w:r>
      <w:r w:rsidR="0012372A" w:rsidRPr="00F77F3B">
        <w:t>.</w:t>
      </w:r>
      <w:r w:rsidR="00D20BF1" w:rsidRPr="00F77F3B">
        <w:rPr>
          <w:rStyle w:val="FootnoteReference"/>
        </w:rPr>
        <w:footnoteReference w:id="58"/>
      </w:r>
      <w:r w:rsidR="00D20BF1" w:rsidRPr="00F77F3B">
        <w:t xml:space="preserve"> </w:t>
      </w:r>
      <w:r w:rsidR="00EE446C" w:rsidRPr="00F77F3B">
        <w:t>To be foreseeable,</w:t>
      </w:r>
      <w:r w:rsidR="00D20BF1" w:rsidRPr="00F77F3B">
        <w:t xml:space="preserve"> laws governing the withdrawal </w:t>
      </w:r>
      <w:r w:rsidR="00EE446C" w:rsidRPr="00F77F3B">
        <w:t>must be</w:t>
      </w:r>
      <w:r w:rsidR="00D20BF1" w:rsidRPr="00F77F3B">
        <w:t xml:space="preserve"> clear and accessible.</w:t>
      </w:r>
      <w:r w:rsidR="00D20BF1" w:rsidRPr="00F77F3B">
        <w:rPr>
          <w:vertAlign w:val="superscript"/>
        </w:rPr>
        <w:footnoteReference w:id="59"/>
      </w:r>
    </w:p>
    <w:p w14:paraId="6C209C6E" w14:textId="63A3A670" w:rsidR="009E62CA" w:rsidRPr="00F77F3B" w:rsidRDefault="009E62CA" w:rsidP="00C67599">
      <w:pPr>
        <w:spacing w:before="0" w:after="0" w:line="360" w:lineRule="auto"/>
        <w:ind w:firstLine="720"/>
        <w:jc w:val="both"/>
        <w:rPr>
          <w:rStyle w:val="normaltextrun"/>
        </w:rPr>
      </w:pPr>
      <w:r w:rsidRPr="00F77F3B">
        <w:t xml:space="preserve">In </w:t>
      </w:r>
      <w:r w:rsidRPr="00F77F3B">
        <w:rPr>
          <w:i/>
        </w:rPr>
        <w:t>K2 v. The United Kingdom,</w:t>
      </w:r>
      <w:r w:rsidRPr="00F77F3B">
        <w:t xml:space="preserve"> the ECtHR focused on whether the revocation of nationality </w:t>
      </w:r>
      <w:r w:rsidR="00F81700" w:rsidRPr="00F77F3B">
        <w:t>was arbitrary as</w:t>
      </w:r>
      <w:r w:rsidRPr="00F77F3B">
        <w:t xml:space="preserve"> set </w:t>
      </w:r>
      <w:r w:rsidR="00F81700" w:rsidRPr="00F77F3B">
        <w:t>forth</w:t>
      </w:r>
      <w:r w:rsidRPr="00F77F3B">
        <w:t xml:space="preserve"> in the European Convention on Human Rights.</w:t>
      </w:r>
      <w:r w:rsidRPr="00F77F3B">
        <w:rPr>
          <w:vertAlign w:val="superscript"/>
        </w:rPr>
        <w:footnoteReference w:id="60"/>
      </w:r>
      <w:r w:rsidRPr="00F77F3B">
        <w:t xml:space="preserve"> </w:t>
      </w:r>
      <w:r w:rsidR="00F81700" w:rsidRPr="00F77F3B">
        <w:t>T</w:t>
      </w:r>
      <w:r w:rsidRPr="00F77F3B">
        <w:t xml:space="preserve">he </w:t>
      </w:r>
      <w:r w:rsidR="00F81700" w:rsidRPr="00F77F3B">
        <w:t xml:space="preserve">ECtHR </w:t>
      </w:r>
      <w:r w:rsidRPr="00F77F3B">
        <w:t>determined</w:t>
      </w:r>
      <w:r w:rsidR="00F81700" w:rsidRPr="00F77F3B">
        <w:t xml:space="preserve"> </w:t>
      </w:r>
      <w:r w:rsidR="00EE446C" w:rsidRPr="00F77F3B">
        <w:lastRenderedPageBreak/>
        <w:t>nationality</w:t>
      </w:r>
      <w:r w:rsidRPr="00F77F3B">
        <w:t xml:space="preserve"> revocation </w:t>
      </w:r>
      <w:r w:rsidR="00EE446C" w:rsidRPr="00F77F3B">
        <w:t>is</w:t>
      </w:r>
      <w:r w:rsidRPr="00F77F3B">
        <w:t xml:space="preserve"> </w:t>
      </w:r>
      <w:r w:rsidR="00F81700" w:rsidRPr="00F77F3B">
        <w:t xml:space="preserve">not arbitrary </w:t>
      </w:r>
      <w:r w:rsidR="00EE446C" w:rsidRPr="00F77F3B">
        <w:t>if</w:t>
      </w:r>
      <w:r w:rsidR="00F81700" w:rsidRPr="00F77F3B">
        <w:t xml:space="preserve"> it was </w:t>
      </w:r>
      <w:r w:rsidRPr="00F77F3B">
        <w:t>conducted</w:t>
      </w:r>
      <w:r w:rsidR="00F81700" w:rsidRPr="00F77F3B">
        <w:t>: (1)</w:t>
      </w:r>
      <w:r w:rsidRPr="00F77F3B">
        <w:t xml:space="preserve"> in accordance with the law, </w:t>
      </w:r>
      <w:r w:rsidR="00F81700" w:rsidRPr="00F77F3B">
        <w:t xml:space="preserve">(2) </w:t>
      </w:r>
      <w:r w:rsidRPr="00F77F3B">
        <w:t>in a timely manner</w:t>
      </w:r>
      <w:r w:rsidR="00F81700" w:rsidRPr="00F77F3B">
        <w:t xml:space="preserve">, and (3) </w:t>
      </w:r>
      <w:r w:rsidRPr="00F77F3B">
        <w:t>with sufficient procedural safeguards.</w:t>
      </w:r>
      <w:r w:rsidRPr="00F77F3B">
        <w:rPr>
          <w:vertAlign w:val="superscript"/>
        </w:rPr>
        <w:footnoteReference w:id="61"/>
      </w:r>
    </w:p>
    <w:p w14:paraId="75F5DF16" w14:textId="25E6BDF9" w:rsidR="005D040B" w:rsidRPr="00F77F3B" w:rsidRDefault="00D20BF1" w:rsidP="00C67599">
      <w:pPr>
        <w:spacing w:before="0" w:line="360" w:lineRule="auto"/>
        <w:ind w:firstLine="720"/>
        <w:jc w:val="both"/>
      </w:pPr>
      <w:r w:rsidRPr="00F77F3B">
        <w:t xml:space="preserve">Here, </w:t>
      </w:r>
      <w:r w:rsidR="005D040B" w:rsidRPr="00F77F3B">
        <w:t>the Sterren Forty</w:t>
      </w:r>
      <w:r w:rsidR="008E7757" w:rsidRPr="00F77F3B">
        <w:t>’</w:t>
      </w:r>
      <w:r w:rsidR="005D040B" w:rsidRPr="00F77F3B">
        <w:t xml:space="preserve">s </w:t>
      </w:r>
      <w:r w:rsidR="004527FE" w:rsidRPr="00F77F3B">
        <w:t xml:space="preserve">was revoked following a valid and timely legal process </w:t>
      </w:r>
      <w:r w:rsidR="0012372A" w:rsidRPr="00F77F3B">
        <w:t>conducted</w:t>
      </w:r>
      <w:r w:rsidR="004527FE" w:rsidRPr="00F77F3B">
        <w:t xml:space="preserve"> in accordance with the law.</w:t>
      </w:r>
      <w:r w:rsidR="004527FE" w:rsidRPr="00F77F3B">
        <w:rPr>
          <w:rStyle w:val="FootnoteReference"/>
        </w:rPr>
        <w:footnoteReference w:id="62"/>
      </w:r>
      <w:r w:rsidR="004527FE" w:rsidRPr="00F77F3B">
        <w:t xml:space="preserve"> </w:t>
      </w:r>
      <w:r w:rsidRPr="00F77F3B">
        <w:t>T</w:t>
      </w:r>
      <w:r w:rsidR="002D06EC" w:rsidRPr="00F77F3B">
        <w:t xml:space="preserve">he Sterren Forty had constructive knowledge of the potential revocation </w:t>
      </w:r>
      <w:r w:rsidR="008E7757" w:rsidRPr="00F77F3B">
        <w:t>because</w:t>
      </w:r>
      <w:r w:rsidR="00D400D4" w:rsidRPr="00F77F3B">
        <w:t xml:space="preserve"> the</w:t>
      </w:r>
      <w:r w:rsidR="005D040B" w:rsidRPr="00F77F3B">
        <w:t xml:space="preserve"> DCA</w:t>
      </w:r>
      <w:r w:rsidR="009E62CA" w:rsidRPr="00F77F3B">
        <w:t xml:space="preserve"> </w:t>
      </w:r>
      <w:r w:rsidR="005D040B" w:rsidRPr="00F77F3B">
        <w:t>explicitly specifie</w:t>
      </w:r>
      <w:r w:rsidR="002D06EC" w:rsidRPr="00F77F3B">
        <w:t>s</w:t>
      </w:r>
      <w:r w:rsidR="005D040B" w:rsidRPr="00F77F3B">
        <w:t xml:space="preserve"> </w:t>
      </w:r>
      <w:r w:rsidR="00D400D4" w:rsidRPr="00F77F3B">
        <w:t xml:space="preserve">that </w:t>
      </w:r>
      <w:r w:rsidR="002D06EC" w:rsidRPr="00F77F3B">
        <w:t xml:space="preserve">disloyal </w:t>
      </w:r>
      <w:r w:rsidR="009E62CA" w:rsidRPr="00F77F3B">
        <w:t>conduct</w:t>
      </w:r>
      <w:r w:rsidR="005D040B" w:rsidRPr="00F77F3B">
        <w:t xml:space="preserve"> </w:t>
      </w:r>
      <w:r w:rsidR="002D06EC" w:rsidRPr="00F77F3B">
        <w:t xml:space="preserve">to the Queen </w:t>
      </w:r>
      <w:r w:rsidR="009E62CA" w:rsidRPr="00F77F3B">
        <w:t>result</w:t>
      </w:r>
      <w:r w:rsidR="002D06EC" w:rsidRPr="00F77F3B">
        <w:t>s</w:t>
      </w:r>
      <w:r w:rsidR="009E62CA" w:rsidRPr="00F77F3B">
        <w:t xml:space="preserve"> in a</w:t>
      </w:r>
      <w:r w:rsidR="005D040B" w:rsidRPr="00F77F3B">
        <w:t xml:space="preserve"> loss of </w:t>
      </w:r>
      <w:r w:rsidR="009E62CA" w:rsidRPr="00F77F3B">
        <w:t>nationality</w:t>
      </w:r>
      <w:r w:rsidR="005D040B" w:rsidRPr="00F77F3B">
        <w:t>.</w:t>
      </w:r>
      <w:r w:rsidR="00F81700" w:rsidRPr="00F77F3B">
        <w:rPr>
          <w:rStyle w:val="FootnoteReference"/>
        </w:rPr>
        <w:footnoteReference w:id="63"/>
      </w:r>
      <w:r w:rsidR="005D040B" w:rsidRPr="00F77F3B">
        <w:t xml:space="preserve"> </w:t>
      </w:r>
      <w:r w:rsidR="00D400D4" w:rsidRPr="00F77F3B">
        <w:t xml:space="preserve">Further, </w:t>
      </w:r>
      <w:r w:rsidR="002D06EC" w:rsidRPr="00F77F3B">
        <w:t>Remisia offered</w:t>
      </w:r>
      <w:r w:rsidR="005D040B" w:rsidRPr="00F77F3B">
        <w:t xml:space="preserve"> ample opportunity </w:t>
      </w:r>
      <w:r w:rsidR="002D06EC" w:rsidRPr="00F77F3B">
        <w:t xml:space="preserve">for the Sterren Forty </w:t>
      </w:r>
      <w:r w:rsidR="005D040B" w:rsidRPr="00F77F3B">
        <w:t xml:space="preserve">to revoke their </w:t>
      </w:r>
      <w:r w:rsidR="002D06EC" w:rsidRPr="00F77F3B">
        <w:t xml:space="preserve">defaming </w:t>
      </w:r>
      <w:r w:rsidR="005D040B" w:rsidRPr="00F77F3B">
        <w:t>comments</w:t>
      </w:r>
      <w:r w:rsidR="00D400D4" w:rsidRPr="00F77F3B">
        <w:t xml:space="preserve">, </w:t>
      </w:r>
      <w:r w:rsidR="002D06EC" w:rsidRPr="00F77F3B">
        <w:t>pu</w:t>
      </w:r>
      <w:r w:rsidR="00D400D4" w:rsidRPr="00F77F3B">
        <w:t>tting</w:t>
      </w:r>
      <w:r w:rsidR="002D06EC" w:rsidRPr="00F77F3B">
        <w:t xml:space="preserve"> them on</w:t>
      </w:r>
      <w:r w:rsidR="005D040B" w:rsidRPr="00F77F3B">
        <w:t xml:space="preserve"> notice </w:t>
      </w:r>
      <w:r w:rsidR="008D170F" w:rsidRPr="00F77F3B">
        <w:t>about their unlawful behavior</w:t>
      </w:r>
      <w:r w:rsidR="005D040B" w:rsidRPr="00F77F3B">
        <w:t>.</w:t>
      </w:r>
      <w:r w:rsidR="002D06EC" w:rsidRPr="00F77F3B">
        <w:rPr>
          <w:rStyle w:val="FootnoteReference"/>
        </w:rPr>
        <w:footnoteReference w:id="64"/>
      </w:r>
      <w:r w:rsidR="009E62CA" w:rsidRPr="00F77F3B">
        <w:t xml:space="preserve"> </w:t>
      </w:r>
      <w:r w:rsidR="002D06EC" w:rsidRPr="00F77F3B">
        <w:t xml:space="preserve">Finally, the Sterren Forty </w:t>
      </w:r>
      <w:r w:rsidRPr="00F77F3B">
        <w:t>had the opportunity to appeal</w:t>
      </w:r>
      <w:r w:rsidR="00001DF0" w:rsidRPr="00F77F3B">
        <w:t>, therefore enjoying sufficient procedural safeguards to their revocation</w:t>
      </w:r>
      <w:r w:rsidR="005D040B" w:rsidRPr="00F77F3B">
        <w:t>.</w:t>
      </w:r>
      <w:r w:rsidR="004F6C80" w:rsidRPr="00F77F3B">
        <w:rPr>
          <w:rStyle w:val="FootnoteReference"/>
        </w:rPr>
        <w:footnoteReference w:id="65"/>
      </w:r>
      <w:r w:rsidR="005D040B" w:rsidRPr="00F77F3B">
        <w:t xml:space="preserve"> </w:t>
      </w:r>
      <w:r w:rsidR="00F81700" w:rsidRPr="00F77F3B">
        <w:t xml:space="preserve">Therefore, Remisia complied with customary international law when it revoked the Sterren Forty’s nationality. </w:t>
      </w:r>
    </w:p>
    <w:p w14:paraId="43F5DA3D" w14:textId="5B04F6DA" w:rsidR="00967B40" w:rsidRPr="00F77F3B" w:rsidRDefault="0022631B" w:rsidP="007B39FF">
      <w:pPr>
        <w:pStyle w:val="Heading2"/>
        <w:numPr>
          <w:ilvl w:val="1"/>
          <w:numId w:val="4"/>
        </w:numPr>
        <w:ind w:left="1800" w:hanging="720"/>
        <w:jc w:val="both"/>
        <w:rPr>
          <w:b/>
          <w:bCs/>
        </w:rPr>
      </w:pPr>
      <w:bookmarkStart w:id="44" w:name="_Toc155683570"/>
      <w:bookmarkStart w:id="45" w:name="_Toc155924027"/>
      <w:r w:rsidRPr="00F77F3B">
        <w:rPr>
          <w:b/>
          <w:bCs/>
        </w:rPr>
        <w:t xml:space="preserve">Remisia Complied with its Treaty Obligations </w:t>
      </w:r>
      <w:r w:rsidR="00362861" w:rsidRPr="00F77F3B">
        <w:rPr>
          <w:b/>
          <w:bCs/>
        </w:rPr>
        <w:t>w</w:t>
      </w:r>
      <w:r w:rsidRPr="00F77F3B">
        <w:rPr>
          <w:b/>
          <w:bCs/>
        </w:rPr>
        <w:t xml:space="preserve">hen </w:t>
      </w:r>
      <w:r w:rsidR="00362861" w:rsidRPr="00F77F3B">
        <w:rPr>
          <w:b/>
          <w:bCs/>
        </w:rPr>
        <w:t>i</w:t>
      </w:r>
      <w:r w:rsidRPr="00F77F3B">
        <w:rPr>
          <w:b/>
          <w:bCs/>
        </w:rPr>
        <w:t>t Revoked the Sterren Forty’s Nationality</w:t>
      </w:r>
      <w:bookmarkEnd w:id="44"/>
      <w:bookmarkEnd w:id="45"/>
    </w:p>
    <w:p w14:paraId="00ABDE2C" w14:textId="6DAA6578" w:rsidR="00CA4915" w:rsidRPr="00F77F3B" w:rsidRDefault="00001DF0" w:rsidP="00001DF0">
      <w:pPr>
        <w:spacing w:before="0" w:line="360" w:lineRule="auto"/>
        <w:ind w:firstLine="720"/>
        <w:jc w:val="both"/>
      </w:pPr>
      <w:r w:rsidRPr="00F77F3B">
        <w:t>In addition to its obligations under customary international law,</w:t>
      </w:r>
      <w:r w:rsidR="00F779C1" w:rsidRPr="00F77F3B">
        <w:t xml:space="preserve"> </w:t>
      </w:r>
      <w:r w:rsidR="00CA4915" w:rsidRPr="00F77F3B">
        <w:t>Remisia complied with its treaty obligations under the CRS, CSP, and ICCP</w:t>
      </w:r>
      <w:r w:rsidR="00F779C1" w:rsidRPr="00F77F3B">
        <w:t xml:space="preserve">R when it revoked the Sterren Forty’s nationality. </w:t>
      </w:r>
    </w:p>
    <w:p w14:paraId="49C22236" w14:textId="42A4ECFA" w:rsidR="00967B40" w:rsidRPr="00F77F3B" w:rsidRDefault="00967B40" w:rsidP="005A39C3">
      <w:pPr>
        <w:pStyle w:val="Heading3"/>
        <w:numPr>
          <w:ilvl w:val="2"/>
          <w:numId w:val="7"/>
        </w:numPr>
        <w:spacing w:before="240" w:after="240" w:line="240" w:lineRule="auto"/>
        <w:ind w:left="2340" w:hanging="360"/>
      </w:pPr>
      <w:bookmarkStart w:id="46" w:name="_Toc155683571"/>
      <w:bookmarkStart w:id="47" w:name="_Toc155924028"/>
      <w:r w:rsidRPr="00F77F3B">
        <w:t xml:space="preserve">Remisia complied with Article 8 of the CRS when it </w:t>
      </w:r>
      <w:r w:rsidR="0022631B" w:rsidRPr="00F77F3B">
        <w:t>r</w:t>
      </w:r>
      <w:r w:rsidRPr="00F77F3B">
        <w:t xml:space="preserve">evoked the Sterren Forty’s </w:t>
      </w:r>
      <w:r w:rsidR="0022631B" w:rsidRPr="00F77F3B">
        <w:t>n</w:t>
      </w:r>
      <w:r w:rsidR="00DA1FC6" w:rsidRPr="00F77F3B">
        <w:t>ationality</w:t>
      </w:r>
      <w:bookmarkEnd w:id="46"/>
      <w:bookmarkEnd w:id="47"/>
      <w:r w:rsidR="007B39FF" w:rsidRPr="00F77F3B">
        <w:t>.</w:t>
      </w:r>
    </w:p>
    <w:p w14:paraId="37A75978" w14:textId="0C510AB7" w:rsidR="00967B40" w:rsidRPr="00F77F3B" w:rsidRDefault="00967B40" w:rsidP="00C67599">
      <w:pPr>
        <w:spacing w:before="0" w:after="0" w:line="360" w:lineRule="auto"/>
        <w:ind w:firstLine="720"/>
        <w:jc w:val="both"/>
      </w:pPr>
      <w:r w:rsidRPr="00F77F3B">
        <w:t xml:space="preserve">Article 8(3)(a) of the CRS </w:t>
      </w:r>
      <w:r w:rsidR="00E14374" w:rsidRPr="00F77F3B">
        <w:t xml:space="preserve">permits exceptions to revoking nationality </w:t>
      </w:r>
      <w:r w:rsidR="001B05AC" w:rsidRPr="00F77F3B">
        <w:t>in circumstances of</w:t>
      </w:r>
      <w:r w:rsidR="00E14374" w:rsidRPr="00F77F3B">
        <w:t xml:space="preserve"> statelessness </w:t>
      </w:r>
      <w:r w:rsidR="001B05AC" w:rsidRPr="00F77F3B">
        <w:t>if</w:t>
      </w:r>
      <w:r w:rsidR="00E14374" w:rsidRPr="00F77F3B">
        <w:t xml:space="preserve"> a State submits a reserva</w:t>
      </w:r>
      <w:r w:rsidR="001B05AC" w:rsidRPr="00F77F3B">
        <w:t>tion under the Article’s exceptions</w:t>
      </w:r>
      <w:r w:rsidRPr="00F77F3B">
        <w:t>.</w:t>
      </w:r>
      <w:r w:rsidRPr="00F77F3B">
        <w:rPr>
          <w:vertAlign w:val="superscript"/>
        </w:rPr>
        <w:footnoteReference w:id="66"/>
      </w:r>
      <w:r w:rsidR="00824B26" w:rsidRPr="00F77F3B">
        <w:t xml:space="preserve"> Reservations “exclude or to modify the legal effect of certain provisions of the treaty in their application to that State[.]”</w:t>
      </w:r>
      <w:r w:rsidRPr="00F77F3B">
        <w:rPr>
          <w:vertAlign w:val="superscript"/>
        </w:rPr>
        <w:footnoteReference w:id="67"/>
      </w:r>
      <w:r w:rsidRPr="00F77F3B">
        <w:t xml:space="preserve"> </w:t>
      </w:r>
      <w:r w:rsidR="00523606" w:rsidRPr="00F77F3B">
        <w:t xml:space="preserve">With the possibility of </w:t>
      </w:r>
      <w:r w:rsidR="00452C8E" w:rsidRPr="00F77F3B">
        <w:t>abstaining from certain provisions</w:t>
      </w:r>
      <w:r w:rsidR="00523606" w:rsidRPr="00F77F3B">
        <w:t xml:space="preserve">, States are more willing to </w:t>
      </w:r>
      <w:r w:rsidR="00786D20" w:rsidRPr="00F77F3B">
        <w:t>ratify</w:t>
      </w:r>
      <w:r w:rsidR="00523606" w:rsidRPr="00F77F3B">
        <w:t xml:space="preserve"> multilateral treaties</w:t>
      </w:r>
      <w:r w:rsidRPr="00F77F3B">
        <w:t>.</w:t>
      </w:r>
      <w:r w:rsidRPr="00F77F3B">
        <w:rPr>
          <w:vertAlign w:val="superscript"/>
        </w:rPr>
        <w:footnoteReference w:id="68"/>
      </w:r>
      <w:r w:rsidRPr="00F77F3B">
        <w:t xml:space="preserve"> </w:t>
      </w:r>
      <w:r w:rsidR="00786D20" w:rsidRPr="00F77F3B">
        <w:t>To be valid, r</w:t>
      </w:r>
      <w:r w:rsidR="00781108" w:rsidRPr="00F77F3B">
        <w:t xml:space="preserve">eservations must comport with </w:t>
      </w:r>
      <w:r w:rsidR="00786D20" w:rsidRPr="00F77F3B">
        <w:t>the treaty’s</w:t>
      </w:r>
      <w:r w:rsidR="00781108" w:rsidRPr="00F77F3B">
        <w:t xml:space="preserve"> object and purpose.</w:t>
      </w:r>
      <w:r w:rsidRPr="00F77F3B">
        <w:rPr>
          <w:vertAlign w:val="superscript"/>
        </w:rPr>
        <w:footnoteReference w:id="69"/>
      </w:r>
    </w:p>
    <w:p w14:paraId="06DC98A6" w14:textId="77777777" w:rsidR="00CF52FB" w:rsidRPr="00F77F3B" w:rsidRDefault="006B4782" w:rsidP="00F04978">
      <w:pPr>
        <w:spacing w:before="0" w:after="0" w:line="360" w:lineRule="auto"/>
        <w:ind w:firstLine="720"/>
        <w:jc w:val="both"/>
      </w:pPr>
      <w:r w:rsidRPr="00F77F3B">
        <w:lastRenderedPageBreak/>
        <w:t>States have</w:t>
      </w:r>
      <w:r w:rsidR="00967B40" w:rsidRPr="00F77F3B">
        <w:t xml:space="preserve"> submitted </w:t>
      </w:r>
      <w:r w:rsidR="00F302B4" w:rsidRPr="00F77F3B">
        <w:t>reservations</w:t>
      </w:r>
      <w:r w:rsidR="00967B40" w:rsidRPr="00F77F3B">
        <w:t xml:space="preserve"> </w:t>
      </w:r>
      <w:r w:rsidRPr="00F77F3B">
        <w:t>under Article 8(3)</w:t>
      </w:r>
      <w:r w:rsidR="00786D20" w:rsidRPr="00F77F3B">
        <w:t xml:space="preserve"> similar to Remisia</w:t>
      </w:r>
      <w:r w:rsidR="00C362C2" w:rsidRPr="00F77F3B">
        <w:t>’s</w:t>
      </w:r>
      <w:r w:rsidR="00BB5631" w:rsidRPr="00F77F3B">
        <w:t>,</w:t>
      </w:r>
      <w:r w:rsidRPr="00F77F3B">
        <w:rPr>
          <w:rStyle w:val="FootnoteReference"/>
        </w:rPr>
        <w:footnoteReference w:id="70"/>
      </w:r>
      <w:r w:rsidR="00967B40" w:rsidRPr="00F77F3B">
        <w:t xml:space="preserve"> </w:t>
      </w:r>
      <w:r w:rsidR="00BB5631" w:rsidRPr="00F77F3B">
        <w:t>while receiving objections</w:t>
      </w:r>
      <w:r w:rsidR="00C362C2" w:rsidRPr="00F77F3B">
        <w:t xml:space="preserve"> similar to one Antrano</w:t>
      </w:r>
      <w:r w:rsidR="00BB5631" w:rsidRPr="00F77F3B">
        <w:t>’s</w:t>
      </w:r>
      <w:r w:rsidRPr="00F77F3B">
        <w:t>.</w:t>
      </w:r>
      <w:r w:rsidRPr="00F77F3B">
        <w:rPr>
          <w:rStyle w:val="FootnoteReference"/>
        </w:rPr>
        <w:footnoteReference w:id="71"/>
      </w:r>
      <w:r w:rsidRPr="00F77F3B">
        <w:t xml:space="preserve"> </w:t>
      </w:r>
      <w:bookmarkStart w:id="48" w:name="_heading=h.2jxsxqh" w:colFirst="0" w:colLast="0"/>
      <w:bookmarkEnd w:id="48"/>
      <w:r w:rsidR="00F04978" w:rsidRPr="00F77F3B">
        <w:t>Yet</w:t>
      </w:r>
      <w:r w:rsidRPr="00F77F3B">
        <w:t xml:space="preserve">, </w:t>
      </w:r>
      <w:r w:rsidR="00F04978" w:rsidRPr="00F77F3B">
        <w:t>these</w:t>
      </w:r>
      <w:r w:rsidR="00967B40" w:rsidRPr="00F77F3B">
        <w:t xml:space="preserve"> </w:t>
      </w:r>
      <w:r w:rsidR="00F302B4" w:rsidRPr="00F77F3B">
        <w:t>reservation</w:t>
      </w:r>
      <w:r w:rsidR="00967B40" w:rsidRPr="00F77F3B">
        <w:t xml:space="preserve"> remains valid.</w:t>
      </w:r>
      <w:r w:rsidRPr="00F77F3B">
        <w:rPr>
          <w:rStyle w:val="FootnoteReference"/>
        </w:rPr>
        <w:footnoteReference w:id="72"/>
      </w:r>
      <w:r w:rsidR="00967B40" w:rsidRPr="00F77F3B">
        <w:t xml:space="preserve"> </w:t>
      </w:r>
      <w:r w:rsidR="00F302B4" w:rsidRPr="00F77F3B">
        <w:t xml:space="preserve">Under </w:t>
      </w:r>
      <w:r w:rsidR="00F04978" w:rsidRPr="00F77F3B">
        <w:t>its own</w:t>
      </w:r>
      <w:r w:rsidR="00F302B4" w:rsidRPr="00F77F3B">
        <w:t xml:space="preserve"> valid reservation, Remisia properly invoked Article 8(3)(a)’s exception when it revoked the Sterren Forty’s nationality. D</w:t>
      </w:r>
      <w:r w:rsidR="00316F5B" w:rsidRPr="00F77F3B">
        <w:t xml:space="preserve">espite objections from Antrano and three other States, Remisia’s </w:t>
      </w:r>
      <w:r w:rsidR="00F302B4" w:rsidRPr="00F77F3B">
        <w:t xml:space="preserve">reservation </w:t>
      </w:r>
      <w:r w:rsidR="00316F5B" w:rsidRPr="00F77F3B">
        <w:t xml:space="preserve">comports with the object and purpose of the </w:t>
      </w:r>
      <w:r w:rsidR="00CF52FB" w:rsidRPr="00F77F3B">
        <w:t>CRS</w:t>
      </w:r>
      <w:r w:rsidR="00316F5B" w:rsidRPr="00F77F3B">
        <w:t>.</w:t>
      </w:r>
    </w:p>
    <w:p w14:paraId="2101F0DF" w14:textId="70C80D81" w:rsidR="00316F5B" w:rsidRPr="00F77F3B" w:rsidRDefault="006B4782" w:rsidP="00F04978">
      <w:pPr>
        <w:spacing w:before="0" w:after="0" w:line="360" w:lineRule="auto"/>
        <w:ind w:firstLine="720"/>
        <w:jc w:val="both"/>
      </w:pPr>
      <w:r w:rsidRPr="00F77F3B">
        <w:t xml:space="preserve">Remisia’s </w:t>
      </w:r>
      <w:r w:rsidR="00F302B4" w:rsidRPr="00F77F3B">
        <w:t>reservation</w:t>
      </w:r>
      <w:r w:rsidRPr="00F77F3B">
        <w:t xml:space="preserve"> falls squarely within the exception available under Article 8(3)(a)(ii)</w:t>
      </w:r>
      <w:r w:rsidR="00316F5B" w:rsidRPr="00F77F3B">
        <w:t xml:space="preserve">, which provides a State may deprive a person of his nationality </w:t>
      </w:r>
      <w:r w:rsidR="006A4AB2" w:rsidRPr="00F77F3B">
        <w:t>i</w:t>
      </w:r>
      <w:r w:rsidR="00316F5B" w:rsidRPr="00F77F3B">
        <w:t>f the individual “inconsistently with his duty of loyalty to the</w:t>
      </w:r>
      <w:r w:rsidR="00F32E0C" w:rsidRPr="00F77F3B">
        <w:t xml:space="preserve"> . . .</w:t>
      </w:r>
      <w:r w:rsidR="00316F5B" w:rsidRPr="00F77F3B">
        <w:t xml:space="preserve"> State</w:t>
      </w:r>
      <w:r w:rsidR="00F32E0C" w:rsidRPr="00F77F3B">
        <w:t xml:space="preserve"> . . . </w:t>
      </w:r>
      <w:r w:rsidR="00316F5B" w:rsidRPr="00F77F3B">
        <w:t>has conducted himself in a manner seriously prejudicial to the vital interests of the State.”</w:t>
      </w:r>
      <w:r w:rsidR="00316F5B" w:rsidRPr="00F77F3B">
        <w:rPr>
          <w:rStyle w:val="FootnoteReference"/>
        </w:rPr>
        <w:footnoteReference w:id="73"/>
      </w:r>
      <w:r w:rsidR="00316F5B" w:rsidRPr="00F77F3B">
        <w:t xml:space="preserve"> </w:t>
      </w:r>
      <w:r w:rsidR="006A4AB2" w:rsidRPr="00F77F3B">
        <w:t>Here</w:t>
      </w:r>
      <w:r w:rsidR="005E0CFB" w:rsidRPr="00F77F3B">
        <w:t>, under the DCA, nationality may only be revoked if an individual proves himself disloyal to the Queen.</w:t>
      </w:r>
      <w:r w:rsidR="005E0CFB" w:rsidRPr="00F77F3B">
        <w:rPr>
          <w:rStyle w:val="FootnoteReference"/>
        </w:rPr>
        <w:footnoteReference w:id="74"/>
      </w:r>
      <w:r w:rsidR="005E0CFB" w:rsidRPr="00F77F3B">
        <w:t xml:space="preserve"> Therefore, because the DCA accords with Article 8(3)</w:t>
      </w:r>
      <w:r w:rsidR="0077600D" w:rsidRPr="00F77F3B">
        <w:t>’</w:t>
      </w:r>
      <w:r w:rsidR="005E0CFB" w:rsidRPr="00F77F3B">
        <w:t xml:space="preserve">s exception, Remisia's </w:t>
      </w:r>
      <w:r w:rsidR="00F302B4" w:rsidRPr="00F77F3B">
        <w:t xml:space="preserve">reservation </w:t>
      </w:r>
      <w:r w:rsidR="005E0CFB" w:rsidRPr="00F77F3B">
        <w:t>does not defy the CRS's object and purpose.</w:t>
      </w:r>
    </w:p>
    <w:p w14:paraId="37C92543" w14:textId="4C241A25" w:rsidR="00EF1F82" w:rsidRPr="00F77F3B" w:rsidRDefault="00EF1F82" w:rsidP="005A39C3">
      <w:pPr>
        <w:pStyle w:val="Heading3"/>
        <w:numPr>
          <w:ilvl w:val="2"/>
          <w:numId w:val="7"/>
        </w:numPr>
        <w:spacing w:before="240" w:after="240" w:line="240" w:lineRule="auto"/>
        <w:ind w:left="2340" w:hanging="360"/>
      </w:pPr>
      <w:bookmarkStart w:id="49" w:name="_heading=h.3j2qqm3" w:colFirst="0" w:colLast="0"/>
      <w:bookmarkStart w:id="50" w:name="_Toc155683572"/>
      <w:bookmarkStart w:id="51" w:name="_Toc155924029"/>
      <w:bookmarkEnd w:id="49"/>
      <w:r w:rsidRPr="00F77F3B">
        <w:t xml:space="preserve">Remisia complied with Article 27 of the CSP when it </w:t>
      </w:r>
      <w:r w:rsidR="00362861" w:rsidRPr="00F77F3B">
        <w:t>r</w:t>
      </w:r>
      <w:r w:rsidRPr="00F77F3B">
        <w:t xml:space="preserve">evoked the Sterren Forty’s </w:t>
      </w:r>
      <w:r w:rsidR="00362861" w:rsidRPr="00F77F3B">
        <w:t>n</w:t>
      </w:r>
      <w:r w:rsidRPr="00F77F3B">
        <w:t>ationalit</w:t>
      </w:r>
      <w:bookmarkEnd w:id="50"/>
      <w:r w:rsidR="00362861" w:rsidRPr="00F77F3B">
        <w:t>y</w:t>
      </w:r>
      <w:bookmarkEnd w:id="51"/>
      <w:r w:rsidR="007B39FF" w:rsidRPr="00F77F3B">
        <w:t>.</w:t>
      </w:r>
    </w:p>
    <w:p w14:paraId="6BBE4096" w14:textId="7A09C43B" w:rsidR="00967B40" w:rsidRPr="00F77F3B" w:rsidRDefault="00967B40" w:rsidP="00C67599">
      <w:pPr>
        <w:spacing w:before="0" w:line="360" w:lineRule="auto"/>
        <w:ind w:firstLine="720"/>
        <w:jc w:val="both"/>
      </w:pPr>
      <w:r w:rsidRPr="00F77F3B">
        <w:t>Article 27</w:t>
      </w:r>
      <w:r w:rsidR="005056DA" w:rsidRPr="00F77F3B">
        <w:t xml:space="preserve"> of the CSP</w:t>
      </w:r>
      <w:r w:rsidRPr="00F77F3B">
        <w:t xml:space="preserve"> requires </w:t>
      </w:r>
      <w:r w:rsidR="00673E03" w:rsidRPr="00F77F3B">
        <w:t xml:space="preserve">a State to “issue identity papers to any stateless person in their territory who does not possess </w:t>
      </w:r>
      <w:r w:rsidR="00743254" w:rsidRPr="00F77F3B">
        <w:t xml:space="preserve">a </w:t>
      </w:r>
      <w:r w:rsidR="00673E03" w:rsidRPr="00F77F3B">
        <w:t>valid travel document.”</w:t>
      </w:r>
      <w:r w:rsidRPr="00F77F3B">
        <w:rPr>
          <w:vertAlign w:val="superscript"/>
        </w:rPr>
        <w:footnoteReference w:id="75"/>
      </w:r>
      <w:r w:rsidRPr="00F77F3B">
        <w:t xml:space="preserve"> By issuing </w:t>
      </w:r>
      <w:r w:rsidR="00EF1F82" w:rsidRPr="00F77F3B">
        <w:t xml:space="preserve">non-citizen </w:t>
      </w:r>
      <w:r w:rsidRPr="00F77F3B">
        <w:t xml:space="preserve">identity cards, Remisia </w:t>
      </w:r>
      <w:r w:rsidR="001A24AA" w:rsidRPr="00F77F3B">
        <w:t xml:space="preserve">complied with this </w:t>
      </w:r>
      <w:r w:rsidR="0077600D" w:rsidRPr="00F77F3B">
        <w:t>provision.</w:t>
      </w:r>
      <w:r w:rsidRPr="00F77F3B">
        <w:rPr>
          <w:vertAlign w:val="superscript"/>
        </w:rPr>
        <w:footnoteReference w:id="76"/>
      </w:r>
      <w:r w:rsidRPr="00F77F3B">
        <w:t xml:space="preserve"> </w:t>
      </w:r>
      <w:r w:rsidR="001A24AA" w:rsidRPr="00F77F3B">
        <w:t>reflecting</w:t>
      </w:r>
      <w:r w:rsidRPr="00F77F3B">
        <w:t xml:space="preserve"> Remisia</w:t>
      </w:r>
      <w:r w:rsidR="0077600D" w:rsidRPr="00F77F3B">
        <w:t>’</w:t>
      </w:r>
      <w:r w:rsidRPr="00F77F3B">
        <w:t xml:space="preserve">s commitment to </w:t>
      </w:r>
      <w:r w:rsidR="00F302B4" w:rsidRPr="00F77F3B">
        <w:t>fulfill</w:t>
      </w:r>
      <w:r w:rsidRPr="00F77F3B">
        <w:t xml:space="preserve"> </w:t>
      </w:r>
      <w:r w:rsidR="00EF1F82" w:rsidRPr="00F77F3B">
        <w:t>its obligations under the CSP</w:t>
      </w:r>
      <w:r w:rsidRPr="00F77F3B">
        <w:t>.</w:t>
      </w:r>
      <w:r w:rsidRPr="00F77F3B">
        <w:rPr>
          <w:vertAlign w:val="superscript"/>
        </w:rPr>
        <w:footnoteReference w:id="77"/>
      </w:r>
      <w:r w:rsidRPr="00F77F3B">
        <w:rPr>
          <w:vertAlign w:val="superscript"/>
        </w:rPr>
        <w:t xml:space="preserve"> </w:t>
      </w:r>
      <w:r w:rsidRPr="00F77F3B">
        <w:t xml:space="preserve">Therefore, Remisia </w:t>
      </w:r>
      <w:r w:rsidR="00EF1F82" w:rsidRPr="00F77F3B">
        <w:t xml:space="preserve">complied with the CSP when it revoked the Sterren Forty’s nationality. </w:t>
      </w:r>
    </w:p>
    <w:p w14:paraId="7CC0BC6A" w14:textId="71405074" w:rsidR="00967B40" w:rsidRPr="00F77F3B" w:rsidRDefault="00967B40" w:rsidP="005A39C3">
      <w:pPr>
        <w:pStyle w:val="Heading3"/>
        <w:numPr>
          <w:ilvl w:val="2"/>
          <w:numId w:val="7"/>
        </w:numPr>
        <w:spacing w:before="240" w:after="240" w:line="240" w:lineRule="auto"/>
        <w:ind w:left="2340" w:hanging="360"/>
      </w:pPr>
      <w:bookmarkStart w:id="52" w:name="_Toc155683573"/>
      <w:bookmarkStart w:id="53" w:name="_Toc155924030"/>
      <w:r w:rsidRPr="00F77F3B">
        <w:t xml:space="preserve">Remisia </w:t>
      </w:r>
      <w:r w:rsidR="00362861" w:rsidRPr="00F77F3B">
        <w:t>c</w:t>
      </w:r>
      <w:r w:rsidRPr="00F77F3B">
        <w:t xml:space="preserve">omplied with </w:t>
      </w:r>
      <w:r w:rsidR="001A24AA" w:rsidRPr="00F77F3B">
        <w:t>ICCPR</w:t>
      </w:r>
      <w:r w:rsidR="005A39C3" w:rsidRPr="00F77F3B">
        <w:t xml:space="preserve"> Articles 19, 21, and 14</w:t>
      </w:r>
      <w:r w:rsidR="001A24AA" w:rsidRPr="00F77F3B">
        <w:t xml:space="preserve"> </w:t>
      </w:r>
      <w:r w:rsidRPr="00F77F3B">
        <w:t xml:space="preserve">when it </w:t>
      </w:r>
      <w:r w:rsidR="00362861" w:rsidRPr="00F77F3B">
        <w:t>r</w:t>
      </w:r>
      <w:r w:rsidRPr="00F77F3B">
        <w:t xml:space="preserve">evoked the Sterren Forty’s </w:t>
      </w:r>
      <w:r w:rsidR="00362861" w:rsidRPr="00F77F3B">
        <w:t>n</w:t>
      </w:r>
      <w:r w:rsidR="004D23BA" w:rsidRPr="00F77F3B">
        <w:t>ationality</w:t>
      </w:r>
      <w:bookmarkEnd w:id="52"/>
      <w:bookmarkEnd w:id="53"/>
      <w:r w:rsidR="007B39FF" w:rsidRPr="00F77F3B">
        <w:t>.</w:t>
      </w:r>
    </w:p>
    <w:p w14:paraId="2BD28531" w14:textId="63BA0989" w:rsidR="00266373" w:rsidRPr="00F77F3B" w:rsidRDefault="00F779C1" w:rsidP="00C67599">
      <w:pPr>
        <w:spacing w:before="0" w:line="360" w:lineRule="auto"/>
        <w:ind w:firstLine="720"/>
      </w:pPr>
      <w:r w:rsidRPr="00F77F3B">
        <w:t>Remisia complied with Articles 19, 21, and 14 of the ICCPR when it revoked the Sterren Forty’s nationality.</w:t>
      </w:r>
    </w:p>
    <w:p w14:paraId="00BB1990" w14:textId="35921217" w:rsidR="00266373" w:rsidRPr="00F77F3B" w:rsidRDefault="00151AEB" w:rsidP="00151AEB">
      <w:pPr>
        <w:pStyle w:val="Heading4"/>
        <w:numPr>
          <w:ilvl w:val="0"/>
          <w:numId w:val="0"/>
        </w:numPr>
        <w:spacing w:before="240" w:after="240" w:line="240" w:lineRule="auto"/>
        <w:ind w:left="2880" w:hanging="360"/>
      </w:pPr>
      <w:bookmarkStart w:id="54" w:name="_Toc155683574"/>
      <w:r w:rsidRPr="00F77F3B">
        <w:lastRenderedPageBreak/>
        <w:t>i.</w:t>
      </w:r>
      <w:r w:rsidRPr="00F77F3B">
        <w:tab/>
      </w:r>
      <w:r w:rsidR="00266373" w:rsidRPr="00F77F3B">
        <w:t xml:space="preserve">Remisia </w:t>
      </w:r>
      <w:r w:rsidR="00362861" w:rsidRPr="00F77F3B">
        <w:t>c</w:t>
      </w:r>
      <w:r w:rsidR="00266373" w:rsidRPr="00F77F3B">
        <w:t xml:space="preserve">omplied with Article 19 when it </w:t>
      </w:r>
      <w:r w:rsidR="00362861" w:rsidRPr="00F77F3B">
        <w:t>r</w:t>
      </w:r>
      <w:r w:rsidR="00266373" w:rsidRPr="00F77F3B">
        <w:t xml:space="preserve">evoked the Sterren Forty’s </w:t>
      </w:r>
      <w:r w:rsidR="00362861" w:rsidRPr="00F77F3B">
        <w:t>n</w:t>
      </w:r>
      <w:r w:rsidR="00266373" w:rsidRPr="00F77F3B">
        <w:t>ationality</w:t>
      </w:r>
      <w:bookmarkEnd w:id="54"/>
      <w:r w:rsidR="007B39FF" w:rsidRPr="00F77F3B">
        <w:t>.</w:t>
      </w:r>
    </w:p>
    <w:p w14:paraId="01F59E25" w14:textId="61FF1A2B" w:rsidR="00F80041" w:rsidRPr="00F77F3B" w:rsidRDefault="005056DA" w:rsidP="00C67599">
      <w:pPr>
        <w:spacing w:before="0" w:after="0" w:line="360" w:lineRule="auto"/>
        <w:ind w:firstLine="720"/>
        <w:jc w:val="both"/>
      </w:pPr>
      <w:r w:rsidRPr="00F77F3B">
        <w:t xml:space="preserve">ICCPR </w:t>
      </w:r>
      <w:r w:rsidR="00967B40" w:rsidRPr="00F77F3B">
        <w:t>Article 19(3)</w:t>
      </w:r>
      <w:r w:rsidR="004D23BA" w:rsidRPr="00F77F3B">
        <w:t xml:space="preserve"> permits</w:t>
      </w:r>
      <w:r w:rsidR="00967B40" w:rsidRPr="00F77F3B">
        <w:t xml:space="preserve"> limitations on freedom of speech when necessary to protect</w:t>
      </w:r>
      <w:r w:rsidR="004D23BA" w:rsidRPr="00F77F3B">
        <w:t xml:space="preserve"> </w:t>
      </w:r>
      <w:r w:rsidR="00967B40" w:rsidRPr="00F77F3B">
        <w:t>the reputation and rights of others</w:t>
      </w:r>
      <w:r w:rsidRPr="00F77F3B">
        <w:t>,</w:t>
      </w:r>
      <w:r w:rsidR="00967B40" w:rsidRPr="00F77F3B">
        <w:rPr>
          <w:vertAlign w:val="superscript"/>
        </w:rPr>
        <w:footnoteReference w:id="78"/>
      </w:r>
      <w:r w:rsidR="00967B40" w:rsidRPr="00F77F3B">
        <w:t xml:space="preserve"> public order</w:t>
      </w:r>
      <w:r w:rsidRPr="00F77F3B">
        <w:t>,</w:t>
      </w:r>
      <w:r w:rsidR="00967B40" w:rsidRPr="00F77F3B">
        <w:t xml:space="preserve"> </w:t>
      </w:r>
      <w:r w:rsidR="00F302B4" w:rsidRPr="00F77F3B">
        <w:t>and</w:t>
      </w:r>
      <w:r w:rsidR="00967B40" w:rsidRPr="00F77F3B">
        <w:t xml:space="preserve"> national securit</w:t>
      </w:r>
      <w:r w:rsidRPr="00F77F3B">
        <w:t>y,</w:t>
      </w:r>
      <w:r w:rsidR="004D23BA" w:rsidRPr="00F77F3B">
        <w:rPr>
          <w:rStyle w:val="FootnoteReference"/>
        </w:rPr>
        <w:footnoteReference w:id="79"/>
      </w:r>
      <w:r w:rsidR="00967B40" w:rsidRPr="00F77F3B">
        <w:t xml:space="preserve"> particularly in cases where speech instigates or promotes actions that threaten the stability or well-being of a nation.</w:t>
      </w:r>
      <w:r w:rsidR="00967B40" w:rsidRPr="00F77F3B">
        <w:rPr>
          <w:vertAlign w:val="superscript"/>
        </w:rPr>
        <w:footnoteReference w:id="80"/>
      </w:r>
      <w:r w:rsidR="004D23BA" w:rsidRPr="00F77F3B">
        <w:t xml:space="preserve"> </w:t>
      </w:r>
      <w:r w:rsidRPr="00F77F3B">
        <w:t>Courts evaluate</w:t>
      </w:r>
      <w:r w:rsidR="00F80041" w:rsidRPr="00F77F3B">
        <w:t xml:space="preserve"> three factors to </w:t>
      </w:r>
      <w:r w:rsidRPr="00F77F3B">
        <w:t>determine</w:t>
      </w:r>
      <w:r w:rsidR="00F80041" w:rsidRPr="00F77F3B">
        <w:t xml:space="preserve"> the lawfulness of a State’s Article 19(3) restriction</w:t>
      </w:r>
      <w:r w:rsidRPr="00F77F3B">
        <w:t>.</w:t>
      </w:r>
      <w:r w:rsidR="00F80041" w:rsidRPr="00F77F3B">
        <w:rPr>
          <w:rStyle w:val="FootnoteReference"/>
        </w:rPr>
        <w:footnoteReference w:id="81"/>
      </w:r>
      <w:r w:rsidR="00F80041" w:rsidRPr="00F77F3B">
        <w:t xml:space="preserve"> The enacted limitation must (1) be provided for by domestic law, (2) address one of the legitimate aims expressed in Article 19(3), and (3) be strictly necessary for that purpose.</w:t>
      </w:r>
      <w:r w:rsidR="00F80041" w:rsidRPr="00F77F3B">
        <w:rPr>
          <w:rStyle w:val="FootnoteReference"/>
        </w:rPr>
        <w:footnoteReference w:id="82"/>
      </w:r>
    </w:p>
    <w:p w14:paraId="5C60059C" w14:textId="3C500ACE" w:rsidR="00967B40" w:rsidRPr="00F77F3B" w:rsidRDefault="00967B40" w:rsidP="00C67599">
      <w:pPr>
        <w:spacing w:before="0" w:line="360" w:lineRule="auto"/>
        <w:ind w:firstLine="720"/>
        <w:jc w:val="both"/>
      </w:pPr>
      <w:r w:rsidRPr="00F77F3B">
        <w:t xml:space="preserve">Given the Sterren Forty’s critiques of the </w:t>
      </w:r>
      <w:r w:rsidR="004D23BA" w:rsidRPr="00F77F3B">
        <w:t>Queen</w:t>
      </w:r>
      <w:r w:rsidRPr="00F77F3B">
        <w:t xml:space="preserve"> </w:t>
      </w:r>
      <w:r w:rsidR="00330BCF" w:rsidRPr="00F77F3B">
        <w:t xml:space="preserve">were </w:t>
      </w:r>
      <w:r w:rsidRPr="00F77F3B">
        <w:t>aimed at marring her reputation, Remisia</w:t>
      </w:r>
      <w:r w:rsidR="00330BCF" w:rsidRPr="00F77F3B">
        <w:t>’</w:t>
      </w:r>
      <w:r w:rsidRPr="00F77F3B">
        <w:t xml:space="preserve">s </w:t>
      </w:r>
      <w:r w:rsidR="00330BCF" w:rsidRPr="00F77F3B">
        <w:t>application</w:t>
      </w:r>
      <w:r w:rsidRPr="00F77F3B">
        <w:t xml:space="preserve"> of the DCA complied with Article 19(3). Additionally, the Sterren Forty</w:t>
      </w:r>
      <w:r w:rsidR="00330BCF" w:rsidRPr="00F77F3B">
        <w:t>’</w:t>
      </w:r>
      <w:r w:rsidRPr="00F77F3B">
        <w:t xml:space="preserve">s speech directly contributed </w:t>
      </w:r>
      <w:r w:rsidR="002E071A" w:rsidRPr="00F77F3B">
        <w:t xml:space="preserve">to </w:t>
      </w:r>
      <w:r w:rsidR="009648B6" w:rsidRPr="00F77F3B">
        <w:t xml:space="preserve">nationwide </w:t>
      </w:r>
      <w:r w:rsidR="002E071A" w:rsidRPr="00F77F3B">
        <w:t xml:space="preserve">civil unrest </w:t>
      </w:r>
      <w:r w:rsidR="009648B6" w:rsidRPr="00F77F3B">
        <w:t>impacting Remisia’s public order</w:t>
      </w:r>
      <w:r w:rsidR="002E071A" w:rsidRPr="00F77F3B">
        <w:t>, resulting in arrests</w:t>
      </w:r>
      <w:r w:rsidR="009648B6" w:rsidRPr="00F77F3B">
        <w:t xml:space="preserve"> </w:t>
      </w:r>
      <w:r w:rsidR="002E071A" w:rsidRPr="00F77F3B">
        <w:t xml:space="preserve">and demonstrations </w:t>
      </w:r>
      <w:r w:rsidR="009648B6" w:rsidRPr="00F77F3B">
        <w:t>crippling</w:t>
      </w:r>
      <w:r w:rsidR="002E071A" w:rsidRPr="00F77F3B">
        <w:t xml:space="preserve"> </w:t>
      </w:r>
      <w:r w:rsidR="009648B6" w:rsidRPr="00F77F3B">
        <w:t>Remisia’s</w:t>
      </w:r>
      <w:r w:rsidR="002E071A" w:rsidRPr="00F77F3B">
        <w:t xml:space="preserve"> mining industry </w:t>
      </w:r>
      <w:r w:rsidR="00330BCF" w:rsidRPr="00F77F3B">
        <w:t>for</w:t>
      </w:r>
      <w:r w:rsidR="002E071A" w:rsidRPr="00F77F3B">
        <w:t xml:space="preserve"> weeks.</w:t>
      </w:r>
      <w:r w:rsidR="002E071A" w:rsidRPr="00F77F3B">
        <w:rPr>
          <w:rStyle w:val="FootnoteReference"/>
        </w:rPr>
        <w:footnoteReference w:id="83"/>
      </w:r>
      <w:r w:rsidR="002E071A" w:rsidRPr="00F77F3B">
        <w:t xml:space="preserve"> </w:t>
      </w:r>
      <w:r w:rsidR="00C84F7A" w:rsidRPr="00F77F3B">
        <w:t>By helping coordinate these demonstrations,</w:t>
      </w:r>
      <w:r w:rsidR="0014197F" w:rsidRPr="00F77F3B">
        <w:t xml:space="preserve"> the Sterren Forty pose</w:t>
      </w:r>
      <w:r w:rsidR="00C84F7A" w:rsidRPr="00F77F3B">
        <w:t>d</w:t>
      </w:r>
      <w:r w:rsidR="0014197F" w:rsidRPr="00F77F3B">
        <w:t xml:space="preserve"> a national security threat</w:t>
      </w:r>
      <w:r w:rsidR="00C84F7A" w:rsidRPr="00F77F3B">
        <w:t xml:space="preserve"> to Remisia</w:t>
      </w:r>
      <w:r w:rsidR="0014197F" w:rsidRPr="00F77F3B">
        <w:t>.</w:t>
      </w:r>
      <w:r w:rsidR="004D7AC0" w:rsidRPr="00F77F3B">
        <w:t xml:space="preserve"> </w:t>
      </w:r>
      <w:r w:rsidR="009648B6" w:rsidRPr="00F77F3B">
        <w:t>Therefore,</w:t>
      </w:r>
      <w:r w:rsidR="002E071A" w:rsidRPr="00F77F3B">
        <w:t xml:space="preserve"> </w:t>
      </w:r>
      <w:r w:rsidR="009648B6" w:rsidRPr="00F77F3B">
        <w:t xml:space="preserve">Remisia </w:t>
      </w:r>
      <w:r w:rsidR="00C84F7A" w:rsidRPr="00F77F3B">
        <w:t>is justified in</w:t>
      </w:r>
      <w:r w:rsidR="009648B6" w:rsidRPr="00F77F3B">
        <w:t xml:space="preserve"> </w:t>
      </w:r>
      <w:r w:rsidR="00C84F7A" w:rsidRPr="00F77F3B">
        <w:t>limiting</w:t>
      </w:r>
      <w:r w:rsidR="002E071A" w:rsidRPr="00F77F3B">
        <w:t xml:space="preserve"> </w:t>
      </w:r>
      <w:r w:rsidR="009648B6" w:rsidRPr="00F77F3B">
        <w:t xml:space="preserve">the Sterren Forty’s </w:t>
      </w:r>
      <w:r w:rsidR="002E071A" w:rsidRPr="00F77F3B">
        <w:t>speech</w:t>
      </w:r>
      <w:r w:rsidR="007052DA" w:rsidRPr="00F77F3B">
        <w:t>.</w:t>
      </w:r>
    </w:p>
    <w:p w14:paraId="36B3ABA1" w14:textId="3FCCD49F" w:rsidR="00266373" w:rsidRPr="00F77F3B" w:rsidRDefault="00151AEB" w:rsidP="00151AEB">
      <w:pPr>
        <w:pStyle w:val="Heading4"/>
        <w:numPr>
          <w:ilvl w:val="0"/>
          <w:numId w:val="0"/>
        </w:numPr>
        <w:spacing w:before="240" w:after="240" w:line="240" w:lineRule="auto"/>
        <w:ind w:left="2880" w:hanging="360"/>
      </w:pPr>
      <w:bookmarkStart w:id="55" w:name="_Toc155683575"/>
      <w:r w:rsidRPr="00F77F3B">
        <w:t>ii.</w:t>
      </w:r>
      <w:r w:rsidRPr="00F77F3B">
        <w:tab/>
      </w:r>
      <w:r w:rsidR="00266373" w:rsidRPr="00F77F3B">
        <w:t xml:space="preserve">Remisia </w:t>
      </w:r>
      <w:r w:rsidR="00362861" w:rsidRPr="00F77F3B">
        <w:t>c</w:t>
      </w:r>
      <w:r w:rsidR="00266373" w:rsidRPr="00F77F3B">
        <w:t>omplied with Article 21 when it</w:t>
      </w:r>
      <w:r w:rsidR="00362861" w:rsidRPr="00F77F3B">
        <w:t xml:space="preserve"> r</w:t>
      </w:r>
      <w:r w:rsidR="00266373" w:rsidRPr="00F77F3B">
        <w:t xml:space="preserve">evoked the Sterren Forty’s </w:t>
      </w:r>
      <w:r w:rsidR="00362861" w:rsidRPr="00F77F3B">
        <w:t>n</w:t>
      </w:r>
      <w:r w:rsidR="00266373" w:rsidRPr="00F77F3B">
        <w:t>ationality</w:t>
      </w:r>
      <w:bookmarkEnd w:id="55"/>
      <w:r w:rsidR="007B39FF" w:rsidRPr="00F77F3B">
        <w:t>.</w:t>
      </w:r>
    </w:p>
    <w:p w14:paraId="2A22A0DD" w14:textId="6FA0F3F0" w:rsidR="00C5087E" w:rsidRPr="00F77F3B" w:rsidRDefault="00512B46" w:rsidP="00C84F7A">
      <w:pPr>
        <w:spacing w:before="0" w:after="0" w:line="360" w:lineRule="auto"/>
        <w:ind w:firstLine="720"/>
        <w:jc w:val="both"/>
      </w:pPr>
      <w:bookmarkStart w:id="56" w:name="_heading=h.3as4poj" w:colFirst="0" w:colLast="0"/>
      <w:bookmarkEnd w:id="56"/>
      <w:r w:rsidRPr="00F77F3B">
        <w:t xml:space="preserve">Furthermore, </w:t>
      </w:r>
      <w:r w:rsidR="00967B40" w:rsidRPr="00F77F3B">
        <w:t>Article 21 protects the right to peaceful assembly.</w:t>
      </w:r>
      <w:r w:rsidR="00967B40" w:rsidRPr="00F77F3B">
        <w:rPr>
          <w:vertAlign w:val="superscript"/>
        </w:rPr>
        <w:footnoteReference w:id="84"/>
      </w:r>
      <w:r w:rsidR="00967B40" w:rsidRPr="00F77F3B">
        <w:t xml:space="preserve"> However, the right to assembly is not absolute when it </w:t>
      </w:r>
      <w:r w:rsidR="004D23BA" w:rsidRPr="00F77F3B">
        <w:t>en</w:t>
      </w:r>
      <w:r w:rsidR="00967B40" w:rsidRPr="00F77F3B">
        <w:t xml:space="preserve">dangers public </w:t>
      </w:r>
      <w:r w:rsidR="0036332F" w:rsidRPr="00F77F3B">
        <w:t>order</w:t>
      </w:r>
      <w:r w:rsidR="00967B40" w:rsidRPr="00F77F3B">
        <w:t xml:space="preserve">, </w:t>
      </w:r>
      <w:r w:rsidR="0036332F" w:rsidRPr="00F77F3B">
        <w:t>health</w:t>
      </w:r>
      <w:r w:rsidR="00967B40" w:rsidRPr="00F77F3B">
        <w:t xml:space="preserve">, </w:t>
      </w:r>
      <w:r w:rsidR="0036332F" w:rsidRPr="00F77F3B">
        <w:t>safety</w:t>
      </w:r>
      <w:r w:rsidR="00967B40" w:rsidRPr="00F77F3B">
        <w:t xml:space="preserve">, or the </w:t>
      </w:r>
      <w:r w:rsidR="0036332F" w:rsidRPr="00F77F3B">
        <w:t>freedoms</w:t>
      </w:r>
      <w:r w:rsidR="00967B40" w:rsidRPr="00F77F3B">
        <w:t xml:space="preserve"> and </w:t>
      </w:r>
      <w:r w:rsidR="00D806EF" w:rsidRPr="00F77F3B">
        <w:t>rights</w:t>
      </w:r>
      <w:r w:rsidR="00967B40" w:rsidRPr="00F77F3B">
        <w:t xml:space="preserve"> of others.</w:t>
      </w:r>
      <w:r w:rsidR="00967B40" w:rsidRPr="00F77F3B">
        <w:rPr>
          <w:vertAlign w:val="superscript"/>
        </w:rPr>
        <w:footnoteReference w:id="85"/>
      </w:r>
      <w:r w:rsidR="00967B40" w:rsidRPr="00F77F3B">
        <w:t xml:space="preserve"> </w:t>
      </w:r>
      <w:r w:rsidR="00C5087E" w:rsidRPr="00F77F3B">
        <w:t>Given Remisia's actions complied with Article 19(3), it also complied with Article 21.</w:t>
      </w:r>
      <w:r w:rsidR="00C84F7A" w:rsidRPr="00F77F3B">
        <w:t xml:space="preserve"> </w:t>
      </w:r>
      <w:r w:rsidR="00C5087E" w:rsidRPr="00F77F3B">
        <w:t xml:space="preserve">Indeed, over the span of four months, Remisia </w:t>
      </w:r>
      <w:r w:rsidR="00F302B4" w:rsidRPr="00F77F3B">
        <w:t>permitted</w:t>
      </w:r>
      <w:r w:rsidR="00C5087E" w:rsidRPr="00F77F3B">
        <w:t xml:space="preserve"> the Sterren Forty and other demonstrators to participate in peaceful protests.</w:t>
      </w:r>
      <w:r w:rsidR="00C5087E" w:rsidRPr="00F77F3B">
        <w:rPr>
          <w:rStyle w:val="FootnoteReference"/>
        </w:rPr>
        <w:footnoteReference w:id="86"/>
      </w:r>
      <w:r w:rsidR="00C5087E" w:rsidRPr="00F77F3B">
        <w:t xml:space="preserve"> However, it was not until the Sterren Forty violated the DCA by insulting the Queen and inciting nationwide civil unrest </w:t>
      </w:r>
      <w:r w:rsidR="00F302B4" w:rsidRPr="00F77F3B">
        <w:t>did</w:t>
      </w:r>
      <w:r w:rsidR="00C5087E" w:rsidRPr="00F77F3B">
        <w:t xml:space="preserve"> Remisia </w:t>
      </w:r>
      <w:r w:rsidR="00F302B4" w:rsidRPr="00F77F3B">
        <w:t xml:space="preserve">take action against them. </w:t>
      </w:r>
    </w:p>
    <w:p w14:paraId="5E4EB577" w14:textId="3005B08E" w:rsidR="00266373" w:rsidRPr="00F77F3B" w:rsidRDefault="00151AEB" w:rsidP="00151AEB">
      <w:pPr>
        <w:pStyle w:val="Heading4"/>
        <w:numPr>
          <w:ilvl w:val="0"/>
          <w:numId w:val="0"/>
        </w:numPr>
        <w:spacing w:before="240" w:after="240" w:line="240" w:lineRule="auto"/>
        <w:ind w:left="2880" w:hanging="360"/>
      </w:pPr>
      <w:bookmarkStart w:id="57" w:name="_Toc155683576"/>
      <w:r w:rsidRPr="00F77F3B">
        <w:lastRenderedPageBreak/>
        <w:t>iii.</w:t>
      </w:r>
      <w:r w:rsidRPr="00F77F3B">
        <w:tab/>
      </w:r>
      <w:r w:rsidR="00266373" w:rsidRPr="00F77F3B">
        <w:t xml:space="preserve">Remisia </w:t>
      </w:r>
      <w:r w:rsidR="00362861" w:rsidRPr="00F77F3B">
        <w:t>c</w:t>
      </w:r>
      <w:r w:rsidR="00266373" w:rsidRPr="00F77F3B">
        <w:t xml:space="preserve">omplied with Article 14 when it </w:t>
      </w:r>
      <w:r w:rsidR="00362861" w:rsidRPr="00F77F3B">
        <w:t>r</w:t>
      </w:r>
      <w:r w:rsidR="00266373" w:rsidRPr="00F77F3B">
        <w:t xml:space="preserve">evoked the Sterren Forty’s </w:t>
      </w:r>
      <w:r w:rsidR="00362861" w:rsidRPr="00F77F3B">
        <w:t>n</w:t>
      </w:r>
      <w:r w:rsidR="00266373" w:rsidRPr="00F77F3B">
        <w:t>ationality</w:t>
      </w:r>
      <w:bookmarkEnd w:id="57"/>
      <w:r w:rsidR="007B39FF" w:rsidRPr="00F77F3B">
        <w:t>.</w:t>
      </w:r>
    </w:p>
    <w:p w14:paraId="2215D243" w14:textId="5126F340" w:rsidR="00967B40" w:rsidRPr="00F77F3B" w:rsidRDefault="004D23BA" w:rsidP="00C67599">
      <w:pPr>
        <w:spacing w:before="0" w:line="360" w:lineRule="auto"/>
        <w:ind w:firstLine="720"/>
        <w:jc w:val="both"/>
      </w:pPr>
      <w:r w:rsidRPr="00F77F3B">
        <w:t xml:space="preserve">Finally, </w:t>
      </w:r>
      <w:r w:rsidR="00967B40" w:rsidRPr="00F77F3B">
        <w:t>Article 14 of the ICCPR outlines the principles of fair trial and due process.</w:t>
      </w:r>
      <w:r w:rsidR="00967B40" w:rsidRPr="00F77F3B">
        <w:rPr>
          <w:vertAlign w:val="superscript"/>
        </w:rPr>
        <w:footnoteReference w:id="87"/>
      </w:r>
      <w:r w:rsidR="00967B40" w:rsidRPr="00F77F3B">
        <w:t xml:space="preserve"> It guarantees the right of </w:t>
      </w:r>
      <w:r w:rsidR="00F80041" w:rsidRPr="00F77F3B">
        <w:t xml:space="preserve">an </w:t>
      </w:r>
      <w:r w:rsidR="00967B40" w:rsidRPr="00F77F3B">
        <w:t xml:space="preserve">individual to be treated fairly and equitably by </w:t>
      </w:r>
      <w:r w:rsidR="00F80041" w:rsidRPr="00F77F3B">
        <w:t>his</w:t>
      </w:r>
      <w:r w:rsidR="00967B40" w:rsidRPr="00F77F3B">
        <w:t xml:space="preserve"> legal system.</w:t>
      </w:r>
      <w:r w:rsidR="00967B40" w:rsidRPr="00F77F3B">
        <w:rPr>
          <w:vertAlign w:val="superscript"/>
        </w:rPr>
        <w:footnoteReference w:id="88"/>
      </w:r>
      <w:r w:rsidR="00967B40" w:rsidRPr="00F77F3B">
        <w:t xml:space="preserve"> </w:t>
      </w:r>
      <w:r w:rsidR="00F80041" w:rsidRPr="00F77F3B">
        <w:t>By providing the Sterren Forty a trial and opportunity to appeal their nationality revocation, Remisia complied with this Article.</w:t>
      </w:r>
      <w:r w:rsidR="00F80041" w:rsidRPr="00F77F3B">
        <w:rPr>
          <w:rStyle w:val="FootnoteReference"/>
        </w:rPr>
        <w:footnoteReference w:id="89"/>
      </w:r>
    </w:p>
    <w:p w14:paraId="0BFA74ED" w14:textId="5534C396" w:rsidR="001F3A4F" w:rsidRPr="00F77F3B" w:rsidRDefault="001F3A4F" w:rsidP="00151AEB">
      <w:pPr>
        <w:pStyle w:val="Heading1"/>
        <w:numPr>
          <w:ilvl w:val="0"/>
          <w:numId w:val="3"/>
        </w:numPr>
        <w:spacing w:line="240" w:lineRule="auto"/>
        <w:rPr>
          <w:b/>
        </w:rPr>
      </w:pPr>
      <w:bookmarkStart w:id="58" w:name="_Toc155683577"/>
      <w:bookmarkStart w:id="59" w:name="_Toc155684385"/>
      <w:bookmarkStart w:id="60" w:name="_Toc155924031"/>
      <w:r w:rsidRPr="00F77F3B">
        <w:rPr>
          <w:b/>
        </w:rPr>
        <w:t>Antrano Violated International Law When it Denied a Remisian National Consular Access to Remisia While Detained in Antrano</w:t>
      </w:r>
      <w:bookmarkEnd w:id="58"/>
      <w:bookmarkEnd w:id="59"/>
      <w:bookmarkEnd w:id="60"/>
    </w:p>
    <w:p w14:paraId="22646012" w14:textId="2E9CC27C" w:rsidR="001F3A4F" w:rsidRPr="00F77F3B" w:rsidRDefault="001F3A4F" w:rsidP="005A39C3">
      <w:pPr>
        <w:spacing w:before="0" w:after="0" w:line="360" w:lineRule="auto"/>
        <w:ind w:firstLine="720"/>
        <w:jc w:val="both"/>
      </w:pPr>
      <w:r w:rsidRPr="00F77F3B">
        <w:t>As a threshold issue, Antrano must recognize Saki Shaw’s Remisian nationality. While States maintain sovereign authority to confer nationality through domestic laws, they must acknowledge and respect the nationality laws of other sovereign States.</w:t>
      </w:r>
      <w:r w:rsidRPr="00F77F3B">
        <w:rPr>
          <w:rStyle w:val="FootnoteReference"/>
        </w:rPr>
        <w:footnoteReference w:id="90"/>
      </w:r>
      <w:r w:rsidRPr="00F77F3B">
        <w:t xml:space="preserve"> Antrano</w:t>
      </w:r>
      <w:r w:rsidR="00C84F7A" w:rsidRPr="00F77F3B">
        <w:t>’</w:t>
      </w:r>
      <w:r w:rsidRPr="00F77F3B">
        <w:t xml:space="preserve">s failure to recognize a Remisian </w:t>
      </w:r>
      <w:r w:rsidR="007E45AF" w:rsidRPr="00F77F3B">
        <w:t>citizen’s</w:t>
      </w:r>
      <w:r w:rsidRPr="00F77F3B">
        <w:t xml:space="preserve"> nationality is inconsistent with the duty </w:t>
      </w:r>
      <w:r w:rsidR="00F32E0C" w:rsidRPr="00F77F3B">
        <w:t>S</w:t>
      </w:r>
      <w:r w:rsidRPr="00F77F3B">
        <w:t>tates</w:t>
      </w:r>
      <w:r w:rsidR="006A5324" w:rsidRPr="00F77F3B">
        <w:t xml:space="preserve"> </w:t>
      </w:r>
      <w:r w:rsidR="007E45AF" w:rsidRPr="00F77F3B">
        <w:t>of</w:t>
      </w:r>
      <w:r w:rsidRPr="00F77F3B">
        <w:t xml:space="preserve"> to respect </w:t>
      </w:r>
      <w:r w:rsidR="007E45AF" w:rsidRPr="00F77F3B">
        <w:t>other State’s nationality laws</w:t>
      </w:r>
      <w:r w:rsidRPr="00F77F3B">
        <w:t>.</w:t>
      </w:r>
      <w:r w:rsidRPr="00F77F3B">
        <w:rPr>
          <w:vertAlign w:val="superscript"/>
        </w:rPr>
        <w:footnoteReference w:id="91"/>
      </w:r>
      <w:r w:rsidRPr="00F77F3B">
        <w:t xml:space="preserve"> Indeed, similar systems to the NIA are common among State practice.</w:t>
      </w:r>
      <w:r w:rsidRPr="00F77F3B">
        <w:rPr>
          <w:vertAlign w:val="superscript"/>
        </w:rPr>
        <w:footnoteReference w:id="92"/>
      </w:r>
      <w:r w:rsidRPr="00F77F3B">
        <w:t xml:space="preserve"> </w:t>
      </w:r>
      <w:r w:rsidR="009013D7" w:rsidRPr="00F77F3B">
        <w:t>Similar to the benefits</w:t>
      </w:r>
      <w:r w:rsidRPr="00F77F3B">
        <w:t xml:space="preserve"> Remisia receives from the NIA,</w:t>
      </w:r>
      <w:r w:rsidRPr="00F77F3B">
        <w:rPr>
          <w:rStyle w:val="FootnoteReference"/>
        </w:rPr>
        <w:footnoteReference w:id="93"/>
      </w:r>
      <w:r w:rsidRPr="00F77F3B">
        <w:t xml:space="preserve"> these nationality programs contribute to the sustainment of the State and its international economic relations.</w:t>
      </w:r>
      <w:r w:rsidRPr="00F77F3B">
        <w:rPr>
          <w:vertAlign w:val="superscript"/>
        </w:rPr>
        <w:footnoteReference w:id="94"/>
      </w:r>
    </w:p>
    <w:p w14:paraId="7FC66050" w14:textId="2C769CA8" w:rsidR="001F3A4F" w:rsidRPr="00F77F3B" w:rsidRDefault="001F3A4F" w:rsidP="005A39C3">
      <w:pPr>
        <w:spacing w:before="0" w:after="0" w:line="360" w:lineRule="auto"/>
        <w:ind w:firstLine="720"/>
        <w:jc w:val="both"/>
      </w:pPr>
      <w:r w:rsidRPr="00F77F3B">
        <w:t>Although nationals must demonstrate a genuine link to the State, States have discretion to choose the nature of these links.</w:t>
      </w:r>
      <w:r w:rsidRPr="00F77F3B">
        <w:rPr>
          <w:vertAlign w:val="superscript"/>
        </w:rPr>
        <w:footnoteReference w:id="95"/>
      </w:r>
      <w:r w:rsidRPr="00F77F3B">
        <w:t xml:space="preserve"> Here, Remisia chooses to grant nationality to those who apply for citizenship under the NIA.</w:t>
      </w:r>
      <w:r w:rsidRPr="00F77F3B">
        <w:rPr>
          <w:rStyle w:val="FootnoteReference"/>
        </w:rPr>
        <w:footnoteReference w:id="96"/>
      </w:r>
      <w:r w:rsidRPr="00F77F3B">
        <w:t xml:space="preserve"> The NIA is consistent with State practice that defines a genuine link through business and personal investments to the State.</w:t>
      </w:r>
      <w:r w:rsidRPr="00F77F3B">
        <w:rPr>
          <w:rStyle w:val="FootnoteReference"/>
        </w:rPr>
        <w:footnoteReference w:id="97"/>
      </w:r>
      <w:r w:rsidRPr="00F77F3B">
        <w:t xml:space="preserve"> Thus, Shaw’s </w:t>
      </w:r>
      <w:r w:rsidR="009D024F" w:rsidRPr="00F77F3B">
        <w:t xml:space="preserve">NIA </w:t>
      </w:r>
      <w:r w:rsidRPr="00F77F3B">
        <w:t xml:space="preserve">citizenship through </w:t>
      </w:r>
      <w:r w:rsidR="006B085A" w:rsidRPr="00F77F3B">
        <w:t>constitutes a genuine link to Remisia</w:t>
      </w:r>
      <w:r w:rsidRPr="00F77F3B">
        <w:t>, therefore</w:t>
      </w:r>
      <w:r w:rsidR="006B085A" w:rsidRPr="00F77F3B">
        <w:t xml:space="preserve"> </w:t>
      </w:r>
      <w:r w:rsidRPr="00F77F3B">
        <w:t>bestowing</w:t>
      </w:r>
      <w:r w:rsidR="006B085A" w:rsidRPr="00F77F3B">
        <w:t xml:space="preserve"> her</w:t>
      </w:r>
      <w:r w:rsidRPr="00F77F3B">
        <w:t xml:space="preserve"> Remisian nationality.</w:t>
      </w:r>
    </w:p>
    <w:p w14:paraId="38538901" w14:textId="77777777" w:rsidR="00F03311" w:rsidRPr="00F77F3B" w:rsidRDefault="001F3A4F" w:rsidP="001F3A4F">
      <w:pPr>
        <w:spacing w:before="0" w:after="0" w:line="360" w:lineRule="auto"/>
        <w:ind w:firstLine="360"/>
        <w:jc w:val="both"/>
      </w:pPr>
      <w:r w:rsidRPr="00F77F3B">
        <w:lastRenderedPageBreak/>
        <w:tab/>
      </w:r>
      <w:r w:rsidR="009D024F" w:rsidRPr="00F77F3B">
        <w:t>Should</w:t>
      </w:r>
      <w:r w:rsidRPr="00F77F3B">
        <w:t xml:space="preserve"> this Court not recognize the validity of Shaw’s NIA citizenship, she </w:t>
      </w:r>
      <w:r w:rsidR="009D024F" w:rsidRPr="00F77F3B">
        <w:t xml:space="preserve">nevertheless </w:t>
      </w:r>
      <w:r w:rsidRPr="00F77F3B">
        <w:t xml:space="preserve">maintains a genuine link to Remisia through other connections. </w:t>
      </w:r>
      <w:r w:rsidR="009D024F" w:rsidRPr="00F77F3B">
        <w:t>Under</w:t>
      </w:r>
      <w:r w:rsidRPr="00F77F3B">
        <w:t xml:space="preserve"> </w:t>
      </w:r>
      <w:r w:rsidRPr="00F77F3B">
        <w:rPr>
          <w:i/>
        </w:rPr>
        <w:t>Nottebohm</w:t>
      </w:r>
      <w:r w:rsidRPr="00F77F3B">
        <w:t>, nationality depends on an individual’s genuine link to the State.</w:t>
      </w:r>
      <w:r w:rsidRPr="00F77F3B">
        <w:rPr>
          <w:vertAlign w:val="superscript"/>
        </w:rPr>
        <w:footnoteReference w:id="98"/>
      </w:r>
      <w:r w:rsidRPr="00F77F3B">
        <w:t xml:space="preserve"> These links include family ties, economic involvement, participation in social and cultural life, and intention to remain linked to that country.</w:t>
      </w:r>
      <w:r w:rsidRPr="00F77F3B">
        <w:rPr>
          <w:vertAlign w:val="superscript"/>
        </w:rPr>
        <w:footnoteReference w:id="99"/>
      </w:r>
    </w:p>
    <w:p w14:paraId="7869CBBA" w14:textId="58D58BE6" w:rsidR="001F3A4F" w:rsidRPr="00F77F3B" w:rsidRDefault="001F3A4F" w:rsidP="00F03311">
      <w:pPr>
        <w:spacing w:before="0" w:after="0" w:line="360" w:lineRule="auto"/>
        <w:ind w:firstLine="720"/>
        <w:jc w:val="both"/>
      </w:pPr>
      <w:r w:rsidRPr="00F77F3B">
        <w:t xml:space="preserve">The International Law Commission—the UN commission tasked with codifying international law—noted </w:t>
      </w:r>
      <w:r w:rsidRPr="00F77F3B">
        <w:rPr>
          <w:i/>
          <w:iCs/>
        </w:rPr>
        <w:t>Nottebohm</w:t>
      </w:r>
      <w:r w:rsidRPr="00F77F3B">
        <w:t xml:space="preserve"> imposes a variety of problems to non-traditional forms of citizenship.</w:t>
      </w:r>
      <w:r w:rsidRPr="00F77F3B">
        <w:rPr>
          <w:rStyle w:val="FootnoteReference"/>
        </w:rPr>
        <w:footnoteReference w:id="100"/>
      </w:r>
      <w:r w:rsidRPr="00F77F3B">
        <w:t xml:space="preserve"> Indeed, regional courts have recognized the “genuine link” test leads to discrimination and interferes with state sovereignty in establishing citizenship standards.</w:t>
      </w:r>
      <w:r w:rsidRPr="00F77F3B">
        <w:rPr>
          <w:vertAlign w:val="superscript"/>
        </w:rPr>
        <w:footnoteReference w:id="101"/>
      </w:r>
      <w:r w:rsidRPr="00F77F3B">
        <w:t xml:space="preserve"> Therefore, States have expanded </w:t>
      </w:r>
      <w:r w:rsidR="00F03311" w:rsidRPr="00F77F3B">
        <w:t>beyond</w:t>
      </w:r>
      <w:r w:rsidRPr="00F77F3B">
        <w:t xml:space="preserve"> the genuine link test </w:t>
      </w:r>
      <w:r w:rsidR="00F03311" w:rsidRPr="00F77F3B">
        <w:t>to establish nationality</w:t>
      </w:r>
      <w:r w:rsidRPr="00F77F3B">
        <w:t>.</w:t>
      </w:r>
      <w:r w:rsidRPr="00F77F3B">
        <w:rPr>
          <w:vertAlign w:val="superscript"/>
        </w:rPr>
        <w:footnoteReference w:id="102"/>
      </w:r>
    </w:p>
    <w:p w14:paraId="54D2DE4A" w14:textId="62AF9BC5" w:rsidR="00F32E0C" w:rsidRPr="00F77F3B" w:rsidRDefault="001F3A4F" w:rsidP="005A39C3">
      <w:pPr>
        <w:spacing w:before="0" w:after="0" w:line="360" w:lineRule="auto"/>
        <w:ind w:firstLine="720"/>
        <w:jc w:val="both"/>
      </w:pPr>
      <w:r w:rsidRPr="00F77F3B">
        <w:t>Here, in addition to Shaw’s intention to gain Remisian nationality,</w:t>
      </w:r>
      <w:r w:rsidRPr="00F77F3B">
        <w:rPr>
          <w:rStyle w:val="FootnoteReference"/>
        </w:rPr>
        <w:footnoteReference w:id="103"/>
      </w:r>
      <w:r w:rsidRPr="00F77F3B">
        <w:t xml:space="preserve"> her business and personal connections to Remisia render her a Remisian national. To start, Shaw chose to remain connected to Remisan life and culture given her longstanding relationship with Queen Khasat.</w:t>
      </w:r>
      <w:r w:rsidRPr="00F77F3B">
        <w:rPr>
          <w:vertAlign w:val="superscript"/>
        </w:rPr>
        <w:footnoteReference w:id="104"/>
      </w:r>
      <w:r w:rsidRPr="00F77F3B">
        <w:t xml:space="preserve"> Moreover, for nearly a decade, Shaw expanded her business into Remisia, conducting a joint venture with the State.</w:t>
      </w:r>
      <w:r w:rsidRPr="00F77F3B">
        <w:rPr>
          <w:vertAlign w:val="superscript"/>
        </w:rPr>
        <w:footnoteReference w:id="105"/>
      </w:r>
      <w:r w:rsidRPr="00F77F3B">
        <w:t xml:space="preserve"> In fact, Remisia receives mutual benefit from Shaw</w:t>
      </w:r>
      <w:r w:rsidR="00300DA3" w:rsidRPr="00F77F3B">
        <w:t>’</w:t>
      </w:r>
      <w:r w:rsidRPr="00F77F3B">
        <w:t>s business as it created thousands of Remisian jobs.</w:t>
      </w:r>
      <w:r w:rsidRPr="00F77F3B">
        <w:rPr>
          <w:rStyle w:val="FootnoteReference"/>
        </w:rPr>
        <w:footnoteReference w:id="106"/>
      </w:r>
      <w:r w:rsidRPr="00F77F3B">
        <w:t xml:space="preserve"> </w:t>
      </w:r>
      <w:r w:rsidR="00300DA3" w:rsidRPr="00F77F3B">
        <w:t>Therefore, h</w:t>
      </w:r>
      <w:r w:rsidRPr="00F77F3B">
        <w:t>er close relational ties and economic involvement in Remisia make her a national of Remisia.</w:t>
      </w:r>
      <w:r w:rsidRPr="00F77F3B">
        <w:rPr>
          <w:vertAlign w:val="superscript"/>
        </w:rPr>
        <w:footnoteReference w:id="107"/>
      </w:r>
      <w:r w:rsidRPr="00F77F3B">
        <w:t xml:space="preserve"> </w:t>
      </w:r>
    </w:p>
    <w:p w14:paraId="0DB9A9B7" w14:textId="56935B1F" w:rsidR="001F3A4F" w:rsidRPr="00F77F3B" w:rsidRDefault="00300DA3" w:rsidP="005A39C3">
      <w:pPr>
        <w:spacing w:before="0" w:after="0" w:line="360" w:lineRule="auto"/>
        <w:ind w:firstLine="720"/>
        <w:jc w:val="both"/>
      </w:pPr>
      <w:r w:rsidRPr="00F77F3B">
        <w:t>In contrast</w:t>
      </w:r>
      <w:r w:rsidR="001F3A4F" w:rsidRPr="00F77F3B">
        <w:t xml:space="preserve">, Shaw lacks a genuine link with Molvania because she has resided </w:t>
      </w:r>
      <w:r w:rsidR="00F46860" w:rsidRPr="00F77F3B">
        <w:t xml:space="preserve">outside the country for over a decade </w:t>
      </w:r>
      <w:r w:rsidR="001F3A4F" w:rsidRPr="00F77F3B">
        <w:t>with no intention to return.</w:t>
      </w:r>
      <w:r w:rsidR="001F3A4F" w:rsidRPr="00F77F3B">
        <w:rPr>
          <w:rStyle w:val="FootnoteReference"/>
        </w:rPr>
        <w:footnoteReference w:id="108"/>
      </w:r>
      <w:r w:rsidR="001F3A4F" w:rsidRPr="00F77F3B">
        <w:t xml:space="preserve"> Given Shaw no longer has ties to Molvania, it cannot best represent her interests in consular protection. Accordingly, by denying Shaw—a Remisian national—consular access to Remisia, Antrano violated (1) its treaty obligations under the VCCR and ICCPR, and (2) its customary international law obligations.</w:t>
      </w:r>
    </w:p>
    <w:p w14:paraId="26B090CC" w14:textId="16E11D7B" w:rsidR="001F3A4F" w:rsidRPr="00F77F3B" w:rsidRDefault="001F3A4F" w:rsidP="007B39FF">
      <w:pPr>
        <w:pStyle w:val="Heading2"/>
        <w:numPr>
          <w:ilvl w:val="1"/>
          <w:numId w:val="1"/>
        </w:numPr>
        <w:ind w:left="1800" w:hanging="720"/>
        <w:rPr>
          <w:b/>
          <w:bCs/>
        </w:rPr>
      </w:pPr>
      <w:bookmarkStart w:id="61" w:name="_Toc155683578"/>
      <w:bookmarkStart w:id="62" w:name="_Toc155684386"/>
      <w:bookmarkStart w:id="63" w:name="_Toc155924032"/>
      <w:r w:rsidRPr="00F77F3B">
        <w:rPr>
          <w:b/>
          <w:bCs/>
        </w:rPr>
        <w:lastRenderedPageBreak/>
        <w:t xml:space="preserve">Antrano Violated </w:t>
      </w:r>
      <w:r w:rsidR="00362861" w:rsidRPr="00F77F3B">
        <w:rPr>
          <w:b/>
          <w:bCs/>
        </w:rPr>
        <w:t>i</w:t>
      </w:r>
      <w:r w:rsidRPr="00F77F3B">
        <w:rPr>
          <w:b/>
          <w:bCs/>
        </w:rPr>
        <w:t>ts Treaty Obligations when it Denied a Remisian National Access to Remisian Consular Representatives</w:t>
      </w:r>
      <w:bookmarkEnd w:id="61"/>
      <w:bookmarkEnd w:id="62"/>
      <w:bookmarkEnd w:id="63"/>
      <w:r w:rsidRPr="00F77F3B">
        <w:rPr>
          <w:b/>
          <w:bCs/>
        </w:rPr>
        <w:t xml:space="preserve"> </w:t>
      </w:r>
    </w:p>
    <w:p w14:paraId="5EAFA83E" w14:textId="77777777" w:rsidR="001F3A4F" w:rsidRPr="00F77F3B" w:rsidRDefault="001F3A4F" w:rsidP="005A39C3">
      <w:pPr>
        <w:spacing w:before="0" w:after="0" w:line="360" w:lineRule="auto"/>
        <w:ind w:firstLine="720"/>
        <w:jc w:val="both"/>
      </w:pPr>
      <w:r w:rsidRPr="00F77F3B">
        <w:t>Antrano violated its treaty obligations under the VCCR and ICCPR when it denied Shaw, a Remisian national,</w:t>
      </w:r>
      <w:r w:rsidRPr="00F77F3B">
        <w:rPr>
          <w:rStyle w:val="FootnoteReference"/>
        </w:rPr>
        <w:footnoteReference w:id="109"/>
      </w:r>
      <w:r w:rsidRPr="00F77F3B">
        <w:t xml:space="preserve"> access to Remisian consular representatives. First, Antrano violated Articles 36 and 5 of the VCCR by failing to notify and provide Shaw her right to communicate with Remisian consular representatives. Second, Antrano violated Articles 9 and 14 of the ICCPR by denying her right to liberty and right to due process, respectively.</w:t>
      </w:r>
    </w:p>
    <w:p w14:paraId="13D62CF7" w14:textId="0A253AFF" w:rsidR="001F3A4F" w:rsidRPr="00F77F3B" w:rsidRDefault="001F3A4F" w:rsidP="007B39FF">
      <w:pPr>
        <w:pStyle w:val="Heading3"/>
        <w:numPr>
          <w:ilvl w:val="2"/>
          <w:numId w:val="1"/>
        </w:numPr>
        <w:spacing w:before="240" w:after="240" w:line="240" w:lineRule="auto"/>
        <w:ind w:left="2340" w:hanging="360"/>
      </w:pPr>
      <w:bookmarkStart w:id="64" w:name="_Toc155924033"/>
      <w:bookmarkStart w:id="65" w:name="_Toc155683579"/>
      <w:bookmarkStart w:id="66" w:name="_Toc155684387"/>
      <w:r w:rsidRPr="00F77F3B">
        <w:t xml:space="preserve">Antrano violated Articles 36 and 5 of the VCCR </w:t>
      </w:r>
      <w:r w:rsidR="00362861" w:rsidRPr="00F77F3B">
        <w:t>w</w:t>
      </w:r>
      <w:r w:rsidRPr="00F77F3B">
        <w:t xml:space="preserve">hen </w:t>
      </w:r>
      <w:r w:rsidR="00362861" w:rsidRPr="00F77F3B">
        <w:t>i</w:t>
      </w:r>
      <w:r w:rsidRPr="00F77F3B">
        <w:t xml:space="preserve">t </w:t>
      </w:r>
      <w:r w:rsidR="00362861" w:rsidRPr="00F77F3B">
        <w:t>f</w:t>
      </w:r>
      <w:r w:rsidRPr="00F77F3B">
        <w:t xml:space="preserve">ailed to </w:t>
      </w:r>
      <w:r w:rsidR="00362861" w:rsidRPr="00F77F3B">
        <w:t>i</w:t>
      </w:r>
      <w:r w:rsidRPr="00F77F3B">
        <w:t xml:space="preserve">nform and </w:t>
      </w:r>
      <w:r w:rsidR="00362861" w:rsidRPr="00F77F3B">
        <w:t>g</w:t>
      </w:r>
      <w:r w:rsidRPr="00F77F3B">
        <w:t xml:space="preserve">rant a Remisian </w:t>
      </w:r>
      <w:r w:rsidR="00362861" w:rsidRPr="00F77F3B">
        <w:t>n</w:t>
      </w:r>
      <w:r w:rsidRPr="00F77F3B">
        <w:t xml:space="preserve">ational </w:t>
      </w:r>
      <w:r w:rsidR="00362861" w:rsidRPr="00F77F3B">
        <w:t>a</w:t>
      </w:r>
      <w:r w:rsidRPr="00F77F3B">
        <w:t xml:space="preserve">ccess to a Remisian </w:t>
      </w:r>
      <w:r w:rsidR="00362861" w:rsidRPr="00F77F3B">
        <w:t>c</w:t>
      </w:r>
      <w:r w:rsidRPr="00F77F3B">
        <w:t xml:space="preserve">onsular </w:t>
      </w:r>
      <w:r w:rsidR="00362861" w:rsidRPr="00F77F3B">
        <w:t>r</w:t>
      </w:r>
      <w:r w:rsidRPr="00F77F3B">
        <w:t>epresentativ</w:t>
      </w:r>
      <w:bookmarkEnd w:id="64"/>
      <w:r w:rsidR="007B39FF" w:rsidRPr="00F77F3B">
        <w:t>e</w:t>
      </w:r>
      <w:bookmarkEnd w:id="65"/>
      <w:bookmarkEnd w:id="66"/>
    </w:p>
    <w:p w14:paraId="1A87BC6D" w14:textId="42BBF40E" w:rsidR="001F3A4F" w:rsidRPr="00F77F3B" w:rsidRDefault="00E70965" w:rsidP="005A39C3">
      <w:pPr>
        <w:spacing w:before="0" w:after="0" w:line="360" w:lineRule="auto"/>
        <w:ind w:firstLine="720"/>
        <w:jc w:val="both"/>
      </w:pPr>
      <w:r w:rsidRPr="00F77F3B">
        <w:t xml:space="preserve">Under </w:t>
      </w:r>
      <w:r w:rsidR="001F3A4F" w:rsidRPr="00F77F3B">
        <w:t>Article 36 of the VCCR</w:t>
      </w:r>
      <w:r w:rsidRPr="00F77F3B">
        <w:t xml:space="preserve">, </w:t>
      </w:r>
      <w:r w:rsidR="001F3A4F" w:rsidRPr="00F77F3B">
        <w:t xml:space="preserve">consular officers </w:t>
      </w:r>
      <w:r w:rsidRPr="00F77F3B">
        <w:t xml:space="preserve">must be able </w:t>
      </w:r>
      <w:r w:rsidR="001F3A4F" w:rsidRPr="00F77F3B">
        <w:t>to access nationals detained in a foreign State.</w:t>
      </w:r>
      <w:r w:rsidR="001F3A4F" w:rsidRPr="00F77F3B">
        <w:rPr>
          <w:vertAlign w:val="superscript"/>
        </w:rPr>
        <w:footnoteReference w:id="110"/>
      </w:r>
      <w:r w:rsidR="001F3A4F" w:rsidRPr="00F77F3B">
        <w:t xml:space="preserve"> The </w:t>
      </w:r>
      <w:r w:rsidR="00701561" w:rsidRPr="00F77F3B">
        <w:t>core objective of the</w:t>
      </w:r>
      <w:r w:rsidR="001F3A4F" w:rsidRPr="00F77F3B">
        <w:t xml:space="preserve"> VCCR is to ensure a </w:t>
      </w:r>
      <w:r w:rsidR="00E24C61" w:rsidRPr="00F77F3B">
        <w:t>party</w:t>
      </w:r>
      <w:r w:rsidR="001F3A4F" w:rsidRPr="00F77F3B">
        <w:t xml:space="preserve"> </w:t>
      </w:r>
      <w:r w:rsidR="00701561" w:rsidRPr="00F77F3B">
        <w:t>can perform</w:t>
      </w:r>
      <w:r w:rsidR="00E24C61" w:rsidRPr="00F77F3B">
        <w:t xml:space="preserve"> its</w:t>
      </w:r>
      <w:r w:rsidR="001F3A4F" w:rsidRPr="00F77F3B">
        <w:t xml:space="preserve"> consular duties within </w:t>
      </w:r>
      <w:r w:rsidR="00E24C61" w:rsidRPr="00F77F3B">
        <w:t>other party’s</w:t>
      </w:r>
      <w:r w:rsidR="001F3A4F" w:rsidRPr="00F77F3B">
        <w:t xml:space="preserve"> jurisdictions.</w:t>
      </w:r>
      <w:r w:rsidR="001F3A4F" w:rsidRPr="00F77F3B">
        <w:rPr>
          <w:vertAlign w:val="superscript"/>
        </w:rPr>
        <w:footnoteReference w:id="111"/>
      </w:r>
      <w:r w:rsidR="00572BB9" w:rsidRPr="00F77F3B">
        <w:t xml:space="preserve"> Permitting </w:t>
      </w:r>
      <w:r w:rsidR="00E24C61" w:rsidRPr="00F77F3B">
        <w:t xml:space="preserve">such </w:t>
      </w:r>
      <w:r w:rsidR="00572BB9" w:rsidRPr="00F77F3B">
        <w:t>consular access to nationals is essential for maintaining peace between States.</w:t>
      </w:r>
      <w:r w:rsidR="001F3A4F" w:rsidRPr="00F77F3B">
        <w:rPr>
          <w:rStyle w:val="FootnoteReference"/>
        </w:rPr>
        <w:footnoteReference w:id="112"/>
      </w:r>
      <w:r w:rsidR="001F3A4F" w:rsidRPr="00F77F3B">
        <w:t xml:space="preserve"> </w:t>
      </w:r>
      <w:r w:rsidR="00E24C61" w:rsidRPr="00F77F3B">
        <w:t>A</w:t>
      </w:r>
      <w:r w:rsidR="001F3A4F" w:rsidRPr="00F77F3B">
        <w:t>dherence to these rights is essential for the effective execution of consular duties.</w:t>
      </w:r>
      <w:r w:rsidR="001F3A4F" w:rsidRPr="00F77F3B">
        <w:rPr>
          <w:vertAlign w:val="superscript"/>
        </w:rPr>
        <w:footnoteReference w:id="113"/>
      </w:r>
      <w:r w:rsidR="001F3A4F" w:rsidRPr="00F77F3B">
        <w:t xml:space="preserve"> </w:t>
      </w:r>
      <w:r w:rsidR="00E24C61" w:rsidRPr="00F77F3B">
        <w:t>Indeed</w:t>
      </w:r>
      <w:r w:rsidR="001F3A4F" w:rsidRPr="00F77F3B">
        <w:t>, the right to consular access is binding and non-derogable.</w:t>
      </w:r>
      <w:r w:rsidR="001F3A4F" w:rsidRPr="00F77F3B">
        <w:rPr>
          <w:vertAlign w:val="superscript"/>
        </w:rPr>
        <w:footnoteReference w:id="114"/>
      </w:r>
      <w:r w:rsidR="001F3A4F" w:rsidRPr="00F77F3B">
        <w:t xml:space="preserve"> </w:t>
      </w:r>
      <w:r w:rsidR="00E24C61" w:rsidRPr="00F77F3B">
        <w:t xml:space="preserve">Further, </w:t>
      </w:r>
      <w:r w:rsidR="001F3A4F" w:rsidRPr="00F77F3B">
        <w:t>Article 36</w:t>
      </w:r>
      <w:r w:rsidR="00E24C61" w:rsidRPr="00F77F3B">
        <w:t>’</w:t>
      </w:r>
      <w:r w:rsidR="001F3A4F" w:rsidRPr="00F77F3B">
        <w:t>s rights are coextensive to both the individual and the State.</w:t>
      </w:r>
      <w:r w:rsidR="001F3A4F" w:rsidRPr="00F77F3B">
        <w:rPr>
          <w:rStyle w:val="FootnoteReference"/>
        </w:rPr>
        <w:footnoteReference w:id="115"/>
      </w:r>
      <w:r w:rsidR="001F3A4F" w:rsidRPr="00F77F3B">
        <w:t xml:space="preserve"> Accordingly, any rights violated by Antrano owed to Remisia violate Shaw's rights. Therefore, Antrano</w:t>
      </w:r>
      <w:r w:rsidR="00E24C61" w:rsidRPr="00F77F3B">
        <w:t>’</w:t>
      </w:r>
      <w:r w:rsidR="001F3A4F" w:rsidRPr="00F77F3B">
        <w:t>s failure to recognize</w:t>
      </w:r>
      <w:r w:rsidR="00F821BE" w:rsidRPr="00F77F3B">
        <w:t xml:space="preserve"> the NIA </w:t>
      </w:r>
      <w:r w:rsidR="001F3A4F" w:rsidRPr="00F77F3B">
        <w:t>does not nullify Shaw and Remisia's Article 36 rights.</w:t>
      </w:r>
      <w:r w:rsidR="001F3A4F" w:rsidRPr="00F77F3B">
        <w:rPr>
          <w:rStyle w:val="FootnoteReference"/>
        </w:rPr>
        <w:footnoteReference w:id="116"/>
      </w:r>
    </w:p>
    <w:p w14:paraId="64545A04" w14:textId="659DE934" w:rsidR="001F3A4F" w:rsidRPr="00F77F3B" w:rsidRDefault="001F3A4F" w:rsidP="00807679">
      <w:pPr>
        <w:pStyle w:val="pf0"/>
        <w:spacing w:before="0" w:beforeAutospacing="0" w:after="0" w:afterAutospacing="0" w:line="360" w:lineRule="auto"/>
        <w:ind w:firstLine="720"/>
        <w:jc w:val="both"/>
      </w:pPr>
      <w:r w:rsidRPr="00F77F3B">
        <w:t>Article 36(1)(b) mandates States to allow communication between detained foreign nationals and their consular representatives.</w:t>
      </w:r>
      <w:r w:rsidRPr="00F77F3B">
        <w:rPr>
          <w:vertAlign w:val="superscript"/>
        </w:rPr>
        <w:footnoteReference w:id="117"/>
      </w:r>
      <w:r w:rsidRPr="00F77F3B">
        <w:t xml:space="preserve"> As a Remisian national, Shaw must be permitted to communicate with Remisian consular representatives. This Court reiterates the importance of </w:t>
      </w:r>
      <w:r w:rsidRPr="00F77F3B">
        <w:lastRenderedPageBreak/>
        <w:t>consular access in its decisions.</w:t>
      </w:r>
      <w:r w:rsidRPr="00F77F3B">
        <w:rPr>
          <w:rStyle w:val="FootnoteReference"/>
        </w:rPr>
        <w:footnoteReference w:id="118"/>
      </w:r>
      <w:r w:rsidRPr="00F77F3B">
        <w:t xml:space="preserve"> </w:t>
      </w:r>
      <w:r w:rsidRPr="00F77F3B">
        <w:rPr>
          <w:rStyle w:val="cf01"/>
          <w:rFonts w:ascii="Times New Roman" w:hAnsi="Times New Roman" w:cs="Times New Roman"/>
          <w:sz w:val="24"/>
          <w:szCs w:val="24"/>
        </w:rPr>
        <w:t xml:space="preserve">In </w:t>
      </w:r>
      <w:r w:rsidRPr="00F77F3B">
        <w:rPr>
          <w:rStyle w:val="cf01"/>
          <w:rFonts w:ascii="Times New Roman" w:hAnsi="Times New Roman" w:cs="Times New Roman"/>
          <w:i/>
          <w:iCs/>
          <w:sz w:val="24"/>
          <w:szCs w:val="24"/>
        </w:rPr>
        <w:t>Avena</w:t>
      </w:r>
      <w:r w:rsidRPr="00F77F3B">
        <w:rPr>
          <w:rStyle w:val="cf01"/>
          <w:rFonts w:ascii="Times New Roman" w:hAnsi="Times New Roman" w:cs="Times New Roman"/>
          <w:sz w:val="24"/>
          <w:szCs w:val="24"/>
        </w:rPr>
        <w:t>, this Court outlines three obligations for the detaining State</w:t>
      </w:r>
      <w:r w:rsidR="00F821BE" w:rsidRPr="00F77F3B">
        <w:rPr>
          <w:rStyle w:val="cf01"/>
          <w:rFonts w:ascii="Times New Roman" w:hAnsi="Times New Roman" w:cs="Times New Roman"/>
          <w:sz w:val="24"/>
          <w:szCs w:val="24"/>
        </w:rPr>
        <w:t xml:space="preserve">: </w:t>
      </w:r>
      <w:r w:rsidRPr="00F77F3B">
        <w:rPr>
          <w:rStyle w:val="cf01"/>
          <w:rFonts w:ascii="Times New Roman" w:hAnsi="Times New Roman" w:cs="Times New Roman"/>
          <w:sz w:val="24"/>
          <w:szCs w:val="24"/>
        </w:rPr>
        <w:t xml:space="preserve">(1) </w:t>
      </w:r>
      <w:r w:rsidR="00F821BE" w:rsidRPr="00F77F3B">
        <w:rPr>
          <w:rStyle w:val="cf01"/>
          <w:rFonts w:ascii="Times New Roman" w:hAnsi="Times New Roman" w:cs="Times New Roman"/>
          <w:sz w:val="24"/>
          <w:szCs w:val="24"/>
        </w:rPr>
        <w:t xml:space="preserve">to </w:t>
      </w:r>
      <w:r w:rsidRPr="00F77F3B">
        <w:rPr>
          <w:rStyle w:val="cf01"/>
          <w:rFonts w:ascii="Times New Roman" w:hAnsi="Times New Roman" w:cs="Times New Roman"/>
          <w:sz w:val="24"/>
          <w:szCs w:val="24"/>
        </w:rPr>
        <w:t xml:space="preserve">inform the detainee of their right to be notified of their entitlement to their national State’s consulate; (2) </w:t>
      </w:r>
      <w:r w:rsidR="00F821BE" w:rsidRPr="00F77F3B">
        <w:rPr>
          <w:rStyle w:val="cf01"/>
          <w:rFonts w:ascii="Times New Roman" w:hAnsi="Times New Roman" w:cs="Times New Roman"/>
          <w:sz w:val="24"/>
          <w:szCs w:val="24"/>
        </w:rPr>
        <w:t xml:space="preserve">to </w:t>
      </w:r>
      <w:r w:rsidRPr="00F77F3B">
        <w:rPr>
          <w:rStyle w:val="cf01"/>
          <w:rFonts w:ascii="Times New Roman" w:hAnsi="Times New Roman" w:cs="Times New Roman"/>
          <w:sz w:val="24"/>
          <w:szCs w:val="24"/>
        </w:rPr>
        <w:t xml:space="preserve">allow the national State’s consular representative access to the detainee upon request; and (3) </w:t>
      </w:r>
      <w:r w:rsidR="00F821BE" w:rsidRPr="00F77F3B">
        <w:rPr>
          <w:rStyle w:val="cf01"/>
          <w:rFonts w:ascii="Times New Roman" w:hAnsi="Times New Roman" w:cs="Times New Roman"/>
          <w:sz w:val="24"/>
          <w:szCs w:val="24"/>
        </w:rPr>
        <w:t xml:space="preserve">to </w:t>
      </w:r>
      <w:r w:rsidRPr="00F77F3B">
        <w:rPr>
          <w:rStyle w:val="cf01"/>
          <w:rFonts w:ascii="Times New Roman" w:hAnsi="Times New Roman" w:cs="Times New Roman"/>
          <w:sz w:val="24"/>
          <w:szCs w:val="24"/>
        </w:rPr>
        <w:t>deliver messages between the national State’s consular representative and the detainee.</w:t>
      </w:r>
      <w:r w:rsidRPr="00F77F3B">
        <w:rPr>
          <w:vertAlign w:val="superscript"/>
        </w:rPr>
        <w:footnoteReference w:id="119"/>
      </w:r>
      <w:r w:rsidRPr="00F77F3B">
        <w:t xml:space="preserve"> Remisia submits Antrano fulfilled the first obligation outlined in </w:t>
      </w:r>
      <w:r w:rsidRPr="00F77F3B">
        <w:rPr>
          <w:i/>
          <w:iCs/>
        </w:rPr>
        <w:t>Avena</w:t>
      </w:r>
      <w:r w:rsidRPr="00F77F3B">
        <w:t xml:space="preserve"> because Shaw asserted her VCCR rights at the moment of arrest. Nevertheless, Antrano violated the other obligations owed to Shaw.</w:t>
      </w:r>
    </w:p>
    <w:p w14:paraId="130E430B" w14:textId="573307B0" w:rsidR="001F3A4F" w:rsidRPr="00F77F3B" w:rsidRDefault="001F3A4F" w:rsidP="00BA51A1">
      <w:pPr>
        <w:spacing w:before="0" w:after="0" w:line="360" w:lineRule="auto"/>
        <w:ind w:firstLine="720"/>
        <w:jc w:val="both"/>
      </w:pPr>
      <w:r w:rsidRPr="00F77F3B">
        <w:t>Pursuant to Remisia's right to be accessed upon Sha</w:t>
      </w:r>
      <w:r w:rsidR="00E24C61" w:rsidRPr="00F77F3B">
        <w:t>w’</w:t>
      </w:r>
      <w:r w:rsidRPr="00F77F3B">
        <w:t>s request, Antrano must notify Remisia of Shaw’s presence in Antano’s jurisdiction without delay.</w:t>
      </w:r>
      <w:r w:rsidRPr="00F77F3B">
        <w:rPr>
          <w:rStyle w:val="FootnoteReference"/>
        </w:rPr>
        <w:footnoteReference w:id="120"/>
      </w:r>
      <w:r w:rsidRPr="00F77F3B">
        <w:t xml:space="preserve"> The term “without delay” is interpreted by this Court to mean notification must be given to the appropriate consulate once the detaining State recognizes the detainee is a foreign national.</w:t>
      </w:r>
      <w:r w:rsidRPr="00F77F3B">
        <w:rPr>
          <w:rStyle w:val="FootnoteReference"/>
        </w:rPr>
        <w:footnoteReference w:id="121"/>
      </w:r>
      <w:r w:rsidRPr="00F77F3B">
        <w:t xml:space="preserve"> Regional human rights courts have affirmed the need for timely notice to the State.</w:t>
      </w:r>
      <w:r w:rsidRPr="00F77F3B">
        <w:rPr>
          <w:rStyle w:val="FootnoteReference"/>
        </w:rPr>
        <w:footnoteReference w:id="122"/>
      </w:r>
      <w:r w:rsidR="00BA51A1" w:rsidRPr="00F77F3B">
        <w:t xml:space="preserve"> </w:t>
      </w:r>
      <w:r w:rsidRPr="00F77F3B">
        <w:t>Indeed, this Court acknowledges timely notice is essential for both the individual to have his rights protected, as well as the State's right to protect its nationals.</w:t>
      </w:r>
      <w:r w:rsidRPr="00F77F3B">
        <w:rPr>
          <w:rStyle w:val="FootnoteReference"/>
        </w:rPr>
        <w:footnoteReference w:id="123"/>
      </w:r>
      <w:r w:rsidRPr="00F77F3B">
        <w:t xml:space="preserve"> In </w:t>
      </w:r>
      <w:r w:rsidRPr="00F77F3B">
        <w:rPr>
          <w:i/>
          <w:iCs/>
        </w:rPr>
        <w:t>LaGrand</w:t>
      </w:r>
      <w:r w:rsidRPr="00F77F3B">
        <w:t>, this Court ruled the United States violated Germany's rights under Article 36(1)(b) when it failed to notify both Germany and Germany's nationals of their right to reciprocal consular access.</w:t>
      </w:r>
      <w:r w:rsidRPr="00F77F3B">
        <w:rPr>
          <w:rStyle w:val="FootnoteReference"/>
        </w:rPr>
        <w:footnoteReference w:id="124"/>
      </w:r>
    </w:p>
    <w:p w14:paraId="252EAC94" w14:textId="45101C66" w:rsidR="001F3A4F" w:rsidRPr="00F77F3B" w:rsidRDefault="001F3A4F" w:rsidP="001F3A4F">
      <w:pPr>
        <w:spacing w:before="0" w:after="0" w:line="360" w:lineRule="auto"/>
        <w:ind w:firstLine="720"/>
        <w:jc w:val="both"/>
      </w:pPr>
      <w:r w:rsidRPr="00F77F3B">
        <w:t xml:space="preserve">Although Shaw's knowledge of her rights is distinguishable to the detainees in </w:t>
      </w:r>
      <w:r w:rsidRPr="00F77F3B">
        <w:rPr>
          <w:i/>
          <w:iCs/>
        </w:rPr>
        <w:t>LaGrand</w:t>
      </w:r>
      <w:r w:rsidRPr="00F77F3B">
        <w:t>, Remisia's rights were violated similar to Germany's because Remisia did not receive notice of Shaw's detainment.</w:t>
      </w:r>
      <w:r w:rsidRPr="00F77F3B">
        <w:rPr>
          <w:rStyle w:val="FootnoteReference"/>
        </w:rPr>
        <w:footnoteReference w:id="125"/>
      </w:r>
      <w:r w:rsidRPr="00F77F3B">
        <w:t xml:space="preserve"> Here, because Shaw is a Remisian national,</w:t>
      </w:r>
      <w:r w:rsidRPr="00F77F3B">
        <w:rPr>
          <w:rStyle w:val="FootnoteReference"/>
        </w:rPr>
        <w:footnoteReference w:id="126"/>
      </w:r>
      <w:r w:rsidRPr="00F77F3B">
        <w:t xml:space="preserve"> Remisia is entitled to notification of Shaw’s detention. However, Remisia only became aware of her detention days after her arrest.</w:t>
      </w:r>
      <w:r w:rsidRPr="00F77F3B">
        <w:rPr>
          <w:rStyle w:val="FootnoteReference"/>
        </w:rPr>
        <w:footnoteReference w:id="127"/>
      </w:r>
      <w:r w:rsidRPr="00F77F3B">
        <w:t xml:space="preserve"> Moreover, there are no facts indicating whether Remisia received this notification </w:t>
      </w:r>
      <w:r w:rsidRPr="00F77F3B">
        <w:lastRenderedPageBreak/>
        <w:t>from Antrano.</w:t>
      </w:r>
      <w:r w:rsidRPr="00F77F3B">
        <w:rPr>
          <w:rStyle w:val="FootnoteReference"/>
        </w:rPr>
        <w:footnoteReference w:id="128"/>
      </w:r>
      <w:r w:rsidRPr="00F77F3B">
        <w:t xml:space="preserve"> Therefore, akin to Germany, Remisia was deprived of the opportunity to assist its nationals.</w:t>
      </w:r>
    </w:p>
    <w:p w14:paraId="0A9F6A5B" w14:textId="77777777" w:rsidR="001F3A4F" w:rsidRPr="00F77F3B" w:rsidRDefault="001F3A4F" w:rsidP="001F3A4F">
      <w:pPr>
        <w:spacing w:before="0" w:after="0" w:line="360" w:lineRule="auto"/>
        <w:ind w:firstLine="720"/>
        <w:jc w:val="both"/>
      </w:pPr>
      <w:r w:rsidRPr="00F77F3B">
        <w:t>Without notifying Remisia of Shaw's detention, Antrano also failed to abide by the obligation to deliver messages between Shaw and Remisia. Detaining States must allow the detainee's national State to communicate with the detainee while in custody or prison.</w:t>
      </w:r>
      <w:r w:rsidRPr="00F77F3B">
        <w:rPr>
          <w:rStyle w:val="FootnoteReference"/>
        </w:rPr>
        <w:footnoteReference w:id="129"/>
      </w:r>
      <w:r w:rsidRPr="00F77F3B">
        <w:t xml:space="preserve"> This Court found in </w:t>
      </w:r>
      <w:r w:rsidRPr="00F77F3B">
        <w:rPr>
          <w:i/>
          <w:iCs/>
        </w:rPr>
        <w:t>Jadhav</w:t>
      </w:r>
      <w:r w:rsidRPr="00F77F3B">
        <w:t xml:space="preserve"> that these communications are essential to safeguard the rights of the detained individual and to arrange legal representation.</w:t>
      </w:r>
      <w:r w:rsidRPr="00F77F3B">
        <w:rPr>
          <w:rStyle w:val="FootnoteReference"/>
        </w:rPr>
        <w:footnoteReference w:id="130"/>
      </w:r>
      <w:r w:rsidRPr="00F77F3B">
        <w:t xml:space="preserve"> </w:t>
      </w:r>
    </w:p>
    <w:p w14:paraId="0BD5EBDF" w14:textId="77777777" w:rsidR="008F20C7" w:rsidRPr="00F77F3B" w:rsidRDefault="001F3A4F" w:rsidP="001F3A4F">
      <w:pPr>
        <w:spacing w:before="0" w:after="0" w:line="360" w:lineRule="auto"/>
        <w:ind w:firstLine="720"/>
        <w:jc w:val="both"/>
      </w:pPr>
      <w:r w:rsidRPr="00F77F3B">
        <w:t>Here, Antrano violated Article 36(1)(b) by failing to provide Shaw consular access to Remisia. Immediately after discovering Shaw's detainment, Remisia asserted its right to access Shaw to Antrano.</w:t>
      </w:r>
      <w:r w:rsidRPr="00F77F3B">
        <w:rPr>
          <w:rStyle w:val="FootnoteReference"/>
        </w:rPr>
        <w:footnoteReference w:id="131"/>
      </w:r>
      <w:r w:rsidRPr="00F77F3B">
        <w:t xml:space="preserve"> However, Antrano denied Remisia the right to communicate with Shaw because it did not recognize her Remisian nationality.</w:t>
      </w:r>
      <w:r w:rsidRPr="00F77F3B">
        <w:rPr>
          <w:rStyle w:val="FootnoteReference"/>
        </w:rPr>
        <w:footnoteReference w:id="132"/>
      </w:r>
      <w:r w:rsidRPr="00F77F3B">
        <w:t xml:space="preserve"> </w:t>
      </w:r>
    </w:p>
    <w:p w14:paraId="20BFEE91" w14:textId="32193368" w:rsidR="001F3A4F" w:rsidRPr="00F77F3B" w:rsidRDefault="001F3A4F" w:rsidP="001F3A4F">
      <w:pPr>
        <w:spacing w:before="0" w:after="0" w:line="360" w:lineRule="auto"/>
        <w:ind w:firstLine="720"/>
        <w:jc w:val="both"/>
      </w:pPr>
      <w:r w:rsidRPr="00F77F3B">
        <w:t>Instead, Antrano redirected Remisia to communicate with Shaw through Molvanian consular representatives.</w:t>
      </w:r>
      <w:r w:rsidRPr="00F77F3B">
        <w:rPr>
          <w:rStyle w:val="FootnoteReference"/>
        </w:rPr>
        <w:footnoteReference w:id="133"/>
      </w:r>
      <w:r w:rsidRPr="00F77F3B">
        <w:t xml:space="preserve"> Antrano’s failure to facilitate communication between Shaw and Remisian consular representatives resulted in Shaw’s prolonged detention in Antrano without representation.</w:t>
      </w:r>
      <w:r w:rsidRPr="00F77F3B">
        <w:rPr>
          <w:rStyle w:val="FootnoteReference"/>
        </w:rPr>
        <w:footnoteReference w:id="134"/>
      </w:r>
      <w:r w:rsidRPr="00F77F3B">
        <w:t xml:space="preserve"> Therefore, by failing to provide notice and denying consular access to Remisia, Antrano violated </w:t>
      </w:r>
      <w:r w:rsidR="00257B8C" w:rsidRPr="00F77F3B">
        <w:t xml:space="preserve">VCCR </w:t>
      </w:r>
      <w:r w:rsidRPr="00F77F3B">
        <w:t>Article 36.</w:t>
      </w:r>
    </w:p>
    <w:p w14:paraId="7E2FEB6B" w14:textId="40326F9C" w:rsidR="001F3A4F" w:rsidRPr="00F77F3B" w:rsidRDefault="001F3A4F" w:rsidP="001F3A4F">
      <w:pPr>
        <w:spacing w:before="0" w:after="0" w:line="360" w:lineRule="auto"/>
        <w:ind w:firstLine="720"/>
        <w:jc w:val="both"/>
      </w:pPr>
      <w:r w:rsidRPr="00F77F3B">
        <w:t>Additionally, VCCR Article 36</w:t>
      </w:r>
      <w:r w:rsidR="00257B8C" w:rsidRPr="00F77F3B">
        <w:t>’</w:t>
      </w:r>
      <w:r w:rsidRPr="00F77F3B">
        <w:t>s rights are necessary to perform the consular functions listed in Article 5.</w:t>
      </w:r>
      <w:r w:rsidRPr="00F77F3B">
        <w:rPr>
          <w:rStyle w:val="FootnoteReference"/>
        </w:rPr>
        <w:footnoteReference w:id="135"/>
      </w:r>
      <w:r w:rsidRPr="00F77F3B">
        <w:t xml:space="preserve"> Under Article 5 the detaining State must safeguard “the interests of the sending State and of its nationals.”</w:t>
      </w:r>
      <w:r w:rsidRPr="00F77F3B">
        <w:rPr>
          <w:vertAlign w:val="superscript"/>
        </w:rPr>
        <w:footnoteReference w:id="136"/>
      </w:r>
      <w:r w:rsidRPr="00F77F3B">
        <w:t xml:space="preserve"> This Court determined in </w:t>
      </w:r>
      <w:r w:rsidRPr="00F77F3B">
        <w:rPr>
          <w:i/>
          <w:iCs/>
        </w:rPr>
        <w:t>LaGrand</w:t>
      </w:r>
      <w:r w:rsidRPr="00F77F3B">
        <w:t xml:space="preserve"> the United States's failure to protect the interests of Germany and its citizens through Article 36 resulted in a violation of Article 5.</w:t>
      </w:r>
      <w:r w:rsidRPr="00F77F3B">
        <w:rPr>
          <w:rStyle w:val="FootnoteReference"/>
        </w:rPr>
        <w:footnoteReference w:id="137"/>
      </w:r>
      <w:r w:rsidRPr="00F77F3B">
        <w:t xml:space="preserve"> Within the context of Antrano's Article 36 violation, it violated Article 5 by failing to protect the rights and interests of Shaw and her national State, Remisia.</w:t>
      </w:r>
    </w:p>
    <w:p w14:paraId="0F67514C" w14:textId="0561E30B" w:rsidR="001F3A4F" w:rsidRPr="00F77F3B" w:rsidRDefault="001F3A4F" w:rsidP="007B39FF">
      <w:pPr>
        <w:pStyle w:val="Heading3"/>
        <w:numPr>
          <w:ilvl w:val="2"/>
          <w:numId w:val="1"/>
        </w:numPr>
        <w:spacing w:before="240" w:after="240" w:line="240" w:lineRule="auto"/>
        <w:ind w:left="2340" w:hanging="360"/>
      </w:pPr>
      <w:bookmarkStart w:id="67" w:name="_Toc155683580"/>
      <w:bookmarkStart w:id="68" w:name="_Toc155684388"/>
      <w:bookmarkStart w:id="69" w:name="_Toc155924034"/>
      <w:r w:rsidRPr="00F77F3B">
        <w:lastRenderedPageBreak/>
        <w:t xml:space="preserve">Antrano </w:t>
      </w:r>
      <w:r w:rsidR="00362861" w:rsidRPr="00F77F3B">
        <w:t>v</w:t>
      </w:r>
      <w:r w:rsidRPr="00F77F3B">
        <w:t>iolated ICCPR</w:t>
      </w:r>
      <w:r w:rsidR="007B39FF" w:rsidRPr="00F77F3B">
        <w:t xml:space="preserve"> Articles 9 and 14</w:t>
      </w:r>
      <w:r w:rsidRPr="00F77F3B">
        <w:t xml:space="preserve"> </w:t>
      </w:r>
      <w:r w:rsidR="00362861" w:rsidRPr="00F77F3B">
        <w:t>w</w:t>
      </w:r>
      <w:r w:rsidRPr="00F77F3B">
        <w:t xml:space="preserve">hen it </w:t>
      </w:r>
      <w:r w:rsidR="00362861" w:rsidRPr="00F77F3B">
        <w:t>f</w:t>
      </w:r>
      <w:r w:rsidRPr="00F77F3B">
        <w:t xml:space="preserve">ailed to </w:t>
      </w:r>
      <w:r w:rsidR="00362861" w:rsidRPr="00F77F3B">
        <w:t>i</w:t>
      </w:r>
      <w:r w:rsidRPr="00F77F3B">
        <w:t xml:space="preserve">nform and </w:t>
      </w:r>
      <w:r w:rsidR="00362861" w:rsidRPr="00F77F3B">
        <w:t>g</w:t>
      </w:r>
      <w:r w:rsidRPr="00F77F3B">
        <w:t xml:space="preserve">rant a Remisian </w:t>
      </w:r>
      <w:r w:rsidR="00362861" w:rsidRPr="00F77F3B">
        <w:t>c</w:t>
      </w:r>
      <w:r w:rsidRPr="00F77F3B">
        <w:t xml:space="preserve">itizen </w:t>
      </w:r>
      <w:r w:rsidR="00362861" w:rsidRPr="00F77F3B">
        <w:t>a</w:t>
      </w:r>
      <w:r w:rsidRPr="00F77F3B">
        <w:t xml:space="preserve">ccess to a Remisian </w:t>
      </w:r>
      <w:r w:rsidR="00362861" w:rsidRPr="00F77F3B">
        <w:t>c</w:t>
      </w:r>
      <w:r w:rsidRPr="00F77F3B">
        <w:t xml:space="preserve">onsular </w:t>
      </w:r>
      <w:r w:rsidR="00362861" w:rsidRPr="00F77F3B">
        <w:t>r</w:t>
      </w:r>
      <w:r w:rsidRPr="00F77F3B">
        <w:t>epresentative</w:t>
      </w:r>
      <w:bookmarkEnd w:id="67"/>
      <w:bookmarkEnd w:id="68"/>
      <w:bookmarkEnd w:id="69"/>
    </w:p>
    <w:p w14:paraId="09A699F8" w14:textId="77777777" w:rsidR="001F3A4F" w:rsidRPr="00F77F3B" w:rsidRDefault="001F3A4F" w:rsidP="001F3A4F">
      <w:pPr>
        <w:spacing w:before="0" w:after="0" w:line="360" w:lineRule="auto"/>
        <w:ind w:firstLine="720"/>
      </w:pPr>
      <w:r w:rsidRPr="00F77F3B">
        <w:t>Antrano violated its treaty obligations under the ICCPR when it denied Shaw, a Remisian national,</w:t>
      </w:r>
      <w:r w:rsidRPr="00F77F3B">
        <w:rPr>
          <w:rStyle w:val="FootnoteReference"/>
        </w:rPr>
        <w:footnoteReference w:id="138"/>
      </w:r>
      <w:r w:rsidRPr="00F77F3B">
        <w:t xml:space="preserve"> access to Remisian consular representatives. Antrano violated Articles 9 and 14 of the ICCPR by denying her right to liberty and right to due process, respectively.</w:t>
      </w:r>
    </w:p>
    <w:p w14:paraId="576D6BE6" w14:textId="5155119E" w:rsidR="001F3A4F" w:rsidRPr="00F77F3B" w:rsidRDefault="00151AEB" w:rsidP="00151AEB">
      <w:pPr>
        <w:pStyle w:val="Heading4"/>
        <w:numPr>
          <w:ilvl w:val="0"/>
          <w:numId w:val="0"/>
        </w:numPr>
        <w:spacing w:before="240" w:after="240" w:line="240" w:lineRule="auto"/>
        <w:ind w:left="2880" w:hanging="360"/>
        <w:rPr>
          <w:rStyle w:val="normaltextrun"/>
        </w:rPr>
      </w:pPr>
      <w:bookmarkStart w:id="70" w:name="_Toc155683581"/>
      <w:r w:rsidRPr="00F77F3B">
        <w:rPr>
          <w:rStyle w:val="normaltextrun"/>
        </w:rPr>
        <w:t>i.</w:t>
      </w:r>
      <w:r w:rsidRPr="00F77F3B">
        <w:rPr>
          <w:rStyle w:val="normaltextrun"/>
        </w:rPr>
        <w:tab/>
      </w:r>
      <w:r w:rsidR="001F3A4F" w:rsidRPr="00F77F3B">
        <w:rPr>
          <w:rStyle w:val="normaltextrun"/>
        </w:rPr>
        <w:t xml:space="preserve">Antrano </w:t>
      </w:r>
      <w:r w:rsidR="00362861" w:rsidRPr="00F77F3B">
        <w:rPr>
          <w:rStyle w:val="normaltextrun"/>
        </w:rPr>
        <w:t>v</w:t>
      </w:r>
      <w:r w:rsidR="001F3A4F" w:rsidRPr="00F77F3B">
        <w:rPr>
          <w:rStyle w:val="normaltextrun"/>
        </w:rPr>
        <w:t xml:space="preserve">iolated ICCPR </w:t>
      </w:r>
      <w:r w:rsidR="007B39FF" w:rsidRPr="00F77F3B">
        <w:rPr>
          <w:rStyle w:val="normaltextrun"/>
        </w:rPr>
        <w:t xml:space="preserve">Article 9 </w:t>
      </w:r>
      <w:r w:rsidR="001F3A4F" w:rsidRPr="00F77F3B">
        <w:rPr>
          <w:rStyle w:val="normaltextrun"/>
        </w:rPr>
        <w:t>when it failed to provide a Remisian citizen access to a Remisian consular representative</w:t>
      </w:r>
      <w:bookmarkEnd w:id="70"/>
    </w:p>
    <w:p w14:paraId="1BD14839" w14:textId="0E753317" w:rsidR="001F3A4F" w:rsidRPr="00F77F3B" w:rsidRDefault="001F3A4F" w:rsidP="001F3A4F">
      <w:pPr>
        <w:pStyle w:val="paragraph"/>
        <w:spacing w:before="0" w:beforeAutospacing="0" w:after="0" w:afterAutospacing="0" w:line="360" w:lineRule="auto"/>
        <w:ind w:firstLine="720"/>
        <w:jc w:val="both"/>
        <w:textAlignment w:val="baseline"/>
      </w:pPr>
      <w:r w:rsidRPr="00F77F3B">
        <w:rPr>
          <w:rStyle w:val="normaltextrun"/>
        </w:rPr>
        <w:t xml:space="preserve">Article 9 of the ICCPR </w:t>
      </w:r>
      <w:r w:rsidRPr="00F77F3B">
        <w:rPr>
          <w:rStyle w:val="findhit"/>
        </w:rPr>
        <w:t>enshrines</w:t>
      </w:r>
      <w:r w:rsidRPr="00F77F3B">
        <w:rPr>
          <w:rStyle w:val="normaltextrun"/>
        </w:rPr>
        <w:t xml:space="preserve"> the “right to liberty and security of person.”</w:t>
      </w:r>
      <w:r w:rsidRPr="00F77F3B">
        <w:rPr>
          <w:rStyle w:val="FootnoteReference"/>
        </w:rPr>
        <w:footnoteReference w:id="139"/>
      </w:r>
      <w:r w:rsidRPr="00F77F3B">
        <w:rPr>
          <w:rStyle w:val="normaltextrun"/>
        </w:rPr>
        <w:t xml:space="preserve"> This includes the right to consular assistance when detained in a foreign State.</w:t>
      </w:r>
      <w:r w:rsidRPr="00F77F3B">
        <w:rPr>
          <w:rStyle w:val="FootnoteReference"/>
        </w:rPr>
        <w:footnoteReference w:id="140"/>
      </w:r>
      <w:r w:rsidRPr="00F77F3B">
        <w:rPr>
          <w:rStyle w:val="normaltextrun"/>
        </w:rPr>
        <w:t xml:space="preserve"> If a State does not provide consular access to a detainee, it violates Article 9.</w:t>
      </w:r>
      <w:r w:rsidRPr="00F77F3B">
        <w:rPr>
          <w:rStyle w:val="FootnoteReference"/>
        </w:rPr>
        <w:footnoteReference w:id="141"/>
      </w:r>
      <w:r w:rsidRPr="00F77F3B">
        <w:rPr>
          <w:rStyle w:val="normaltextrun"/>
        </w:rPr>
        <w:t xml:space="preserve"> </w:t>
      </w:r>
      <w:r w:rsidRPr="00F77F3B">
        <w:t>Although Antrano provided Shaw access to the Molvanian consulate, such access was inadequate because (1) it was not the consulate of her national State and (2) it was not her preferred consulate access.</w:t>
      </w:r>
      <w:r w:rsidRPr="00F77F3B">
        <w:rPr>
          <w:rStyle w:val="FootnoteReference"/>
        </w:rPr>
        <w:footnoteReference w:id="142"/>
      </w:r>
      <w:r w:rsidRPr="00F77F3B">
        <w:t xml:space="preserve"> </w:t>
      </w:r>
      <w:r w:rsidR="008F20C7" w:rsidRPr="00F77F3B">
        <w:t>Courts</w:t>
      </w:r>
      <w:r w:rsidRPr="00F77F3B">
        <w:t xml:space="preserve"> have </w:t>
      </w:r>
      <w:r w:rsidR="00787B8C" w:rsidRPr="00F77F3B">
        <w:t>established</w:t>
      </w:r>
      <w:r w:rsidRPr="00F77F3B">
        <w:t xml:space="preserve"> an individual </w:t>
      </w:r>
      <w:r w:rsidR="00787B8C" w:rsidRPr="00F77F3B">
        <w:t>is entitled to</w:t>
      </w:r>
      <w:r w:rsidRPr="00F77F3B">
        <w:t xml:space="preserve"> decline consular officer assistance.</w:t>
      </w:r>
      <w:r w:rsidRPr="00F77F3B">
        <w:rPr>
          <w:rStyle w:val="FootnoteReference"/>
        </w:rPr>
        <w:footnoteReference w:id="143"/>
      </w:r>
      <w:r w:rsidRPr="00F77F3B">
        <w:t xml:space="preserve"> Thus, the failure to grant Shaw access to consular services from her preferred consulate, Remisia, constituted a breach of Article 9 of the ICCPR.</w:t>
      </w:r>
    </w:p>
    <w:p w14:paraId="46CC7B3D" w14:textId="77777777" w:rsidR="001F3A4F" w:rsidRPr="00F77F3B" w:rsidRDefault="001F3A4F" w:rsidP="001F3A4F">
      <w:pPr>
        <w:pStyle w:val="paragraph"/>
        <w:spacing w:before="0" w:beforeAutospacing="0" w:after="0" w:afterAutospacing="0" w:line="360" w:lineRule="auto"/>
        <w:ind w:firstLine="720"/>
        <w:jc w:val="both"/>
        <w:textAlignment w:val="baseline"/>
      </w:pPr>
      <w:r w:rsidRPr="00F77F3B">
        <w:rPr>
          <w:rStyle w:val="normaltextrun"/>
        </w:rPr>
        <w:t>Antrano was obliged to provide Shaw access to Remisia consular representatives because Remisia is Shaw's national State.</w:t>
      </w:r>
      <w:r w:rsidRPr="00F77F3B">
        <w:rPr>
          <w:rStyle w:val="FootnoteReference"/>
        </w:rPr>
        <w:footnoteReference w:id="144"/>
      </w:r>
      <w:r w:rsidRPr="00F77F3B">
        <w:rPr>
          <w:rStyle w:val="normaltextrun"/>
        </w:rPr>
        <w:t xml:space="preserve"> Further, even if this Court does not find Remisia to be Shaw's national State, Antrano failed to provide Shaw adequate consular access because it gave Molvania unauthorized access to Shaw.</w:t>
      </w:r>
      <w:r w:rsidRPr="00F77F3B">
        <w:rPr>
          <w:rStyle w:val="FootnoteReference"/>
        </w:rPr>
        <w:footnoteReference w:id="145"/>
      </w:r>
      <w:r w:rsidRPr="00F77F3B">
        <w:rPr>
          <w:rStyle w:val="normaltextrun"/>
        </w:rPr>
        <w:t xml:space="preserve"> Therefore, to deny Shaw access to Remisian consular assistance is a violation of Article 9 of the ICCPR.</w:t>
      </w:r>
    </w:p>
    <w:p w14:paraId="2DA0A668" w14:textId="4791B117" w:rsidR="001F3A4F" w:rsidRPr="00F77F3B" w:rsidRDefault="00151AEB" w:rsidP="00151AEB">
      <w:pPr>
        <w:pStyle w:val="Heading4"/>
        <w:numPr>
          <w:ilvl w:val="0"/>
          <w:numId w:val="0"/>
        </w:numPr>
        <w:spacing w:before="240" w:after="240" w:line="240" w:lineRule="auto"/>
        <w:ind w:left="2880" w:hanging="360"/>
      </w:pPr>
      <w:bookmarkStart w:id="72" w:name="_Toc155683582"/>
      <w:r w:rsidRPr="00F77F3B">
        <w:rPr>
          <w:rStyle w:val="normaltextrun"/>
        </w:rPr>
        <w:lastRenderedPageBreak/>
        <w:t>ii.</w:t>
      </w:r>
      <w:r w:rsidRPr="00F77F3B">
        <w:rPr>
          <w:rStyle w:val="normaltextrun"/>
        </w:rPr>
        <w:tab/>
      </w:r>
      <w:r w:rsidR="001F3A4F" w:rsidRPr="00F77F3B">
        <w:rPr>
          <w:rStyle w:val="normaltextrun"/>
        </w:rPr>
        <w:t xml:space="preserve">Antrano </w:t>
      </w:r>
      <w:r w:rsidR="00362861" w:rsidRPr="00F77F3B">
        <w:rPr>
          <w:rStyle w:val="normaltextrun"/>
        </w:rPr>
        <w:t>v</w:t>
      </w:r>
      <w:r w:rsidR="001F3A4F" w:rsidRPr="00F77F3B">
        <w:rPr>
          <w:rStyle w:val="normaltextrun"/>
        </w:rPr>
        <w:t>iolated ICCPR</w:t>
      </w:r>
      <w:r w:rsidR="007B39FF" w:rsidRPr="00F77F3B">
        <w:rPr>
          <w:rStyle w:val="normaltextrun"/>
        </w:rPr>
        <w:t xml:space="preserve"> Article 14</w:t>
      </w:r>
      <w:r w:rsidR="001F3A4F" w:rsidRPr="00F77F3B">
        <w:rPr>
          <w:rStyle w:val="normaltextrun"/>
        </w:rPr>
        <w:t xml:space="preserve"> when it failed to provide due process to a detained Remisian citizen</w:t>
      </w:r>
      <w:bookmarkEnd w:id="72"/>
    </w:p>
    <w:p w14:paraId="071CB60E" w14:textId="461E2C91" w:rsidR="001F3A4F" w:rsidRPr="00F77F3B" w:rsidRDefault="001F3A4F" w:rsidP="001F3A4F">
      <w:pPr>
        <w:spacing w:before="0" w:after="0" w:line="360" w:lineRule="auto"/>
        <w:ind w:firstLine="720"/>
        <w:jc w:val="both"/>
      </w:pPr>
      <w:r w:rsidRPr="00F77F3B">
        <w:t>Antrano violated Article 14 of the ICCPR when it deprived Shaw due process while detained in Antrano. Under Article 14 detainees must receive due process before courts.</w:t>
      </w:r>
      <w:r w:rsidRPr="00F77F3B">
        <w:rPr>
          <w:rStyle w:val="FootnoteReference"/>
        </w:rPr>
        <w:footnoteReference w:id="146"/>
      </w:r>
      <w:r w:rsidRPr="00F77F3B">
        <w:t xml:space="preserve"> This includes “hav[ing] adequate time and facilities [to] prepare [a] defen</w:t>
      </w:r>
      <w:r w:rsidR="00051C23" w:rsidRPr="00F77F3B">
        <w:t>c</w:t>
      </w:r>
      <w:r w:rsidRPr="00F77F3B">
        <w:t>e” and “to communicate with counsel of [her] own choosing.”</w:t>
      </w:r>
      <w:r w:rsidRPr="00F77F3B">
        <w:rPr>
          <w:rStyle w:val="FootnoteReference"/>
        </w:rPr>
        <w:footnoteReference w:id="147"/>
      </w:r>
      <w:r w:rsidRPr="00F77F3B">
        <w:t xml:space="preserve"> Extradition requests traditionally require judgment before a court to determine whether a State should fulfill the request.</w:t>
      </w:r>
      <w:r w:rsidRPr="00F77F3B">
        <w:rPr>
          <w:rStyle w:val="FootnoteReference"/>
        </w:rPr>
        <w:footnoteReference w:id="148"/>
      </w:r>
    </w:p>
    <w:p w14:paraId="7380FB7E" w14:textId="43B64E4D" w:rsidR="001F3A4F" w:rsidRPr="00F77F3B" w:rsidRDefault="001F3A4F" w:rsidP="001F3A4F">
      <w:pPr>
        <w:spacing w:before="0" w:after="0" w:line="360" w:lineRule="auto"/>
        <w:ind w:firstLine="720"/>
        <w:jc w:val="both"/>
      </w:pPr>
      <w:r w:rsidRPr="00F77F3B">
        <w:t>By denying Shaw access to Remisian consular representatives, Antrano deprived her right to communicate with counsel of her own choosing for her extradition proceedings.</w:t>
      </w:r>
      <w:r w:rsidRPr="00F77F3B">
        <w:rPr>
          <w:rStyle w:val="FootnoteReference"/>
        </w:rPr>
        <w:footnoteReference w:id="149"/>
      </w:r>
      <w:r w:rsidRPr="00F77F3B">
        <w:t xml:space="preserve"> Molvania cannot properly represent Shaw. Molvania’s conflict of interest stems from the fact that it is overly invested in the outcome of Shaw’s Molvanian criminal proceedings.</w:t>
      </w:r>
      <w:r w:rsidRPr="00F77F3B">
        <w:rPr>
          <w:rStyle w:val="FootnoteReference"/>
        </w:rPr>
        <w:footnoteReference w:id="150"/>
      </w:r>
      <w:r w:rsidRPr="00F77F3B">
        <w:t xml:space="preserve"> Without legal counsel, Shaw was further deprived of the time and facilities required to adequately prepare her defense for her extradition case. Therefore, Antrano violated ICCPR Article 14 by denying Shaw her right to due process while detained in Antrano.</w:t>
      </w:r>
    </w:p>
    <w:p w14:paraId="363D0AC2" w14:textId="7256C7B5" w:rsidR="001F3A4F" w:rsidRPr="00F77F3B" w:rsidRDefault="001F3A4F" w:rsidP="007B39FF">
      <w:pPr>
        <w:pStyle w:val="Heading2"/>
        <w:numPr>
          <w:ilvl w:val="1"/>
          <w:numId w:val="1"/>
        </w:numPr>
        <w:ind w:left="1800" w:hanging="720"/>
        <w:rPr>
          <w:b/>
          <w:bCs/>
        </w:rPr>
      </w:pPr>
      <w:bookmarkStart w:id="73" w:name="_Toc155683583"/>
      <w:bookmarkStart w:id="74" w:name="_Toc155684389"/>
      <w:bookmarkStart w:id="75" w:name="_Toc155924035"/>
      <w:r w:rsidRPr="00F77F3B">
        <w:rPr>
          <w:b/>
          <w:bCs/>
        </w:rPr>
        <w:t xml:space="preserve">Antrano Violated Customary International Law </w:t>
      </w:r>
      <w:r w:rsidR="00362861" w:rsidRPr="00F77F3B">
        <w:rPr>
          <w:b/>
          <w:bCs/>
        </w:rPr>
        <w:t>w</w:t>
      </w:r>
      <w:r w:rsidRPr="00F77F3B">
        <w:rPr>
          <w:b/>
          <w:bCs/>
        </w:rPr>
        <w:t>hen it Denied a Remisian Citizen Access to Remisian Consular Representatives</w:t>
      </w:r>
      <w:bookmarkEnd w:id="73"/>
      <w:bookmarkEnd w:id="74"/>
      <w:bookmarkEnd w:id="75"/>
    </w:p>
    <w:p w14:paraId="28E52E3D" w14:textId="77777777" w:rsidR="00124C0C" w:rsidRPr="00F77F3B" w:rsidRDefault="001F3A4F" w:rsidP="001F3A4F">
      <w:pPr>
        <w:pStyle w:val="paragraph"/>
        <w:spacing w:before="0" w:beforeAutospacing="0" w:after="0" w:afterAutospacing="0" w:line="360" w:lineRule="auto"/>
        <w:ind w:firstLine="720"/>
        <w:jc w:val="both"/>
        <w:textAlignment w:val="baseline"/>
        <w:rPr>
          <w:rStyle w:val="normaltextrun"/>
        </w:rPr>
      </w:pPr>
      <w:bookmarkStart w:id="76" w:name="_heading=h.iwyb8kbdu7y7" w:colFirst="0" w:colLast="0"/>
      <w:bookmarkEnd w:id="76"/>
      <w:r w:rsidRPr="00F77F3B">
        <w:t xml:space="preserve">Antrano's arbitrary deprivation of Shaw’s Remisian nationality constitutes a violation of customary international law. </w:t>
      </w:r>
      <w:r w:rsidRPr="00F77F3B">
        <w:rPr>
          <w:rStyle w:val="normaltextrun"/>
        </w:rPr>
        <w:t>The right to a nationality is protected under international treaties,</w:t>
      </w:r>
      <w:r w:rsidRPr="00F77F3B">
        <w:rPr>
          <w:rStyle w:val="FootnoteReference"/>
        </w:rPr>
        <w:footnoteReference w:id="151"/>
      </w:r>
      <w:r w:rsidRPr="00F77F3B">
        <w:rPr>
          <w:rStyle w:val="normaltextrun"/>
        </w:rPr>
        <w:t xml:space="preserve"> regional agreements,</w:t>
      </w:r>
      <w:r w:rsidRPr="00F77F3B">
        <w:rPr>
          <w:rStyle w:val="FootnoteReference"/>
        </w:rPr>
        <w:footnoteReference w:id="152"/>
      </w:r>
      <w:r w:rsidRPr="00F77F3B">
        <w:rPr>
          <w:rStyle w:val="normaltextrun"/>
        </w:rPr>
        <w:t xml:space="preserve"> and UN resolutions.</w:t>
      </w:r>
      <w:r w:rsidRPr="00F77F3B">
        <w:rPr>
          <w:vertAlign w:val="superscript"/>
        </w:rPr>
        <w:footnoteReference w:id="153"/>
      </w:r>
      <w:r w:rsidRPr="00F77F3B">
        <w:rPr>
          <w:rStyle w:val="normaltextrun"/>
        </w:rPr>
        <w:t xml:space="preserve"> </w:t>
      </w:r>
      <w:r w:rsidRPr="00F77F3B">
        <w:t xml:space="preserve">Regional human rights courts reaffirm the </w:t>
      </w:r>
      <w:r w:rsidRPr="00F77F3B">
        <w:lastRenderedPageBreak/>
        <w:t>importance of this right, finding its arbitrary deprivation harms the basic liberties of those affected.</w:t>
      </w:r>
      <w:r w:rsidRPr="00F77F3B">
        <w:rPr>
          <w:vertAlign w:val="superscript"/>
        </w:rPr>
        <w:footnoteReference w:id="154"/>
      </w:r>
      <w:r w:rsidRPr="00F77F3B">
        <w:rPr>
          <w:rStyle w:val="normaltextrun"/>
        </w:rPr>
        <w:t xml:space="preserve"> Typically, the refusal of citizenship takes the form of an automatic cancellation of nationality through legal processes. This often results in complete loss of citizenship rights when one spends an extended duration abroad.</w:t>
      </w:r>
      <w:r w:rsidRPr="00F77F3B">
        <w:rPr>
          <w:rStyle w:val="FootnoteReference"/>
        </w:rPr>
        <w:footnoteReference w:id="155"/>
      </w:r>
    </w:p>
    <w:p w14:paraId="5ED2833A" w14:textId="49504EA0" w:rsidR="001F3A4F" w:rsidRPr="00F77F3B" w:rsidRDefault="001F3A4F" w:rsidP="001F3A4F">
      <w:pPr>
        <w:pStyle w:val="paragraph"/>
        <w:spacing w:before="0" w:beforeAutospacing="0" w:after="0" w:afterAutospacing="0" w:line="360" w:lineRule="auto"/>
        <w:ind w:firstLine="720"/>
        <w:jc w:val="both"/>
        <w:textAlignment w:val="baseline"/>
      </w:pPr>
      <w:r w:rsidRPr="00F77F3B">
        <w:rPr>
          <w:rStyle w:val="normaltextrun"/>
        </w:rPr>
        <w:t>By failing to recognize Shaw’s nationality, Antrano deprived her of the benefits of Remisian nationality. The right to a nationality is widely and consistently accepted, therefore it reflects customary international law.</w:t>
      </w:r>
      <w:r w:rsidRPr="00F77F3B">
        <w:rPr>
          <w:rStyle w:val="FootnoteReference"/>
        </w:rPr>
        <w:footnoteReference w:id="156"/>
      </w:r>
      <w:r w:rsidRPr="00F77F3B">
        <w:rPr>
          <w:rStyle w:val="normaltextrun"/>
        </w:rPr>
        <w:t xml:space="preserve"> </w:t>
      </w:r>
      <w:r w:rsidRPr="00F77F3B">
        <w:t>Although States maintain sovereign authority to govern this right,</w:t>
      </w:r>
      <w:r w:rsidRPr="00F77F3B">
        <w:rPr>
          <w:vertAlign w:val="superscript"/>
        </w:rPr>
        <w:footnoteReference w:id="157"/>
      </w:r>
      <w:r w:rsidRPr="00F77F3B">
        <w:t xml:space="preserve"> their margin of discretion is narrow and must ensure the deprivation of nationality is not arbitrary.</w:t>
      </w:r>
      <w:r w:rsidRPr="00F77F3B">
        <w:rPr>
          <w:vertAlign w:val="superscript"/>
        </w:rPr>
        <w:footnoteReference w:id="158"/>
      </w:r>
      <w:r w:rsidRPr="00F77F3B">
        <w:t xml:space="preserve"> </w:t>
      </w:r>
    </w:p>
    <w:p w14:paraId="4D011E3D" w14:textId="5EF2C464" w:rsidR="001F3A4F" w:rsidRPr="00F77F3B" w:rsidRDefault="001F3A4F" w:rsidP="001F3A4F">
      <w:pPr>
        <w:spacing w:before="0" w:after="0" w:line="360" w:lineRule="auto"/>
        <w:ind w:firstLine="720"/>
        <w:jc w:val="both"/>
      </w:pPr>
      <w:r w:rsidRPr="00F77F3B">
        <w:rPr>
          <w:rStyle w:val="normaltextrun"/>
        </w:rPr>
        <w:t>To ensure a deprivation is not arbitrary, the loss must be “prescribed by law,” “achiev[e] a legitimate aim,” and be proportionate.</w:t>
      </w:r>
      <w:r w:rsidRPr="00F77F3B">
        <w:rPr>
          <w:rStyle w:val="FootnoteReference"/>
        </w:rPr>
        <w:footnoteReference w:id="159"/>
      </w:r>
      <w:r w:rsidRPr="00F77F3B">
        <w:rPr>
          <w:rStyle w:val="normaltextrun"/>
        </w:rPr>
        <w:t xml:space="preserve"> Although Antrano’s statutory non-recognition of purchased nationality is prescribed by law,</w:t>
      </w:r>
      <w:r w:rsidRPr="00F77F3B">
        <w:rPr>
          <w:rStyle w:val="FootnoteReference"/>
        </w:rPr>
        <w:footnoteReference w:id="160"/>
      </w:r>
      <w:r w:rsidRPr="00F77F3B">
        <w:rPr>
          <w:rStyle w:val="normaltextrun"/>
        </w:rPr>
        <w:t xml:space="preserve"> the law itself does not achieve a legitimate aim. </w:t>
      </w:r>
      <w:r w:rsidRPr="00F77F3B">
        <w:t>Antrano's laws do not recognize purchased nationality, or any passports issued under such an arrangement.</w:t>
      </w:r>
      <w:r w:rsidRPr="00F77F3B">
        <w:rPr>
          <w:rStyle w:val="FootnoteReference"/>
        </w:rPr>
        <w:footnoteReference w:id="161"/>
      </w:r>
      <w:r w:rsidRPr="00F77F3B">
        <w:t xml:space="preserve"> </w:t>
      </w:r>
      <w:r w:rsidRPr="00F77F3B">
        <w:rPr>
          <w:rStyle w:val="normaltextrun"/>
        </w:rPr>
        <w:t>In fact, Antrano has expressed no reason for their nonrecognition of purchased nationality.</w:t>
      </w:r>
      <w:r w:rsidRPr="00F77F3B">
        <w:rPr>
          <w:rStyle w:val="FootnoteReference"/>
        </w:rPr>
        <w:footnoteReference w:id="162"/>
      </w:r>
      <w:r w:rsidRPr="00F77F3B">
        <w:rPr>
          <w:rStyle w:val="normaltextrun"/>
        </w:rPr>
        <w:t xml:space="preserve"> The only legitimate aims afforded to deprive nationality stem from CRS Articles 7 and 8.</w:t>
      </w:r>
      <w:r w:rsidRPr="00F77F3B">
        <w:rPr>
          <w:rStyle w:val="FootnoteReference"/>
        </w:rPr>
        <w:footnoteReference w:id="163"/>
      </w:r>
      <w:r w:rsidRPr="00F77F3B">
        <w:rPr>
          <w:rStyle w:val="normaltextrun"/>
        </w:rPr>
        <w:t xml:space="preserve"> </w:t>
      </w:r>
      <w:r w:rsidRPr="00F77F3B">
        <w:t>Remisian law considers citizenship and nationality synonymous.</w:t>
      </w:r>
      <w:r w:rsidRPr="00F77F3B">
        <w:rPr>
          <w:rStyle w:val="FootnoteReference"/>
        </w:rPr>
        <w:footnoteReference w:id="164"/>
      </w:r>
      <w:r w:rsidRPr="00F77F3B">
        <w:t xml:space="preserve"> Therefore, if any of </w:t>
      </w:r>
      <w:r w:rsidRPr="00F77F3B">
        <w:lastRenderedPageBreak/>
        <w:t>the hundreds of individuals</w:t>
      </w:r>
      <w:r w:rsidRPr="00F77F3B">
        <w:rPr>
          <w:rStyle w:val="FootnoteReference"/>
        </w:rPr>
        <w:footnoteReference w:id="165"/>
      </w:r>
      <w:r w:rsidRPr="00F77F3B">
        <w:t xml:space="preserve"> with purchased Remisian nationality were to travel to Antrano, they would automatically lose the benefits and protection of their Remisian nationality. </w:t>
      </w:r>
    </w:p>
    <w:p w14:paraId="1202E123" w14:textId="77777777" w:rsidR="00124C0C" w:rsidRPr="00F77F3B" w:rsidRDefault="001F3A4F" w:rsidP="001F3A4F">
      <w:pPr>
        <w:spacing w:before="0" w:after="0" w:line="360" w:lineRule="auto"/>
        <w:ind w:firstLine="720"/>
        <w:jc w:val="both"/>
        <w:rPr>
          <w:rStyle w:val="normaltextrun"/>
        </w:rPr>
      </w:pPr>
      <w:r w:rsidRPr="00F77F3B">
        <w:rPr>
          <w:rStyle w:val="normaltextrun"/>
        </w:rPr>
        <w:t>Even if this Court finds Antrano’s law has a legitimate aim, the deprivation is not proportionate. Proportionality must consider the deprivation’s consequences.</w:t>
      </w:r>
      <w:r w:rsidRPr="00F77F3B">
        <w:rPr>
          <w:rStyle w:val="FootnoteReference"/>
        </w:rPr>
        <w:footnoteReference w:id="166"/>
      </w:r>
      <w:r w:rsidRPr="00F77F3B">
        <w:rPr>
          <w:rStyle w:val="normaltextrun"/>
        </w:rPr>
        <w:t xml:space="preserve"> The consequences here have already manifested: Shaw was detained for weeks in an Antranan jail without access to legal representation.</w:t>
      </w:r>
      <w:r w:rsidRPr="00F77F3B">
        <w:rPr>
          <w:rStyle w:val="FootnoteReference"/>
        </w:rPr>
        <w:footnoteReference w:id="167"/>
      </w:r>
    </w:p>
    <w:p w14:paraId="3EF1DFA7" w14:textId="51B46E93" w:rsidR="001F3A4F" w:rsidRPr="00F77F3B" w:rsidRDefault="001F3A4F" w:rsidP="001F3A4F">
      <w:pPr>
        <w:spacing w:before="0" w:after="0" w:line="360" w:lineRule="auto"/>
        <w:ind w:firstLine="720"/>
        <w:jc w:val="both"/>
      </w:pPr>
      <w:r w:rsidRPr="00F77F3B">
        <w:rPr>
          <w:rStyle w:val="normaltextrun"/>
        </w:rPr>
        <w:t>Had Antrano recognized Shaw's valid Remisian nationality, Shaw would have received legal representation who may have prevented her prolonged detention. Therefore, the consequences of the deprivation of her nationality were disproportionate to any conceivable legitimate aim Antrano's law upholds. Because the deprivation does not serve a legitimate purpose and is not proportional, Antrano arbitrarily deprived Shaw of her Remisian nationality. Accordingly, Antrano violated customary international law.</w:t>
      </w:r>
    </w:p>
    <w:p w14:paraId="601DED2C" w14:textId="10D70FA5" w:rsidR="001F3A4F" w:rsidRPr="00F77F3B" w:rsidRDefault="001F3A4F" w:rsidP="00151AEB">
      <w:pPr>
        <w:pStyle w:val="Heading1"/>
        <w:numPr>
          <w:ilvl w:val="0"/>
          <w:numId w:val="3"/>
        </w:numPr>
        <w:spacing w:line="240" w:lineRule="auto"/>
        <w:rPr>
          <w:b/>
        </w:rPr>
      </w:pPr>
      <w:bookmarkStart w:id="84" w:name="_Toc155683584"/>
      <w:bookmarkStart w:id="85" w:name="_Toc155684390"/>
      <w:bookmarkStart w:id="86" w:name="_Toc155924036"/>
      <w:r w:rsidRPr="00F77F3B">
        <w:rPr>
          <w:b/>
        </w:rPr>
        <w:t>Remisia Complied with International Law When it Refused to Allow Dr. Malex Entry into Remisia</w:t>
      </w:r>
      <w:bookmarkEnd w:id="84"/>
      <w:bookmarkEnd w:id="85"/>
      <w:bookmarkEnd w:id="86"/>
    </w:p>
    <w:p w14:paraId="6CDDC836" w14:textId="77777777" w:rsidR="000B61A0" w:rsidRPr="00F77F3B" w:rsidRDefault="001F3A4F" w:rsidP="001F3A4F">
      <w:pPr>
        <w:spacing w:before="0" w:after="0" w:line="360" w:lineRule="auto"/>
        <w:ind w:firstLine="720"/>
        <w:jc w:val="both"/>
      </w:pPr>
      <w:r w:rsidRPr="00F77F3B">
        <w:t>As a threshold matter, UNSC Resolution 99997 is void. Article 27(3) of the UN Charter provides that in voting on UNSC resolutions, "a party to a dispute shall abstain from voting."</w:t>
      </w:r>
      <w:r w:rsidRPr="00F77F3B">
        <w:rPr>
          <w:rStyle w:val="FootnoteReference"/>
        </w:rPr>
        <w:footnoteReference w:id="168"/>
      </w:r>
      <w:r w:rsidRPr="00F77F3B">
        <w:t xml:space="preserve"> In </w:t>
      </w:r>
      <w:r w:rsidRPr="00F77F3B">
        <w:rPr>
          <w:i/>
          <w:iCs/>
        </w:rPr>
        <w:t xml:space="preserve">Namibia, </w:t>
      </w:r>
      <w:r w:rsidRPr="00F77F3B">
        <w:t>this Court ruled that a dispute exists when a State labels the issue as such.</w:t>
      </w:r>
      <w:r w:rsidRPr="00F77F3B">
        <w:rPr>
          <w:rStyle w:val="FootnoteReference"/>
        </w:rPr>
        <w:footnoteReference w:id="169"/>
      </w:r>
      <w:r w:rsidRPr="00F77F3B">
        <w:t xml:space="preserve"> Here, Antrano explicitly referenced the issue under UNSC Resolution 99997 as a dispute.</w:t>
      </w:r>
      <w:r w:rsidRPr="00F77F3B">
        <w:rPr>
          <w:rStyle w:val="FootnoteReference"/>
        </w:rPr>
        <w:footnoteReference w:id="170"/>
      </w:r>
    </w:p>
    <w:p w14:paraId="77209336" w14:textId="41B8E2B3" w:rsidR="001F3A4F" w:rsidRPr="00F77F3B" w:rsidRDefault="001F3A4F" w:rsidP="001F3A4F">
      <w:pPr>
        <w:spacing w:before="0" w:after="0" w:line="360" w:lineRule="auto"/>
        <w:ind w:firstLine="720"/>
        <w:jc w:val="both"/>
      </w:pPr>
      <w:r w:rsidRPr="00F77F3B">
        <w:t>Under Article 27(3), because the resolution was voted on in a manner that violates this Article, the resolution is void.</w:t>
      </w:r>
      <w:r w:rsidRPr="00F77F3B">
        <w:rPr>
          <w:rStyle w:val="FootnoteReference"/>
        </w:rPr>
        <w:footnoteReference w:id="171"/>
      </w:r>
      <w:r w:rsidRPr="00F77F3B">
        <w:t xml:space="preserve"> Therefore, under Antrano's own admission, it should have abstained from voting upon UNSC Resolution 99997 as a party to the dispute. Even if this Court determines UNSC Resolution 99997 is valid, Remisia complied with international law when it denied Dr. Malex entry.</w:t>
      </w:r>
    </w:p>
    <w:p w14:paraId="37BC83D7" w14:textId="6530895D" w:rsidR="001F3A4F" w:rsidRPr="00F77F3B" w:rsidRDefault="001F3A4F" w:rsidP="007B39FF">
      <w:pPr>
        <w:pStyle w:val="Heading2"/>
        <w:numPr>
          <w:ilvl w:val="1"/>
          <w:numId w:val="9"/>
        </w:numPr>
        <w:ind w:left="1800" w:hanging="720"/>
        <w:jc w:val="both"/>
        <w:rPr>
          <w:b/>
          <w:bCs/>
        </w:rPr>
      </w:pPr>
      <w:bookmarkStart w:id="87" w:name="_Toc155683585"/>
      <w:bookmarkStart w:id="88" w:name="_Toc155684391"/>
      <w:bookmarkStart w:id="89" w:name="_Toc155924037"/>
      <w:r w:rsidRPr="00F77F3B">
        <w:rPr>
          <w:b/>
          <w:bCs/>
        </w:rPr>
        <w:lastRenderedPageBreak/>
        <w:t xml:space="preserve">Remisia Complied with its Treaty Obligations </w:t>
      </w:r>
      <w:r w:rsidR="007B39FF" w:rsidRPr="00F77F3B">
        <w:rPr>
          <w:b/>
          <w:bCs/>
        </w:rPr>
        <w:t>w</w:t>
      </w:r>
      <w:r w:rsidRPr="00F77F3B">
        <w:rPr>
          <w:b/>
          <w:bCs/>
        </w:rPr>
        <w:t>hen it Denied Entry to Dr. Malex</w:t>
      </w:r>
      <w:bookmarkEnd w:id="87"/>
      <w:bookmarkEnd w:id="88"/>
      <w:bookmarkEnd w:id="89"/>
    </w:p>
    <w:p w14:paraId="561AA74C" w14:textId="77777777" w:rsidR="001F3A4F" w:rsidRPr="00F77F3B" w:rsidRDefault="001F3A4F" w:rsidP="001F3A4F">
      <w:pPr>
        <w:spacing w:before="0" w:after="0" w:line="360" w:lineRule="auto"/>
        <w:ind w:firstLine="720"/>
        <w:jc w:val="both"/>
      </w:pPr>
      <w:r w:rsidRPr="00F77F3B">
        <w:t>Remisia denied entry to Dr. Malex in accordance with treaty law. The UNC maintains Remisia, as a sovereign state, has the right to control its territorial borders</w:t>
      </w:r>
      <w:r w:rsidRPr="00F77F3B">
        <w:rPr>
          <w:rFonts w:eastAsia="Roboto"/>
        </w:rPr>
        <w:t>.</w:t>
      </w:r>
    </w:p>
    <w:p w14:paraId="5790E06E" w14:textId="3B439F44" w:rsidR="001F3A4F" w:rsidRPr="00F77F3B" w:rsidRDefault="001F3A4F" w:rsidP="007B39FF">
      <w:pPr>
        <w:pStyle w:val="Heading3"/>
        <w:numPr>
          <w:ilvl w:val="2"/>
          <w:numId w:val="9"/>
        </w:numPr>
        <w:spacing w:before="240" w:after="240" w:line="240" w:lineRule="auto"/>
        <w:ind w:left="2340" w:hanging="360"/>
      </w:pPr>
      <w:bookmarkStart w:id="90" w:name="_Toc155683586"/>
      <w:bookmarkStart w:id="91" w:name="_Toc155684392"/>
      <w:bookmarkStart w:id="92" w:name="_Toc155924038"/>
      <w:r w:rsidRPr="00F77F3B">
        <w:t xml:space="preserve">Remisia complied with UN Charter </w:t>
      </w:r>
      <w:r w:rsidR="007B39FF" w:rsidRPr="00F77F3B">
        <w:t xml:space="preserve">Article 2(7) </w:t>
      </w:r>
      <w:r w:rsidRPr="00F77F3B">
        <w:t>by maintaining its sovereign authority of its domestic affairs</w:t>
      </w:r>
      <w:bookmarkEnd w:id="90"/>
      <w:bookmarkEnd w:id="91"/>
      <w:bookmarkEnd w:id="92"/>
    </w:p>
    <w:p w14:paraId="6BFEC349" w14:textId="66382544" w:rsidR="001F3A4F" w:rsidRPr="00F77F3B" w:rsidRDefault="001F3A4F" w:rsidP="001F3A4F">
      <w:pPr>
        <w:spacing w:before="0" w:after="0" w:line="360" w:lineRule="auto"/>
        <w:ind w:firstLine="720"/>
        <w:jc w:val="both"/>
      </w:pPr>
      <w:r w:rsidRPr="00F77F3B">
        <w:t>Remisia complied with Article 2(7) of the UN Charter because UNSC Resolution 99997 is not binding. Therefore, any attempt to enforce it constitutes UN interference in Remisia</w:t>
      </w:r>
      <w:r w:rsidR="001F54AD" w:rsidRPr="00F77F3B">
        <w:t>’</w:t>
      </w:r>
      <w:r w:rsidRPr="00F77F3B">
        <w:t xml:space="preserve">s </w:t>
      </w:r>
      <w:r w:rsidRPr="00F77F3B">
        <w:rPr>
          <w:i/>
          <w:iCs/>
        </w:rPr>
        <w:t>domaine réservé</w:t>
      </w:r>
      <w:r w:rsidRPr="00F77F3B">
        <w:t>. Under Article 2(7), the UN is prohibited from interfering with a State's domestic affairs.</w:t>
      </w:r>
      <w:r w:rsidRPr="00F77F3B">
        <w:rPr>
          <w:rStyle w:val="FootnoteReference"/>
        </w:rPr>
        <w:footnoteReference w:id="172"/>
      </w:r>
      <w:r w:rsidRPr="00F77F3B">
        <w:t xml:space="preserve"> The only exception to Article 2(7) is “enforcement measures under Chapter VII.”</w:t>
      </w:r>
      <w:r w:rsidRPr="00F77F3B">
        <w:rPr>
          <w:rStyle w:val="FootnoteReference"/>
        </w:rPr>
        <w:footnoteReference w:id="173"/>
      </w:r>
      <w:r w:rsidRPr="00F77F3B">
        <w:t xml:space="preserve"> Here, no such enforcement measures exist. Rather, the dispute at issue arises under Chapter VI, which may be limited by Article 2(7)'s conditions.</w:t>
      </w:r>
      <w:r w:rsidRPr="00F77F3B">
        <w:rPr>
          <w:rStyle w:val="FootnoteReference"/>
        </w:rPr>
        <w:footnoteReference w:id="174"/>
      </w:r>
    </w:p>
    <w:p w14:paraId="2796B3DE" w14:textId="77777777" w:rsidR="001F3A4F" w:rsidRPr="00F77F3B" w:rsidRDefault="001F3A4F" w:rsidP="001F3A4F">
      <w:pPr>
        <w:spacing w:before="0" w:after="0" w:line="360" w:lineRule="auto"/>
        <w:ind w:firstLine="720"/>
        <w:jc w:val="both"/>
      </w:pPr>
      <w:r w:rsidRPr="00F77F3B">
        <w:t>Although scholars dispute whether Chapter VI is binding,</w:t>
      </w:r>
      <w:r w:rsidRPr="00F77F3B">
        <w:rPr>
          <w:rStyle w:val="FootnoteReference"/>
        </w:rPr>
        <w:footnoteReference w:id="175"/>
      </w:r>
      <w:r w:rsidRPr="00F77F3B">
        <w:t xml:space="preserve"> this Court stressed in its </w:t>
      </w:r>
      <w:r w:rsidRPr="00F77F3B">
        <w:rPr>
          <w:i/>
          <w:iCs/>
        </w:rPr>
        <w:t>Namibia</w:t>
      </w:r>
      <w:r w:rsidRPr="00F77F3B">
        <w:t xml:space="preserve"> case, “[t]he language of a [UNSC Resolution] should be carefully analysed before a conclusion can be made as to its binding effect."</w:t>
      </w:r>
      <w:r w:rsidRPr="00F77F3B">
        <w:rPr>
          <w:rStyle w:val="FootnoteReference"/>
        </w:rPr>
        <w:footnoteReference w:id="176"/>
      </w:r>
      <w:r w:rsidRPr="00F77F3B">
        <w:t xml:space="preserve"> There, it ruled UNSC Resolution 269 concerning South Africa's presence in Namibia was binding.</w:t>
      </w:r>
      <w:r w:rsidRPr="00F77F3B">
        <w:rPr>
          <w:rStyle w:val="FootnoteReference"/>
        </w:rPr>
        <w:footnoteReference w:id="177"/>
      </w:r>
      <w:r w:rsidRPr="00F77F3B">
        <w:t xml:space="preserve"> This was because the Court determined UN Charter Article 25, under which Resolution 269 was invoked, was a non-disposable article granting the UNSC “its essential functions and powers under the Charter.”</w:t>
      </w:r>
      <w:r w:rsidRPr="00F77F3B">
        <w:rPr>
          <w:rStyle w:val="FootnoteReference"/>
        </w:rPr>
        <w:footnoteReference w:id="178"/>
      </w:r>
    </w:p>
    <w:p w14:paraId="5B7F1826" w14:textId="77777777" w:rsidR="001F3A4F" w:rsidRPr="00F77F3B" w:rsidRDefault="001F3A4F" w:rsidP="001F3A4F">
      <w:pPr>
        <w:spacing w:before="0" w:after="0" w:line="360" w:lineRule="auto"/>
        <w:ind w:firstLine="720"/>
        <w:jc w:val="both"/>
      </w:pPr>
      <w:r w:rsidRPr="00F77F3B">
        <w:t>In contrast, UNSC Resolution 99997 is invoked under Article 34.</w:t>
      </w:r>
      <w:r w:rsidRPr="00F77F3B">
        <w:rPr>
          <w:rStyle w:val="FootnoteReference"/>
        </w:rPr>
        <w:footnoteReference w:id="179"/>
      </w:r>
      <w:r w:rsidRPr="00F77F3B">
        <w:t xml:space="preserve"> Article 34 grants the UNSC power to investigate disputes that “might lead to international friction . . . in order to determine whether the continuance of the dispute . . . is likely to endanger the maintenance of </w:t>
      </w:r>
      <w:r w:rsidRPr="00F77F3B">
        <w:lastRenderedPageBreak/>
        <w:t>international peace and security.”</w:t>
      </w:r>
      <w:r w:rsidRPr="00F77F3B">
        <w:rPr>
          <w:rStyle w:val="FootnoteReference"/>
        </w:rPr>
        <w:footnoteReference w:id="180"/>
      </w:r>
      <w:r w:rsidRPr="00F77F3B">
        <w:t xml:space="preserve"> Unlike Article 25, which grants the UNSC its power as a UN body,</w:t>
      </w:r>
      <w:r w:rsidRPr="00F77F3B">
        <w:rPr>
          <w:rStyle w:val="FootnoteReference"/>
        </w:rPr>
        <w:footnoteReference w:id="181"/>
      </w:r>
      <w:r w:rsidRPr="00F77F3B">
        <w:t xml:space="preserve"> Article 34 is a subsidiary function of the UNSC and is not essential to its operation.</w:t>
      </w:r>
    </w:p>
    <w:p w14:paraId="35CE551A" w14:textId="77626CF7" w:rsidR="001F3A4F" w:rsidRPr="00F77F3B" w:rsidRDefault="001F3A4F" w:rsidP="001F3A4F">
      <w:pPr>
        <w:spacing w:before="0" w:after="0" w:line="360" w:lineRule="auto"/>
        <w:ind w:firstLine="720"/>
        <w:jc w:val="both"/>
      </w:pPr>
      <w:r w:rsidRPr="00F77F3B">
        <w:t>Indeed, in its Repertory of Practice relating to Article 34, the UN acknowledges Article 34 requires “the consent of host countries" to operate UNSC missions.”</w:t>
      </w:r>
      <w:r w:rsidRPr="00F77F3B">
        <w:rPr>
          <w:rStyle w:val="FootnoteReference"/>
        </w:rPr>
        <w:footnoteReference w:id="182"/>
      </w:r>
      <w:r w:rsidRPr="00F77F3B">
        <w:t xml:space="preserve"> Therefore, Article 34 should not be considered a binding provision under Chapter VI. Given Article 34</w:t>
      </w:r>
      <w:r w:rsidR="001F54AD" w:rsidRPr="00F77F3B">
        <w:t>’</w:t>
      </w:r>
      <w:r w:rsidRPr="00F77F3B">
        <w:t>s broad scope, to hold it as binding would contravene the fundamental purpose of Chapter VI by allowing States to frivolously invoke the UNSC’s power to interfere in domestic affairs</w:t>
      </w:r>
      <w:r w:rsidR="001F54AD" w:rsidRPr="00F77F3B">
        <w:t>.</w:t>
      </w:r>
      <w:r w:rsidRPr="00F77F3B">
        <w:t xml:space="preserve"> Here, Remisia did not give the UNSC consent to conduct its fact-finding mission into the DCA.</w:t>
      </w:r>
      <w:r w:rsidRPr="00F77F3B">
        <w:rPr>
          <w:rStyle w:val="FootnoteReference"/>
        </w:rPr>
        <w:footnoteReference w:id="183"/>
      </w:r>
      <w:r w:rsidRPr="00F77F3B">
        <w:t xml:space="preserve"> Therefore, UNSC Resolution 99997 is not binding upon Remisia. </w:t>
      </w:r>
    </w:p>
    <w:p w14:paraId="47A3A47B" w14:textId="77777777" w:rsidR="001F3A4F" w:rsidRPr="00F77F3B" w:rsidRDefault="001F3A4F" w:rsidP="001F3A4F">
      <w:pPr>
        <w:spacing w:before="0" w:after="0" w:line="360" w:lineRule="auto"/>
        <w:ind w:firstLine="720"/>
        <w:jc w:val="both"/>
      </w:pPr>
      <w:r w:rsidRPr="00F77F3B">
        <w:t>Should this Court hold UNSC Resolution 99997 binding, it would permit the UNSC to breach UN Charter Article 2(7). Nationality laws are wholly within the domestic jurisdiction of a State unless the laws arbitrarily deprive nationality.</w:t>
      </w:r>
      <w:r w:rsidRPr="00F77F3B">
        <w:rPr>
          <w:rStyle w:val="FootnoteReference"/>
        </w:rPr>
        <w:footnoteReference w:id="184"/>
      </w:r>
      <w:r w:rsidRPr="00F77F3B">
        <w:t xml:space="preserve"> Remisia's nationality laws do not.</w:t>
      </w:r>
      <w:r w:rsidRPr="00F77F3B">
        <w:rPr>
          <w:rStyle w:val="FootnoteReference"/>
        </w:rPr>
        <w:footnoteReference w:id="185"/>
      </w:r>
      <w:r w:rsidRPr="00F77F3B">
        <w:t xml:space="preserve"> By requiring Remisia to permit Dr. Malex entry and inspect the condition of its nationality laws, the UN is impermissibly intervening in Remisia's domestic affairs. Accordingly, Remisia complied with Article 2(7) by asserting its sovereign authority against UN intervention in Remisian domestic affairs.</w:t>
      </w:r>
    </w:p>
    <w:p w14:paraId="6BE9DAF2" w14:textId="2C41BA5D" w:rsidR="001F3A4F" w:rsidRPr="00F77F3B" w:rsidRDefault="001F3A4F" w:rsidP="007B39FF">
      <w:pPr>
        <w:pStyle w:val="Heading3"/>
        <w:numPr>
          <w:ilvl w:val="2"/>
          <w:numId w:val="9"/>
        </w:numPr>
        <w:spacing w:before="240" w:after="240" w:line="240" w:lineRule="auto"/>
        <w:ind w:left="2340" w:hanging="360"/>
      </w:pPr>
      <w:bookmarkStart w:id="93" w:name="_Toc155683587"/>
      <w:bookmarkStart w:id="94" w:name="_Toc155684393"/>
      <w:bookmarkStart w:id="95" w:name="_Toc155924039"/>
      <w:r w:rsidRPr="00F77F3B">
        <w:t xml:space="preserve">Remisia complied with CPI </w:t>
      </w:r>
      <w:r w:rsidR="007B39FF" w:rsidRPr="00F77F3B">
        <w:t xml:space="preserve">Article 6 </w:t>
      </w:r>
      <w:r w:rsidRPr="00F77F3B">
        <w:t>when it denied entry to Dr. Malex</w:t>
      </w:r>
      <w:bookmarkEnd w:id="93"/>
      <w:bookmarkEnd w:id="94"/>
      <w:bookmarkEnd w:id="95"/>
    </w:p>
    <w:p w14:paraId="1EEAAE1F" w14:textId="13C666F7" w:rsidR="00F27FF8" w:rsidRPr="00F77F3B" w:rsidRDefault="000921A2" w:rsidP="001F3A4F">
      <w:pPr>
        <w:spacing w:before="0" w:after="0" w:line="360" w:lineRule="auto"/>
        <w:ind w:firstLine="720"/>
        <w:jc w:val="both"/>
      </w:pPr>
      <w:bookmarkStart w:id="96" w:name="_Hlk155894916"/>
      <w:r w:rsidRPr="00F77F3B">
        <w:t xml:space="preserve">Article VII, </w:t>
      </w:r>
      <w:r w:rsidR="00F27FF8" w:rsidRPr="00F77F3B">
        <w:t xml:space="preserve">Section 26 </w:t>
      </w:r>
      <w:bookmarkEnd w:id="96"/>
      <w:r w:rsidR="00F27FF8" w:rsidRPr="00F77F3B">
        <w:t>of CPI requires travel documents to be afforded to experts on UN missions.</w:t>
      </w:r>
      <w:r w:rsidR="00F27FF8" w:rsidRPr="00F77F3B">
        <w:rPr>
          <w:rStyle w:val="FootnoteReference"/>
        </w:rPr>
        <w:footnoteReference w:id="186"/>
      </w:r>
      <w:r w:rsidR="00F27FF8" w:rsidRPr="00F77F3B">
        <w:t xml:space="preserve"> However, t</w:t>
      </w:r>
      <w:r w:rsidR="001F3A4F" w:rsidRPr="00F77F3B">
        <w:t xml:space="preserve">his Court’s </w:t>
      </w:r>
      <w:r w:rsidR="001F3A4F" w:rsidRPr="00F77F3B">
        <w:rPr>
          <w:i/>
          <w:iCs/>
        </w:rPr>
        <w:t>Conventions on the Privileges and Immunities</w:t>
      </w:r>
      <w:r w:rsidR="001F3A4F" w:rsidRPr="00F77F3B">
        <w:t xml:space="preserve"> advisory opinion noted "[w]hile some experts have necessarily to travel in order to perform their tasks, others can perform them without having to travel."</w:t>
      </w:r>
      <w:r w:rsidR="001F3A4F" w:rsidRPr="00F77F3B">
        <w:rPr>
          <w:rStyle w:val="FootnoteReference"/>
        </w:rPr>
        <w:footnoteReference w:id="187"/>
      </w:r>
      <w:r w:rsidR="001F3A4F" w:rsidRPr="00F77F3B">
        <w:t xml:space="preserve"> Here, Dr. Malex's can perform his tasks </w:t>
      </w:r>
      <w:r w:rsidR="00F27FF8" w:rsidRPr="00F77F3B">
        <w:t xml:space="preserve">without </w:t>
      </w:r>
      <w:r w:rsidR="001F3A4F" w:rsidRPr="00F77F3B">
        <w:t>traveling to Remisia.</w:t>
      </w:r>
      <w:r w:rsidR="00F27FF8" w:rsidRPr="00F77F3B">
        <w:t xml:space="preserve"> </w:t>
      </w:r>
    </w:p>
    <w:p w14:paraId="05817512" w14:textId="6DC0F7AE" w:rsidR="001F3A4F" w:rsidRPr="00F77F3B" w:rsidRDefault="001F3A4F" w:rsidP="001F3A4F">
      <w:pPr>
        <w:spacing w:before="0" w:after="0" w:line="360" w:lineRule="auto"/>
        <w:ind w:firstLine="720"/>
        <w:jc w:val="both"/>
      </w:pPr>
      <w:r w:rsidRPr="00F77F3B">
        <w:lastRenderedPageBreak/>
        <w:t>While the text of UNSC Resolution 99997 requires civilian experts appointed must conduct in-person interviews, it also affords them the ability to hire support staff for their mission.</w:t>
      </w:r>
      <w:r w:rsidRPr="00F77F3B">
        <w:rPr>
          <w:rStyle w:val="FootnoteReference"/>
        </w:rPr>
        <w:footnoteReference w:id="188"/>
      </w:r>
      <w:r w:rsidRPr="00F77F3B">
        <w:t xml:space="preserve"> Rather than visiting Remisia, Dr. Malex had full authority to appoint Remisian citizens to interview the Sterren Forty. Indeed, after receiving a formal rejection of entry from Remisia's UN Ambassador,</w:t>
      </w:r>
      <w:r w:rsidRPr="00F77F3B">
        <w:rPr>
          <w:rStyle w:val="FootnoteReference"/>
        </w:rPr>
        <w:footnoteReference w:id="189"/>
      </w:r>
      <w:r w:rsidRPr="00F77F3B">
        <w:t xml:space="preserve"> Dr. Malex had ample opportunity to create a taskforce comprised of Remisian nationals to complete his professional responsibilities.</w:t>
      </w:r>
    </w:p>
    <w:p w14:paraId="5274F074" w14:textId="6270994F" w:rsidR="001F3A4F" w:rsidRPr="00F77F3B" w:rsidRDefault="001F3A4F" w:rsidP="001F3A4F">
      <w:pPr>
        <w:spacing w:before="0" w:after="0" w:line="360" w:lineRule="auto"/>
        <w:ind w:firstLine="720"/>
        <w:jc w:val="both"/>
      </w:pPr>
      <w:r w:rsidRPr="00F77F3B">
        <w:t>Further, the Sterren Forty agreed to conduct their trials by Zoom.</w:t>
      </w:r>
      <w:r w:rsidRPr="00F77F3B">
        <w:rPr>
          <w:rStyle w:val="FootnoteReference"/>
        </w:rPr>
        <w:footnoteReference w:id="190"/>
      </w:r>
      <w:r w:rsidRPr="00F77F3B">
        <w:t xml:space="preserve"> Thus, even if Dr. Malex's presence were necessary, he would have been able to attend interviews via Zoom with in-person support staff. Indeed, State practice has evolved to allow remote participation for a variety of legal proceedings, including trials and prison interviews.</w:t>
      </w:r>
      <w:r w:rsidRPr="00F77F3B">
        <w:rPr>
          <w:rStyle w:val="FootnoteReference"/>
        </w:rPr>
        <w:footnoteReference w:id="191"/>
      </w:r>
      <w:r w:rsidRPr="00F77F3B">
        <w:t xml:space="preserve"> As such, Dr. Malex's travel to Remisia was not necessary, and there was no necessity for Dr. Malex to enter Remisia.</w:t>
      </w:r>
    </w:p>
    <w:p w14:paraId="6B3985D4" w14:textId="77777777" w:rsidR="001F3A4F" w:rsidRPr="00F77F3B" w:rsidRDefault="001F3A4F" w:rsidP="001F3A4F">
      <w:pPr>
        <w:spacing w:before="0" w:after="0" w:line="360" w:lineRule="auto"/>
        <w:ind w:firstLine="720"/>
        <w:jc w:val="both"/>
      </w:pPr>
      <w:r w:rsidRPr="00F77F3B">
        <w:t>States have denied entry to UN experts on a variety of grounds, one of which includes maintenance of public order and national security.</w:t>
      </w:r>
      <w:r w:rsidRPr="00F77F3B">
        <w:rPr>
          <w:rStyle w:val="FootnoteReference"/>
        </w:rPr>
        <w:footnoteReference w:id="192"/>
      </w:r>
      <w:r w:rsidRPr="00F77F3B">
        <w:t xml:space="preserve"> As established, the Sterren Forty pose a risk to Remisia's public order and national security.</w:t>
      </w:r>
      <w:r w:rsidRPr="00F77F3B">
        <w:rPr>
          <w:rStyle w:val="FootnoteReference"/>
        </w:rPr>
        <w:footnoteReference w:id="193"/>
      </w:r>
      <w:r w:rsidRPr="00F77F3B">
        <w:t xml:space="preserve"> Allowing Dr. Malex into the country would reignite protests in Remisia, because his presence supports the Sterren Forty’s ideologies. Thus, his privileges and immunities under the CPI may not be invoked against Remisia as it would jeopardize the State’s peace and security.</w:t>
      </w:r>
    </w:p>
    <w:p w14:paraId="18D0013E" w14:textId="70974046" w:rsidR="001F3A4F" w:rsidRPr="00F77F3B" w:rsidRDefault="001F3A4F" w:rsidP="007B39FF">
      <w:pPr>
        <w:pStyle w:val="Heading3"/>
        <w:numPr>
          <w:ilvl w:val="2"/>
          <w:numId w:val="2"/>
        </w:numPr>
        <w:spacing w:before="240" w:after="240" w:line="240" w:lineRule="auto"/>
        <w:ind w:left="2340" w:hanging="360"/>
      </w:pPr>
      <w:bookmarkStart w:id="98" w:name="_Toc155683588"/>
      <w:bookmarkStart w:id="99" w:name="_Toc155684394"/>
      <w:bookmarkStart w:id="100" w:name="_Toc155924040"/>
      <w:r w:rsidRPr="00F77F3B">
        <w:t xml:space="preserve">Remisia complied with </w:t>
      </w:r>
      <w:r w:rsidR="007B39FF" w:rsidRPr="00F77F3B">
        <w:t xml:space="preserve">VCDR </w:t>
      </w:r>
      <w:r w:rsidRPr="00F77F3B">
        <w:t>Article 9 when it denied a diplomatic agent entry into its territory</w:t>
      </w:r>
      <w:bookmarkEnd w:id="98"/>
      <w:bookmarkEnd w:id="99"/>
      <w:bookmarkEnd w:id="100"/>
    </w:p>
    <w:p w14:paraId="7ECC584C" w14:textId="77777777" w:rsidR="001F3A4F" w:rsidRPr="00F77F3B" w:rsidRDefault="001F3A4F" w:rsidP="001F3A4F">
      <w:pPr>
        <w:spacing w:before="0" w:after="0" w:line="360" w:lineRule="auto"/>
        <w:ind w:firstLine="720"/>
        <w:jc w:val="both"/>
      </w:pPr>
      <w:r w:rsidRPr="00F77F3B">
        <w:t>Although Dr. Malex claims to be an independent expert, the underlying motivation of his mission to Remisia is to represent Antrano's interests in reducing statelessness. Therefore, Dr. Malex should be considered a diplomatic agent and his mission a diplomatic mission.</w:t>
      </w:r>
      <w:r w:rsidRPr="00F77F3B">
        <w:rPr>
          <w:rStyle w:val="FootnoteReference"/>
        </w:rPr>
        <w:footnoteReference w:id="194"/>
      </w:r>
      <w:r w:rsidRPr="00F77F3B">
        <w:t xml:space="preserve"> Article 3(a) of the VCDR describes a diplomatic mission as, inter alia, "[r]epresenting the sending State </w:t>
      </w:r>
      <w:r w:rsidRPr="00F77F3B">
        <w:lastRenderedPageBreak/>
        <w:t xml:space="preserve">in the receiving State." Here, Dr. Malex is visiting Remisia with the intent to represent Antrano's interests in reducing statelessness. </w:t>
      </w:r>
    </w:p>
    <w:p w14:paraId="00646555" w14:textId="23024F4A" w:rsidR="001F3A4F" w:rsidRPr="00F77F3B" w:rsidRDefault="001F3A4F" w:rsidP="001F3A4F">
      <w:pPr>
        <w:spacing w:before="0" w:after="0" w:line="360" w:lineRule="auto"/>
        <w:ind w:firstLine="720"/>
        <w:jc w:val="both"/>
      </w:pPr>
      <w:r w:rsidRPr="00F77F3B">
        <w:t xml:space="preserve">Further, as the head of the mission, Dr. Malex is considered a diplomatic agent. With this status, under VCDR Article 9, Remisia may deny his entry “at any time without having to explain its decision[.]” Indeed, this Court in </w:t>
      </w:r>
      <w:r w:rsidR="00A77FB5" w:rsidRPr="00F77F3B">
        <w:rPr>
          <w:i/>
        </w:rPr>
        <w:t>Diplomatic and Consular Staff</w:t>
      </w:r>
      <w:r w:rsidRPr="00F77F3B">
        <w:t xml:space="preserve"> highlighted that diplomatic premises are inviolable, but entry is subject to the consent of the receiving state.</w:t>
      </w:r>
      <w:r w:rsidRPr="00F77F3B">
        <w:rPr>
          <w:vertAlign w:val="superscript"/>
        </w:rPr>
        <w:footnoteReference w:id="195"/>
      </w:r>
      <w:r w:rsidRPr="00F77F3B">
        <w:t xml:space="preserve"> Accordingly, Remisia complied with its treaty obligations under the VCDR by denying Dr. Malex entry into Remisia.</w:t>
      </w:r>
    </w:p>
    <w:p w14:paraId="26901BD0" w14:textId="5D3B45AF" w:rsidR="001F3A4F" w:rsidRPr="00F77F3B" w:rsidRDefault="001F3A4F" w:rsidP="007B39FF">
      <w:pPr>
        <w:pStyle w:val="Heading2"/>
        <w:numPr>
          <w:ilvl w:val="1"/>
          <w:numId w:val="9"/>
        </w:numPr>
        <w:ind w:left="1800" w:hanging="720"/>
        <w:rPr>
          <w:b/>
          <w:bCs/>
        </w:rPr>
      </w:pPr>
      <w:bookmarkStart w:id="101" w:name="_Toc155683589"/>
      <w:bookmarkStart w:id="102" w:name="_Toc155684395"/>
      <w:bookmarkStart w:id="103" w:name="_Toc155924041"/>
      <w:r w:rsidRPr="00F77F3B">
        <w:rPr>
          <w:b/>
          <w:bCs/>
        </w:rPr>
        <w:t xml:space="preserve">Remisia Complied with its </w:t>
      </w:r>
      <w:r w:rsidR="002D436E" w:rsidRPr="00F77F3B">
        <w:rPr>
          <w:b/>
          <w:bCs/>
        </w:rPr>
        <w:t xml:space="preserve">Customary </w:t>
      </w:r>
      <w:r w:rsidRPr="00F77F3B">
        <w:rPr>
          <w:b/>
          <w:bCs/>
        </w:rPr>
        <w:t xml:space="preserve">International Law Obligations </w:t>
      </w:r>
      <w:r w:rsidR="007B39FF" w:rsidRPr="00F77F3B">
        <w:rPr>
          <w:b/>
          <w:bCs/>
        </w:rPr>
        <w:t>w</w:t>
      </w:r>
      <w:r w:rsidRPr="00F77F3B">
        <w:rPr>
          <w:b/>
          <w:bCs/>
        </w:rPr>
        <w:t xml:space="preserve">hen </w:t>
      </w:r>
      <w:r w:rsidR="00362861" w:rsidRPr="00F77F3B">
        <w:rPr>
          <w:b/>
          <w:bCs/>
        </w:rPr>
        <w:t>i</w:t>
      </w:r>
      <w:r w:rsidRPr="00F77F3B">
        <w:rPr>
          <w:b/>
          <w:bCs/>
        </w:rPr>
        <w:t>t Denied Entry to Dr. Malex</w:t>
      </w:r>
      <w:bookmarkEnd w:id="101"/>
      <w:bookmarkEnd w:id="102"/>
      <w:bookmarkEnd w:id="103"/>
    </w:p>
    <w:p w14:paraId="0187BB4E" w14:textId="5DDBE2A1" w:rsidR="001F3A4F" w:rsidRPr="00F77F3B" w:rsidRDefault="001F3A4F" w:rsidP="001F3A4F">
      <w:pPr>
        <w:spacing w:before="0" w:after="0" w:line="360" w:lineRule="auto"/>
        <w:ind w:firstLine="720"/>
        <w:jc w:val="both"/>
      </w:pPr>
      <w:r w:rsidRPr="00F77F3B">
        <w:t xml:space="preserve">Customary </w:t>
      </w:r>
      <w:r w:rsidR="002D436E" w:rsidRPr="00F77F3B">
        <w:t>i</w:t>
      </w:r>
      <w:r w:rsidRPr="00F77F3B">
        <w:t xml:space="preserve">nternational </w:t>
      </w:r>
      <w:r w:rsidR="002D436E" w:rsidRPr="00F77F3B">
        <w:t>l</w:t>
      </w:r>
      <w:r w:rsidRPr="00F77F3B">
        <w:t xml:space="preserve">aw does not specifically prohibit states from denying entry, and the Lotus principle supports the idea that states possess broad discretion in regulating entry into their territories. In denying entry to Dr. Malex, Remisia was not allowing intervention into </w:t>
      </w:r>
      <w:r w:rsidR="006D5B87" w:rsidRPr="00F77F3B">
        <w:t>its</w:t>
      </w:r>
      <w:r w:rsidRPr="00F77F3B">
        <w:t xml:space="preserve"> domestic affairs. </w:t>
      </w:r>
    </w:p>
    <w:p w14:paraId="4F295ECD" w14:textId="7589A9FF" w:rsidR="001F3A4F" w:rsidRPr="00F77F3B" w:rsidRDefault="002D436E" w:rsidP="007B39FF">
      <w:pPr>
        <w:pStyle w:val="Heading3"/>
        <w:numPr>
          <w:ilvl w:val="2"/>
          <w:numId w:val="9"/>
        </w:numPr>
        <w:spacing w:before="240" w:after="240" w:line="240" w:lineRule="auto"/>
        <w:ind w:left="2340" w:hanging="360"/>
      </w:pPr>
      <w:bookmarkStart w:id="104" w:name="_Toc155683590"/>
      <w:bookmarkStart w:id="105" w:name="_Toc155684396"/>
      <w:bookmarkStart w:id="106" w:name="_Toc155924042"/>
      <w:r w:rsidRPr="00F77F3B">
        <w:t>Customary i</w:t>
      </w:r>
      <w:r w:rsidR="001F3A4F" w:rsidRPr="00F77F3B">
        <w:t xml:space="preserve">nternational </w:t>
      </w:r>
      <w:r w:rsidR="00362861" w:rsidRPr="00F77F3B">
        <w:t>l</w:t>
      </w:r>
      <w:r w:rsidR="001F3A4F" w:rsidRPr="00F77F3B">
        <w:t xml:space="preserve">aw </w:t>
      </w:r>
      <w:r w:rsidR="00362861" w:rsidRPr="00F77F3B">
        <w:t>r</w:t>
      </w:r>
      <w:r w:rsidR="001F3A4F" w:rsidRPr="00F77F3B">
        <w:t xml:space="preserve">ecognizes </w:t>
      </w:r>
      <w:r w:rsidR="00362861" w:rsidRPr="00F77F3B">
        <w:t>S</w:t>
      </w:r>
      <w:r w:rsidR="001F3A4F" w:rsidRPr="00F77F3B">
        <w:t xml:space="preserve">tates are </w:t>
      </w:r>
      <w:r w:rsidR="00362861" w:rsidRPr="00F77F3B">
        <w:t>f</w:t>
      </w:r>
      <w:r w:rsidR="001F3A4F" w:rsidRPr="00F77F3B">
        <w:t xml:space="preserve">ree to </w:t>
      </w:r>
      <w:r w:rsidR="00362861" w:rsidRPr="00F77F3B">
        <w:t>a</w:t>
      </w:r>
      <w:r w:rsidR="001F3A4F" w:rsidRPr="00F77F3B">
        <w:t xml:space="preserve">ct in </w:t>
      </w:r>
      <w:r w:rsidR="00362861" w:rsidRPr="00F77F3B">
        <w:t>a</w:t>
      </w:r>
      <w:r w:rsidR="001F3A4F" w:rsidRPr="00F77F3B">
        <w:t xml:space="preserve">bsence of a </w:t>
      </w:r>
      <w:r w:rsidR="00362861" w:rsidRPr="00F77F3B">
        <w:t>p</w:t>
      </w:r>
      <w:r w:rsidR="001F3A4F" w:rsidRPr="00F77F3B">
        <w:t xml:space="preserve">rohibitory </w:t>
      </w:r>
      <w:r w:rsidR="00362861" w:rsidRPr="00F77F3B">
        <w:t>r</w:t>
      </w:r>
      <w:r w:rsidR="001F3A4F" w:rsidRPr="00F77F3B">
        <w:t>ule</w:t>
      </w:r>
      <w:bookmarkEnd w:id="104"/>
      <w:bookmarkEnd w:id="105"/>
      <w:bookmarkEnd w:id="106"/>
    </w:p>
    <w:p w14:paraId="0126B28C" w14:textId="1B130B40" w:rsidR="001F3A4F" w:rsidRPr="00F77F3B" w:rsidRDefault="001C756C" w:rsidP="001F3A4F">
      <w:pPr>
        <w:spacing w:before="0" w:after="0" w:line="360" w:lineRule="auto"/>
        <w:ind w:firstLine="720"/>
        <w:jc w:val="both"/>
      </w:pPr>
      <w:r w:rsidRPr="00F77F3B">
        <w:t>Absent</w:t>
      </w:r>
      <w:r w:rsidR="001F3A4F" w:rsidRPr="00F77F3B">
        <w:t xml:space="preserve"> a rule prohibiting action, “</w:t>
      </w:r>
      <w:r w:rsidR="00A718E5" w:rsidRPr="00F77F3B">
        <w:t xml:space="preserve">[a] </w:t>
      </w:r>
      <w:r w:rsidR="001F3A4F" w:rsidRPr="00F77F3B">
        <w:t>State remains free to adopt the principles which it regards as best and most suitable.”</w:t>
      </w:r>
      <w:r w:rsidR="001F3A4F" w:rsidRPr="00F77F3B">
        <w:rPr>
          <w:vertAlign w:val="superscript"/>
        </w:rPr>
        <w:footnoteReference w:id="196"/>
      </w:r>
      <w:r w:rsidR="001F3A4F" w:rsidRPr="00F77F3B">
        <w:t xml:space="preserve"> Under the Lotus principle, Remisia is free to deny Dr. Malex access to its jails. Indeed, there is no general prohibition in international law preventing States from denying UN experts entry into their territories.</w:t>
      </w:r>
      <w:r w:rsidR="001F3A4F" w:rsidRPr="00F77F3B">
        <w:rPr>
          <w:rStyle w:val="FootnoteReference"/>
        </w:rPr>
        <w:footnoteReference w:id="197"/>
      </w:r>
      <w:r w:rsidR="001F3A4F" w:rsidRPr="00F77F3B">
        <w:t xml:space="preserve"> In Remisia's situation, allowing otherwise would conflict with its interests to protect public order and national security. As such, it is entitled under the Lotus principle to deny Dr. Malex's entry into Remisia. Therefore, because Remisia is </w:t>
      </w:r>
      <w:r w:rsidR="001F3A4F" w:rsidRPr="00F77F3B">
        <w:lastRenderedPageBreak/>
        <w:t xml:space="preserve">not explicitly prohibited by any law to deny Dr. Malex entry, its denial was in compliance with customary international law. </w:t>
      </w:r>
    </w:p>
    <w:p w14:paraId="449C5C28" w14:textId="3D4BA37B" w:rsidR="001F3A4F" w:rsidRPr="00F77F3B" w:rsidRDefault="002D436E" w:rsidP="007B39FF">
      <w:pPr>
        <w:pStyle w:val="Heading3"/>
        <w:numPr>
          <w:ilvl w:val="2"/>
          <w:numId w:val="9"/>
        </w:numPr>
        <w:spacing w:before="240" w:after="240" w:line="240" w:lineRule="auto"/>
        <w:ind w:left="2340" w:hanging="360"/>
      </w:pPr>
      <w:bookmarkStart w:id="107" w:name="_Toc155683591"/>
      <w:bookmarkStart w:id="108" w:name="_Toc155684397"/>
      <w:bookmarkStart w:id="109" w:name="_Toc155924043"/>
      <w:r w:rsidRPr="00F77F3B">
        <w:t>Customary i</w:t>
      </w:r>
      <w:r w:rsidR="001F3A4F" w:rsidRPr="00F77F3B">
        <w:t xml:space="preserve">nternational </w:t>
      </w:r>
      <w:r w:rsidR="00362861" w:rsidRPr="00F77F3B">
        <w:t>l</w:t>
      </w:r>
      <w:r w:rsidR="001F3A4F" w:rsidRPr="00F77F3B">
        <w:t xml:space="preserve">aw </w:t>
      </w:r>
      <w:r w:rsidR="00362861" w:rsidRPr="00F77F3B">
        <w:t>r</w:t>
      </w:r>
      <w:r w:rsidR="001F3A4F" w:rsidRPr="00F77F3B">
        <w:t xml:space="preserve">ecognizes the </w:t>
      </w:r>
      <w:r w:rsidR="00362861" w:rsidRPr="00F77F3B">
        <w:t>s</w:t>
      </w:r>
      <w:r w:rsidR="001F3A4F" w:rsidRPr="00F77F3B">
        <w:t xml:space="preserve">overeignty of States to </w:t>
      </w:r>
      <w:r w:rsidR="00362861" w:rsidRPr="00F77F3B">
        <w:t>m</w:t>
      </w:r>
      <w:r w:rsidR="001F3A4F" w:rsidRPr="00F77F3B">
        <w:t xml:space="preserve">aintain the </w:t>
      </w:r>
      <w:r w:rsidR="00362861" w:rsidRPr="00F77F3B">
        <w:t>i</w:t>
      </w:r>
      <w:r w:rsidR="001F3A4F" w:rsidRPr="00F77F3B">
        <w:t xml:space="preserve">ntegrity of their </w:t>
      </w:r>
      <w:r w:rsidR="00362861" w:rsidRPr="00F77F3B">
        <w:t>b</w:t>
      </w:r>
      <w:r w:rsidR="001F3A4F" w:rsidRPr="00F77F3B">
        <w:t>orders</w:t>
      </w:r>
      <w:bookmarkEnd w:id="107"/>
      <w:bookmarkEnd w:id="108"/>
      <w:bookmarkEnd w:id="109"/>
    </w:p>
    <w:p w14:paraId="3D884652" w14:textId="1D5C202C" w:rsidR="001F3A4F" w:rsidRPr="00F77F3B" w:rsidRDefault="001F3A4F" w:rsidP="001F3A4F">
      <w:pPr>
        <w:pStyle w:val="paragraph"/>
        <w:spacing w:before="0" w:beforeAutospacing="0" w:after="0" w:afterAutospacing="0" w:line="360" w:lineRule="auto"/>
        <w:ind w:firstLine="720"/>
        <w:jc w:val="both"/>
        <w:textAlignment w:val="baseline"/>
        <w:rPr>
          <w:rStyle w:val="normaltextrun"/>
        </w:rPr>
      </w:pPr>
      <w:r w:rsidRPr="00F77F3B">
        <w:rPr>
          <w:rStyle w:val="normaltextrun"/>
          <w:shd w:val="clear" w:color="auto" w:fill="FFFFFF"/>
        </w:rPr>
        <w:t>This Court affirmed the principle of non-intervention is “part and parcel of customary international law.”</w:t>
      </w:r>
      <w:r w:rsidRPr="00F77F3B">
        <w:rPr>
          <w:rStyle w:val="FootnoteReference"/>
          <w:shd w:val="clear" w:color="auto" w:fill="FFFFFF"/>
        </w:rPr>
        <w:footnoteReference w:id="198"/>
      </w:r>
      <w:r w:rsidRPr="00F77F3B">
        <w:t xml:space="preserve"> Th</w:t>
      </w:r>
      <w:r w:rsidR="000B61A0" w:rsidRPr="00F77F3B">
        <w:t>is</w:t>
      </w:r>
      <w:r w:rsidRPr="00F77F3B">
        <w:t xml:space="preserve"> principle prohibits State</w:t>
      </w:r>
      <w:r w:rsidR="000B61A0" w:rsidRPr="00F77F3B">
        <w:t>s</w:t>
      </w:r>
      <w:r w:rsidRPr="00F77F3B">
        <w:t xml:space="preserve"> from intervening into another State’s </w:t>
      </w:r>
      <w:r w:rsidRPr="00F77F3B">
        <w:rPr>
          <w:i/>
          <w:iCs/>
        </w:rPr>
        <w:t>domaine r</w:t>
      </w:r>
      <w:r w:rsidRPr="00F77F3B">
        <w:t>éservé.</w:t>
      </w:r>
      <w:r w:rsidRPr="00F77F3B">
        <w:rPr>
          <w:rStyle w:val="FootnoteReference"/>
        </w:rPr>
        <w:footnoteReference w:id="199"/>
      </w:r>
      <w:r w:rsidRPr="00F77F3B">
        <w:rPr>
          <w:i/>
          <w:iCs/>
        </w:rPr>
        <w:t xml:space="preserve"> </w:t>
      </w:r>
      <w:r w:rsidRPr="00F77F3B">
        <w:rPr>
          <w:rStyle w:val="normaltextrun"/>
        </w:rPr>
        <w:t>In</w:t>
      </w:r>
      <w:r w:rsidRPr="00F77F3B">
        <w:rPr>
          <w:rStyle w:val="normaltextrun"/>
          <w:i/>
          <w:iCs/>
        </w:rPr>
        <w:t xml:space="preserve"> Military and Paramilitary Activities</w:t>
      </w:r>
      <w:r w:rsidRPr="00F77F3B">
        <w:rPr>
          <w:rStyle w:val="normaltextrun"/>
        </w:rPr>
        <w:t>, this Court ruled the United States violated the principle of non-intervention by interfering with Nicaragua's internal affairs through funding the Contras, a political group who opposed the Nicaraguan government.</w:t>
      </w:r>
      <w:r w:rsidRPr="00F77F3B">
        <w:rPr>
          <w:rStyle w:val="FootnoteReference"/>
        </w:rPr>
        <w:footnoteReference w:id="200"/>
      </w:r>
      <w:r w:rsidRPr="00F77F3B">
        <w:t xml:space="preserve"> </w:t>
      </w:r>
      <w:r w:rsidRPr="00F77F3B">
        <w:rPr>
          <w:rStyle w:val="normaltextrun"/>
        </w:rPr>
        <w:t xml:space="preserve">Similar to the United States, Antrano is leveraging the funding and power of its position in the UNSC to interfere with Remisian domestic policies that Antrano opposes. </w:t>
      </w:r>
    </w:p>
    <w:p w14:paraId="2FFE8A49" w14:textId="77777777" w:rsidR="001F3A4F" w:rsidRPr="00F77F3B" w:rsidRDefault="001F3A4F" w:rsidP="001F3A4F">
      <w:pPr>
        <w:pStyle w:val="paragraph"/>
        <w:spacing w:before="0" w:beforeAutospacing="0" w:after="0" w:afterAutospacing="0" w:line="360" w:lineRule="auto"/>
        <w:ind w:firstLine="720"/>
        <w:jc w:val="both"/>
        <w:textAlignment w:val="baseline"/>
      </w:pPr>
      <w:r w:rsidRPr="00F77F3B">
        <w:rPr>
          <w:rStyle w:val="normaltextrun"/>
        </w:rPr>
        <w:t xml:space="preserve">As an Antranan civilian expert on statelessness, Dr. Malex is incapable of acting as a neutral representative in his assigned mission to Remisia. </w:t>
      </w:r>
      <w:r w:rsidRPr="00F77F3B">
        <w:t>Instead, Antrano's statements about Dr. Malex's mission</w:t>
      </w:r>
      <w:r w:rsidRPr="00F77F3B">
        <w:rPr>
          <w:rStyle w:val="FootnoteReference"/>
        </w:rPr>
        <w:footnoteReference w:id="201"/>
      </w:r>
      <w:r w:rsidRPr="00F77F3B">
        <w:t xml:space="preserve"> reveal the pretext of his mission is to achieve Antrano's political goal of “eliminating the stain of statelessness.”</w:t>
      </w:r>
      <w:r w:rsidRPr="00F77F3B">
        <w:rPr>
          <w:rStyle w:val="FootnoteReference"/>
        </w:rPr>
        <w:footnoteReference w:id="202"/>
      </w:r>
      <w:r w:rsidRPr="00F77F3B">
        <w:t xml:space="preserve"> By erroneously labeling the DCA as a law facilitating statelessness, Antrano's intentions through UNSC Resolution 99997 are to coerce Remisia into changing its domestic nationality laws. </w:t>
      </w:r>
    </w:p>
    <w:p w14:paraId="530BEBD5" w14:textId="494844DD" w:rsidR="001F3A4F" w:rsidRPr="00F77F3B" w:rsidRDefault="001F3A4F" w:rsidP="001F3A4F">
      <w:pPr>
        <w:pStyle w:val="paragraph"/>
        <w:spacing w:before="0" w:beforeAutospacing="0" w:after="0" w:afterAutospacing="0" w:line="360" w:lineRule="auto"/>
        <w:ind w:firstLine="720"/>
        <w:jc w:val="both"/>
        <w:textAlignment w:val="baseline"/>
        <w:rPr>
          <w:i/>
          <w:iCs/>
        </w:rPr>
      </w:pPr>
      <w:r w:rsidRPr="00F77F3B">
        <w:t>Antrano has no reason to initiate a fact-finding mission into the circumstances around the Sterren Forty</w:t>
      </w:r>
      <w:r w:rsidR="00830D26" w:rsidRPr="00F77F3B">
        <w:t>’</w:t>
      </w:r>
      <w:r w:rsidRPr="00F77F3B">
        <w:t>s nationality revocation</w:t>
      </w:r>
      <w:r w:rsidR="00830D26" w:rsidRPr="00F77F3B">
        <w:t xml:space="preserve"> because t</w:t>
      </w:r>
      <w:r w:rsidRPr="00F77F3B">
        <w:t>he Sterren Forty's judicial proceedings were public and livestreamed.</w:t>
      </w:r>
      <w:r w:rsidRPr="00F77F3B">
        <w:rPr>
          <w:rStyle w:val="FootnoteReference"/>
        </w:rPr>
        <w:footnoteReference w:id="203"/>
      </w:r>
      <w:r w:rsidRPr="00F77F3B">
        <w:t xml:space="preserve"> Indeed, the UN had access to all necessary evidence to determine the condition of the Sterren Forty’s nationality revocation.</w:t>
      </w:r>
      <w:r w:rsidRPr="00F77F3B">
        <w:rPr>
          <w:rStyle w:val="FootnoteReference"/>
        </w:rPr>
        <w:footnoteReference w:id="204"/>
      </w:r>
      <w:r w:rsidRPr="00F77F3B">
        <w:t xml:space="preserve"> Further, there is no evidence the Sterren Forty suffered human rights abuses during their detention. Therefore, there is no need to investigate their prison conditions. The UNSC should not have approved Resolution 99997 </w:t>
      </w:r>
      <w:r w:rsidRPr="00F77F3B">
        <w:lastRenderedPageBreak/>
        <w:t>because, as their previous practice indicates, calls for fact-finding missions without ample evidence are denied.</w:t>
      </w:r>
      <w:r w:rsidRPr="00F77F3B">
        <w:rPr>
          <w:rStyle w:val="FootnoteReference"/>
        </w:rPr>
        <w:footnoteReference w:id="205"/>
      </w:r>
    </w:p>
    <w:p w14:paraId="0B633801" w14:textId="77777777" w:rsidR="001F3A4F" w:rsidRPr="00F77F3B" w:rsidRDefault="001F3A4F" w:rsidP="00D121A0">
      <w:pPr>
        <w:spacing w:before="0" w:after="0" w:line="360" w:lineRule="auto"/>
        <w:ind w:firstLine="720"/>
        <w:jc w:val="both"/>
      </w:pPr>
      <w:r w:rsidRPr="00F77F3B">
        <w:t>Antrano used its position as president of the UNSC</w:t>
      </w:r>
      <w:r w:rsidRPr="00F77F3B">
        <w:rPr>
          <w:rStyle w:val="FootnoteReference"/>
        </w:rPr>
        <w:footnoteReference w:id="206"/>
      </w:r>
      <w:r w:rsidRPr="00F77F3B">
        <w:t xml:space="preserve"> to initiate a baseless fact-finding mission under Resolution 99997. This mission was to forward Antrano's own political motivations to eradicate statelessness.</w:t>
      </w:r>
      <w:r w:rsidRPr="00F77F3B">
        <w:rPr>
          <w:rStyle w:val="FootnoteReference"/>
        </w:rPr>
        <w:footnoteReference w:id="207"/>
      </w:r>
      <w:r w:rsidRPr="00F77F3B">
        <w:t xml:space="preserve"> However, Remisia's application of the DCA was well within its right to protect its national security and public order.</w:t>
      </w:r>
      <w:r w:rsidRPr="00F77F3B">
        <w:rPr>
          <w:rStyle w:val="FootnoteReference"/>
        </w:rPr>
        <w:footnoteReference w:id="208"/>
      </w:r>
      <w:r w:rsidRPr="00F77F3B">
        <w:t xml:space="preserve"> Antrano used the UN body to forward its own political agenda against Remisia’s sovereign interest. Therefore, Remisia complied with customary international law by preventing Antrano from interfering in Remisia’s domestic affairs.</w:t>
      </w:r>
    </w:p>
    <w:p w14:paraId="786827DF" w14:textId="77777777" w:rsidR="001F3A4F" w:rsidRPr="00F77F3B" w:rsidRDefault="001F3A4F" w:rsidP="001F3A4F">
      <w:r w:rsidRPr="00F77F3B">
        <w:br w:type="page"/>
      </w:r>
    </w:p>
    <w:p w14:paraId="2A067901" w14:textId="77777777" w:rsidR="001F3A4F" w:rsidRPr="00F83EC8" w:rsidRDefault="001F3A4F" w:rsidP="001F3A4F">
      <w:pPr>
        <w:spacing w:before="0" w:after="0" w:line="360" w:lineRule="auto"/>
        <w:ind w:firstLine="720"/>
        <w:jc w:val="both"/>
      </w:pPr>
    </w:p>
    <w:p w14:paraId="24B23212" w14:textId="3CE95597" w:rsidR="00AF583F" w:rsidRPr="00F83EC8" w:rsidRDefault="00AF583F" w:rsidP="00AF583F">
      <w:pPr>
        <w:pBdr>
          <w:bottom w:val="single" w:sz="6" w:space="1" w:color="000000"/>
        </w:pBdr>
        <w:spacing w:line="360" w:lineRule="auto"/>
        <w:jc w:val="center"/>
        <w:rPr>
          <w:b/>
          <w:smallCaps/>
        </w:rPr>
      </w:pPr>
      <w:r w:rsidRPr="00F83EC8">
        <w:rPr>
          <w:b/>
          <w:smallCaps/>
        </w:rPr>
        <w:t xml:space="preserve">Conclusion and Prayer for Relief </w:t>
      </w:r>
    </w:p>
    <w:p w14:paraId="63379422" w14:textId="0F654570" w:rsidR="00AF583F" w:rsidRPr="00F83EC8" w:rsidRDefault="000A3D60" w:rsidP="000A3D60">
      <w:pPr>
        <w:spacing w:line="360" w:lineRule="auto"/>
        <w:jc w:val="both"/>
      </w:pPr>
      <w:r w:rsidRPr="00F83EC8">
        <w:t xml:space="preserve">The Kingdom of Remisia respectfully requests this Court to adjudicate that: </w:t>
      </w:r>
    </w:p>
    <w:p w14:paraId="748838EA" w14:textId="31776DB8" w:rsidR="00CC6848" w:rsidRPr="00F83EC8" w:rsidRDefault="00CC6848" w:rsidP="00807679">
      <w:pPr>
        <w:pStyle w:val="ListParagraph"/>
        <w:numPr>
          <w:ilvl w:val="0"/>
          <w:numId w:val="12"/>
        </w:numPr>
        <w:ind w:left="1080" w:hanging="720"/>
        <w:jc w:val="both"/>
        <w:rPr>
          <w:bCs/>
        </w:rPr>
      </w:pPr>
      <w:r w:rsidRPr="00F83EC8">
        <w:rPr>
          <w:bCs/>
        </w:rPr>
        <w:t xml:space="preserve">Antrano lacks standing to bring the dispute of the Sterren Forty’s nationality to this Court. </w:t>
      </w:r>
    </w:p>
    <w:p w14:paraId="28FC676A" w14:textId="77777777" w:rsidR="00CC6848" w:rsidRPr="00F83EC8" w:rsidRDefault="00CC6848" w:rsidP="00807679">
      <w:pPr>
        <w:pStyle w:val="ListParagraph"/>
        <w:ind w:left="1080" w:hanging="720"/>
        <w:jc w:val="both"/>
        <w:rPr>
          <w:bCs/>
        </w:rPr>
      </w:pPr>
    </w:p>
    <w:p w14:paraId="76181177" w14:textId="4DB902D6" w:rsidR="00CC6848" w:rsidRPr="00F83EC8" w:rsidRDefault="00CC6848" w:rsidP="00807679">
      <w:pPr>
        <w:pStyle w:val="ListParagraph"/>
        <w:numPr>
          <w:ilvl w:val="0"/>
          <w:numId w:val="12"/>
        </w:numPr>
        <w:ind w:left="1080" w:hanging="720"/>
        <w:jc w:val="both"/>
        <w:rPr>
          <w:bCs/>
        </w:rPr>
      </w:pPr>
      <w:r w:rsidRPr="00F83EC8">
        <w:rPr>
          <w:bCs/>
        </w:rPr>
        <w:t xml:space="preserve">Remisia complied with international law when it revoked the Sterren Forty’s Remisian nationality. </w:t>
      </w:r>
    </w:p>
    <w:p w14:paraId="1462F8C5" w14:textId="77777777" w:rsidR="00CC6848" w:rsidRPr="00F83EC8" w:rsidRDefault="00CC6848" w:rsidP="00807679">
      <w:pPr>
        <w:pStyle w:val="ListParagraph"/>
        <w:ind w:left="1080" w:hanging="720"/>
        <w:jc w:val="both"/>
        <w:rPr>
          <w:bCs/>
        </w:rPr>
      </w:pPr>
    </w:p>
    <w:p w14:paraId="33EE5EAE" w14:textId="3F697E6E" w:rsidR="00CC6848" w:rsidRPr="00F83EC8" w:rsidRDefault="00CC6848" w:rsidP="00807679">
      <w:pPr>
        <w:pStyle w:val="ListParagraph"/>
        <w:numPr>
          <w:ilvl w:val="0"/>
          <w:numId w:val="12"/>
        </w:numPr>
        <w:ind w:left="1080" w:hanging="720"/>
        <w:jc w:val="both"/>
        <w:rPr>
          <w:bCs/>
        </w:rPr>
      </w:pPr>
      <w:r w:rsidRPr="00F83EC8">
        <w:rPr>
          <w:bCs/>
        </w:rPr>
        <w:t xml:space="preserve">Antrano violated international law when it denied Saki Shaw, a Remisian citizen, Remisian consular access while detained in Antrano. </w:t>
      </w:r>
    </w:p>
    <w:p w14:paraId="5AB30D21" w14:textId="77777777" w:rsidR="00CC6848" w:rsidRPr="00F83EC8" w:rsidRDefault="00CC6848" w:rsidP="00807679">
      <w:pPr>
        <w:pStyle w:val="ListParagraph"/>
        <w:ind w:left="1080" w:hanging="720"/>
        <w:jc w:val="both"/>
        <w:rPr>
          <w:bCs/>
        </w:rPr>
      </w:pPr>
    </w:p>
    <w:p w14:paraId="2B464EB0" w14:textId="2C4C6032" w:rsidR="000A3D60" w:rsidRPr="00F83EC8" w:rsidRDefault="00CC6848" w:rsidP="00807679">
      <w:pPr>
        <w:pStyle w:val="ListParagraph"/>
        <w:numPr>
          <w:ilvl w:val="0"/>
          <w:numId w:val="12"/>
        </w:numPr>
        <w:ind w:left="1080" w:hanging="720"/>
        <w:jc w:val="both"/>
        <w:rPr>
          <w:bCs/>
        </w:rPr>
      </w:pPr>
      <w:r w:rsidRPr="00F83EC8">
        <w:rPr>
          <w:bCs/>
        </w:rPr>
        <w:t xml:space="preserve">Remisia complied with international law when it denied Dr. Malex entry into Remisia. </w:t>
      </w:r>
    </w:p>
    <w:p w14:paraId="05EA3636" w14:textId="77777777" w:rsidR="00CF3F78" w:rsidRPr="00F83EC8" w:rsidRDefault="00CF3F78" w:rsidP="00C67599">
      <w:pPr>
        <w:spacing w:before="0" w:after="0" w:line="360" w:lineRule="auto"/>
        <w:ind w:firstLine="720"/>
        <w:jc w:val="both"/>
      </w:pPr>
    </w:p>
    <w:sectPr w:rsidR="00CF3F78" w:rsidRPr="00F83EC8" w:rsidSect="00C65AC2">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C5F5" w14:textId="77777777" w:rsidR="00C65AC2" w:rsidRDefault="00C65AC2">
      <w:pPr>
        <w:spacing w:before="0" w:after="0"/>
      </w:pPr>
      <w:r>
        <w:separator/>
      </w:r>
    </w:p>
  </w:endnote>
  <w:endnote w:type="continuationSeparator" w:id="0">
    <w:p w14:paraId="5744DA42" w14:textId="77777777" w:rsidR="00C65AC2" w:rsidRDefault="00C65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2" w14:textId="77777777" w:rsidR="00CA4105" w:rsidRDefault="00A90B56">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000001A3" w14:textId="77777777" w:rsidR="00CA4105" w:rsidRDefault="00CA4105">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90"/>
      <w:id w:val="-303932597"/>
    </w:sdtPr>
    <w:sdtContent>
      <w:p w14:paraId="000001A0" w14:textId="1E29FEE7" w:rsidR="00CA4105" w:rsidRDefault="00A90B56" w:rsidP="00CD6446">
        <w:pPr>
          <w:pBdr>
            <w:top w:val="nil"/>
            <w:left w:val="nil"/>
            <w:bottom w:val="nil"/>
            <w:right w:val="nil"/>
            <w:between w:val="nil"/>
          </w:pBdr>
          <w:tabs>
            <w:tab w:val="center" w:pos="4680"/>
            <w:tab w:val="right" w:pos="9360"/>
          </w:tabs>
          <w:ind w:left="360"/>
          <w:jc w:val="center"/>
          <w:rPr>
            <w:color w:val="000000"/>
          </w:rPr>
        </w:pPr>
        <w:r>
          <w:rPr>
            <w:color w:val="000000"/>
          </w:rPr>
          <w:fldChar w:fldCharType="begin"/>
        </w:r>
        <w:r>
          <w:rPr>
            <w:color w:val="000000"/>
          </w:rPr>
          <w:instrText>PAGE</w:instrText>
        </w:r>
        <w:r>
          <w:rPr>
            <w:color w:val="000000"/>
          </w:rPr>
          <w:fldChar w:fldCharType="separate"/>
        </w:r>
        <w:r w:rsidR="009A54C7">
          <w:rPr>
            <w:noProof/>
            <w:color w:val="000000"/>
          </w:rPr>
          <w:t>1</w:t>
        </w:r>
        <w:r>
          <w:rPr>
            <w:color w:val="000000"/>
          </w:rPr>
          <w:fldChar w:fldCharType="end"/>
        </w:r>
      </w:p>
    </w:sdtContent>
  </w:sdt>
  <w:p w14:paraId="000001A1" w14:textId="77777777" w:rsidR="00CA4105" w:rsidRDefault="00CA4105">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90"/>
      <w:id w:val="1989667236"/>
    </w:sdtPr>
    <w:sdtContent>
      <w:p w14:paraId="4F33EA36" w14:textId="77777777" w:rsidR="004B1D77" w:rsidRPr="001C18B7" w:rsidRDefault="004B1D77" w:rsidP="000F2DE5">
        <w:pPr>
          <w:pBdr>
            <w:top w:val="nil"/>
            <w:left w:val="nil"/>
            <w:bottom w:val="nil"/>
            <w:right w:val="nil"/>
            <w:between w:val="nil"/>
          </w:pBdr>
          <w:tabs>
            <w:tab w:val="center" w:pos="4680"/>
            <w:tab w:val="right" w:pos="9360"/>
          </w:tabs>
          <w:ind w:left="360"/>
          <w:jc w:val="center"/>
        </w:pPr>
        <w:r w:rsidRPr="001C18B7">
          <w:fldChar w:fldCharType="begin"/>
        </w:r>
        <w:r w:rsidRPr="001C18B7">
          <w:instrText>PAGE</w:instrText>
        </w:r>
        <w:r w:rsidRPr="001C18B7">
          <w:fldChar w:fldCharType="separate"/>
        </w:r>
        <w:r w:rsidRPr="001C18B7">
          <w:rPr>
            <w:noProof/>
          </w:rPr>
          <w:t>1</w:t>
        </w:r>
        <w:r w:rsidRPr="001C18B7">
          <w:fldChar w:fldCharType="end"/>
        </w:r>
      </w:p>
    </w:sdtContent>
  </w:sdt>
  <w:p w14:paraId="15ACE79F" w14:textId="77777777" w:rsidR="004B1D77" w:rsidRDefault="004B1D77">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76C7" w14:textId="77777777" w:rsidR="00C65AC2" w:rsidRDefault="00C65AC2">
      <w:pPr>
        <w:spacing w:before="0" w:after="0"/>
      </w:pPr>
      <w:r>
        <w:separator/>
      </w:r>
    </w:p>
  </w:footnote>
  <w:footnote w:type="continuationSeparator" w:id="0">
    <w:p w14:paraId="11043FB3" w14:textId="77777777" w:rsidR="00C65AC2" w:rsidRDefault="00C65AC2">
      <w:pPr>
        <w:spacing w:before="0" w:after="0"/>
      </w:pPr>
      <w:r>
        <w:continuationSeparator/>
      </w:r>
    </w:p>
  </w:footnote>
  <w:footnote w:type="continuationNotice" w:id="1">
    <w:p w14:paraId="590CAAF2" w14:textId="77777777" w:rsidR="00C65AC2" w:rsidRDefault="00C65AC2">
      <w:pPr>
        <w:spacing w:before="0" w:after="0"/>
      </w:pPr>
    </w:p>
  </w:footnote>
  <w:footnote w:id="2">
    <w:p w14:paraId="755E2C62" w14:textId="58EC0D82"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2D2EE3" w:rsidRPr="005319EA">
        <w:rPr>
          <w:sz w:val="20"/>
          <w:szCs w:val="20"/>
        </w:rPr>
        <w:t>South West Africa</w:t>
      </w:r>
      <w:r w:rsidR="0073220A" w:rsidRPr="005319EA">
        <w:rPr>
          <w:sz w:val="20"/>
          <w:szCs w:val="20"/>
        </w:rPr>
        <w:t xml:space="preserve"> (Liberia v. South Africa)</w:t>
      </w:r>
      <w:r w:rsidR="002D2EE3" w:rsidRPr="005319EA">
        <w:rPr>
          <w:sz w:val="20"/>
          <w:szCs w:val="20"/>
        </w:rPr>
        <w:t>, Second Phase, Judgment, 1966 I.C.J. Rep. 6, ¶ 88 (July 18) [“South West Africa”].</w:t>
      </w:r>
    </w:p>
  </w:footnote>
  <w:footnote w:id="3">
    <w:p w14:paraId="4710EFB0" w14:textId="248F0414" w:rsidR="00E75258" w:rsidRPr="005319EA" w:rsidRDefault="00E75258" w:rsidP="001C756C">
      <w:pPr>
        <w:pStyle w:val="FootnoteText"/>
        <w:snapToGrid w:val="0"/>
        <w:jc w:val="both"/>
      </w:pPr>
      <w:r w:rsidRPr="005319EA">
        <w:rPr>
          <w:vertAlign w:val="superscript"/>
        </w:rPr>
        <w:footnoteRef/>
      </w:r>
      <w:r w:rsidRPr="005319EA">
        <w:rPr>
          <w:vertAlign w:val="superscript"/>
        </w:rPr>
        <w:t xml:space="preserve"> </w:t>
      </w:r>
      <w:r w:rsidR="002D2EE3" w:rsidRPr="005319EA">
        <w:t>Nottebohm (Liech. v. Guat.), Judgment, 1955 I.C.J. Rep. 4, at 11 (A</w:t>
      </w:r>
      <w:r w:rsidR="000F40F2" w:rsidRPr="005319EA">
        <w:t>pr</w:t>
      </w:r>
      <w:r w:rsidR="002D2EE3" w:rsidRPr="005319EA">
        <w:t xml:space="preserve">. 6) [“Nottebohm”]. </w:t>
      </w:r>
      <w:r w:rsidR="002D2EE3" w:rsidRPr="005319EA">
        <w:rPr>
          <w:i/>
          <w:iCs/>
        </w:rPr>
        <w:t>See also</w:t>
      </w:r>
      <w:r w:rsidR="002D2EE3" w:rsidRPr="005319EA">
        <w:t xml:space="preserve"> Barcelona Traction, Light and Power Company, (Belg. v. Spain), Judgment, 1970 I.C.J. Rep. 3, ¶ 46 (Feb. 5) [“Barcelona Traction”].</w:t>
      </w:r>
    </w:p>
  </w:footnote>
  <w:footnote w:id="4">
    <w:p w14:paraId="38D9A8CF" w14:textId="2984BFF4" w:rsidR="00967B40" w:rsidRPr="005319EA" w:rsidRDefault="00967B40" w:rsidP="001C756C">
      <w:pPr>
        <w:pBdr>
          <w:top w:val="nil"/>
          <w:left w:val="nil"/>
          <w:bottom w:val="nil"/>
          <w:right w:val="nil"/>
          <w:between w:val="nil"/>
        </w:pBdr>
        <w:snapToGrid w:val="0"/>
        <w:spacing w:before="0" w:after="0"/>
        <w:jc w:val="both"/>
        <w:rPr>
          <w:sz w:val="20"/>
          <w:szCs w:val="20"/>
          <w:lang w:val="it-IT"/>
        </w:rPr>
      </w:pPr>
      <w:r w:rsidRPr="005319EA">
        <w:rPr>
          <w:sz w:val="20"/>
          <w:szCs w:val="20"/>
          <w:vertAlign w:val="superscript"/>
        </w:rPr>
        <w:footnoteRef/>
      </w:r>
      <w:r w:rsidRPr="005319EA">
        <w:rPr>
          <w:sz w:val="20"/>
          <w:szCs w:val="20"/>
          <w:vertAlign w:val="superscript"/>
          <w:lang w:val="it-IT"/>
        </w:rPr>
        <w:t xml:space="preserve"> </w:t>
      </w:r>
      <w:r w:rsidR="002D2EE3" w:rsidRPr="005319EA">
        <w:rPr>
          <w:sz w:val="20"/>
          <w:szCs w:val="20"/>
          <w:lang w:val="it-IT"/>
        </w:rPr>
        <w:t xml:space="preserve">Nottebohm, </w:t>
      </w:r>
      <w:r w:rsidR="002D2EE3" w:rsidRPr="005319EA">
        <w:rPr>
          <w:i/>
          <w:iCs/>
          <w:sz w:val="20"/>
          <w:szCs w:val="20"/>
          <w:lang w:val="it-IT"/>
        </w:rPr>
        <w:t>supra</w:t>
      </w:r>
      <w:r w:rsidR="002D2EE3" w:rsidRPr="005319EA">
        <w:rPr>
          <w:sz w:val="20"/>
          <w:szCs w:val="20"/>
          <w:lang w:val="it-IT"/>
        </w:rPr>
        <w:t xml:space="preserve"> note 2</w:t>
      </w:r>
      <w:r w:rsidR="00E10E56" w:rsidRPr="005319EA">
        <w:rPr>
          <w:sz w:val="20"/>
          <w:szCs w:val="20"/>
          <w:lang w:val="it-IT"/>
        </w:rPr>
        <w:t>,</w:t>
      </w:r>
      <w:r w:rsidR="00692B2E" w:rsidRPr="005319EA">
        <w:rPr>
          <w:sz w:val="20"/>
          <w:szCs w:val="20"/>
          <w:lang w:val="it-IT"/>
        </w:rPr>
        <w:t xml:space="preserve"> 11. </w:t>
      </w:r>
    </w:p>
  </w:footnote>
  <w:footnote w:id="5">
    <w:p w14:paraId="112DD4C2" w14:textId="75BCA5C1" w:rsidR="00967B40" w:rsidRPr="005319EA" w:rsidRDefault="00967B40" w:rsidP="001C756C">
      <w:pPr>
        <w:pStyle w:val="FootnoteText"/>
        <w:snapToGrid w:val="0"/>
        <w:jc w:val="both"/>
      </w:pPr>
      <w:r w:rsidRPr="005319EA">
        <w:rPr>
          <w:vertAlign w:val="superscript"/>
        </w:rPr>
        <w:footnoteRef/>
      </w:r>
      <w:r w:rsidRPr="005319EA">
        <w:rPr>
          <w:lang w:val="it-IT"/>
        </w:rPr>
        <w:t xml:space="preserve"> </w:t>
      </w:r>
      <w:r w:rsidR="002D2EE3" w:rsidRPr="005319EA">
        <w:rPr>
          <w:lang w:val="it-IT"/>
        </w:rPr>
        <w:t xml:space="preserve">Compromis, </w:t>
      </w:r>
      <w:r w:rsidR="006D4DA0" w:rsidRPr="005319EA">
        <w:rPr>
          <w:lang w:val="it-IT"/>
        </w:rPr>
        <w:t>para</w:t>
      </w:r>
      <w:r w:rsidR="00414C40" w:rsidRPr="005319EA">
        <w:rPr>
          <w:lang w:val="it-IT"/>
        </w:rPr>
        <w:t>.</w:t>
      </w:r>
      <w:r w:rsidR="002D2EE3" w:rsidRPr="005319EA">
        <w:rPr>
          <w:lang w:val="it-IT"/>
        </w:rPr>
        <w:t xml:space="preserve"> </w:t>
      </w:r>
      <w:r w:rsidR="002D2EE3" w:rsidRPr="005319EA">
        <w:t>34.</w:t>
      </w:r>
    </w:p>
  </w:footnote>
  <w:footnote w:id="6">
    <w:p w14:paraId="6E35D236" w14:textId="69824ED7" w:rsidR="00E75258" w:rsidRPr="005319EA" w:rsidRDefault="00E75258" w:rsidP="001C756C">
      <w:pPr>
        <w:pStyle w:val="FootnoteText"/>
        <w:snapToGrid w:val="0"/>
        <w:jc w:val="both"/>
      </w:pPr>
      <w:r w:rsidRPr="005319EA">
        <w:rPr>
          <w:vertAlign w:val="superscript"/>
        </w:rPr>
        <w:footnoteRef/>
      </w:r>
      <w:r w:rsidRPr="005319EA">
        <w:t xml:space="preserve"> </w:t>
      </w:r>
      <w:r w:rsidR="002D2EE3" w:rsidRPr="005319EA">
        <w:t xml:space="preserve">South West Africa, </w:t>
      </w:r>
      <w:r w:rsidR="002D2EE3" w:rsidRPr="005319EA">
        <w:rPr>
          <w:i/>
          <w:iCs/>
        </w:rPr>
        <w:t xml:space="preserve">supra </w:t>
      </w:r>
      <w:r w:rsidR="002D2EE3" w:rsidRPr="005319EA">
        <w:t xml:space="preserve">note 1; William J. Aceves, </w:t>
      </w:r>
      <w:r w:rsidR="002D2EE3" w:rsidRPr="005319EA">
        <w:rPr>
          <w:i/>
          <w:iCs/>
        </w:rPr>
        <w:t>Actio Popularis - The Class Action in International Law</w:t>
      </w:r>
      <w:r w:rsidR="002D2EE3" w:rsidRPr="005319EA">
        <w:t xml:space="preserve">, 2003 </w:t>
      </w:r>
      <w:r w:rsidR="002D2EE3" w:rsidRPr="005319EA">
        <w:rPr>
          <w:smallCaps/>
        </w:rPr>
        <w:t>U. Chi. Legal F.</w:t>
      </w:r>
      <w:r w:rsidR="002D2EE3" w:rsidRPr="005319EA">
        <w:t xml:space="preserve"> </w:t>
      </w:r>
      <w:r w:rsidR="00692B2E" w:rsidRPr="005319EA">
        <w:t>356</w:t>
      </w:r>
      <w:r w:rsidR="002D2EE3" w:rsidRPr="005319EA">
        <w:t xml:space="preserve"> (2003).</w:t>
      </w:r>
    </w:p>
  </w:footnote>
  <w:footnote w:id="7">
    <w:p w14:paraId="55719289" w14:textId="14849BE3"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i/>
          <w:iCs/>
          <w:sz w:val="20"/>
          <w:szCs w:val="20"/>
        </w:rPr>
        <w:t>See</w:t>
      </w:r>
      <w:r w:rsidR="002D2EE3" w:rsidRPr="005319EA">
        <w:rPr>
          <w:sz w:val="20"/>
          <w:szCs w:val="20"/>
        </w:rPr>
        <w:t xml:space="preserve"> </w:t>
      </w:r>
      <w:bookmarkStart w:id="11" w:name="_Hlk155888211"/>
      <w:r w:rsidR="002D2EE3" w:rsidRPr="005319EA">
        <w:rPr>
          <w:sz w:val="20"/>
          <w:szCs w:val="20"/>
        </w:rPr>
        <w:t xml:space="preserve">Application of the Convention on the Prevention and Punishment of the Crime of Genocide (Gam. v. Myan.), </w:t>
      </w:r>
      <w:r w:rsidR="000F40F2" w:rsidRPr="005319EA">
        <w:rPr>
          <w:sz w:val="20"/>
          <w:szCs w:val="20"/>
        </w:rPr>
        <w:t>Preliminary Objections</w:t>
      </w:r>
      <w:r w:rsidR="002D2EE3" w:rsidRPr="005319EA">
        <w:rPr>
          <w:sz w:val="20"/>
          <w:szCs w:val="20"/>
        </w:rPr>
        <w:t>, 2020 I.C.J. Rep.</w:t>
      </w:r>
      <w:r w:rsidR="000F40F2" w:rsidRPr="005319EA">
        <w:rPr>
          <w:sz w:val="20"/>
          <w:szCs w:val="20"/>
        </w:rPr>
        <w:t xml:space="preserve"> 477</w:t>
      </w:r>
      <w:r w:rsidR="002D2EE3" w:rsidRPr="005319EA">
        <w:rPr>
          <w:sz w:val="20"/>
          <w:szCs w:val="20"/>
        </w:rPr>
        <w:t xml:space="preserve">, ¶ 41 (July 22) </w:t>
      </w:r>
      <w:r w:rsidR="000F40F2" w:rsidRPr="005319EA">
        <w:rPr>
          <w:sz w:val="20"/>
          <w:szCs w:val="20"/>
        </w:rPr>
        <w:t>[</w:t>
      </w:r>
      <w:r w:rsidR="002D2EE3" w:rsidRPr="005319EA">
        <w:rPr>
          <w:sz w:val="20"/>
          <w:szCs w:val="20"/>
        </w:rPr>
        <w:t>“Application of Genocide Convention”</w:t>
      </w:r>
      <w:r w:rsidR="000F40F2" w:rsidRPr="005319EA">
        <w:rPr>
          <w:sz w:val="20"/>
          <w:szCs w:val="20"/>
        </w:rPr>
        <w:t>]</w:t>
      </w:r>
      <w:bookmarkEnd w:id="11"/>
      <w:r w:rsidR="002D2EE3" w:rsidRPr="005319EA">
        <w:rPr>
          <w:sz w:val="20"/>
          <w:szCs w:val="20"/>
        </w:rPr>
        <w:t xml:space="preserve">; Questions Relating to the Obligation to Prosecute or Extradite (Belg. v. Sen.), Judgment, 2012 I.C.J. Rep. 422, ¶ 68 (July 20) </w:t>
      </w:r>
      <w:r w:rsidR="004C18BC" w:rsidRPr="005319EA">
        <w:rPr>
          <w:sz w:val="20"/>
          <w:szCs w:val="20"/>
        </w:rPr>
        <w:t>[</w:t>
      </w:r>
      <w:r w:rsidR="002D2EE3" w:rsidRPr="005319EA">
        <w:rPr>
          <w:sz w:val="20"/>
          <w:szCs w:val="20"/>
        </w:rPr>
        <w:t>“Obligation to Prosecute or Extradite”</w:t>
      </w:r>
      <w:r w:rsidR="004C18BC" w:rsidRPr="005319EA">
        <w:rPr>
          <w:sz w:val="20"/>
          <w:szCs w:val="20"/>
        </w:rPr>
        <w:t>]</w:t>
      </w:r>
      <w:r w:rsidR="002D2EE3" w:rsidRPr="005319EA">
        <w:rPr>
          <w:sz w:val="20"/>
          <w:szCs w:val="20"/>
        </w:rPr>
        <w:t xml:space="preserve">; Barcelona Traction, </w:t>
      </w:r>
      <w:r w:rsidR="002D2EE3" w:rsidRPr="005319EA">
        <w:rPr>
          <w:i/>
          <w:iCs/>
          <w:sz w:val="20"/>
          <w:szCs w:val="20"/>
        </w:rPr>
        <w:t xml:space="preserve">supra </w:t>
      </w:r>
      <w:r w:rsidR="002D2EE3" w:rsidRPr="005319EA">
        <w:rPr>
          <w:sz w:val="20"/>
          <w:szCs w:val="20"/>
        </w:rPr>
        <w:t xml:space="preserve">note 2, ¶ </w:t>
      </w:r>
      <w:r w:rsidR="000E1CC1" w:rsidRPr="005319EA">
        <w:rPr>
          <w:sz w:val="20"/>
          <w:szCs w:val="20"/>
        </w:rPr>
        <w:t>68</w:t>
      </w:r>
      <w:r w:rsidR="002D2EE3" w:rsidRPr="005319EA">
        <w:rPr>
          <w:sz w:val="20"/>
          <w:szCs w:val="20"/>
        </w:rPr>
        <w:t>.</w:t>
      </w:r>
    </w:p>
  </w:footnote>
  <w:footnote w:id="8">
    <w:p w14:paraId="010F65FE" w14:textId="40A4D9C4"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sz w:val="20"/>
          <w:szCs w:val="20"/>
        </w:rPr>
        <w:t xml:space="preserve">Barcelona Traction, </w:t>
      </w:r>
      <w:r w:rsidR="002D2EE3" w:rsidRPr="005319EA">
        <w:rPr>
          <w:i/>
          <w:iCs/>
          <w:sz w:val="20"/>
          <w:szCs w:val="20"/>
        </w:rPr>
        <w:t xml:space="preserve">supra </w:t>
      </w:r>
      <w:r w:rsidR="002D2EE3" w:rsidRPr="005319EA">
        <w:rPr>
          <w:sz w:val="20"/>
          <w:szCs w:val="20"/>
        </w:rPr>
        <w:t>note 2, ¶ 68.</w:t>
      </w:r>
    </w:p>
  </w:footnote>
  <w:footnote w:id="9">
    <w:p w14:paraId="46C87B0B" w14:textId="34F073DD"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0F40F2" w:rsidRPr="005319EA">
        <w:rPr>
          <w:sz w:val="20"/>
          <w:szCs w:val="20"/>
        </w:rPr>
        <w:t>G.A. Res. 56/83, Articles on the Responsibility of States for Internationally Wrongful Acts, art. 42(b)(ii)</w:t>
      </w:r>
      <w:r w:rsidR="009525F3" w:rsidRPr="005319EA">
        <w:rPr>
          <w:sz w:val="20"/>
          <w:szCs w:val="20"/>
        </w:rPr>
        <w:t xml:space="preserve"> </w:t>
      </w:r>
      <w:r w:rsidR="000F40F2" w:rsidRPr="005319EA">
        <w:rPr>
          <w:sz w:val="20"/>
          <w:szCs w:val="20"/>
        </w:rPr>
        <w:t xml:space="preserve">(Jan. 28, 2002) </w:t>
      </w:r>
      <w:r w:rsidR="002D2EE3" w:rsidRPr="005319EA">
        <w:rPr>
          <w:sz w:val="20"/>
          <w:szCs w:val="20"/>
        </w:rPr>
        <w:t>[“</w:t>
      </w:r>
      <w:r w:rsidR="00135C9B" w:rsidRPr="005319EA">
        <w:rPr>
          <w:sz w:val="20"/>
          <w:szCs w:val="20"/>
        </w:rPr>
        <w:t>(</w:t>
      </w:r>
      <w:r w:rsidR="004527A7" w:rsidRPr="005319EA">
        <w:rPr>
          <w:sz w:val="20"/>
          <w:szCs w:val="20"/>
        </w:rPr>
        <w:t>D</w:t>
      </w:r>
      <w:r w:rsidR="00135C9B" w:rsidRPr="005319EA">
        <w:rPr>
          <w:sz w:val="20"/>
          <w:szCs w:val="20"/>
        </w:rPr>
        <w:t>)</w:t>
      </w:r>
      <w:r w:rsidR="004527A7" w:rsidRPr="005319EA">
        <w:rPr>
          <w:sz w:val="20"/>
          <w:szCs w:val="20"/>
        </w:rPr>
        <w:t>ARSIWA</w:t>
      </w:r>
      <w:r w:rsidR="002D2EE3" w:rsidRPr="005319EA">
        <w:rPr>
          <w:sz w:val="20"/>
          <w:szCs w:val="20"/>
        </w:rPr>
        <w:t>”].</w:t>
      </w:r>
    </w:p>
  </w:footnote>
  <w:footnote w:id="10">
    <w:p w14:paraId="25EB5887" w14:textId="317740E3" w:rsidR="001B7AAB" w:rsidRPr="005319EA" w:rsidRDefault="001B7AAB" w:rsidP="001C756C">
      <w:pPr>
        <w:pStyle w:val="FootnoteText"/>
        <w:snapToGrid w:val="0"/>
        <w:jc w:val="both"/>
      </w:pPr>
      <w:r w:rsidRPr="005319EA">
        <w:rPr>
          <w:vertAlign w:val="superscript"/>
        </w:rPr>
        <w:footnoteRef/>
      </w:r>
      <w:r w:rsidRPr="005319EA">
        <w:rPr>
          <w:vertAlign w:val="superscript"/>
        </w:rPr>
        <w:t xml:space="preserve"> </w:t>
      </w:r>
      <w:r w:rsidR="002D2EE3" w:rsidRPr="005319EA">
        <w:rPr>
          <w:i/>
          <w:iCs/>
        </w:rPr>
        <w:t>Id.</w:t>
      </w:r>
      <w:r w:rsidR="002D2EE3" w:rsidRPr="005319EA">
        <w:t xml:space="preserve">; </w:t>
      </w:r>
      <w:r w:rsidR="009525F3" w:rsidRPr="005319EA">
        <w:t>Int’l L. Comm’n,</w:t>
      </w:r>
      <w:r w:rsidR="000F40F2" w:rsidRPr="005319EA">
        <w:t xml:space="preserve"> Draft Articles on Responsibility of States for Internationally Wrongful Acts with</w:t>
      </w:r>
      <w:r w:rsidR="000E102A" w:rsidRPr="005319EA">
        <w:t xml:space="preserve"> </w:t>
      </w:r>
      <w:r w:rsidR="000F40F2" w:rsidRPr="005319EA">
        <w:t>Commentaries, art. 42(b)(ii), 2 Y.B. Int’l Law Comm’n 31</w:t>
      </w:r>
      <w:r w:rsidR="000E102A" w:rsidRPr="005319EA">
        <w:t>,</w:t>
      </w:r>
      <w:r w:rsidR="000F40F2" w:rsidRPr="005319EA">
        <w:t xml:space="preserve"> </w:t>
      </w:r>
      <w:r w:rsidR="00414C40" w:rsidRPr="005319EA">
        <w:t>para.</w:t>
      </w:r>
      <w:r w:rsidR="000F40F2" w:rsidRPr="005319EA">
        <w:t xml:space="preserve"> 15 (</w:t>
      </w:r>
      <w:r w:rsidR="000E102A" w:rsidRPr="005319EA">
        <w:t>2</w:t>
      </w:r>
      <w:r w:rsidR="000F40F2" w:rsidRPr="005319EA">
        <w:t>00</w:t>
      </w:r>
      <w:r w:rsidR="000E102A" w:rsidRPr="005319EA">
        <w:t>1</w:t>
      </w:r>
      <w:r w:rsidR="000F40F2" w:rsidRPr="005319EA">
        <w:t>)</w:t>
      </w:r>
      <w:r w:rsidR="002D2EE3" w:rsidRPr="005319EA">
        <w:t xml:space="preserve"> [“</w:t>
      </w:r>
      <w:r w:rsidR="00414C40" w:rsidRPr="005319EA">
        <w:t>(</w:t>
      </w:r>
      <w:r w:rsidR="004527A7" w:rsidRPr="005319EA">
        <w:t>D</w:t>
      </w:r>
      <w:r w:rsidR="00414C40" w:rsidRPr="005319EA">
        <w:t>)</w:t>
      </w:r>
      <w:r w:rsidR="004527A7" w:rsidRPr="005319EA">
        <w:t>ARSIWA Commentaries</w:t>
      </w:r>
      <w:r w:rsidR="002D2EE3" w:rsidRPr="005319EA">
        <w:t>”].</w:t>
      </w:r>
    </w:p>
  </w:footnote>
  <w:footnote w:id="11">
    <w:p w14:paraId="14253090" w14:textId="64C4AC82"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i/>
          <w:iCs/>
          <w:sz w:val="20"/>
          <w:szCs w:val="20"/>
        </w:rPr>
        <w:t>See</w:t>
      </w:r>
      <w:r w:rsidR="002D2EE3" w:rsidRPr="005319EA">
        <w:rPr>
          <w:sz w:val="20"/>
          <w:szCs w:val="20"/>
        </w:rPr>
        <w:t xml:space="preserve"> Obligation to Prosecute or Extradite, </w:t>
      </w:r>
      <w:r w:rsidR="002D2EE3" w:rsidRPr="005319EA">
        <w:rPr>
          <w:i/>
          <w:iCs/>
          <w:sz w:val="20"/>
          <w:szCs w:val="20"/>
        </w:rPr>
        <w:t>supra</w:t>
      </w:r>
      <w:r w:rsidR="002D2EE3" w:rsidRPr="005319EA">
        <w:rPr>
          <w:sz w:val="20"/>
          <w:szCs w:val="20"/>
        </w:rPr>
        <w:t xml:space="preserve"> note 6</w:t>
      </w:r>
      <w:r w:rsidR="003644D6" w:rsidRPr="005319EA">
        <w:rPr>
          <w:sz w:val="20"/>
          <w:szCs w:val="20"/>
        </w:rPr>
        <w:t>;</w:t>
      </w:r>
      <w:r w:rsidR="002D2EE3" w:rsidRPr="005319EA">
        <w:rPr>
          <w:sz w:val="20"/>
          <w:szCs w:val="20"/>
        </w:rPr>
        <w:t xml:space="preserve"> </w:t>
      </w:r>
      <w:r w:rsidR="002D2EE3" w:rsidRPr="005319EA">
        <w:rPr>
          <w:i/>
          <w:iCs/>
          <w:sz w:val="20"/>
          <w:szCs w:val="20"/>
        </w:rPr>
        <w:t xml:space="preserve">See </w:t>
      </w:r>
      <w:r w:rsidR="002D2EE3" w:rsidRPr="005319EA">
        <w:rPr>
          <w:sz w:val="20"/>
          <w:szCs w:val="20"/>
        </w:rPr>
        <w:t xml:space="preserve">Application of Genocide Convention, </w:t>
      </w:r>
      <w:r w:rsidR="002D2EE3" w:rsidRPr="005319EA">
        <w:rPr>
          <w:i/>
          <w:iCs/>
          <w:sz w:val="20"/>
          <w:szCs w:val="20"/>
        </w:rPr>
        <w:t xml:space="preserve">supra </w:t>
      </w:r>
      <w:r w:rsidR="002D2EE3" w:rsidRPr="005319EA">
        <w:rPr>
          <w:sz w:val="20"/>
          <w:szCs w:val="20"/>
        </w:rPr>
        <w:t xml:space="preserve">note 6, </w:t>
      </w:r>
      <w:r w:rsidR="00E10E56" w:rsidRPr="005319EA">
        <w:rPr>
          <w:sz w:val="20"/>
          <w:szCs w:val="20"/>
        </w:rPr>
        <w:t>¶¶</w:t>
      </w:r>
      <w:r w:rsidR="002D2EE3" w:rsidRPr="005319EA">
        <w:rPr>
          <w:sz w:val="20"/>
          <w:szCs w:val="20"/>
        </w:rPr>
        <w:t xml:space="preserve"> 111-12; Reservations to the Convention on the Prevention and Punishment of the Crime of Genocide, Advisory Opinion, 1951 I.C.J. Rep. </w:t>
      </w:r>
      <w:r w:rsidR="009A57F7" w:rsidRPr="005319EA">
        <w:rPr>
          <w:sz w:val="20"/>
          <w:szCs w:val="20"/>
        </w:rPr>
        <w:t xml:space="preserve">15, </w:t>
      </w:r>
      <w:r w:rsidR="002D2EE3" w:rsidRPr="005319EA">
        <w:rPr>
          <w:sz w:val="20"/>
          <w:szCs w:val="20"/>
        </w:rPr>
        <w:t>2</w:t>
      </w:r>
      <w:r w:rsidR="004527A7" w:rsidRPr="005319EA">
        <w:rPr>
          <w:sz w:val="20"/>
          <w:szCs w:val="20"/>
        </w:rPr>
        <w:t>2</w:t>
      </w:r>
      <w:r w:rsidR="009A57F7" w:rsidRPr="005319EA">
        <w:rPr>
          <w:sz w:val="20"/>
          <w:szCs w:val="20"/>
        </w:rPr>
        <w:t xml:space="preserve"> </w:t>
      </w:r>
      <w:r w:rsidR="002D2EE3" w:rsidRPr="005319EA">
        <w:rPr>
          <w:sz w:val="20"/>
          <w:szCs w:val="20"/>
        </w:rPr>
        <w:t>(May 28) [“Reservations to the Convention Advisory Opinion”].</w:t>
      </w:r>
    </w:p>
  </w:footnote>
  <w:footnote w:id="12">
    <w:p w14:paraId="71C4C1E7" w14:textId="3BF20E75"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2D2EE3" w:rsidRPr="005319EA">
        <w:rPr>
          <w:i/>
          <w:iCs/>
          <w:sz w:val="20"/>
          <w:szCs w:val="20"/>
        </w:rPr>
        <w:t xml:space="preserve">See </w:t>
      </w:r>
      <w:r w:rsidR="002D2EE3" w:rsidRPr="005319EA">
        <w:rPr>
          <w:sz w:val="20"/>
          <w:szCs w:val="20"/>
        </w:rPr>
        <w:t xml:space="preserve">Obligation to Prosecute or Extradite, </w:t>
      </w:r>
      <w:r w:rsidR="002D2EE3" w:rsidRPr="005319EA">
        <w:rPr>
          <w:i/>
          <w:iCs/>
          <w:sz w:val="20"/>
          <w:szCs w:val="20"/>
        </w:rPr>
        <w:t>supra</w:t>
      </w:r>
      <w:r w:rsidR="002D2EE3" w:rsidRPr="005319EA">
        <w:rPr>
          <w:sz w:val="20"/>
          <w:szCs w:val="20"/>
        </w:rPr>
        <w:t xml:space="preserve"> note 6</w:t>
      </w:r>
      <w:r w:rsidR="00236414" w:rsidRPr="005319EA">
        <w:rPr>
          <w:sz w:val="20"/>
          <w:szCs w:val="20"/>
        </w:rPr>
        <w:t>,</w:t>
      </w:r>
      <w:r w:rsidR="000E102A" w:rsidRPr="005319EA">
        <w:rPr>
          <w:sz w:val="20"/>
          <w:szCs w:val="20"/>
        </w:rPr>
        <w:t xml:space="preserve"> </w:t>
      </w:r>
      <w:r w:rsidR="00554A34" w:rsidRPr="005319EA">
        <w:rPr>
          <w:sz w:val="20"/>
          <w:szCs w:val="20"/>
        </w:rPr>
        <w:t>¶ 68</w:t>
      </w:r>
      <w:r w:rsidR="002D2EE3" w:rsidRPr="005319EA">
        <w:rPr>
          <w:sz w:val="20"/>
          <w:szCs w:val="20"/>
        </w:rPr>
        <w:t xml:space="preserve">. </w:t>
      </w:r>
      <w:r w:rsidR="002D2EE3" w:rsidRPr="005319EA">
        <w:rPr>
          <w:i/>
          <w:iCs/>
          <w:sz w:val="20"/>
          <w:szCs w:val="20"/>
        </w:rPr>
        <w:t>See also</w:t>
      </w:r>
      <w:r w:rsidR="002D2EE3" w:rsidRPr="005319EA">
        <w:rPr>
          <w:sz w:val="20"/>
          <w:szCs w:val="20"/>
        </w:rPr>
        <w:t xml:space="preserve"> Reservations to the Convention Advisory Opinion, </w:t>
      </w:r>
      <w:r w:rsidR="002D2EE3" w:rsidRPr="005319EA">
        <w:rPr>
          <w:i/>
          <w:iCs/>
          <w:sz w:val="20"/>
          <w:szCs w:val="20"/>
        </w:rPr>
        <w:t>supra</w:t>
      </w:r>
      <w:r w:rsidR="002D2EE3" w:rsidRPr="005319EA">
        <w:rPr>
          <w:sz w:val="20"/>
          <w:szCs w:val="20"/>
        </w:rPr>
        <w:t xml:space="preserve"> note 10, </w:t>
      </w:r>
      <w:r w:rsidR="00236414" w:rsidRPr="005319EA">
        <w:rPr>
          <w:sz w:val="20"/>
          <w:szCs w:val="20"/>
        </w:rPr>
        <w:t xml:space="preserve">¶ </w:t>
      </w:r>
      <w:r w:rsidR="004527A7" w:rsidRPr="005319EA">
        <w:rPr>
          <w:sz w:val="20"/>
          <w:szCs w:val="20"/>
        </w:rPr>
        <w:t>23</w:t>
      </w:r>
      <w:r w:rsidR="003644D6" w:rsidRPr="005319EA">
        <w:rPr>
          <w:sz w:val="20"/>
          <w:szCs w:val="20"/>
        </w:rPr>
        <w:t>.</w:t>
      </w:r>
    </w:p>
  </w:footnote>
  <w:footnote w:id="13">
    <w:p w14:paraId="244FA099" w14:textId="3A3CC4A6" w:rsidR="00967B40" w:rsidRPr="005319EA" w:rsidRDefault="00967B40" w:rsidP="001C756C">
      <w:pPr>
        <w:pStyle w:val="FootnoteText"/>
        <w:snapToGrid w:val="0"/>
        <w:jc w:val="both"/>
      </w:pPr>
      <w:r w:rsidRPr="005319EA">
        <w:rPr>
          <w:vertAlign w:val="superscript"/>
        </w:rPr>
        <w:footnoteRef/>
      </w:r>
      <w:r w:rsidRPr="005319EA">
        <w:t xml:space="preserve"> </w:t>
      </w:r>
      <w:r w:rsidR="002D2EE3" w:rsidRPr="005319EA">
        <w:t xml:space="preserve">Obligation to Prosecute or Extradite, </w:t>
      </w:r>
      <w:r w:rsidR="002D2EE3" w:rsidRPr="005319EA">
        <w:rPr>
          <w:i/>
          <w:iCs/>
        </w:rPr>
        <w:t>supra</w:t>
      </w:r>
      <w:r w:rsidR="002D2EE3" w:rsidRPr="005319EA">
        <w:t xml:space="preserve"> note 6</w:t>
      </w:r>
      <w:r w:rsidR="00E10E56" w:rsidRPr="005319EA">
        <w:t>,</w:t>
      </w:r>
      <w:r w:rsidR="00FF68B7" w:rsidRPr="005319EA">
        <w:t xml:space="preserve"> ¶ 68</w:t>
      </w:r>
      <w:r w:rsidR="002D2EE3" w:rsidRPr="005319EA">
        <w:t>.</w:t>
      </w:r>
    </w:p>
  </w:footnote>
  <w:footnote w:id="14">
    <w:p w14:paraId="1DD0D3CB" w14:textId="133F0652" w:rsidR="00967B40" w:rsidRPr="005319EA" w:rsidRDefault="00967B40" w:rsidP="001C756C">
      <w:pPr>
        <w:pStyle w:val="FootnoteText"/>
        <w:snapToGrid w:val="0"/>
        <w:jc w:val="both"/>
      </w:pPr>
      <w:r w:rsidRPr="005319EA">
        <w:rPr>
          <w:vertAlign w:val="superscript"/>
        </w:rPr>
        <w:footnoteRef/>
      </w:r>
      <w:r w:rsidRPr="005319EA">
        <w:rPr>
          <w:vertAlign w:val="superscript"/>
        </w:rPr>
        <w:t xml:space="preserve"> </w:t>
      </w:r>
      <w:r w:rsidR="002D2EE3" w:rsidRPr="005319EA">
        <w:rPr>
          <w:i/>
          <w:iCs/>
        </w:rPr>
        <w:t>Id</w:t>
      </w:r>
      <w:r w:rsidR="009A57F7" w:rsidRPr="005319EA">
        <w:rPr>
          <w:i/>
          <w:iCs/>
        </w:rPr>
        <w:t>.</w:t>
      </w:r>
    </w:p>
  </w:footnote>
  <w:footnote w:id="15">
    <w:p w14:paraId="6F59CDC9" w14:textId="7E63581E"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i/>
          <w:iCs/>
          <w:sz w:val="20"/>
          <w:szCs w:val="20"/>
        </w:rPr>
        <w:t>Id.</w:t>
      </w:r>
    </w:p>
  </w:footnote>
  <w:footnote w:id="16">
    <w:p w14:paraId="63389D51" w14:textId="27B7866B" w:rsidR="00967B40" w:rsidRPr="005319EA" w:rsidRDefault="00967B40" w:rsidP="001C756C">
      <w:pPr>
        <w:pStyle w:val="FootnoteText"/>
        <w:snapToGrid w:val="0"/>
        <w:jc w:val="both"/>
      </w:pPr>
      <w:r w:rsidRPr="005319EA">
        <w:rPr>
          <w:vertAlign w:val="superscript"/>
        </w:rPr>
        <w:footnoteRef/>
      </w:r>
      <w:r w:rsidRPr="005319EA">
        <w:rPr>
          <w:vertAlign w:val="superscript"/>
        </w:rPr>
        <w:t xml:space="preserve"> </w:t>
      </w:r>
      <w:r w:rsidR="002D2EE3" w:rsidRPr="005319EA">
        <w:t>Vienna Convention on the Law of Treaties art. 31, May 23, 1969, 1155 U.N.T.S. 331 [“VCLT”].</w:t>
      </w:r>
    </w:p>
  </w:footnote>
  <w:footnote w:id="17">
    <w:p w14:paraId="7FE4270F" w14:textId="2638E973"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sz w:val="20"/>
          <w:szCs w:val="20"/>
        </w:rPr>
        <w:t xml:space="preserve">Compromis, </w:t>
      </w:r>
      <w:r w:rsidR="000E102A" w:rsidRPr="005319EA">
        <w:rPr>
          <w:sz w:val="20"/>
          <w:szCs w:val="20"/>
        </w:rPr>
        <w:t>para.</w:t>
      </w:r>
      <w:r w:rsidR="002D2EE3" w:rsidRPr="005319EA">
        <w:rPr>
          <w:sz w:val="20"/>
          <w:szCs w:val="20"/>
        </w:rPr>
        <w:t xml:space="preserve"> 62.</w:t>
      </w:r>
    </w:p>
  </w:footnote>
  <w:footnote w:id="18">
    <w:p w14:paraId="6EBB7464" w14:textId="14F0FF67" w:rsidR="00967B40" w:rsidRPr="005319EA" w:rsidRDefault="00967B40" w:rsidP="001C756C">
      <w:pPr>
        <w:pStyle w:val="FootnoteText"/>
        <w:snapToGrid w:val="0"/>
        <w:jc w:val="both"/>
      </w:pPr>
      <w:r w:rsidRPr="005319EA">
        <w:rPr>
          <w:vertAlign w:val="superscript"/>
        </w:rPr>
        <w:footnoteRef/>
      </w:r>
      <w:r w:rsidRPr="005319EA">
        <w:t xml:space="preserve"> </w:t>
      </w:r>
      <w:r w:rsidR="002D2EE3" w:rsidRPr="005319EA">
        <w:rPr>
          <w:i/>
          <w:iCs/>
        </w:rPr>
        <w:t>See</w:t>
      </w:r>
      <w:r w:rsidR="002D2EE3" w:rsidRPr="005319EA">
        <w:t xml:space="preserve"> Convention on the Reduction of Statelessness</w:t>
      </w:r>
      <w:r w:rsidR="000E102A" w:rsidRPr="005319EA">
        <w:t>,</w:t>
      </w:r>
      <w:r w:rsidR="002D2EE3" w:rsidRPr="005319EA">
        <w:t xml:space="preserve"> art</w:t>
      </w:r>
      <w:r w:rsidR="000E102A" w:rsidRPr="005319EA">
        <w:t>s</w:t>
      </w:r>
      <w:r w:rsidR="002D2EE3" w:rsidRPr="005319EA">
        <w:t xml:space="preserve">. 8(3)(a)(ii) &amp; 8(3)(b), </w:t>
      </w:r>
      <w:bookmarkStart w:id="13" w:name="_Hlk155888901"/>
      <w:r w:rsidR="002D2EE3" w:rsidRPr="005319EA">
        <w:t>Aug. 30, 1961, 989 U.N.T.S. 175</w:t>
      </w:r>
      <w:r w:rsidR="000E102A" w:rsidRPr="005319EA">
        <w:t xml:space="preserve"> [“CRS”]</w:t>
      </w:r>
      <w:bookmarkEnd w:id="13"/>
      <w:r w:rsidR="002D2EE3" w:rsidRPr="005319EA">
        <w:t>.</w:t>
      </w:r>
    </w:p>
  </w:footnote>
  <w:footnote w:id="19">
    <w:p w14:paraId="286D099B" w14:textId="6715DBD7"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C3330C" w:rsidRPr="005319EA">
        <w:rPr>
          <w:i/>
          <w:iCs/>
          <w:sz w:val="20"/>
          <w:szCs w:val="20"/>
        </w:rPr>
        <w:t xml:space="preserve">Id. </w:t>
      </w:r>
      <w:bookmarkStart w:id="16" w:name="_Hlk155888885"/>
      <w:r w:rsidR="00C3330C" w:rsidRPr="005319EA">
        <w:rPr>
          <w:sz w:val="20"/>
          <w:szCs w:val="20"/>
        </w:rPr>
        <w:t>pmbl</w:t>
      </w:r>
      <w:bookmarkEnd w:id="16"/>
      <w:r w:rsidR="00C3330C" w:rsidRPr="005319EA">
        <w:rPr>
          <w:sz w:val="20"/>
          <w:szCs w:val="20"/>
        </w:rPr>
        <w:t>.</w:t>
      </w:r>
    </w:p>
  </w:footnote>
  <w:footnote w:id="20">
    <w:p w14:paraId="0EBA0CC6" w14:textId="064490EB" w:rsidR="00434E97" w:rsidRPr="005319EA" w:rsidRDefault="004617F8" w:rsidP="001C756C">
      <w:pPr>
        <w:pStyle w:val="FootnoteText"/>
        <w:snapToGrid w:val="0"/>
        <w:jc w:val="both"/>
      </w:pPr>
      <w:r w:rsidRPr="005319EA">
        <w:rPr>
          <w:vertAlign w:val="superscript"/>
        </w:rPr>
        <w:footnoteRef/>
      </w:r>
      <w:r w:rsidRPr="005319EA">
        <w:t xml:space="preserve"> </w:t>
      </w:r>
      <w:r w:rsidR="00C3330C" w:rsidRPr="005319EA">
        <w:rPr>
          <w:i/>
          <w:iCs/>
        </w:rPr>
        <w:t>Id.</w:t>
      </w:r>
      <w:r w:rsidR="00C3330C" w:rsidRPr="005319EA">
        <w:t xml:space="preserve"> art. 8(3)(a)(ii), 8(3)(b) (1961).</w:t>
      </w:r>
    </w:p>
  </w:footnote>
  <w:footnote w:id="21">
    <w:p w14:paraId="186D79C4" w14:textId="0B0A6DC8" w:rsidR="004617F8" w:rsidRPr="005319EA" w:rsidRDefault="004617F8" w:rsidP="001C756C">
      <w:pPr>
        <w:pStyle w:val="FootnoteText"/>
        <w:snapToGrid w:val="0"/>
        <w:jc w:val="both"/>
      </w:pPr>
      <w:r w:rsidRPr="005319EA">
        <w:rPr>
          <w:vertAlign w:val="superscript"/>
        </w:rPr>
        <w:footnoteRef/>
      </w:r>
      <w:r w:rsidRPr="005319EA">
        <w:t xml:space="preserve"> </w:t>
      </w:r>
      <w:r w:rsidR="00C3330C" w:rsidRPr="005319EA">
        <w:rPr>
          <w:i/>
          <w:iCs/>
        </w:rPr>
        <w:t>Id.</w:t>
      </w:r>
      <w:r w:rsidR="00C3330C" w:rsidRPr="005319EA">
        <w:t xml:space="preserve"> art. 8; </w:t>
      </w:r>
      <w:r w:rsidR="00C3330C" w:rsidRPr="005319EA">
        <w:rPr>
          <w:i/>
          <w:iCs/>
        </w:rPr>
        <w:t>See</w:t>
      </w:r>
      <w:r w:rsidR="00C3330C" w:rsidRPr="005319EA">
        <w:t xml:space="preserve"> </w:t>
      </w:r>
      <w:r w:rsidR="00C3330C" w:rsidRPr="005319EA">
        <w:rPr>
          <w:i/>
          <w:iCs/>
        </w:rPr>
        <w:t>infra</w:t>
      </w:r>
      <w:r w:rsidR="00C3330C" w:rsidRPr="005319EA">
        <w:t xml:space="preserve"> II(A)(2).</w:t>
      </w:r>
    </w:p>
  </w:footnote>
  <w:footnote w:id="22">
    <w:p w14:paraId="59ED48BD" w14:textId="241A62C2" w:rsidR="0029005F" w:rsidRPr="005319EA" w:rsidRDefault="0029005F" w:rsidP="001C756C">
      <w:pPr>
        <w:pStyle w:val="FootnoteText"/>
        <w:snapToGrid w:val="0"/>
        <w:jc w:val="both"/>
      </w:pPr>
      <w:r w:rsidRPr="005319EA">
        <w:rPr>
          <w:vertAlign w:val="superscript"/>
        </w:rPr>
        <w:footnoteRef/>
      </w:r>
      <w:r w:rsidRPr="005319EA">
        <w:t xml:space="preserve"> </w:t>
      </w:r>
      <w:r w:rsidR="002D2EE3" w:rsidRPr="005319EA">
        <w:t xml:space="preserve">VCLT, </w:t>
      </w:r>
      <w:r w:rsidR="002D2EE3" w:rsidRPr="005319EA">
        <w:rPr>
          <w:i/>
          <w:iCs/>
        </w:rPr>
        <w:t xml:space="preserve">supra </w:t>
      </w:r>
      <w:r w:rsidR="002D2EE3" w:rsidRPr="005319EA">
        <w:t>note 15, art. 33.</w:t>
      </w:r>
    </w:p>
  </w:footnote>
  <w:footnote w:id="23">
    <w:p w14:paraId="26CECF6C" w14:textId="3C9A662F" w:rsidR="00F77716" w:rsidRPr="005319EA" w:rsidRDefault="00F77716" w:rsidP="001C756C">
      <w:pPr>
        <w:pStyle w:val="FootnoteText"/>
        <w:snapToGrid w:val="0"/>
        <w:jc w:val="both"/>
      </w:pPr>
      <w:r w:rsidRPr="005319EA">
        <w:rPr>
          <w:vertAlign w:val="superscript"/>
        </w:rPr>
        <w:footnoteRef/>
      </w:r>
      <w:r w:rsidRPr="005319EA">
        <w:rPr>
          <w:vertAlign w:val="superscript"/>
        </w:rPr>
        <w:t xml:space="preserve"> </w:t>
      </w:r>
      <w:r w:rsidR="002D2EE3" w:rsidRPr="005319EA">
        <w:t xml:space="preserve">Draft Convention on the Reduction of Future Statelessness, 2 Y.B. Int’l Law Comm’n 143, 147, </w:t>
      </w:r>
      <w:r w:rsidR="000E52BB" w:rsidRPr="005319EA">
        <w:t>para.</w:t>
      </w:r>
      <w:r w:rsidR="002D2EE3" w:rsidRPr="005319EA">
        <w:t xml:space="preserve"> 29 (1954).</w:t>
      </w:r>
    </w:p>
  </w:footnote>
  <w:footnote w:id="24">
    <w:p w14:paraId="0E62B451" w14:textId="2E32174C" w:rsidR="004617F8" w:rsidRPr="005319EA" w:rsidRDefault="004617F8" w:rsidP="001C756C">
      <w:pPr>
        <w:pStyle w:val="FootnoteText"/>
        <w:snapToGrid w:val="0"/>
        <w:jc w:val="both"/>
      </w:pPr>
      <w:r w:rsidRPr="005319EA">
        <w:rPr>
          <w:vertAlign w:val="superscript"/>
        </w:rPr>
        <w:footnoteRef/>
      </w:r>
      <w:r w:rsidRPr="005319EA">
        <w:t xml:space="preserve"> </w:t>
      </w:r>
      <w:r w:rsidR="008A3CB7" w:rsidRPr="005319EA">
        <w:rPr>
          <w:i/>
          <w:iCs/>
        </w:rPr>
        <w:t xml:space="preserve">See </w:t>
      </w:r>
      <w:r w:rsidR="008A3CB7" w:rsidRPr="005319EA">
        <w:t xml:space="preserve">CRS, </w:t>
      </w:r>
      <w:r w:rsidR="00750D64" w:rsidRPr="005319EA">
        <w:rPr>
          <w:i/>
          <w:iCs/>
        </w:rPr>
        <w:t xml:space="preserve">supra </w:t>
      </w:r>
      <w:r w:rsidR="00750D64" w:rsidRPr="005319EA">
        <w:t>note</w:t>
      </w:r>
      <w:r w:rsidR="008A3CB7" w:rsidRPr="005319EA">
        <w:t xml:space="preserve"> </w:t>
      </w:r>
      <w:r w:rsidR="000E52BB" w:rsidRPr="005319EA">
        <w:t>17</w:t>
      </w:r>
      <w:r w:rsidR="00E10E56" w:rsidRPr="005319EA">
        <w:t>,</w:t>
      </w:r>
      <w:r w:rsidR="000E52BB" w:rsidRPr="005319EA">
        <w:t xml:space="preserve"> </w:t>
      </w:r>
      <w:r w:rsidR="008A3CB7" w:rsidRPr="005319EA">
        <w:t xml:space="preserve">at art. 8(3)(a)(ii). </w:t>
      </w:r>
      <w:r w:rsidR="008A3CB7" w:rsidRPr="005319EA">
        <w:rPr>
          <w:i/>
          <w:iCs/>
        </w:rPr>
        <w:t xml:space="preserve">See also </w:t>
      </w:r>
      <w:r w:rsidR="002D2EE3" w:rsidRPr="005319EA">
        <w:t xml:space="preserve">Luca Bucken &amp; Rene de Groot, </w:t>
      </w:r>
      <w:r w:rsidR="002D2EE3" w:rsidRPr="005319EA">
        <w:rPr>
          <w:i/>
          <w:iCs/>
        </w:rPr>
        <w:t>Deprivation of Nationality under Article 8 (3) of the 1961 Convention on the Reduction of Statelessness</w:t>
      </w:r>
      <w:r w:rsidR="002D2EE3" w:rsidRPr="005319EA">
        <w:t xml:space="preserve">, 25 </w:t>
      </w:r>
      <w:r w:rsidR="002D2EE3" w:rsidRPr="005319EA">
        <w:rPr>
          <w:smallCaps/>
        </w:rPr>
        <w:t>Maastricht J. Eur. &amp; Comp. L</w:t>
      </w:r>
      <w:r w:rsidR="002D2EE3" w:rsidRPr="005319EA">
        <w:t xml:space="preserve">. 38, </w:t>
      </w:r>
      <w:r w:rsidR="00C3330C" w:rsidRPr="005319EA">
        <w:t>39</w:t>
      </w:r>
      <w:r w:rsidR="002D2EE3" w:rsidRPr="005319EA">
        <w:t xml:space="preserve"> (2018). </w:t>
      </w:r>
      <w:r w:rsidR="002D2EE3" w:rsidRPr="005319EA">
        <w:rPr>
          <w:i/>
          <w:iCs/>
        </w:rPr>
        <w:t>See also</w:t>
      </w:r>
      <w:r w:rsidR="002D2EE3" w:rsidRPr="005319EA">
        <w:t xml:space="preserve"> Maarten P. Bolhuis &amp; Joris van Wijk, </w:t>
      </w:r>
      <w:r w:rsidR="002D2EE3" w:rsidRPr="005319EA">
        <w:rPr>
          <w:i/>
          <w:iCs/>
        </w:rPr>
        <w:t>Citizenship Deprivation as a Counterterrorism Measure in Europe; Possible Follow-Up Scenarios, Human Rights Infringements and the Effect on Counterterrorism</w:t>
      </w:r>
      <w:r w:rsidR="002D2EE3" w:rsidRPr="005319EA">
        <w:t xml:space="preserve">, 22 </w:t>
      </w:r>
      <w:r w:rsidR="002D2EE3" w:rsidRPr="005319EA">
        <w:rPr>
          <w:smallCaps/>
        </w:rPr>
        <w:t>Eur. J. Migration &amp; L.</w:t>
      </w:r>
      <w:r w:rsidR="002D2EE3" w:rsidRPr="005319EA">
        <w:t xml:space="preserve"> 338, </w:t>
      </w:r>
      <w:r w:rsidR="005A1939" w:rsidRPr="005319EA">
        <w:t>341-349</w:t>
      </w:r>
      <w:r w:rsidR="008A3CB7" w:rsidRPr="005319EA">
        <w:t xml:space="preserve"> (2020)</w:t>
      </w:r>
      <w:r w:rsidR="005A1939" w:rsidRPr="005319EA">
        <w:t>.</w:t>
      </w:r>
    </w:p>
  </w:footnote>
  <w:footnote w:id="25">
    <w:p w14:paraId="58B67DE0" w14:textId="6334C9C4" w:rsidR="00EA3E20" w:rsidRPr="005319EA" w:rsidRDefault="00EA3E20" w:rsidP="001C756C">
      <w:pPr>
        <w:pStyle w:val="FootnoteText"/>
        <w:snapToGrid w:val="0"/>
        <w:jc w:val="both"/>
      </w:pPr>
      <w:r w:rsidRPr="005319EA">
        <w:rPr>
          <w:vertAlign w:val="superscript"/>
        </w:rPr>
        <w:footnoteRef/>
      </w:r>
      <w:r w:rsidRPr="005319EA">
        <w:t xml:space="preserve"> </w:t>
      </w:r>
      <w:r w:rsidR="002D2EE3" w:rsidRPr="005319EA">
        <w:rPr>
          <w:i/>
          <w:iCs/>
        </w:rPr>
        <w:t>Infra</w:t>
      </w:r>
      <w:r w:rsidR="002D2EE3" w:rsidRPr="005319EA">
        <w:t xml:space="preserve"> II(B)(1).</w:t>
      </w:r>
    </w:p>
  </w:footnote>
  <w:footnote w:id="26">
    <w:p w14:paraId="41D7CCFC" w14:textId="2A1D7DDF"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sz w:val="20"/>
          <w:szCs w:val="20"/>
        </w:rPr>
        <w:t>Convention Relating to the Status of Stateless Persons art. 1, Sept. 28, 1954, 360 U.N.T.S. 117.</w:t>
      </w:r>
      <w:r w:rsidR="005217F8" w:rsidRPr="005319EA">
        <w:rPr>
          <w:sz w:val="20"/>
          <w:szCs w:val="20"/>
        </w:rPr>
        <w:t xml:space="preserve"> [“C</w:t>
      </w:r>
      <w:r w:rsidR="008A3CB7" w:rsidRPr="005319EA">
        <w:rPr>
          <w:sz w:val="20"/>
          <w:szCs w:val="20"/>
        </w:rPr>
        <w:t>SP</w:t>
      </w:r>
      <w:r w:rsidR="005217F8" w:rsidRPr="005319EA">
        <w:rPr>
          <w:sz w:val="20"/>
          <w:szCs w:val="20"/>
        </w:rPr>
        <w:t>”]</w:t>
      </w:r>
    </w:p>
  </w:footnote>
  <w:footnote w:id="27">
    <w:p w14:paraId="5B2861AC" w14:textId="6DC231F3" w:rsidR="0029005F" w:rsidRPr="005319EA" w:rsidRDefault="0029005F" w:rsidP="001C756C">
      <w:pPr>
        <w:pStyle w:val="FootnoteText"/>
        <w:snapToGrid w:val="0"/>
        <w:jc w:val="both"/>
      </w:pPr>
      <w:r w:rsidRPr="005319EA">
        <w:rPr>
          <w:vertAlign w:val="superscript"/>
        </w:rPr>
        <w:footnoteRef/>
      </w:r>
      <w:r w:rsidRPr="005319EA">
        <w:rPr>
          <w:vertAlign w:val="superscript"/>
        </w:rPr>
        <w:t xml:space="preserve"> </w:t>
      </w:r>
      <w:r w:rsidR="002D2EE3" w:rsidRPr="005319EA">
        <w:rPr>
          <w:i/>
          <w:iCs/>
        </w:rPr>
        <w:t xml:space="preserve">Infra </w:t>
      </w:r>
      <w:r w:rsidR="002D2EE3" w:rsidRPr="005319EA">
        <w:t>II(B)(2).</w:t>
      </w:r>
    </w:p>
  </w:footnote>
  <w:footnote w:id="28">
    <w:p w14:paraId="2B88507D" w14:textId="2827D78B" w:rsidR="0029005F" w:rsidRPr="005319EA" w:rsidRDefault="0029005F" w:rsidP="001C756C">
      <w:pPr>
        <w:pStyle w:val="FootnoteText"/>
        <w:snapToGrid w:val="0"/>
        <w:jc w:val="both"/>
      </w:pPr>
      <w:r w:rsidRPr="005319EA">
        <w:rPr>
          <w:vertAlign w:val="superscript"/>
        </w:rPr>
        <w:footnoteRef/>
      </w:r>
      <w:r w:rsidRPr="005319EA">
        <w:rPr>
          <w:vertAlign w:val="superscript"/>
        </w:rPr>
        <w:t xml:space="preserve"> </w:t>
      </w:r>
      <w:r w:rsidR="002D2EE3" w:rsidRPr="005319EA">
        <w:t>U.N. High Comm’r for Refugees (UNHCR), Handbook on Protection of Stateless Persons 3 (2014).</w:t>
      </w:r>
    </w:p>
  </w:footnote>
  <w:footnote w:id="29">
    <w:p w14:paraId="0F1BD0EA" w14:textId="2798490E"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2D2EE3" w:rsidRPr="005319EA">
        <w:rPr>
          <w:sz w:val="20"/>
          <w:szCs w:val="20"/>
        </w:rPr>
        <w:t>International Covenant on Civil and Political Rights pmbl., Dec. 16, 1966, 999 U.N.T.S. 171 [“ICCPR”].</w:t>
      </w:r>
    </w:p>
  </w:footnote>
  <w:footnote w:id="30">
    <w:p w14:paraId="30C53463" w14:textId="7F1C4BD9" w:rsidR="008C628D" w:rsidRPr="005319EA" w:rsidRDefault="008C628D" w:rsidP="001C756C">
      <w:pPr>
        <w:pStyle w:val="FootnoteText"/>
        <w:snapToGrid w:val="0"/>
        <w:jc w:val="both"/>
      </w:pPr>
      <w:r w:rsidRPr="005319EA">
        <w:rPr>
          <w:vertAlign w:val="superscript"/>
        </w:rPr>
        <w:footnoteRef/>
      </w:r>
      <w:r w:rsidRPr="005319EA">
        <w:rPr>
          <w:vertAlign w:val="superscript"/>
        </w:rPr>
        <w:t xml:space="preserve"> </w:t>
      </w:r>
      <w:r w:rsidR="00982B2F" w:rsidRPr="005319EA">
        <w:rPr>
          <w:i/>
          <w:iCs/>
        </w:rPr>
        <w:t xml:space="preserve">See </w:t>
      </w:r>
      <w:r w:rsidR="002D2EE3" w:rsidRPr="005319EA">
        <w:t xml:space="preserve">UNHCR, </w:t>
      </w:r>
      <w:r w:rsidR="00E319F9" w:rsidRPr="005319EA">
        <w:rPr>
          <w:smallCaps/>
        </w:rPr>
        <w:t>Preventing and Reducing Statelessness,</w:t>
      </w:r>
      <w:r w:rsidR="002D2EE3" w:rsidRPr="005319EA">
        <w:t xml:space="preserve"> n.85 (2010)</w:t>
      </w:r>
      <w:r w:rsidR="00E364EF" w:rsidRPr="005319EA">
        <w:t>;</w:t>
      </w:r>
      <w:r w:rsidR="002D2EE3" w:rsidRPr="005319EA">
        <w:t xml:space="preserve"> </w:t>
      </w:r>
      <w:r w:rsidR="00F564FA" w:rsidRPr="005319EA">
        <w:t>UN Secretary-General</w:t>
      </w:r>
      <w:r w:rsidR="002D2EE3" w:rsidRPr="005319EA">
        <w:t xml:space="preserve">, Human </w:t>
      </w:r>
      <w:r w:rsidR="00E319F9" w:rsidRPr="005319EA">
        <w:t>Ri</w:t>
      </w:r>
      <w:r w:rsidR="002D2EE3" w:rsidRPr="005319EA">
        <w:t xml:space="preserve">ghts and </w:t>
      </w:r>
      <w:r w:rsidR="00E319F9" w:rsidRPr="005319EA">
        <w:t>A</w:t>
      </w:r>
      <w:r w:rsidR="002D2EE3" w:rsidRPr="005319EA">
        <w:t xml:space="preserve">rbitrary </w:t>
      </w:r>
      <w:r w:rsidR="00E319F9" w:rsidRPr="005319EA">
        <w:t>D</w:t>
      </w:r>
      <w:r w:rsidR="002D2EE3" w:rsidRPr="005319EA">
        <w:t xml:space="preserve">eprivation of </w:t>
      </w:r>
      <w:r w:rsidR="00E319F9" w:rsidRPr="005319EA">
        <w:t>N</w:t>
      </w:r>
      <w:r w:rsidR="002D2EE3" w:rsidRPr="005319EA">
        <w:t xml:space="preserve">ationality, </w:t>
      </w:r>
      <w:r w:rsidR="007860CC" w:rsidRPr="005319EA">
        <w:t>para.</w:t>
      </w:r>
      <w:r w:rsidR="00F564FA" w:rsidRPr="005319EA">
        <w:t xml:space="preserve"> 4, U.N. Doc. </w:t>
      </w:r>
      <w:r w:rsidR="002D2EE3" w:rsidRPr="005319EA">
        <w:t>A/HRC/25/28</w:t>
      </w:r>
      <w:r w:rsidR="00F564FA" w:rsidRPr="005319EA">
        <w:t xml:space="preserve"> </w:t>
      </w:r>
      <w:r w:rsidR="002D2EE3" w:rsidRPr="005319EA">
        <w:t>(Dec. 19, 2013)</w:t>
      </w:r>
      <w:r w:rsidR="009525F3" w:rsidRPr="005319EA">
        <w:t xml:space="preserve"> [“HRC Res. 25/28”]</w:t>
      </w:r>
      <w:r w:rsidR="00B65EA6" w:rsidRPr="005319EA">
        <w:t>;</w:t>
      </w:r>
      <w:r w:rsidR="002D2EE3" w:rsidRPr="005319EA">
        <w:t xml:space="preserve"> Jeffrey L. Blackman, </w:t>
      </w:r>
      <w:r w:rsidR="002D2EE3" w:rsidRPr="005319EA">
        <w:rPr>
          <w:i/>
          <w:iCs/>
        </w:rPr>
        <w:t>State Successions and Statelessness: The Emerging Right to an Effective Nationality Under International Law</w:t>
      </w:r>
      <w:r w:rsidR="002D2EE3" w:rsidRPr="005319EA">
        <w:t xml:space="preserve">, 19 </w:t>
      </w:r>
      <w:r w:rsidR="002D2EE3" w:rsidRPr="005319EA">
        <w:rPr>
          <w:smallCaps/>
        </w:rPr>
        <w:t>Mich. J. Int’l L.</w:t>
      </w:r>
      <w:r w:rsidR="002D2EE3" w:rsidRPr="005319EA">
        <w:t xml:space="preserve"> 1141, 1148 (1998). </w:t>
      </w:r>
      <w:r w:rsidR="002D2EE3" w:rsidRPr="005319EA">
        <w:rPr>
          <w:i/>
          <w:iCs/>
        </w:rPr>
        <w:t>See generally</w:t>
      </w:r>
      <w:r w:rsidR="002D2EE3" w:rsidRPr="005319EA">
        <w:t xml:space="preserve"> </w:t>
      </w:r>
      <w:r w:rsidR="001B308C" w:rsidRPr="005319EA">
        <w:t xml:space="preserve">UN Secretary-General, Human Rights and Arbitrary Deprivation of Nationality, UN Doc. A/HRC/19/43 (Dec. 19, 2011); </w:t>
      </w:r>
      <w:r w:rsidR="00F564FA" w:rsidRPr="005319EA">
        <w:t>UN Secretary-General</w:t>
      </w:r>
      <w:r w:rsidR="002D2EE3" w:rsidRPr="005319EA">
        <w:t xml:space="preserve">, Impact of the </w:t>
      </w:r>
      <w:r w:rsidR="00F564FA" w:rsidRPr="005319EA">
        <w:t>A</w:t>
      </w:r>
      <w:r w:rsidR="002D2EE3" w:rsidRPr="005319EA">
        <w:t xml:space="preserve">rbitrary </w:t>
      </w:r>
      <w:r w:rsidR="00F564FA" w:rsidRPr="005319EA">
        <w:t>D</w:t>
      </w:r>
      <w:r w:rsidR="002D2EE3" w:rsidRPr="005319EA">
        <w:t xml:space="preserve">eprivation of </w:t>
      </w:r>
      <w:r w:rsidR="00F564FA" w:rsidRPr="005319EA">
        <w:t>N</w:t>
      </w:r>
      <w:r w:rsidR="002D2EE3" w:rsidRPr="005319EA">
        <w:t xml:space="preserve">ationality on the </w:t>
      </w:r>
      <w:r w:rsidR="00F564FA" w:rsidRPr="005319EA">
        <w:t>E</w:t>
      </w:r>
      <w:r w:rsidR="002D2EE3" w:rsidRPr="005319EA">
        <w:t xml:space="preserve">njoyment of the </w:t>
      </w:r>
      <w:r w:rsidR="00F564FA" w:rsidRPr="005319EA">
        <w:t>R</w:t>
      </w:r>
      <w:r w:rsidR="002D2EE3" w:rsidRPr="005319EA">
        <w:t xml:space="preserve">ights of </w:t>
      </w:r>
      <w:r w:rsidR="00F564FA" w:rsidRPr="005319EA">
        <w:t>C</w:t>
      </w:r>
      <w:r w:rsidR="002D2EE3" w:rsidRPr="005319EA">
        <w:t xml:space="preserve">hildren </w:t>
      </w:r>
      <w:r w:rsidR="00F564FA" w:rsidRPr="005319EA">
        <w:t>C</w:t>
      </w:r>
      <w:r w:rsidR="002D2EE3" w:rsidRPr="005319EA">
        <w:t xml:space="preserve">oncerned, </w:t>
      </w:r>
      <w:r w:rsidR="00F564FA" w:rsidRPr="005319EA">
        <w:t xml:space="preserve">UN. Doc. </w:t>
      </w:r>
      <w:r w:rsidR="002D2EE3" w:rsidRPr="005319EA">
        <w:t>A/HRC/31/29 (Dec. 16, 2015).</w:t>
      </w:r>
    </w:p>
  </w:footnote>
  <w:footnote w:id="31">
    <w:p w14:paraId="2645DE40" w14:textId="0560429B" w:rsidR="00967B40" w:rsidRPr="005319EA" w:rsidRDefault="00967B40" w:rsidP="001C756C">
      <w:pPr>
        <w:pStyle w:val="FootnoteText"/>
        <w:snapToGrid w:val="0"/>
        <w:jc w:val="both"/>
      </w:pPr>
      <w:r w:rsidRPr="005319EA">
        <w:rPr>
          <w:vertAlign w:val="superscript"/>
        </w:rPr>
        <w:footnoteRef/>
      </w:r>
      <w:r w:rsidRPr="005319EA">
        <w:t xml:space="preserve"> </w:t>
      </w:r>
      <w:r w:rsidR="002D2EE3" w:rsidRPr="005319EA">
        <w:t xml:space="preserve">ICCPR, </w:t>
      </w:r>
      <w:r w:rsidR="002D2EE3" w:rsidRPr="005319EA">
        <w:rPr>
          <w:i/>
          <w:iCs/>
        </w:rPr>
        <w:t>supra</w:t>
      </w:r>
      <w:r w:rsidR="002D2EE3" w:rsidRPr="005319EA">
        <w:t xml:space="preserve"> note 28.</w:t>
      </w:r>
    </w:p>
  </w:footnote>
  <w:footnote w:id="32">
    <w:p w14:paraId="4DD33708" w14:textId="757BCC24" w:rsidR="0003384A" w:rsidRPr="005319EA" w:rsidRDefault="0003384A" w:rsidP="001C756C">
      <w:pPr>
        <w:pStyle w:val="FootnoteText"/>
        <w:snapToGrid w:val="0"/>
        <w:jc w:val="both"/>
      </w:pPr>
      <w:r w:rsidRPr="005319EA">
        <w:rPr>
          <w:vertAlign w:val="superscript"/>
        </w:rPr>
        <w:footnoteRef/>
      </w:r>
      <w:r w:rsidRPr="005319EA">
        <w:rPr>
          <w:vertAlign w:val="superscript"/>
        </w:rPr>
        <w:t xml:space="preserve"> </w:t>
      </w:r>
      <w:r w:rsidR="002D2EE3" w:rsidRPr="005319EA">
        <w:rPr>
          <w:i/>
          <w:iCs/>
        </w:rPr>
        <w:t>Id.</w:t>
      </w:r>
    </w:p>
  </w:footnote>
  <w:footnote w:id="33">
    <w:p w14:paraId="1D0DAFB2" w14:textId="05C1E465" w:rsidR="00BB6075" w:rsidRPr="005319EA" w:rsidRDefault="00BB6075" w:rsidP="001C756C">
      <w:pPr>
        <w:pStyle w:val="FootnoteText"/>
        <w:snapToGrid w:val="0"/>
        <w:jc w:val="both"/>
      </w:pPr>
      <w:r w:rsidRPr="005319EA">
        <w:rPr>
          <w:vertAlign w:val="superscript"/>
        </w:rPr>
        <w:footnoteRef/>
      </w:r>
      <w:r w:rsidRPr="005319EA">
        <w:t xml:space="preserve"> </w:t>
      </w:r>
      <w:r w:rsidR="002D2EE3" w:rsidRPr="005319EA">
        <w:rPr>
          <w:i/>
          <w:iCs/>
        </w:rPr>
        <w:t>Id.</w:t>
      </w:r>
      <w:r w:rsidR="002D2EE3" w:rsidRPr="005319EA">
        <w:t xml:space="preserve"> art. 2.</w:t>
      </w:r>
    </w:p>
  </w:footnote>
  <w:footnote w:id="34">
    <w:p w14:paraId="71580D28" w14:textId="234B850B" w:rsidR="00F268F1" w:rsidRPr="005319EA" w:rsidRDefault="00F268F1" w:rsidP="001C756C">
      <w:pPr>
        <w:pStyle w:val="FootnoteText"/>
        <w:snapToGrid w:val="0"/>
        <w:jc w:val="both"/>
      </w:pPr>
      <w:r w:rsidRPr="005319EA">
        <w:rPr>
          <w:vertAlign w:val="superscript"/>
        </w:rPr>
        <w:footnoteRef/>
      </w:r>
      <w:r w:rsidRPr="005319EA">
        <w:t xml:space="preserve"> </w:t>
      </w:r>
      <w:r w:rsidR="00A52F0C" w:rsidRPr="005319EA">
        <w:t>(</w:t>
      </w:r>
      <w:r w:rsidR="004527A7" w:rsidRPr="005319EA">
        <w:t>D</w:t>
      </w:r>
      <w:r w:rsidR="00A52F0C" w:rsidRPr="005319EA">
        <w:t>)</w:t>
      </w:r>
      <w:r w:rsidR="004527A7" w:rsidRPr="005319EA">
        <w:t>ARSIWA</w:t>
      </w:r>
      <w:r w:rsidR="006C05C1" w:rsidRPr="005319EA">
        <w:t xml:space="preserve">, </w:t>
      </w:r>
      <w:r w:rsidR="006C05C1" w:rsidRPr="005319EA">
        <w:rPr>
          <w:i/>
          <w:iCs/>
        </w:rPr>
        <w:t>supra</w:t>
      </w:r>
      <w:r w:rsidR="006C05C1" w:rsidRPr="005319EA">
        <w:t xml:space="preserve"> note </w:t>
      </w:r>
      <w:r w:rsidR="004527A7" w:rsidRPr="005319EA">
        <w:t>8</w:t>
      </w:r>
      <w:r w:rsidR="006C05C1" w:rsidRPr="005319EA">
        <w:t>, art. 48.</w:t>
      </w:r>
    </w:p>
  </w:footnote>
  <w:footnote w:id="35">
    <w:p w14:paraId="58822336" w14:textId="681AF242"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6C05C1" w:rsidRPr="005319EA">
        <w:rPr>
          <w:sz w:val="20"/>
          <w:szCs w:val="20"/>
        </w:rPr>
        <w:t xml:space="preserve">Barcelona Traction, </w:t>
      </w:r>
      <w:r w:rsidR="006C05C1" w:rsidRPr="005319EA">
        <w:rPr>
          <w:i/>
          <w:iCs/>
          <w:sz w:val="20"/>
          <w:szCs w:val="20"/>
        </w:rPr>
        <w:t xml:space="preserve">supra </w:t>
      </w:r>
      <w:r w:rsidR="006C05C1" w:rsidRPr="005319EA">
        <w:rPr>
          <w:sz w:val="20"/>
          <w:szCs w:val="20"/>
        </w:rPr>
        <w:t>note 2,</w:t>
      </w:r>
      <w:r w:rsidR="004527A7" w:rsidRPr="005319EA">
        <w:rPr>
          <w:sz w:val="20"/>
          <w:szCs w:val="20"/>
        </w:rPr>
        <w:t xml:space="preserve"> </w:t>
      </w:r>
      <w:r w:rsidR="006C05C1" w:rsidRPr="005319EA">
        <w:rPr>
          <w:sz w:val="20"/>
          <w:szCs w:val="20"/>
        </w:rPr>
        <w:t>¶ 33.</w:t>
      </w:r>
    </w:p>
  </w:footnote>
  <w:footnote w:id="36">
    <w:p w14:paraId="138DC4EF" w14:textId="553E69E2"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6C05C1" w:rsidRPr="005319EA">
        <w:rPr>
          <w:i/>
          <w:iCs/>
          <w:sz w:val="20"/>
          <w:szCs w:val="20"/>
        </w:rPr>
        <w:t>Id.</w:t>
      </w:r>
    </w:p>
  </w:footnote>
  <w:footnote w:id="37">
    <w:p w14:paraId="3F60CC60" w14:textId="233BC54C" w:rsidR="00142DAC" w:rsidRPr="005319EA" w:rsidRDefault="00142DAC" w:rsidP="001C756C">
      <w:pPr>
        <w:pStyle w:val="FootnoteText"/>
        <w:snapToGrid w:val="0"/>
        <w:jc w:val="both"/>
      </w:pPr>
      <w:r w:rsidRPr="005319EA">
        <w:rPr>
          <w:vertAlign w:val="superscript"/>
        </w:rPr>
        <w:footnoteRef/>
      </w:r>
      <w:r w:rsidRPr="005319EA">
        <w:rPr>
          <w:vertAlign w:val="superscript"/>
        </w:rPr>
        <w:t xml:space="preserve"> </w:t>
      </w:r>
      <w:r w:rsidR="006C05C1" w:rsidRPr="005319EA">
        <w:rPr>
          <w:i/>
          <w:iCs/>
        </w:rPr>
        <w:t>Id</w:t>
      </w:r>
      <w:r w:rsidR="006C05C1" w:rsidRPr="005319EA">
        <w:t>.</w:t>
      </w:r>
      <w:r w:rsidR="004527A7" w:rsidRPr="005319EA">
        <w:t xml:space="preserve"> </w:t>
      </w:r>
      <w:r w:rsidR="004527A7" w:rsidRPr="005319EA">
        <w:rPr>
          <w:i/>
          <w:iCs/>
        </w:rPr>
        <w:t>See also</w:t>
      </w:r>
      <w:r w:rsidR="006C05C1" w:rsidRPr="005319EA">
        <w:t xml:space="preserve"> </w:t>
      </w:r>
      <w:r w:rsidR="00A52F0C" w:rsidRPr="005319EA">
        <w:t>(</w:t>
      </w:r>
      <w:r w:rsidR="004527A7" w:rsidRPr="005319EA">
        <w:t>D</w:t>
      </w:r>
      <w:r w:rsidR="00A52F0C" w:rsidRPr="005319EA">
        <w:t>)</w:t>
      </w:r>
      <w:r w:rsidR="004527A7" w:rsidRPr="005319EA">
        <w:t>ARSIWA</w:t>
      </w:r>
      <w:r w:rsidR="006C05C1" w:rsidRPr="005319EA">
        <w:t xml:space="preserve">, </w:t>
      </w:r>
      <w:r w:rsidR="006C05C1" w:rsidRPr="005319EA">
        <w:rPr>
          <w:i/>
          <w:iCs/>
        </w:rPr>
        <w:t>supra</w:t>
      </w:r>
      <w:r w:rsidR="006C05C1" w:rsidRPr="005319EA">
        <w:t xml:space="preserve"> note </w:t>
      </w:r>
      <w:r w:rsidR="004527A7" w:rsidRPr="005319EA">
        <w:t>8</w:t>
      </w:r>
      <w:r w:rsidR="006C05C1" w:rsidRPr="005319EA">
        <w:t>,</w:t>
      </w:r>
      <w:r w:rsidR="004527A7" w:rsidRPr="005319EA">
        <w:t xml:space="preserve"> </w:t>
      </w:r>
      <w:r w:rsidR="006C05C1" w:rsidRPr="005319EA">
        <w:t>art. 48(1)(b).</w:t>
      </w:r>
    </w:p>
  </w:footnote>
  <w:footnote w:id="38">
    <w:p w14:paraId="63DA67B3" w14:textId="6CCCB18E" w:rsidR="0093325A" w:rsidRPr="005319EA" w:rsidRDefault="0093325A" w:rsidP="001C756C">
      <w:pPr>
        <w:pStyle w:val="FootnoteText"/>
        <w:snapToGrid w:val="0"/>
        <w:jc w:val="both"/>
      </w:pPr>
      <w:r w:rsidRPr="005319EA">
        <w:rPr>
          <w:vertAlign w:val="superscript"/>
        </w:rPr>
        <w:footnoteRef/>
      </w:r>
      <w:r w:rsidRPr="005319EA">
        <w:t xml:space="preserve"> </w:t>
      </w:r>
      <w:r w:rsidR="006C05C1" w:rsidRPr="005319EA">
        <w:t xml:space="preserve">Barcelona Traction, </w:t>
      </w:r>
      <w:r w:rsidR="006C05C1" w:rsidRPr="005319EA">
        <w:rPr>
          <w:i/>
          <w:iCs/>
        </w:rPr>
        <w:t xml:space="preserve">supra </w:t>
      </w:r>
      <w:r w:rsidR="006C05C1" w:rsidRPr="005319EA">
        <w:t xml:space="preserve">note 2, ¶ </w:t>
      </w:r>
      <w:r w:rsidR="005A1939" w:rsidRPr="005319EA">
        <w:t>34</w:t>
      </w:r>
      <w:r w:rsidR="006C05C1" w:rsidRPr="005319EA">
        <w:t>.</w:t>
      </w:r>
    </w:p>
  </w:footnote>
  <w:footnote w:id="39">
    <w:p w14:paraId="691168BC" w14:textId="66F851F5" w:rsidR="0093325A" w:rsidRPr="005319EA" w:rsidRDefault="0093325A" w:rsidP="001C756C">
      <w:pPr>
        <w:pStyle w:val="FootnoteText"/>
        <w:snapToGrid w:val="0"/>
        <w:jc w:val="both"/>
      </w:pPr>
      <w:r w:rsidRPr="005319EA">
        <w:rPr>
          <w:vertAlign w:val="superscript"/>
        </w:rPr>
        <w:footnoteRef/>
      </w:r>
      <w:r w:rsidRPr="005319EA">
        <w:rPr>
          <w:vertAlign w:val="superscript"/>
        </w:rPr>
        <w:t xml:space="preserve"> </w:t>
      </w:r>
      <w:bookmarkStart w:id="26" w:name="_Hlk155887378"/>
      <w:r w:rsidR="006C05C1" w:rsidRPr="005319EA">
        <w:t>Legal Consequences of the Construction of a Wall in the Occupied Palestinian Territory, Advisory Opinion, 2004 I.C.J. Rep. 136, ¶ 155 (July 9) [“Construction of a Wall</w:t>
      </w:r>
      <w:r w:rsidR="00F564FA" w:rsidRPr="005319EA">
        <w:t xml:space="preserve"> Advisory Opinion</w:t>
      </w:r>
      <w:r w:rsidR="006C05C1" w:rsidRPr="005319EA">
        <w:t>”]</w:t>
      </w:r>
      <w:bookmarkEnd w:id="26"/>
      <w:r w:rsidR="006C05C1" w:rsidRPr="005319EA">
        <w:t xml:space="preserve">; East Timor (Port. v. Austl.) 1995 I.C.J. Rep. 90, ¶ 29 (June 30); Legal Consequences for States of the Continued Presence of South Africa in Namibia (South West Africa) Notwithstanding Security Council Resolution 276, Advisory Opinion, 1971 I.C.J. Rep. 16, </w:t>
      </w:r>
      <w:r w:rsidR="008A3CB7" w:rsidRPr="005319EA">
        <w:t xml:space="preserve">paras. </w:t>
      </w:r>
      <w:r w:rsidR="006C05C1" w:rsidRPr="005319EA">
        <w:t>52-53 (June 21) [“</w:t>
      </w:r>
      <w:bookmarkStart w:id="27" w:name="_Hlk155874180"/>
      <w:r w:rsidR="006C05C1" w:rsidRPr="005319EA">
        <w:t>Namibia</w:t>
      </w:r>
      <w:r w:rsidR="0073220A" w:rsidRPr="005319EA">
        <w:t xml:space="preserve"> Advisory Opinion</w:t>
      </w:r>
      <w:bookmarkEnd w:id="27"/>
      <w:r w:rsidR="006C05C1" w:rsidRPr="005319EA">
        <w:t>”].</w:t>
      </w:r>
    </w:p>
  </w:footnote>
  <w:footnote w:id="40">
    <w:p w14:paraId="16C40EB0" w14:textId="691F4929" w:rsidR="0093325A" w:rsidRPr="005319EA" w:rsidRDefault="0093325A" w:rsidP="001C756C">
      <w:pPr>
        <w:pStyle w:val="FootnoteText"/>
        <w:snapToGrid w:val="0"/>
        <w:jc w:val="both"/>
      </w:pPr>
      <w:r w:rsidRPr="005319EA">
        <w:rPr>
          <w:vertAlign w:val="superscript"/>
        </w:rPr>
        <w:footnoteRef/>
      </w:r>
      <w:r w:rsidRPr="005319EA">
        <w:t xml:space="preserve"> </w:t>
      </w:r>
      <w:r w:rsidR="008D777F" w:rsidRPr="005319EA">
        <w:t>Int’l Law Comm’n, Draft Conclusions on Identification and Legal Consequences of Peremptory Norms of General International Law (</w:t>
      </w:r>
      <w:r w:rsidR="008D777F" w:rsidRPr="005319EA">
        <w:rPr>
          <w:i/>
          <w:iCs/>
        </w:rPr>
        <w:t>Jus Cogens</w:t>
      </w:r>
      <w:r w:rsidR="008D777F" w:rsidRPr="005319EA">
        <w:t>), 2</w:t>
      </w:r>
      <w:r w:rsidR="007440C2" w:rsidRPr="005319EA">
        <w:t>, UN. Doc. A/74/10</w:t>
      </w:r>
      <w:r w:rsidR="008D777F" w:rsidRPr="005319EA">
        <w:t xml:space="preserve"> (2022)</w:t>
      </w:r>
      <w:r w:rsidR="00D0380F" w:rsidRPr="005319EA">
        <w:t xml:space="preserve"> [“Draft on Preemptory Norms”]; Barcelona Traction, </w:t>
      </w:r>
      <w:r w:rsidR="00D0380F" w:rsidRPr="005319EA">
        <w:rPr>
          <w:i/>
          <w:iCs/>
        </w:rPr>
        <w:t xml:space="preserve">supra </w:t>
      </w:r>
      <w:r w:rsidR="00D0380F" w:rsidRPr="005319EA">
        <w:t>note 2, ¶ 34</w:t>
      </w:r>
      <w:r w:rsidR="00664E02" w:rsidRPr="005319EA">
        <w:t>;</w:t>
      </w:r>
      <w:r w:rsidR="00D0380F" w:rsidRPr="005319EA">
        <w:t xml:space="preserve"> </w:t>
      </w:r>
      <w:r w:rsidR="0073220A" w:rsidRPr="005319EA">
        <w:t>Namibia Advisory Opinion</w:t>
      </w:r>
      <w:r w:rsidR="00D0380F" w:rsidRPr="005319EA">
        <w:t xml:space="preserve">, </w:t>
      </w:r>
      <w:r w:rsidR="00D0380F" w:rsidRPr="005319EA">
        <w:rPr>
          <w:i/>
          <w:iCs/>
        </w:rPr>
        <w:t>supra</w:t>
      </w:r>
      <w:r w:rsidR="00D0380F" w:rsidRPr="005319EA">
        <w:t xml:space="preserve"> note 38.</w:t>
      </w:r>
    </w:p>
  </w:footnote>
  <w:footnote w:id="41">
    <w:p w14:paraId="04B87B72" w14:textId="03C47DCA" w:rsidR="0093325A" w:rsidRPr="005319EA" w:rsidRDefault="0093325A" w:rsidP="001C756C">
      <w:pPr>
        <w:pStyle w:val="FootnoteText"/>
        <w:snapToGrid w:val="0"/>
        <w:jc w:val="both"/>
      </w:pPr>
      <w:r w:rsidRPr="005319EA">
        <w:rPr>
          <w:vertAlign w:val="superscript"/>
        </w:rPr>
        <w:footnoteRef/>
      </w:r>
      <w:r w:rsidRPr="005319EA">
        <w:rPr>
          <w:vertAlign w:val="superscript"/>
        </w:rPr>
        <w:t xml:space="preserve"> </w:t>
      </w:r>
      <w:r w:rsidR="00D0380F" w:rsidRPr="005319EA">
        <w:t xml:space="preserve">Draft on Preemptory Norms, </w:t>
      </w:r>
      <w:r w:rsidR="00D0380F" w:rsidRPr="005319EA">
        <w:rPr>
          <w:i/>
          <w:iCs/>
        </w:rPr>
        <w:t>supra</w:t>
      </w:r>
      <w:r w:rsidR="00D0380F" w:rsidRPr="005319EA">
        <w:t xml:space="preserve"> note 39. </w:t>
      </w:r>
      <w:r w:rsidR="00D0380F" w:rsidRPr="005319EA">
        <w:rPr>
          <w:i/>
          <w:iCs/>
        </w:rPr>
        <w:t>See also</w:t>
      </w:r>
      <w:r w:rsidR="00D0380F" w:rsidRPr="005319EA">
        <w:t xml:space="preserve"> </w:t>
      </w:r>
      <w:r w:rsidR="00F564FA" w:rsidRPr="005319EA">
        <w:t>Construction of a Wall Advisory Opinion</w:t>
      </w:r>
      <w:r w:rsidR="00D0380F" w:rsidRPr="005319EA">
        <w:t xml:space="preserve">, supra note 38, </w:t>
      </w:r>
      <w:r w:rsidR="00E10E56" w:rsidRPr="005319EA">
        <w:t>¶</w:t>
      </w:r>
      <w:r w:rsidR="008A3CB7" w:rsidRPr="005319EA">
        <w:t xml:space="preserve"> </w:t>
      </w:r>
      <w:r w:rsidR="00D0380F" w:rsidRPr="005319EA">
        <w:t>155</w:t>
      </w:r>
      <w:r w:rsidR="004527A7" w:rsidRPr="005319EA">
        <w:t xml:space="preserve">; </w:t>
      </w:r>
      <w:r w:rsidR="00F564FA" w:rsidRPr="005319EA">
        <w:t xml:space="preserve">Legality of the Threat or Use of Nuclear Weapons, Advisory Opinion, 1996 I.C.J. Rep. 226, </w:t>
      </w:r>
      <w:r w:rsidR="00BA275E" w:rsidRPr="005319EA">
        <w:t>¶</w:t>
      </w:r>
      <w:r w:rsidR="008A3CB7" w:rsidRPr="005319EA">
        <w:t xml:space="preserve"> </w:t>
      </w:r>
      <w:r w:rsidR="00F564FA" w:rsidRPr="005319EA">
        <w:t>79 (July 8)</w:t>
      </w:r>
      <w:r w:rsidR="00D0380F" w:rsidRPr="005319EA">
        <w:t>.</w:t>
      </w:r>
    </w:p>
  </w:footnote>
  <w:footnote w:id="42">
    <w:p w14:paraId="2A9D52B2" w14:textId="79D82F13" w:rsidR="0093325A" w:rsidRPr="005319EA" w:rsidRDefault="0093325A" w:rsidP="001C756C">
      <w:pPr>
        <w:pStyle w:val="FootnoteText"/>
        <w:snapToGrid w:val="0"/>
        <w:jc w:val="both"/>
      </w:pPr>
      <w:r w:rsidRPr="005319EA">
        <w:rPr>
          <w:vertAlign w:val="superscript"/>
        </w:rPr>
        <w:footnoteRef/>
      </w:r>
      <w:r w:rsidRPr="005319EA">
        <w:rPr>
          <w:vertAlign w:val="superscript"/>
        </w:rPr>
        <w:t xml:space="preserve"> </w:t>
      </w:r>
      <w:r w:rsidR="00D0380F" w:rsidRPr="005319EA">
        <w:rPr>
          <w:i/>
          <w:iCs/>
        </w:rPr>
        <w:t>See</w:t>
      </w:r>
      <w:r w:rsidR="00D0380F" w:rsidRPr="005319EA">
        <w:t xml:space="preserve"> </w:t>
      </w:r>
      <w:r w:rsidR="007440C2" w:rsidRPr="005319EA">
        <w:t>CRS</w:t>
      </w:r>
      <w:r w:rsidR="00D0380F" w:rsidRPr="005319EA">
        <w:t xml:space="preserve">, </w:t>
      </w:r>
      <w:r w:rsidR="00D0380F" w:rsidRPr="005319EA">
        <w:rPr>
          <w:i/>
          <w:iCs/>
        </w:rPr>
        <w:t>supra</w:t>
      </w:r>
      <w:r w:rsidR="00D0380F" w:rsidRPr="005319EA">
        <w:t xml:space="preserve"> note 17.</w:t>
      </w:r>
    </w:p>
  </w:footnote>
  <w:footnote w:id="43">
    <w:p w14:paraId="525920EB" w14:textId="7046A4C6" w:rsidR="00E87066" w:rsidRPr="005319EA" w:rsidRDefault="00E87066" w:rsidP="001C756C">
      <w:pPr>
        <w:pStyle w:val="FootnoteText"/>
        <w:snapToGrid w:val="0"/>
        <w:jc w:val="both"/>
      </w:pPr>
      <w:r w:rsidRPr="005319EA">
        <w:rPr>
          <w:vertAlign w:val="superscript"/>
        </w:rPr>
        <w:footnoteRef/>
      </w:r>
      <w:r w:rsidRPr="005319EA">
        <w:rPr>
          <w:vertAlign w:val="superscript"/>
        </w:rPr>
        <w:t xml:space="preserve"> </w:t>
      </w:r>
      <w:r w:rsidR="00D0380F" w:rsidRPr="005319EA">
        <w:t xml:space="preserve">South West Africa, </w:t>
      </w:r>
      <w:r w:rsidR="00D0380F" w:rsidRPr="005319EA">
        <w:rPr>
          <w:i/>
          <w:iCs/>
        </w:rPr>
        <w:t>supra</w:t>
      </w:r>
      <w:r w:rsidR="00D0380F" w:rsidRPr="005319EA">
        <w:t xml:space="preserve"> note 1,</w:t>
      </w:r>
      <w:r w:rsidR="00664E02" w:rsidRPr="005319EA">
        <w:t xml:space="preserve"> </w:t>
      </w:r>
      <w:r w:rsidR="00AB472A" w:rsidRPr="005319EA">
        <w:t xml:space="preserve">¶ </w:t>
      </w:r>
      <w:r w:rsidR="00D0380F" w:rsidRPr="005319EA">
        <w:t>78.</w:t>
      </w:r>
    </w:p>
  </w:footnote>
  <w:footnote w:id="44">
    <w:p w14:paraId="6E3C6030" w14:textId="612C3BEF"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8B19C1" w:rsidRPr="005319EA">
        <w:rPr>
          <w:sz w:val="20"/>
          <w:szCs w:val="20"/>
        </w:rPr>
        <w:t>(</w:t>
      </w:r>
      <w:r w:rsidR="008D777F" w:rsidRPr="005319EA">
        <w:rPr>
          <w:sz w:val="20"/>
          <w:szCs w:val="20"/>
        </w:rPr>
        <w:t>D</w:t>
      </w:r>
      <w:r w:rsidR="008B19C1" w:rsidRPr="005319EA">
        <w:rPr>
          <w:sz w:val="20"/>
          <w:szCs w:val="20"/>
        </w:rPr>
        <w:t>)</w:t>
      </w:r>
      <w:r w:rsidR="008D777F" w:rsidRPr="005319EA">
        <w:rPr>
          <w:sz w:val="20"/>
          <w:szCs w:val="20"/>
        </w:rPr>
        <w:t>ARSIWA</w:t>
      </w:r>
      <w:r w:rsidR="00D0380F" w:rsidRPr="005319EA">
        <w:rPr>
          <w:sz w:val="20"/>
          <w:szCs w:val="20"/>
        </w:rPr>
        <w:t xml:space="preserve">, </w:t>
      </w:r>
      <w:r w:rsidR="00D0380F" w:rsidRPr="005319EA">
        <w:rPr>
          <w:i/>
          <w:iCs/>
          <w:sz w:val="20"/>
          <w:szCs w:val="20"/>
        </w:rPr>
        <w:t>supra</w:t>
      </w:r>
      <w:r w:rsidR="00D0380F" w:rsidRPr="005319EA">
        <w:rPr>
          <w:sz w:val="20"/>
          <w:szCs w:val="20"/>
        </w:rPr>
        <w:t xml:space="preserve"> note 9, art. 4.</w:t>
      </w:r>
    </w:p>
  </w:footnote>
  <w:footnote w:id="45">
    <w:p w14:paraId="1D42FAF0" w14:textId="05F8CBBF"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7440C2" w:rsidRPr="005319EA">
        <w:rPr>
          <w:sz w:val="20"/>
          <w:szCs w:val="20"/>
        </w:rPr>
        <w:t>Nationality Decrees Issued in Tunis and Morocco, Advisory Opinion, 1923 P.C.I.J. (ser. B) no. 4, at 24 (Feb. 7) [“PCIJ Nationality Decrees Advisory Opinion”].</w:t>
      </w:r>
    </w:p>
  </w:footnote>
  <w:footnote w:id="46">
    <w:p w14:paraId="082F1224" w14:textId="7E5E6DBB" w:rsidR="00F06D91" w:rsidRPr="005319EA" w:rsidRDefault="00F06D91" w:rsidP="001C756C">
      <w:pPr>
        <w:pStyle w:val="FootnoteText"/>
        <w:snapToGrid w:val="0"/>
        <w:jc w:val="both"/>
      </w:pPr>
      <w:r w:rsidRPr="005319EA">
        <w:rPr>
          <w:vertAlign w:val="superscript"/>
        </w:rPr>
        <w:footnoteRef/>
      </w:r>
      <w:r w:rsidRPr="005319EA">
        <w:t xml:space="preserve"> </w:t>
      </w:r>
      <w:r w:rsidR="003D0126" w:rsidRPr="005319EA">
        <w:rPr>
          <w:smallCaps/>
        </w:rPr>
        <w:t>Michelle Foster</w:t>
      </w:r>
      <w:r w:rsidR="003D0126" w:rsidRPr="005319EA">
        <w:t xml:space="preserve">, </w:t>
      </w:r>
      <w:r w:rsidR="003D0126" w:rsidRPr="005319EA">
        <w:rPr>
          <w:i/>
          <w:iCs/>
        </w:rPr>
        <w:t>Protection Elsewhere: The Legal Implications of Requiring Refugees to Seek Protection in another State</w:t>
      </w:r>
      <w:r w:rsidR="003D0126" w:rsidRPr="005319EA">
        <w:t xml:space="preserve">, 28 </w:t>
      </w:r>
      <w:r w:rsidR="003D0126" w:rsidRPr="005319EA">
        <w:rPr>
          <w:smallCaps/>
        </w:rPr>
        <w:t>Mich. J. Int'l L.</w:t>
      </w:r>
      <w:r w:rsidR="003D0126" w:rsidRPr="005319EA">
        <w:t xml:space="preserve"> 223, 224-225 (2007).</w:t>
      </w:r>
    </w:p>
  </w:footnote>
  <w:footnote w:id="47">
    <w:p w14:paraId="2432157A" w14:textId="4E929D36" w:rsidR="001148FE" w:rsidRPr="005319EA" w:rsidRDefault="001148FE" w:rsidP="001C756C">
      <w:pPr>
        <w:pStyle w:val="FootnoteText"/>
        <w:snapToGrid w:val="0"/>
        <w:jc w:val="both"/>
      </w:pPr>
      <w:r w:rsidRPr="005319EA">
        <w:rPr>
          <w:vertAlign w:val="superscript"/>
        </w:rPr>
        <w:footnoteRef/>
      </w:r>
      <w:r w:rsidRPr="005319EA">
        <w:t xml:space="preserve"> </w:t>
      </w:r>
      <w:r w:rsidR="00D0380F" w:rsidRPr="005319EA">
        <w:t xml:space="preserve">Handbook on Protection of Stateless Persons, </w:t>
      </w:r>
      <w:r w:rsidR="00D0380F" w:rsidRPr="005319EA">
        <w:rPr>
          <w:i/>
          <w:iCs/>
        </w:rPr>
        <w:t>supra</w:t>
      </w:r>
      <w:r w:rsidR="00D0380F" w:rsidRPr="005319EA">
        <w:t xml:space="preserve"> note 27, at 5.</w:t>
      </w:r>
    </w:p>
  </w:footnote>
  <w:footnote w:id="48">
    <w:p w14:paraId="76374968" w14:textId="0905B63B" w:rsidR="00165F2B" w:rsidRPr="005319EA" w:rsidRDefault="00165F2B" w:rsidP="001C756C">
      <w:pPr>
        <w:pStyle w:val="FootnoteText"/>
        <w:snapToGrid w:val="0"/>
        <w:jc w:val="both"/>
      </w:pPr>
      <w:r w:rsidRPr="005319EA">
        <w:rPr>
          <w:vertAlign w:val="superscript"/>
        </w:rPr>
        <w:footnoteRef/>
      </w:r>
      <w:r w:rsidRPr="005319EA">
        <w:t xml:space="preserve"> </w:t>
      </w:r>
      <w:r w:rsidR="00D0380F" w:rsidRPr="005319EA">
        <w:t>Military and Paramilitary Activities in and Against Nicaragua (Nicar. v. U.S.), Judgment, 1986 I.C.J. Rep. 14, </w:t>
      </w:r>
      <w:r w:rsidR="00915B94" w:rsidRPr="005319EA">
        <w:t>paras.</w:t>
      </w:r>
      <w:r w:rsidR="00D0380F" w:rsidRPr="005319EA">
        <w:t> 202, 205 (June 27) [“</w:t>
      </w:r>
      <w:r w:rsidR="00921CAE" w:rsidRPr="005319EA">
        <w:t>Military and Paramilitary Activities</w:t>
      </w:r>
      <w:r w:rsidR="00D0380F" w:rsidRPr="005319EA">
        <w:t>”].</w:t>
      </w:r>
    </w:p>
  </w:footnote>
  <w:footnote w:id="49">
    <w:p w14:paraId="72F9F5B1" w14:textId="47A85B2D" w:rsidR="002C611F" w:rsidRPr="005319EA" w:rsidRDefault="002C611F" w:rsidP="001C756C">
      <w:pPr>
        <w:pStyle w:val="FootnoteText"/>
        <w:snapToGrid w:val="0"/>
        <w:jc w:val="both"/>
      </w:pPr>
      <w:r w:rsidRPr="005319EA">
        <w:rPr>
          <w:vertAlign w:val="superscript"/>
        </w:rPr>
        <w:footnoteRef/>
      </w:r>
      <w:r w:rsidRPr="005319EA">
        <w:rPr>
          <w:vertAlign w:val="superscript"/>
        </w:rPr>
        <w:t xml:space="preserve"> </w:t>
      </w:r>
      <w:r w:rsidR="00D0380F" w:rsidRPr="005319EA">
        <w:rPr>
          <w:i/>
          <w:iCs/>
        </w:rPr>
        <w:t>Id.</w:t>
      </w:r>
      <w:r w:rsidR="00D0380F" w:rsidRPr="005319EA">
        <w:t xml:space="preserve"> </w:t>
      </w:r>
      <w:r w:rsidR="00CE3512" w:rsidRPr="005319EA">
        <w:rPr>
          <w:rFonts w:eastAsia="Calibri"/>
        </w:rPr>
        <w:t>para.</w:t>
      </w:r>
      <w:r w:rsidR="00CE3512" w:rsidRPr="005319EA">
        <w:t xml:space="preserve"> </w:t>
      </w:r>
      <w:r w:rsidR="00D0380F" w:rsidRPr="005319EA">
        <w:t>276. </w:t>
      </w:r>
      <w:r w:rsidR="00D0380F" w:rsidRPr="005319EA">
        <w:rPr>
          <w:i/>
          <w:iCs/>
        </w:rPr>
        <w:t>See also</w:t>
      </w:r>
      <w:r w:rsidR="00D0380F" w:rsidRPr="005319EA">
        <w:t xml:space="preserve"> Armed Activities on the Territory of the Congo (Dem. Rep. Congo v. Uganda), Judgments, 2005 I.C.J. Rep 168, </w:t>
      </w:r>
      <w:r w:rsidR="00CE3512" w:rsidRPr="005319EA">
        <w:rPr>
          <w:rFonts w:eastAsia="Calibri"/>
        </w:rPr>
        <w:t>para.</w:t>
      </w:r>
      <w:r w:rsidR="00CE3512" w:rsidRPr="005319EA">
        <w:t xml:space="preserve"> </w:t>
      </w:r>
      <w:r w:rsidR="00D0380F" w:rsidRPr="005319EA">
        <w:t>164 (Dec. 19)</w:t>
      </w:r>
      <w:r w:rsidR="00C05C27" w:rsidRPr="005319EA">
        <w:t>;</w:t>
      </w:r>
      <w:r w:rsidR="00D0380F" w:rsidRPr="005319EA">
        <w:t xml:space="preserve"> </w:t>
      </w:r>
      <w:r w:rsidR="00D0380F" w:rsidRPr="005319EA">
        <w:rPr>
          <w:rStyle w:val="normaltextrun"/>
          <w:shd w:val="clear" w:color="auto" w:fill="FFFFFF"/>
        </w:rPr>
        <w:t>Corfu Channel (U.K. v. Alb.), Judgment, 1949 I.C.J. Rep. 4</w:t>
      </w:r>
      <w:r w:rsidR="00C05C27" w:rsidRPr="005319EA">
        <w:rPr>
          <w:rStyle w:val="normaltextrun"/>
          <w:shd w:val="clear" w:color="auto" w:fill="FFFFFF"/>
        </w:rPr>
        <w:t>, 35</w:t>
      </w:r>
      <w:r w:rsidR="00D0380F" w:rsidRPr="005319EA">
        <w:rPr>
          <w:rStyle w:val="normaltextrun"/>
          <w:shd w:val="clear" w:color="auto" w:fill="FFFFFF"/>
        </w:rPr>
        <w:t xml:space="preserve"> (Apr. 9).</w:t>
      </w:r>
    </w:p>
  </w:footnote>
  <w:footnote w:id="50">
    <w:p w14:paraId="7F9A3B20" w14:textId="5E7DA45B"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D0380F" w:rsidRPr="005319EA">
        <w:rPr>
          <w:sz w:val="20"/>
          <w:szCs w:val="20"/>
        </w:rPr>
        <w:t xml:space="preserve">Satvinder S. Juss, </w:t>
      </w:r>
      <w:r w:rsidR="00D0380F" w:rsidRPr="005319EA">
        <w:rPr>
          <w:i/>
          <w:iCs/>
          <w:sz w:val="20"/>
          <w:szCs w:val="20"/>
        </w:rPr>
        <w:t>Nationality Law, Sovereignty, and the Doctrine of Exclusive Domestic Jurisdiction</w:t>
      </w:r>
      <w:r w:rsidR="00D0380F" w:rsidRPr="005319EA">
        <w:rPr>
          <w:sz w:val="20"/>
          <w:szCs w:val="20"/>
        </w:rPr>
        <w:t xml:space="preserve">, 9 </w:t>
      </w:r>
      <w:r w:rsidR="00D0380F" w:rsidRPr="005319EA">
        <w:rPr>
          <w:smallCaps/>
          <w:sz w:val="20"/>
          <w:szCs w:val="20"/>
        </w:rPr>
        <w:t>FLA. J. Int'l L.</w:t>
      </w:r>
      <w:r w:rsidR="00D0380F" w:rsidRPr="005319EA">
        <w:rPr>
          <w:sz w:val="20"/>
          <w:szCs w:val="20"/>
        </w:rPr>
        <w:t xml:space="preserve"> 219, 222 (1994).</w:t>
      </w:r>
    </w:p>
  </w:footnote>
  <w:footnote w:id="51">
    <w:p w14:paraId="031F8024" w14:textId="4152A31B" w:rsidR="00951387" w:rsidRPr="005319EA" w:rsidRDefault="00951387" w:rsidP="001C756C">
      <w:pPr>
        <w:pStyle w:val="FootnoteText"/>
        <w:snapToGrid w:val="0"/>
        <w:jc w:val="both"/>
      </w:pPr>
      <w:r w:rsidRPr="005319EA">
        <w:rPr>
          <w:vertAlign w:val="superscript"/>
        </w:rPr>
        <w:footnoteRef/>
      </w:r>
      <w:r w:rsidRPr="005319EA">
        <w:t xml:space="preserve"> </w:t>
      </w:r>
      <w:r w:rsidR="00D0380F" w:rsidRPr="005319EA">
        <w:t xml:space="preserve">Nottebohm, </w:t>
      </w:r>
      <w:r w:rsidR="00D0380F" w:rsidRPr="005319EA">
        <w:rPr>
          <w:i/>
          <w:iCs/>
        </w:rPr>
        <w:t>supra</w:t>
      </w:r>
      <w:r w:rsidR="00D0380F" w:rsidRPr="005319EA">
        <w:t xml:space="preserve"> note 2. </w:t>
      </w:r>
      <w:r w:rsidR="00D0380F" w:rsidRPr="005319EA">
        <w:rPr>
          <w:i/>
          <w:iCs/>
        </w:rPr>
        <w:t>See also</w:t>
      </w:r>
      <w:r w:rsidR="00D0380F" w:rsidRPr="005319EA">
        <w:t xml:space="preserve"> </w:t>
      </w:r>
      <w:bookmarkStart w:id="38" w:name="_Hlk155888960"/>
      <w:r w:rsidR="00D0380F" w:rsidRPr="005319EA">
        <w:t>Convention on Certain Questions Relating to the Conflict of Nationality Law, art. 2, July 1, 1937,</w:t>
      </w:r>
      <w:r w:rsidR="000E102A" w:rsidRPr="005319EA">
        <w:t xml:space="preserve"> </w:t>
      </w:r>
      <w:r w:rsidR="00D0380F" w:rsidRPr="005319EA">
        <w:t>179 L.N.T.S 89.</w:t>
      </w:r>
      <w:bookmarkEnd w:id="38"/>
      <w:r w:rsidR="00D0380F" w:rsidRPr="005319EA">
        <w:t xml:space="preserve"> </w:t>
      </w:r>
      <w:r w:rsidR="00D0380F" w:rsidRPr="005319EA">
        <w:rPr>
          <w:i/>
          <w:iCs/>
        </w:rPr>
        <w:t>See generally</w:t>
      </w:r>
      <w:r w:rsidR="00D0380F" w:rsidRPr="005319EA">
        <w:t xml:space="preserve"> </w:t>
      </w:r>
      <w:bookmarkStart w:id="39" w:name="_Hlk155889901"/>
      <w:r w:rsidR="00C777D7" w:rsidRPr="005319EA">
        <w:t xml:space="preserve">4 </w:t>
      </w:r>
      <w:r w:rsidR="00D0380F" w:rsidRPr="005319EA">
        <w:t xml:space="preserve">U.N., </w:t>
      </w:r>
      <w:r w:rsidR="00D0380F" w:rsidRPr="005319EA">
        <w:rPr>
          <w:smallCaps/>
        </w:rPr>
        <w:t>Laws Concerning Nationality</w:t>
      </w:r>
      <w:r w:rsidR="00C777D7" w:rsidRPr="005319EA">
        <w:t xml:space="preserve"> </w:t>
      </w:r>
      <w:r w:rsidR="00D0380F" w:rsidRPr="005319EA">
        <w:t>(1954).</w:t>
      </w:r>
      <w:bookmarkEnd w:id="39"/>
    </w:p>
  </w:footnote>
  <w:footnote w:id="52">
    <w:p w14:paraId="6405C422" w14:textId="77777777" w:rsidR="00E97774" w:rsidRPr="005319EA" w:rsidRDefault="00E97774"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Compromis, </w:t>
      </w:r>
      <w:r w:rsidRPr="005319EA">
        <w:rPr>
          <w:rFonts w:eastAsia="Calibri"/>
          <w:sz w:val="20"/>
          <w:szCs w:val="20"/>
        </w:rPr>
        <w:t>para.</w:t>
      </w:r>
      <w:r w:rsidRPr="005319EA">
        <w:rPr>
          <w:sz w:val="20"/>
          <w:szCs w:val="20"/>
        </w:rPr>
        <w:t xml:space="preserve"> 7.</w:t>
      </w:r>
    </w:p>
  </w:footnote>
  <w:footnote w:id="53">
    <w:p w14:paraId="45C96ECE" w14:textId="79043156" w:rsidR="00165F2B" w:rsidRPr="005319EA" w:rsidRDefault="00165F2B" w:rsidP="001C756C">
      <w:pPr>
        <w:pStyle w:val="FootnoteText"/>
        <w:snapToGrid w:val="0"/>
        <w:jc w:val="both"/>
      </w:pPr>
      <w:r w:rsidRPr="005319EA">
        <w:rPr>
          <w:vertAlign w:val="superscript"/>
        </w:rPr>
        <w:footnoteRef/>
      </w:r>
      <w:r w:rsidRPr="005319EA">
        <w:t xml:space="preserve"> </w:t>
      </w:r>
      <w:r w:rsidR="00921CAE" w:rsidRPr="005319EA">
        <w:t>Military and Paramilitary Activities</w:t>
      </w:r>
      <w:r w:rsidR="00D0380F" w:rsidRPr="005319EA">
        <w:t xml:space="preserve">, </w:t>
      </w:r>
      <w:r w:rsidR="00D0380F" w:rsidRPr="005319EA">
        <w:rPr>
          <w:i/>
          <w:iCs/>
        </w:rPr>
        <w:t xml:space="preserve">supra </w:t>
      </w:r>
      <w:r w:rsidR="00D0380F" w:rsidRPr="005319EA">
        <w:t>note 47,</w:t>
      </w:r>
      <w:r w:rsidR="00AB472A" w:rsidRPr="005319EA">
        <w:t xml:space="preserve"> </w:t>
      </w:r>
      <w:r w:rsidR="00E10E56" w:rsidRPr="005319EA">
        <w:t xml:space="preserve">¶ </w:t>
      </w:r>
      <w:r w:rsidR="00D0380F" w:rsidRPr="005319EA">
        <w:t>276.</w:t>
      </w:r>
    </w:p>
  </w:footnote>
  <w:footnote w:id="54">
    <w:p w14:paraId="20F45C87" w14:textId="2AD43C7A" w:rsidR="00A11F51" w:rsidRPr="005319EA" w:rsidRDefault="00A11F51" w:rsidP="001C756C">
      <w:pPr>
        <w:pStyle w:val="FootnoteText"/>
        <w:snapToGrid w:val="0"/>
        <w:jc w:val="both"/>
      </w:pPr>
      <w:r w:rsidRPr="005319EA">
        <w:rPr>
          <w:vertAlign w:val="superscript"/>
        </w:rPr>
        <w:footnoteRef/>
      </w:r>
      <w:r w:rsidRPr="005319EA">
        <w:t xml:space="preserve"> </w:t>
      </w:r>
      <w:r w:rsidR="00D0380F" w:rsidRPr="005319EA">
        <w:t xml:space="preserve">Hurst Hannum, </w:t>
      </w:r>
      <w:r w:rsidR="00D0380F" w:rsidRPr="005319EA">
        <w:rPr>
          <w:i/>
          <w:iCs/>
        </w:rPr>
        <w:t>The Status of the Universal Declaration of Human Rights in National and International Law</w:t>
      </w:r>
      <w:r w:rsidR="00D0380F" w:rsidRPr="005319EA">
        <w:t xml:space="preserve">, 25 </w:t>
      </w:r>
      <w:r w:rsidR="00D0380F" w:rsidRPr="005319EA">
        <w:rPr>
          <w:smallCaps/>
        </w:rPr>
        <w:t xml:space="preserve">Ga. J. Int'l &amp; Comp. </w:t>
      </w:r>
      <w:r w:rsidR="00D0380F" w:rsidRPr="005319EA">
        <w:t>L. 287, 337 (1995).</w:t>
      </w:r>
    </w:p>
  </w:footnote>
  <w:footnote w:id="55">
    <w:p w14:paraId="6AE92368" w14:textId="708C9C45" w:rsidR="005D040B" w:rsidRPr="005319EA" w:rsidRDefault="005D040B"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D0380F" w:rsidRPr="005319EA">
        <w:rPr>
          <w:rStyle w:val="normaltextrun"/>
          <w:sz w:val="20"/>
          <w:szCs w:val="20"/>
          <w:shd w:val="clear" w:color="auto" w:fill="FFFFFF"/>
        </w:rPr>
        <w:t xml:space="preserve">G.A. Res. 217 (III) A, Universal Declaration of Human Rights, art. 15(2) (Dec. 10, 1948) </w:t>
      </w:r>
      <w:r w:rsidR="00D0380F" w:rsidRPr="005319EA">
        <w:rPr>
          <w:sz w:val="20"/>
          <w:szCs w:val="20"/>
        </w:rPr>
        <w:t>[“UDHR”].</w:t>
      </w:r>
    </w:p>
  </w:footnote>
  <w:footnote w:id="56">
    <w:p w14:paraId="4D3BFF25" w14:textId="1CD2C987" w:rsidR="00A11F51" w:rsidRPr="005319EA" w:rsidRDefault="00A11F51" w:rsidP="001C756C">
      <w:pPr>
        <w:pStyle w:val="FootnoteText"/>
        <w:snapToGrid w:val="0"/>
        <w:jc w:val="both"/>
      </w:pPr>
      <w:r w:rsidRPr="005319EA">
        <w:rPr>
          <w:vertAlign w:val="superscript"/>
        </w:rPr>
        <w:footnoteRef/>
      </w:r>
      <w:r w:rsidRPr="005319EA">
        <w:t xml:space="preserve"> </w:t>
      </w:r>
      <w:bookmarkStart w:id="43" w:name="_Hlk155886111"/>
      <w:r w:rsidR="003961AB" w:rsidRPr="005319EA">
        <w:t>OAS</w:t>
      </w:r>
      <w:r w:rsidR="00D0380F" w:rsidRPr="005319EA">
        <w:t>, American Convention on Human Rights, art. 20, Nov. 22, 1969, 1144 U.N.T.S. 123</w:t>
      </w:r>
      <w:bookmarkEnd w:id="43"/>
      <w:r w:rsidR="00D0380F" w:rsidRPr="005319EA">
        <w:t xml:space="preserve">. </w:t>
      </w:r>
      <w:r w:rsidR="00D0380F" w:rsidRPr="005319EA">
        <w:rPr>
          <w:i/>
          <w:iCs/>
        </w:rPr>
        <w:t>See also</w:t>
      </w:r>
      <w:r w:rsidR="00D0380F" w:rsidRPr="005319EA">
        <w:t xml:space="preserve"> Kawas Fernández v. Honduras, </w:t>
      </w:r>
      <w:r w:rsidR="00033D1F" w:rsidRPr="005319EA">
        <w:t>IACtHR</w:t>
      </w:r>
      <w:r w:rsidR="00D0380F" w:rsidRPr="005319EA">
        <w:t xml:space="preserve"> (ser. C) No. 118 (2009); </w:t>
      </w:r>
      <w:r w:rsidR="00E55D13" w:rsidRPr="005319EA">
        <w:t>K2 v. U.K.</w:t>
      </w:r>
      <w:r w:rsidR="00D0380F" w:rsidRPr="005319EA">
        <w:t>., App. No. 42387/13,</w:t>
      </w:r>
      <w:r w:rsidR="00033D1F" w:rsidRPr="005319EA">
        <w:t xml:space="preserve"> ECtHR</w:t>
      </w:r>
      <w:r w:rsidR="00D0380F" w:rsidRPr="005319EA">
        <w:t xml:space="preserve"> (Feb. 7, 2017).</w:t>
      </w:r>
    </w:p>
  </w:footnote>
  <w:footnote w:id="57">
    <w:p w14:paraId="62272710" w14:textId="5B2E4AF1" w:rsidR="002D06EC" w:rsidRPr="005319EA" w:rsidRDefault="002D06EC" w:rsidP="001C756C">
      <w:pPr>
        <w:pStyle w:val="FootnoteText"/>
        <w:snapToGrid w:val="0"/>
        <w:jc w:val="both"/>
      </w:pPr>
      <w:r w:rsidRPr="005319EA">
        <w:rPr>
          <w:vertAlign w:val="superscript"/>
        </w:rPr>
        <w:footnoteRef/>
      </w:r>
      <w:r w:rsidRPr="005319EA">
        <w:t xml:space="preserve"> </w:t>
      </w:r>
      <w:r w:rsidR="00252FE6" w:rsidRPr="005319EA">
        <w:rPr>
          <w:i/>
          <w:iCs/>
        </w:rPr>
        <w:t xml:space="preserve">See </w:t>
      </w:r>
      <w:r w:rsidR="00252FE6" w:rsidRPr="005319EA">
        <w:rPr>
          <w:smallCaps/>
        </w:rPr>
        <w:t xml:space="preserve">Guilio Bartolini, </w:t>
      </w:r>
      <w:r w:rsidR="00252FE6" w:rsidRPr="005319EA">
        <w:rPr>
          <w:i/>
          <w:iCs/>
        </w:rPr>
        <w:t>The Historical Roots of the Due Diligence Standard</w:t>
      </w:r>
      <w:r w:rsidR="00252FE6" w:rsidRPr="005319EA">
        <w:t xml:space="preserve"> in </w:t>
      </w:r>
      <w:r w:rsidR="00252FE6" w:rsidRPr="005319EA">
        <w:rPr>
          <w:smallCaps/>
        </w:rPr>
        <w:t xml:space="preserve">Due Diligence in the International Legal Order 23-41 </w:t>
      </w:r>
      <w:r w:rsidR="00252FE6" w:rsidRPr="005319EA">
        <w:t>(Heidi Krieger et al. eds. 2020).</w:t>
      </w:r>
      <w:r w:rsidR="00252FE6" w:rsidRPr="005319EA">
        <w:rPr>
          <w:i/>
          <w:iCs/>
        </w:rPr>
        <w:t xml:space="preserve"> See also </w:t>
      </w:r>
      <w:r w:rsidR="00252FE6" w:rsidRPr="005319EA">
        <w:t xml:space="preserve">Medes Malaihollo, </w:t>
      </w:r>
      <w:r w:rsidR="00252FE6" w:rsidRPr="005319EA">
        <w:rPr>
          <w:i/>
          <w:iCs/>
        </w:rPr>
        <w:t>Due Diligence in International Environmental Law and International Human Rights Law: A Comparative Legal Study of the Nationally Determined Contributions under the Paris Agreement and Positive Obligations under the European Convention on Human Rights</w:t>
      </w:r>
      <w:r w:rsidR="00252FE6" w:rsidRPr="005319EA">
        <w:t xml:space="preserve">, 68 </w:t>
      </w:r>
      <w:r w:rsidR="00252FE6" w:rsidRPr="005319EA">
        <w:rPr>
          <w:smallCaps/>
        </w:rPr>
        <w:t xml:space="preserve">Netherlands Int’l. LR </w:t>
      </w:r>
      <w:r w:rsidR="00252FE6" w:rsidRPr="005319EA">
        <w:t>121, n.105 (2021).</w:t>
      </w:r>
    </w:p>
  </w:footnote>
  <w:footnote w:id="58">
    <w:p w14:paraId="72FC0F8B" w14:textId="30E5B790" w:rsidR="00D20BF1" w:rsidRPr="005319EA" w:rsidRDefault="00D20BF1" w:rsidP="001C756C">
      <w:pPr>
        <w:pStyle w:val="FootnoteText"/>
        <w:snapToGrid w:val="0"/>
        <w:jc w:val="both"/>
        <w:rPr>
          <w:lang w:val="it-IT"/>
        </w:rPr>
      </w:pPr>
      <w:r w:rsidRPr="005319EA">
        <w:rPr>
          <w:vertAlign w:val="superscript"/>
        </w:rPr>
        <w:footnoteRef/>
      </w:r>
      <w:r w:rsidRPr="005319EA">
        <w:rPr>
          <w:vertAlign w:val="superscript"/>
          <w:lang w:val="it-IT"/>
        </w:rPr>
        <w:t xml:space="preserve"> </w:t>
      </w:r>
      <w:r w:rsidR="008E2B58" w:rsidRPr="005319EA">
        <w:rPr>
          <w:lang w:val="it-IT"/>
        </w:rPr>
        <w:t xml:space="preserve">Malaihollo, </w:t>
      </w:r>
      <w:r w:rsidR="008E2B58" w:rsidRPr="005319EA">
        <w:rPr>
          <w:i/>
          <w:iCs/>
          <w:lang w:val="it-IT"/>
        </w:rPr>
        <w:t xml:space="preserve">supra </w:t>
      </w:r>
      <w:r w:rsidR="008E2B58" w:rsidRPr="005319EA">
        <w:rPr>
          <w:lang w:val="it-IT"/>
        </w:rPr>
        <w:t xml:space="preserve">note </w:t>
      </w:r>
      <w:r w:rsidR="00502FCE" w:rsidRPr="005319EA">
        <w:rPr>
          <w:lang w:val="it-IT"/>
        </w:rPr>
        <w:t xml:space="preserve">56 </w:t>
      </w:r>
      <w:r w:rsidR="00252FE6" w:rsidRPr="005319EA">
        <w:rPr>
          <w:lang w:val="it-IT"/>
        </w:rPr>
        <w:t>n.106.</w:t>
      </w:r>
      <w:r w:rsidR="00AB6490" w:rsidRPr="005319EA">
        <w:rPr>
          <w:i/>
          <w:iCs/>
          <w:lang w:val="it-IT"/>
        </w:rPr>
        <w:t xml:space="preserve"> </w:t>
      </w:r>
    </w:p>
  </w:footnote>
  <w:footnote w:id="59">
    <w:p w14:paraId="079EC14B" w14:textId="2FCCDED4" w:rsidR="00D20BF1" w:rsidRPr="005319EA" w:rsidRDefault="00D20BF1" w:rsidP="001C756C">
      <w:pPr>
        <w:pBdr>
          <w:top w:val="nil"/>
          <w:left w:val="nil"/>
          <w:bottom w:val="nil"/>
          <w:right w:val="nil"/>
          <w:between w:val="nil"/>
        </w:pBdr>
        <w:snapToGrid w:val="0"/>
        <w:spacing w:before="0" w:after="0"/>
        <w:jc w:val="both"/>
        <w:rPr>
          <w:sz w:val="20"/>
          <w:szCs w:val="20"/>
          <w:lang w:val="it-IT"/>
        </w:rPr>
      </w:pPr>
      <w:r w:rsidRPr="005319EA">
        <w:rPr>
          <w:sz w:val="20"/>
          <w:szCs w:val="20"/>
          <w:vertAlign w:val="superscript"/>
        </w:rPr>
        <w:footnoteRef/>
      </w:r>
      <w:r w:rsidRPr="005319EA">
        <w:rPr>
          <w:sz w:val="20"/>
          <w:szCs w:val="20"/>
          <w:vertAlign w:val="superscript"/>
          <w:lang w:val="it-IT"/>
        </w:rPr>
        <w:t xml:space="preserve"> </w:t>
      </w:r>
      <w:r w:rsidR="00AB6490" w:rsidRPr="005319EA">
        <w:rPr>
          <w:i/>
          <w:iCs/>
          <w:sz w:val="20"/>
          <w:szCs w:val="20"/>
          <w:lang w:val="it-IT"/>
        </w:rPr>
        <w:t xml:space="preserve">Id. </w:t>
      </w:r>
    </w:p>
  </w:footnote>
  <w:footnote w:id="60">
    <w:p w14:paraId="6E527FAA" w14:textId="77BFEAF2" w:rsidR="009E62CA" w:rsidRPr="005319EA" w:rsidRDefault="009E62CA" w:rsidP="001C756C">
      <w:pPr>
        <w:snapToGrid w:val="0"/>
        <w:spacing w:before="0" w:after="0"/>
        <w:jc w:val="both"/>
        <w:rPr>
          <w:sz w:val="20"/>
          <w:szCs w:val="20"/>
          <w:lang w:val="it-IT"/>
        </w:rPr>
      </w:pPr>
      <w:r w:rsidRPr="005319EA">
        <w:rPr>
          <w:sz w:val="20"/>
          <w:szCs w:val="20"/>
          <w:vertAlign w:val="superscript"/>
        </w:rPr>
        <w:footnoteRef/>
      </w:r>
      <w:r w:rsidRPr="005319EA">
        <w:rPr>
          <w:sz w:val="20"/>
          <w:szCs w:val="20"/>
          <w:lang w:val="it-IT"/>
        </w:rPr>
        <w:t xml:space="preserve"> </w:t>
      </w:r>
      <w:r w:rsidR="00AB6490" w:rsidRPr="005319EA">
        <w:rPr>
          <w:sz w:val="20"/>
          <w:szCs w:val="20"/>
          <w:lang w:val="it-IT"/>
        </w:rPr>
        <w:t xml:space="preserve">K2, </w:t>
      </w:r>
      <w:r w:rsidR="00E55D13" w:rsidRPr="005319EA">
        <w:rPr>
          <w:i/>
          <w:iCs/>
          <w:sz w:val="20"/>
          <w:szCs w:val="20"/>
          <w:lang w:val="it-IT"/>
        </w:rPr>
        <w:t xml:space="preserve">supra </w:t>
      </w:r>
      <w:r w:rsidR="00E55D13" w:rsidRPr="005319EA">
        <w:rPr>
          <w:sz w:val="20"/>
          <w:szCs w:val="20"/>
          <w:lang w:val="it-IT"/>
        </w:rPr>
        <w:t>note 56</w:t>
      </w:r>
      <w:r w:rsidR="003961AB" w:rsidRPr="005319EA">
        <w:rPr>
          <w:sz w:val="20"/>
          <w:szCs w:val="20"/>
          <w:lang w:val="it-IT"/>
        </w:rPr>
        <w:t xml:space="preserve">, </w:t>
      </w:r>
      <w:r w:rsidR="00CE3512" w:rsidRPr="005319EA">
        <w:rPr>
          <w:rFonts w:eastAsia="Calibri"/>
          <w:sz w:val="20"/>
          <w:szCs w:val="20"/>
          <w:lang w:val="it-IT"/>
        </w:rPr>
        <w:t>para.</w:t>
      </w:r>
      <w:r w:rsidR="00CE3512" w:rsidRPr="005319EA">
        <w:rPr>
          <w:sz w:val="20"/>
          <w:szCs w:val="20"/>
          <w:lang w:val="it-IT"/>
        </w:rPr>
        <w:t xml:space="preserve"> </w:t>
      </w:r>
      <w:r w:rsidR="00AB6490" w:rsidRPr="005319EA">
        <w:rPr>
          <w:sz w:val="20"/>
          <w:szCs w:val="20"/>
          <w:lang w:val="it-IT"/>
        </w:rPr>
        <w:t>61.</w:t>
      </w:r>
    </w:p>
  </w:footnote>
  <w:footnote w:id="61">
    <w:p w14:paraId="723AC2AF" w14:textId="5FBAC43F" w:rsidR="009E62CA" w:rsidRPr="005319EA" w:rsidRDefault="009E62CA" w:rsidP="001C756C">
      <w:pPr>
        <w:snapToGrid w:val="0"/>
        <w:spacing w:before="0" w:after="0"/>
        <w:jc w:val="both"/>
        <w:rPr>
          <w:sz w:val="20"/>
          <w:szCs w:val="20"/>
          <w:lang w:val="it-IT"/>
        </w:rPr>
      </w:pPr>
      <w:r w:rsidRPr="005319EA">
        <w:rPr>
          <w:sz w:val="20"/>
          <w:szCs w:val="20"/>
          <w:vertAlign w:val="superscript"/>
        </w:rPr>
        <w:footnoteRef/>
      </w:r>
      <w:r w:rsidRPr="005319EA">
        <w:rPr>
          <w:sz w:val="20"/>
          <w:szCs w:val="20"/>
          <w:lang w:val="it-IT"/>
        </w:rPr>
        <w:t xml:space="preserve"> </w:t>
      </w:r>
      <w:r w:rsidR="00AB6490" w:rsidRPr="005319EA">
        <w:rPr>
          <w:i/>
          <w:iCs/>
          <w:sz w:val="20"/>
          <w:szCs w:val="20"/>
          <w:lang w:val="it-IT"/>
        </w:rPr>
        <w:t xml:space="preserve">Id. </w:t>
      </w:r>
      <w:r w:rsidR="00AB6490" w:rsidRPr="005319EA">
        <w:rPr>
          <w:sz w:val="20"/>
          <w:szCs w:val="20"/>
          <w:lang w:val="it-IT"/>
        </w:rPr>
        <w:t>at</w:t>
      </w:r>
      <w:r w:rsidR="005217F8" w:rsidRPr="005319EA">
        <w:rPr>
          <w:sz w:val="20"/>
          <w:szCs w:val="20"/>
          <w:lang w:val="it-IT"/>
        </w:rPr>
        <w:t xml:space="preserve"> </w:t>
      </w:r>
      <w:r w:rsidR="00CE3512" w:rsidRPr="005319EA">
        <w:rPr>
          <w:rFonts w:eastAsia="Calibri"/>
          <w:sz w:val="20"/>
          <w:szCs w:val="20"/>
          <w:lang w:val="it-IT"/>
        </w:rPr>
        <w:t>para.</w:t>
      </w:r>
      <w:r w:rsidR="00CE3512" w:rsidRPr="005319EA">
        <w:rPr>
          <w:sz w:val="20"/>
          <w:szCs w:val="20"/>
          <w:lang w:val="it-IT"/>
        </w:rPr>
        <w:t xml:space="preserve"> </w:t>
      </w:r>
      <w:r w:rsidR="005217F8" w:rsidRPr="005319EA">
        <w:rPr>
          <w:sz w:val="20"/>
          <w:szCs w:val="20"/>
          <w:lang w:val="it-IT"/>
        </w:rPr>
        <w:t>61.</w:t>
      </w:r>
    </w:p>
  </w:footnote>
  <w:footnote w:id="62">
    <w:p w14:paraId="06F3A9F2" w14:textId="7E310CB4" w:rsidR="004527FE" w:rsidRPr="005319EA" w:rsidRDefault="004527FE" w:rsidP="001C756C">
      <w:pPr>
        <w:pStyle w:val="FootnoteText"/>
        <w:snapToGrid w:val="0"/>
        <w:jc w:val="both"/>
        <w:rPr>
          <w:lang w:val="it-IT"/>
        </w:rPr>
      </w:pPr>
      <w:r w:rsidRPr="005319EA">
        <w:rPr>
          <w:vertAlign w:val="superscript"/>
        </w:rPr>
        <w:footnoteRef/>
      </w:r>
      <w:r w:rsidRPr="005319EA">
        <w:rPr>
          <w:vertAlign w:val="superscript"/>
          <w:lang w:val="it-IT"/>
        </w:rPr>
        <w:t xml:space="preserve"> </w:t>
      </w:r>
      <w:r w:rsidRPr="005319EA">
        <w:rPr>
          <w:lang w:val="it-IT"/>
        </w:rPr>
        <w:t xml:space="preserve">Compromis, </w:t>
      </w:r>
      <w:r w:rsidR="00CE3512" w:rsidRPr="005319EA">
        <w:rPr>
          <w:rFonts w:eastAsia="Calibri"/>
          <w:lang w:val="it-IT"/>
        </w:rPr>
        <w:t>paras.</w:t>
      </w:r>
      <w:r w:rsidR="00CE3512" w:rsidRPr="005319EA">
        <w:rPr>
          <w:lang w:val="it-IT"/>
        </w:rPr>
        <w:t xml:space="preserve"> </w:t>
      </w:r>
      <w:r w:rsidRPr="005319EA">
        <w:rPr>
          <w:lang w:val="it-IT"/>
        </w:rPr>
        <w:t>33, 34</w:t>
      </w:r>
      <w:r w:rsidR="005217F8" w:rsidRPr="005319EA">
        <w:rPr>
          <w:lang w:val="it-IT"/>
        </w:rPr>
        <w:t>.</w:t>
      </w:r>
    </w:p>
  </w:footnote>
  <w:footnote w:id="63">
    <w:p w14:paraId="0FAEE3AA" w14:textId="47939BA5" w:rsidR="00F81700" w:rsidRPr="005319EA" w:rsidRDefault="00F81700" w:rsidP="001C756C">
      <w:pPr>
        <w:pStyle w:val="FootnoteText"/>
        <w:snapToGrid w:val="0"/>
        <w:jc w:val="both"/>
        <w:rPr>
          <w:lang w:val="it-IT"/>
        </w:rPr>
      </w:pPr>
      <w:r w:rsidRPr="005319EA">
        <w:rPr>
          <w:vertAlign w:val="superscript"/>
        </w:rPr>
        <w:footnoteRef/>
      </w:r>
      <w:r w:rsidRPr="005319EA">
        <w:rPr>
          <w:vertAlign w:val="superscript"/>
          <w:lang w:val="it-IT"/>
        </w:rPr>
        <w:t xml:space="preserve"> </w:t>
      </w:r>
      <w:r w:rsidRPr="005319EA">
        <w:rPr>
          <w:lang w:val="it-IT"/>
        </w:rPr>
        <w:t xml:space="preserve">Compromis </w:t>
      </w:r>
      <w:r w:rsidR="00CE3512" w:rsidRPr="005319EA">
        <w:rPr>
          <w:rFonts w:eastAsia="Calibri"/>
          <w:lang w:val="it-IT"/>
        </w:rPr>
        <w:t>para.</w:t>
      </w:r>
      <w:r w:rsidR="00CE3512" w:rsidRPr="005319EA">
        <w:rPr>
          <w:lang w:val="it-IT"/>
        </w:rPr>
        <w:t xml:space="preserve"> </w:t>
      </w:r>
      <w:r w:rsidR="002D06EC" w:rsidRPr="005319EA">
        <w:rPr>
          <w:lang w:val="it-IT"/>
        </w:rPr>
        <w:t>7</w:t>
      </w:r>
      <w:r w:rsidR="005217F8" w:rsidRPr="005319EA">
        <w:rPr>
          <w:lang w:val="it-IT"/>
        </w:rPr>
        <w:t>.</w:t>
      </w:r>
    </w:p>
  </w:footnote>
  <w:footnote w:id="64">
    <w:p w14:paraId="7A95B831" w14:textId="35993BCB" w:rsidR="002D06EC" w:rsidRPr="005319EA" w:rsidRDefault="002D06EC" w:rsidP="001C756C">
      <w:pPr>
        <w:pStyle w:val="FootnoteText"/>
        <w:snapToGrid w:val="0"/>
        <w:jc w:val="both"/>
        <w:rPr>
          <w:lang w:val="it-IT"/>
        </w:rPr>
      </w:pPr>
      <w:r w:rsidRPr="005319EA">
        <w:rPr>
          <w:vertAlign w:val="superscript"/>
        </w:rPr>
        <w:footnoteRef/>
      </w:r>
      <w:r w:rsidRPr="005319EA">
        <w:rPr>
          <w:lang w:val="it-IT"/>
        </w:rPr>
        <w:t xml:space="preserve"> </w:t>
      </w:r>
      <w:r w:rsidR="004F6C80" w:rsidRPr="005319EA">
        <w:rPr>
          <w:lang w:val="it-IT"/>
        </w:rPr>
        <w:t xml:space="preserve">Compromis, </w:t>
      </w:r>
      <w:r w:rsidR="00CE3512" w:rsidRPr="005319EA">
        <w:rPr>
          <w:rFonts w:eastAsia="Calibri"/>
          <w:lang w:val="it-IT"/>
        </w:rPr>
        <w:t>para.</w:t>
      </w:r>
      <w:r w:rsidR="00CE3512" w:rsidRPr="005319EA">
        <w:rPr>
          <w:lang w:val="it-IT"/>
        </w:rPr>
        <w:t xml:space="preserve"> </w:t>
      </w:r>
      <w:r w:rsidR="004F6C80" w:rsidRPr="005319EA">
        <w:rPr>
          <w:lang w:val="it-IT"/>
        </w:rPr>
        <w:t>31</w:t>
      </w:r>
      <w:r w:rsidR="005217F8" w:rsidRPr="005319EA">
        <w:rPr>
          <w:lang w:val="it-IT"/>
        </w:rPr>
        <w:t>.</w:t>
      </w:r>
    </w:p>
  </w:footnote>
  <w:footnote w:id="65">
    <w:p w14:paraId="3CF1F3BB" w14:textId="416A98E6" w:rsidR="004F6C80" w:rsidRPr="005319EA" w:rsidRDefault="004F6C80" w:rsidP="001C756C">
      <w:pPr>
        <w:pStyle w:val="FootnoteText"/>
        <w:snapToGrid w:val="0"/>
        <w:jc w:val="both"/>
      </w:pPr>
      <w:r w:rsidRPr="005319EA">
        <w:rPr>
          <w:vertAlign w:val="superscript"/>
        </w:rPr>
        <w:footnoteRef/>
      </w:r>
      <w:r w:rsidRPr="005319EA">
        <w:rPr>
          <w:vertAlign w:val="superscript"/>
          <w:lang w:val="it-IT"/>
        </w:rPr>
        <w:t xml:space="preserve"> </w:t>
      </w:r>
      <w:r w:rsidRPr="005319EA">
        <w:rPr>
          <w:lang w:val="it-IT"/>
        </w:rPr>
        <w:t xml:space="preserve">Compromis, </w:t>
      </w:r>
      <w:r w:rsidR="00CE3512" w:rsidRPr="005319EA">
        <w:rPr>
          <w:rFonts w:eastAsia="Calibri"/>
          <w:lang w:val="it-IT"/>
        </w:rPr>
        <w:t>para.</w:t>
      </w:r>
      <w:r w:rsidR="00CE3512" w:rsidRPr="005319EA">
        <w:rPr>
          <w:lang w:val="it-IT"/>
        </w:rPr>
        <w:t xml:space="preserve"> </w:t>
      </w:r>
      <w:r w:rsidRPr="005319EA">
        <w:t>34</w:t>
      </w:r>
      <w:r w:rsidR="005217F8" w:rsidRPr="005319EA">
        <w:t>.</w:t>
      </w:r>
    </w:p>
  </w:footnote>
  <w:footnote w:id="66">
    <w:p w14:paraId="293B73DE" w14:textId="18A54BBD"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5217F8" w:rsidRPr="005319EA">
        <w:rPr>
          <w:sz w:val="20"/>
          <w:szCs w:val="20"/>
        </w:rPr>
        <w:t xml:space="preserve">CRS, </w:t>
      </w:r>
      <w:r w:rsidR="005217F8" w:rsidRPr="005319EA">
        <w:rPr>
          <w:i/>
          <w:iCs/>
          <w:sz w:val="20"/>
          <w:szCs w:val="20"/>
        </w:rPr>
        <w:t xml:space="preserve">supra </w:t>
      </w:r>
      <w:r w:rsidR="005217F8" w:rsidRPr="005319EA">
        <w:rPr>
          <w:sz w:val="20"/>
          <w:szCs w:val="20"/>
        </w:rPr>
        <w:t xml:space="preserve">note </w:t>
      </w:r>
      <w:r w:rsidR="00750D64" w:rsidRPr="005319EA">
        <w:rPr>
          <w:sz w:val="20"/>
          <w:szCs w:val="20"/>
        </w:rPr>
        <w:t>17</w:t>
      </w:r>
      <w:r w:rsidR="005217F8" w:rsidRPr="005319EA">
        <w:rPr>
          <w:sz w:val="20"/>
          <w:szCs w:val="20"/>
        </w:rPr>
        <w:t xml:space="preserve">, art. </w:t>
      </w:r>
      <w:r w:rsidRPr="005319EA">
        <w:rPr>
          <w:sz w:val="20"/>
          <w:szCs w:val="20"/>
        </w:rPr>
        <w:t>8(3)(a)</w:t>
      </w:r>
      <w:r w:rsidR="005217F8" w:rsidRPr="005319EA">
        <w:rPr>
          <w:sz w:val="20"/>
          <w:szCs w:val="20"/>
        </w:rPr>
        <w:t>.</w:t>
      </w:r>
    </w:p>
  </w:footnote>
  <w:footnote w:id="67">
    <w:p w14:paraId="68D8D9B9" w14:textId="18575506"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AB5B51" w:rsidRPr="005319EA">
        <w:rPr>
          <w:sz w:val="20"/>
          <w:szCs w:val="20"/>
        </w:rPr>
        <w:t xml:space="preserve">VCLT, </w:t>
      </w:r>
      <w:r w:rsidR="00AB5B51" w:rsidRPr="005319EA">
        <w:rPr>
          <w:i/>
          <w:iCs/>
          <w:sz w:val="20"/>
          <w:szCs w:val="20"/>
        </w:rPr>
        <w:t xml:space="preserve">supra </w:t>
      </w:r>
      <w:r w:rsidR="00AB5B51" w:rsidRPr="005319EA">
        <w:rPr>
          <w:sz w:val="20"/>
          <w:szCs w:val="20"/>
        </w:rPr>
        <w:t xml:space="preserve">note 15, </w:t>
      </w:r>
      <w:r w:rsidRPr="005319EA">
        <w:rPr>
          <w:sz w:val="20"/>
          <w:szCs w:val="20"/>
        </w:rPr>
        <w:t>art. 2(1)(d) and 19-23</w:t>
      </w:r>
      <w:r w:rsidR="00AB5B51" w:rsidRPr="005319EA">
        <w:rPr>
          <w:sz w:val="20"/>
          <w:szCs w:val="20"/>
        </w:rPr>
        <w:t>.</w:t>
      </w:r>
    </w:p>
  </w:footnote>
  <w:footnote w:id="68">
    <w:p w14:paraId="62257262" w14:textId="695FD8A9"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00370685" w:rsidRPr="005319EA">
        <w:rPr>
          <w:sz w:val="20"/>
          <w:szCs w:val="20"/>
          <w:vertAlign w:val="superscript"/>
        </w:rPr>
        <w:t xml:space="preserve"> </w:t>
      </w:r>
      <w:r w:rsidR="00370685" w:rsidRPr="005319EA">
        <w:rPr>
          <w:sz w:val="20"/>
          <w:szCs w:val="20"/>
        </w:rPr>
        <w:t xml:space="preserve">Kelebogile Zvobgo et al., </w:t>
      </w:r>
      <w:r w:rsidR="00370685" w:rsidRPr="005319EA">
        <w:rPr>
          <w:i/>
          <w:iCs/>
          <w:sz w:val="20"/>
          <w:szCs w:val="20"/>
        </w:rPr>
        <w:t>Reserving Rights: Explaining Human Rights Treaty Reservations</w:t>
      </w:r>
      <w:r w:rsidR="00370685" w:rsidRPr="005319EA">
        <w:rPr>
          <w:sz w:val="20"/>
          <w:szCs w:val="20"/>
        </w:rPr>
        <w:t xml:space="preserve">, 64 </w:t>
      </w:r>
      <w:r w:rsidR="00370685" w:rsidRPr="005319EA">
        <w:rPr>
          <w:smallCaps/>
          <w:sz w:val="20"/>
          <w:szCs w:val="20"/>
        </w:rPr>
        <w:t>Int'l Studies Q.</w:t>
      </w:r>
      <w:r w:rsidR="00370685" w:rsidRPr="005319EA">
        <w:rPr>
          <w:sz w:val="20"/>
          <w:szCs w:val="20"/>
        </w:rPr>
        <w:t xml:space="preserve">, </w:t>
      </w:r>
      <w:r w:rsidR="006E37C1" w:rsidRPr="005319EA">
        <w:rPr>
          <w:sz w:val="20"/>
          <w:szCs w:val="20"/>
        </w:rPr>
        <w:t xml:space="preserve">785, </w:t>
      </w:r>
      <w:r w:rsidR="00370685" w:rsidRPr="005319EA">
        <w:rPr>
          <w:sz w:val="20"/>
          <w:szCs w:val="20"/>
        </w:rPr>
        <w:t>797 (2020).</w:t>
      </w:r>
    </w:p>
  </w:footnote>
  <w:footnote w:id="69">
    <w:p w14:paraId="51A2142F" w14:textId="696585F8"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FA1511" w:rsidRPr="005319EA">
        <w:rPr>
          <w:sz w:val="20"/>
          <w:szCs w:val="20"/>
        </w:rPr>
        <w:t xml:space="preserve">VCLT, </w:t>
      </w:r>
      <w:r w:rsidR="00FA1511" w:rsidRPr="005319EA">
        <w:rPr>
          <w:i/>
          <w:iCs/>
          <w:sz w:val="20"/>
          <w:szCs w:val="20"/>
        </w:rPr>
        <w:t xml:space="preserve">supra </w:t>
      </w:r>
      <w:r w:rsidR="00FA1511" w:rsidRPr="005319EA">
        <w:rPr>
          <w:sz w:val="20"/>
          <w:szCs w:val="20"/>
        </w:rPr>
        <w:t>note 15, art. 19</w:t>
      </w:r>
      <w:r w:rsidR="00370685" w:rsidRPr="005319EA">
        <w:rPr>
          <w:sz w:val="20"/>
          <w:szCs w:val="20"/>
        </w:rPr>
        <w:t>(c)</w:t>
      </w:r>
      <w:r w:rsidR="00FA1511" w:rsidRPr="005319EA">
        <w:rPr>
          <w:sz w:val="20"/>
          <w:szCs w:val="20"/>
        </w:rPr>
        <w:t>.</w:t>
      </w:r>
    </w:p>
  </w:footnote>
  <w:footnote w:id="70">
    <w:p w14:paraId="43B08423" w14:textId="125027C9" w:rsidR="006B4782" w:rsidRPr="005319EA" w:rsidRDefault="006B4782" w:rsidP="001C756C">
      <w:pPr>
        <w:pStyle w:val="FootnoteText"/>
        <w:snapToGrid w:val="0"/>
        <w:jc w:val="both"/>
        <w:rPr>
          <w:i/>
          <w:iCs/>
        </w:rPr>
      </w:pPr>
      <w:r w:rsidRPr="005319EA">
        <w:rPr>
          <w:vertAlign w:val="superscript"/>
        </w:rPr>
        <w:footnoteRef/>
      </w:r>
      <w:r w:rsidRPr="005319EA">
        <w:t xml:space="preserve"> </w:t>
      </w:r>
      <w:r w:rsidR="0074362D" w:rsidRPr="005319EA">
        <w:rPr>
          <w:i/>
          <w:iCs/>
        </w:rPr>
        <w:t xml:space="preserve">See </w:t>
      </w:r>
      <w:r w:rsidR="0074362D" w:rsidRPr="005319EA">
        <w:t>UNGA, 1961 Signatory States, Declarations and Reservations on the Reduction of Statelessness, 30 August 1961 at 2 (Apr. 19, 2012).</w:t>
      </w:r>
    </w:p>
  </w:footnote>
  <w:footnote w:id="71">
    <w:p w14:paraId="69874C31" w14:textId="29F43AB6" w:rsidR="006B4782" w:rsidRPr="005319EA" w:rsidRDefault="006B4782" w:rsidP="001C756C">
      <w:pPr>
        <w:pStyle w:val="FootnoteText"/>
        <w:snapToGrid w:val="0"/>
        <w:jc w:val="both"/>
      </w:pPr>
      <w:r w:rsidRPr="005319EA">
        <w:rPr>
          <w:vertAlign w:val="superscript"/>
        </w:rPr>
        <w:footnoteRef/>
      </w:r>
      <w:r w:rsidRPr="005319EA">
        <w:t xml:space="preserve"> Tunisia, Declaration under the Convention on the Reduction of Statelessness (done at New York on August 30, 1961).</w:t>
      </w:r>
      <w:r w:rsidR="00BB5631" w:rsidRPr="005319EA">
        <w:t xml:space="preserve"> </w:t>
      </w:r>
      <w:r w:rsidR="00F04978" w:rsidRPr="005319EA">
        <w:t>Compromis, para. 11.</w:t>
      </w:r>
    </w:p>
  </w:footnote>
  <w:footnote w:id="72">
    <w:p w14:paraId="6AF0004F" w14:textId="0EE164D3" w:rsidR="006B4782" w:rsidRPr="005319EA" w:rsidRDefault="006B4782" w:rsidP="001C756C">
      <w:pPr>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F50423" w:rsidRPr="005319EA">
        <w:rPr>
          <w:sz w:val="20"/>
          <w:szCs w:val="20"/>
        </w:rPr>
        <w:t xml:space="preserve">Bos. U. Sch. L., </w:t>
      </w:r>
      <w:r w:rsidR="00F50423" w:rsidRPr="005319EA">
        <w:rPr>
          <w:smallCaps/>
          <w:sz w:val="20"/>
          <w:szCs w:val="20"/>
        </w:rPr>
        <w:t>Statelessness and National Policy in Tunisia</w:t>
      </w:r>
      <w:r w:rsidR="00F50423" w:rsidRPr="005319EA">
        <w:rPr>
          <w:sz w:val="20"/>
          <w:szCs w:val="20"/>
        </w:rPr>
        <w:t xml:space="preserve"> 45 (2023).</w:t>
      </w:r>
    </w:p>
  </w:footnote>
  <w:footnote w:id="73">
    <w:p w14:paraId="58CCBDF7" w14:textId="58F05845" w:rsidR="00316F5B" w:rsidRPr="005319EA" w:rsidRDefault="00316F5B" w:rsidP="001C756C">
      <w:pPr>
        <w:pStyle w:val="FootnoteText"/>
        <w:snapToGrid w:val="0"/>
        <w:jc w:val="both"/>
      </w:pPr>
      <w:r w:rsidRPr="005319EA">
        <w:rPr>
          <w:vertAlign w:val="superscript"/>
        </w:rPr>
        <w:footnoteRef/>
      </w:r>
      <w:r w:rsidRPr="005319EA">
        <w:rPr>
          <w:vertAlign w:val="superscript"/>
        </w:rPr>
        <w:t xml:space="preserve"> </w:t>
      </w:r>
      <w:r w:rsidR="00992EE5" w:rsidRPr="005319EA">
        <w:t xml:space="preserve">CRS, </w:t>
      </w:r>
      <w:r w:rsidR="00992EE5" w:rsidRPr="005319EA">
        <w:rPr>
          <w:i/>
          <w:iCs/>
        </w:rPr>
        <w:t xml:space="preserve">supra </w:t>
      </w:r>
      <w:r w:rsidR="00992EE5" w:rsidRPr="005319EA">
        <w:t xml:space="preserve">note </w:t>
      </w:r>
      <w:r w:rsidR="00750D64" w:rsidRPr="005319EA">
        <w:t>17</w:t>
      </w:r>
      <w:r w:rsidR="00992EE5" w:rsidRPr="005319EA">
        <w:t xml:space="preserve">, art. </w:t>
      </w:r>
      <w:r w:rsidRPr="005319EA">
        <w:t>8(3)(a)(ii).</w:t>
      </w:r>
    </w:p>
  </w:footnote>
  <w:footnote w:id="74">
    <w:p w14:paraId="311AE740" w14:textId="6E2A7FB5" w:rsidR="005E0CFB" w:rsidRPr="005319EA" w:rsidRDefault="005E0CFB" w:rsidP="001C756C">
      <w:pPr>
        <w:pStyle w:val="FootnoteText"/>
        <w:snapToGrid w:val="0"/>
        <w:jc w:val="both"/>
      </w:pPr>
      <w:r w:rsidRPr="005319EA">
        <w:rPr>
          <w:vertAlign w:val="superscript"/>
        </w:rPr>
        <w:footnoteRef/>
      </w:r>
      <w:r w:rsidRPr="005319EA">
        <w:rPr>
          <w:vertAlign w:val="superscript"/>
        </w:rPr>
        <w:t xml:space="preserve"> </w:t>
      </w:r>
      <w:r w:rsidR="00047358" w:rsidRPr="005319EA">
        <w:t>Compromis</w:t>
      </w:r>
      <w:r w:rsidR="00CE3512" w:rsidRPr="005319EA">
        <w:t>,</w:t>
      </w:r>
      <w:r w:rsidR="00047358" w:rsidRPr="005319EA">
        <w:t xml:space="preserve"> </w:t>
      </w:r>
      <w:r w:rsidR="00CE3512" w:rsidRPr="005319EA">
        <w:rPr>
          <w:rFonts w:eastAsia="Calibri"/>
        </w:rPr>
        <w:t>para.</w:t>
      </w:r>
      <w:r w:rsidR="00CE3512" w:rsidRPr="005319EA">
        <w:t xml:space="preserve"> </w:t>
      </w:r>
      <w:r w:rsidR="00047358" w:rsidRPr="005319EA">
        <w:t>7</w:t>
      </w:r>
      <w:r w:rsidR="00CE3512" w:rsidRPr="005319EA">
        <w:t>.</w:t>
      </w:r>
    </w:p>
  </w:footnote>
  <w:footnote w:id="75">
    <w:p w14:paraId="1FD8A6E3" w14:textId="76D15D2C"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77607C" w:rsidRPr="005319EA">
        <w:rPr>
          <w:sz w:val="20"/>
          <w:szCs w:val="20"/>
        </w:rPr>
        <w:t xml:space="preserve">CRS, </w:t>
      </w:r>
      <w:r w:rsidR="0077607C" w:rsidRPr="005319EA">
        <w:rPr>
          <w:i/>
          <w:iCs/>
          <w:sz w:val="20"/>
          <w:szCs w:val="20"/>
        </w:rPr>
        <w:t xml:space="preserve">supra </w:t>
      </w:r>
      <w:r w:rsidR="0077607C" w:rsidRPr="005319EA">
        <w:rPr>
          <w:sz w:val="20"/>
          <w:szCs w:val="20"/>
        </w:rPr>
        <w:t xml:space="preserve">note </w:t>
      </w:r>
      <w:r w:rsidR="00750D64" w:rsidRPr="005319EA">
        <w:rPr>
          <w:sz w:val="20"/>
          <w:szCs w:val="20"/>
        </w:rPr>
        <w:t>17</w:t>
      </w:r>
      <w:r w:rsidR="0077607C" w:rsidRPr="005319EA">
        <w:rPr>
          <w:sz w:val="20"/>
          <w:szCs w:val="20"/>
        </w:rPr>
        <w:t>, art. 27.</w:t>
      </w:r>
    </w:p>
  </w:footnote>
  <w:footnote w:id="76">
    <w:p w14:paraId="55870E1B" w14:textId="4B086215"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Compromis, </w:t>
      </w:r>
      <w:r w:rsidR="00CE3512" w:rsidRPr="005319EA">
        <w:rPr>
          <w:rFonts w:eastAsia="Calibri"/>
          <w:sz w:val="20"/>
          <w:szCs w:val="20"/>
        </w:rPr>
        <w:t>para.</w:t>
      </w:r>
      <w:r w:rsidR="00CE3512" w:rsidRPr="005319EA">
        <w:rPr>
          <w:sz w:val="20"/>
          <w:szCs w:val="20"/>
        </w:rPr>
        <w:t xml:space="preserve"> </w:t>
      </w:r>
      <w:r w:rsidRPr="005319EA">
        <w:rPr>
          <w:sz w:val="20"/>
          <w:szCs w:val="20"/>
        </w:rPr>
        <w:t>34.</w:t>
      </w:r>
    </w:p>
  </w:footnote>
  <w:footnote w:id="77">
    <w:p w14:paraId="39351220" w14:textId="36CEE098"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Compromis, </w:t>
      </w:r>
      <w:r w:rsidR="00CE3512" w:rsidRPr="005319EA">
        <w:rPr>
          <w:rFonts w:eastAsia="Calibri"/>
          <w:sz w:val="20"/>
          <w:szCs w:val="20"/>
        </w:rPr>
        <w:t>para.</w:t>
      </w:r>
      <w:r w:rsidR="00CE3512" w:rsidRPr="005319EA">
        <w:rPr>
          <w:sz w:val="20"/>
          <w:szCs w:val="20"/>
        </w:rPr>
        <w:t xml:space="preserve"> </w:t>
      </w:r>
      <w:r w:rsidRPr="005319EA">
        <w:rPr>
          <w:sz w:val="20"/>
          <w:szCs w:val="20"/>
        </w:rPr>
        <w:t>34</w:t>
      </w:r>
      <w:r w:rsidR="00992EE5" w:rsidRPr="005319EA">
        <w:rPr>
          <w:sz w:val="20"/>
          <w:szCs w:val="20"/>
        </w:rPr>
        <w:t>.</w:t>
      </w:r>
    </w:p>
  </w:footnote>
  <w:footnote w:id="78">
    <w:p w14:paraId="44053A2E" w14:textId="17772F80"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992EE5" w:rsidRPr="005319EA">
        <w:rPr>
          <w:sz w:val="20"/>
          <w:szCs w:val="20"/>
        </w:rPr>
        <w:t xml:space="preserve">ICCPR, </w:t>
      </w:r>
      <w:r w:rsidR="00992EE5" w:rsidRPr="005319EA">
        <w:rPr>
          <w:i/>
          <w:iCs/>
          <w:sz w:val="20"/>
          <w:szCs w:val="20"/>
        </w:rPr>
        <w:t xml:space="preserve">supra </w:t>
      </w:r>
      <w:r w:rsidR="00992EE5" w:rsidRPr="005319EA">
        <w:rPr>
          <w:sz w:val="20"/>
          <w:szCs w:val="20"/>
        </w:rPr>
        <w:t>note 28</w:t>
      </w:r>
      <w:r w:rsidR="00E10E56" w:rsidRPr="005319EA">
        <w:rPr>
          <w:sz w:val="20"/>
          <w:szCs w:val="20"/>
        </w:rPr>
        <w:t xml:space="preserve">, </w:t>
      </w:r>
      <w:r w:rsidR="00992EE5" w:rsidRPr="005319EA">
        <w:rPr>
          <w:sz w:val="20"/>
          <w:szCs w:val="20"/>
        </w:rPr>
        <w:t xml:space="preserve">art. </w:t>
      </w:r>
      <w:r w:rsidRPr="005319EA">
        <w:rPr>
          <w:sz w:val="20"/>
          <w:szCs w:val="20"/>
        </w:rPr>
        <w:t>19(3)(a)</w:t>
      </w:r>
      <w:r w:rsidR="00992EE5" w:rsidRPr="005319EA">
        <w:rPr>
          <w:sz w:val="20"/>
          <w:szCs w:val="20"/>
        </w:rPr>
        <w:t>.</w:t>
      </w:r>
    </w:p>
  </w:footnote>
  <w:footnote w:id="79">
    <w:p w14:paraId="30B5E3BD" w14:textId="52661292" w:rsidR="004D23BA" w:rsidRPr="005319EA" w:rsidRDefault="004D23BA" w:rsidP="001C756C">
      <w:pPr>
        <w:pStyle w:val="FootnoteText"/>
        <w:snapToGrid w:val="0"/>
        <w:jc w:val="both"/>
      </w:pPr>
      <w:r w:rsidRPr="005319EA">
        <w:rPr>
          <w:vertAlign w:val="superscript"/>
        </w:rPr>
        <w:footnoteRef/>
      </w:r>
      <w:r w:rsidRPr="005319EA">
        <w:t xml:space="preserve"> </w:t>
      </w:r>
      <w:r w:rsidR="00992EE5" w:rsidRPr="005319EA">
        <w:t xml:space="preserve">ICCPR, </w:t>
      </w:r>
      <w:r w:rsidR="00992EE5" w:rsidRPr="005319EA">
        <w:rPr>
          <w:i/>
          <w:iCs/>
        </w:rPr>
        <w:t xml:space="preserve">supra </w:t>
      </w:r>
      <w:r w:rsidR="00992EE5" w:rsidRPr="005319EA">
        <w:t>note 28</w:t>
      </w:r>
      <w:r w:rsidR="00E10E56" w:rsidRPr="005319EA">
        <w:t xml:space="preserve">, </w:t>
      </w:r>
      <w:r w:rsidR="00992EE5" w:rsidRPr="005319EA">
        <w:t>art. 19(3)(b).</w:t>
      </w:r>
    </w:p>
  </w:footnote>
  <w:footnote w:id="80">
    <w:p w14:paraId="1795C769" w14:textId="1D0CD007"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6134FB" w:rsidRPr="005319EA">
        <w:rPr>
          <w:i/>
          <w:iCs/>
          <w:sz w:val="20"/>
          <w:szCs w:val="20"/>
        </w:rPr>
        <w:t xml:space="preserve">See generally </w:t>
      </w:r>
      <w:r w:rsidR="006134FB" w:rsidRPr="005319EA">
        <w:rPr>
          <w:sz w:val="20"/>
          <w:szCs w:val="20"/>
        </w:rPr>
        <w:t xml:space="preserve">Gehan Gunatilleke, </w:t>
      </w:r>
      <w:r w:rsidR="006134FB" w:rsidRPr="005319EA">
        <w:rPr>
          <w:i/>
          <w:iCs/>
          <w:sz w:val="20"/>
          <w:szCs w:val="20"/>
        </w:rPr>
        <w:t>Justifying Limitations on the Freedom of Expression</w:t>
      </w:r>
      <w:r w:rsidR="006134FB" w:rsidRPr="005319EA">
        <w:rPr>
          <w:sz w:val="20"/>
          <w:szCs w:val="20"/>
        </w:rPr>
        <w:t xml:space="preserve">, 22 </w:t>
      </w:r>
      <w:r w:rsidR="006134FB" w:rsidRPr="005319EA">
        <w:rPr>
          <w:smallCaps/>
          <w:sz w:val="20"/>
          <w:szCs w:val="20"/>
        </w:rPr>
        <w:t>Hum. Rts. Q. 91 (2021).</w:t>
      </w:r>
    </w:p>
  </w:footnote>
  <w:footnote w:id="81">
    <w:p w14:paraId="65CBEA5B" w14:textId="06285725" w:rsidR="00F80041" w:rsidRPr="005319EA" w:rsidRDefault="00F80041" w:rsidP="001C756C">
      <w:pPr>
        <w:pStyle w:val="FootnoteText"/>
        <w:snapToGrid w:val="0"/>
        <w:jc w:val="both"/>
      </w:pPr>
      <w:r w:rsidRPr="005319EA">
        <w:rPr>
          <w:vertAlign w:val="superscript"/>
        </w:rPr>
        <w:footnoteRef/>
      </w:r>
      <w:r w:rsidRPr="005319EA">
        <w:t xml:space="preserve"> </w:t>
      </w:r>
      <w:r w:rsidR="00512B46" w:rsidRPr="005319EA">
        <w:t>Mukong v. Cameroon, Communication No. 458/1991</w:t>
      </w:r>
      <w:r w:rsidR="008F3DB1" w:rsidRPr="005319EA">
        <w:t>,</w:t>
      </w:r>
      <w:r w:rsidR="00512B46" w:rsidRPr="005319EA">
        <w:t xml:space="preserve"> </w:t>
      </w:r>
      <w:r w:rsidR="00915B94" w:rsidRPr="005319EA">
        <w:t xml:space="preserve">HRComm, </w:t>
      </w:r>
      <w:r w:rsidR="00512B46" w:rsidRPr="005319EA">
        <w:t>U.N. Doc. CCPR/C/51/D/458/1991</w:t>
      </w:r>
      <w:r w:rsidR="008F3DB1" w:rsidRPr="005319EA">
        <w:t>,</w:t>
      </w:r>
      <w:r w:rsidR="00512B46" w:rsidRPr="005319EA">
        <w:t xml:space="preserve"> </w:t>
      </w:r>
      <w:r w:rsidR="00CE3512" w:rsidRPr="005319EA">
        <w:rPr>
          <w:rFonts w:eastAsia="Calibri"/>
        </w:rPr>
        <w:t>para.</w:t>
      </w:r>
      <w:r w:rsidR="00CE3512" w:rsidRPr="005319EA">
        <w:t xml:space="preserve"> </w:t>
      </w:r>
      <w:r w:rsidR="00512B46" w:rsidRPr="005319EA">
        <w:t>9.7 (July 21, 1994)</w:t>
      </w:r>
      <w:r w:rsidR="0094526E" w:rsidRPr="005319EA">
        <w:t>.</w:t>
      </w:r>
    </w:p>
  </w:footnote>
  <w:footnote w:id="82">
    <w:p w14:paraId="1FD991D1" w14:textId="07520385" w:rsidR="00F80041" w:rsidRPr="005319EA" w:rsidRDefault="00F80041" w:rsidP="001C756C">
      <w:pPr>
        <w:pStyle w:val="FootnoteText"/>
        <w:snapToGrid w:val="0"/>
        <w:jc w:val="both"/>
        <w:rPr>
          <w:i/>
          <w:iCs/>
        </w:rPr>
      </w:pPr>
      <w:r w:rsidRPr="005319EA">
        <w:rPr>
          <w:vertAlign w:val="superscript"/>
        </w:rPr>
        <w:footnoteRef/>
      </w:r>
      <w:r w:rsidRPr="005319EA">
        <w:rPr>
          <w:vertAlign w:val="superscript"/>
        </w:rPr>
        <w:t xml:space="preserve"> </w:t>
      </w:r>
      <w:r w:rsidR="00992EE5" w:rsidRPr="005319EA">
        <w:rPr>
          <w:i/>
          <w:iCs/>
        </w:rPr>
        <w:t xml:space="preserve">Id. </w:t>
      </w:r>
    </w:p>
  </w:footnote>
  <w:footnote w:id="83">
    <w:p w14:paraId="7A5071CD" w14:textId="54A3E934" w:rsidR="002E071A" w:rsidRPr="005319EA" w:rsidRDefault="002E071A" w:rsidP="001C756C">
      <w:pPr>
        <w:pStyle w:val="FootnoteText"/>
        <w:snapToGrid w:val="0"/>
        <w:jc w:val="both"/>
      </w:pPr>
      <w:r w:rsidRPr="005319EA">
        <w:rPr>
          <w:vertAlign w:val="superscript"/>
        </w:rPr>
        <w:footnoteRef/>
      </w:r>
      <w:r w:rsidRPr="005319EA">
        <w:t xml:space="preserve"> </w:t>
      </w:r>
      <w:r w:rsidR="00992EE5" w:rsidRPr="005319EA">
        <w:t xml:space="preserve">Compromis, </w:t>
      </w:r>
      <w:r w:rsidR="00CE3512" w:rsidRPr="005319EA">
        <w:rPr>
          <w:rFonts w:eastAsia="Calibri"/>
        </w:rPr>
        <w:t>para.</w:t>
      </w:r>
      <w:r w:rsidR="00CE3512" w:rsidRPr="005319EA">
        <w:t xml:space="preserve"> </w:t>
      </w:r>
      <w:r w:rsidR="00992EE5" w:rsidRPr="005319EA">
        <w:t>30</w:t>
      </w:r>
      <w:r w:rsidR="0094526E" w:rsidRPr="005319EA">
        <w:t>.</w:t>
      </w:r>
    </w:p>
  </w:footnote>
  <w:footnote w:id="84">
    <w:p w14:paraId="680FD2AC" w14:textId="681B0516"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00992EE5" w:rsidRPr="005319EA">
        <w:rPr>
          <w:sz w:val="20"/>
          <w:szCs w:val="20"/>
        </w:rPr>
        <w:t xml:space="preserve">ICCPR, </w:t>
      </w:r>
      <w:r w:rsidR="00992EE5" w:rsidRPr="005319EA">
        <w:rPr>
          <w:i/>
          <w:iCs/>
          <w:sz w:val="20"/>
          <w:szCs w:val="20"/>
        </w:rPr>
        <w:t xml:space="preserve">supra </w:t>
      </w:r>
      <w:r w:rsidR="00992EE5" w:rsidRPr="005319EA">
        <w:rPr>
          <w:sz w:val="20"/>
          <w:szCs w:val="20"/>
        </w:rPr>
        <w:t>note 28</w:t>
      </w:r>
      <w:r w:rsidR="00E10E56" w:rsidRPr="005319EA">
        <w:rPr>
          <w:sz w:val="20"/>
          <w:szCs w:val="20"/>
        </w:rPr>
        <w:t xml:space="preserve">, </w:t>
      </w:r>
      <w:r w:rsidR="00593C82" w:rsidRPr="005319EA">
        <w:rPr>
          <w:sz w:val="20"/>
          <w:szCs w:val="20"/>
        </w:rPr>
        <w:t xml:space="preserve">at </w:t>
      </w:r>
      <w:r w:rsidR="00992EE5" w:rsidRPr="005319EA">
        <w:rPr>
          <w:sz w:val="20"/>
          <w:szCs w:val="20"/>
        </w:rPr>
        <w:t>art. 21.</w:t>
      </w:r>
    </w:p>
  </w:footnote>
  <w:footnote w:id="85">
    <w:p w14:paraId="4211EDEC" w14:textId="48E0A7C5"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992EE5" w:rsidRPr="005319EA">
        <w:rPr>
          <w:i/>
          <w:iCs/>
          <w:sz w:val="20"/>
          <w:szCs w:val="20"/>
        </w:rPr>
        <w:t xml:space="preserve">Id. </w:t>
      </w:r>
    </w:p>
  </w:footnote>
  <w:footnote w:id="86">
    <w:p w14:paraId="1D42E240" w14:textId="25D33E08" w:rsidR="00C5087E" w:rsidRPr="005319EA" w:rsidRDefault="00C5087E" w:rsidP="001C756C">
      <w:pPr>
        <w:pStyle w:val="FootnoteText"/>
        <w:snapToGrid w:val="0"/>
        <w:jc w:val="both"/>
      </w:pPr>
      <w:r w:rsidRPr="005319EA">
        <w:rPr>
          <w:vertAlign w:val="superscript"/>
        </w:rPr>
        <w:footnoteRef/>
      </w:r>
      <w:r w:rsidRPr="005319EA">
        <w:rPr>
          <w:vertAlign w:val="superscript"/>
        </w:rPr>
        <w:t xml:space="preserve"> </w:t>
      </w:r>
      <w:r w:rsidR="00627EA4" w:rsidRPr="005319EA">
        <w:t xml:space="preserve">Compromis, </w:t>
      </w:r>
      <w:r w:rsidR="00CE3512" w:rsidRPr="005319EA">
        <w:rPr>
          <w:rFonts w:eastAsia="Calibri"/>
        </w:rPr>
        <w:t>para.</w:t>
      </w:r>
      <w:r w:rsidR="00CE3512" w:rsidRPr="005319EA">
        <w:t xml:space="preserve"> </w:t>
      </w:r>
      <w:r w:rsidR="00627EA4" w:rsidRPr="005319EA">
        <w:t>23</w:t>
      </w:r>
      <w:r w:rsidR="00520558" w:rsidRPr="005319EA">
        <w:t>.</w:t>
      </w:r>
    </w:p>
  </w:footnote>
  <w:footnote w:id="87">
    <w:p w14:paraId="444FB0F4" w14:textId="30E35969" w:rsidR="00967B40" w:rsidRPr="005319EA" w:rsidRDefault="00967B40" w:rsidP="001C756C">
      <w:pPr>
        <w:pBdr>
          <w:top w:val="nil"/>
          <w:left w:val="nil"/>
          <w:bottom w:val="nil"/>
          <w:right w:val="nil"/>
          <w:between w:val="nil"/>
        </w:pBd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992EE5" w:rsidRPr="005319EA">
        <w:rPr>
          <w:sz w:val="20"/>
          <w:szCs w:val="20"/>
        </w:rPr>
        <w:t xml:space="preserve">ICCPR, </w:t>
      </w:r>
      <w:r w:rsidR="00992EE5" w:rsidRPr="005319EA">
        <w:rPr>
          <w:i/>
          <w:iCs/>
          <w:sz w:val="20"/>
          <w:szCs w:val="20"/>
        </w:rPr>
        <w:t xml:space="preserve">supra </w:t>
      </w:r>
      <w:r w:rsidR="00992EE5" w:rsidRPr="005319EA">
        <w:rPr>
          <w:sz w:val="20"/>
          <w:szCs w:val="20"/>
        </w:rPr>
        <w:t>note 28</w:t>
      </w:r>
      <w:r w:rsidR="00E10E56" w:rsidRPr="005319EA">
        <w:rPr>
          <w:sz w:val="20"/>
          <w:szCs w:val="20"/>
        </w:rPr>
        <w:t xml:space="preserve">, </w:t>
      </w:r>
      <w:r w:rsidR="00992EE5" w:rsidRPr="005319EA">
        <w:rPr>
          <w:sz w:val="20"/>
          <w:szCs w:val="20"/>
        </w:rPr>
        <w:t>art. 14.</w:t>
      </w:r>
    </w:p>
  </w:footnote>
  <w:footnote w:id="88">
    <w:p w14:paraId="4044632C" w14:textId="1D0B0935" w:rsidR="00967B40" w:rsidRPr="005319EA" w:rsidRDefault="00967B40" w:rsidP="001C756C">
      <w:pPr>
        <w:snapToGrid w:val="0"/>
        <w:spacing w:before="0" w:after="0"/>
        <w:jc w:val="both"/>
        <w:rPr>
          <w:sz w:val="20"/>
          <w:szCs w:val="20"/>
        </w:rPr>
      </w:pPr>
      <w:r w:rsidRPr="005319EA">
        <w:rPr>
          <w:sz w:val="20"/>
          <w:szCs w:val="20"/>
          <w:vertAlign w:val="superscript"/>
        </w:rPr>
        <w:footnoteRef/>
      </w:r>
      <w:r w:rsidRPr="005319EA">
        <w:rPr>
          <w:sz w:val="20"/>
          <w:szCs w:val="20"/>
        </w:rPr>
        <w:t xml:space="preserve"> </w:t>
      </w:r>
      <w:r w:rsidR="00992EE5" w:rsidRPr="005319EA">
        <w:rPr>
          <w:i/>
          <w:iCs/>
          <w:sz w:val="20"/>
          <w:szCs w:val="20"/>
        </w:rPr>
        <w:t xml:space="preserve">Id. </w:t>
      </w:r>
    </w:p>
  </w:footnote>
  <w:footnote w:id="89">
    <w:p w14:paraId="13835E3A" w14:textId="1E57EC1F" w:rsidR="00F80041" w:rsidRPr="005319EA" w:rsidRDefault="00F80041" w:rsidP="001C756C">
      <w:pPr>
        <w:pStyle w:val="FootnoteText"/>
        <w:snapToGrid w:val="0"/>
        <w:jc w:val="both"/>
      </w:pPr>
      <w:r w:rsidRPr="005319EA">
        <w:rPr>
          <w:vertAlign w:val="superscript"/>
        </w:rPr>
        <w:footnoteRef/>
      </w:r>
      <w:r w:rsidRPr="005319EA">
        <w:rPr>
          <w:vertAlign w:val="superscript"/>
        </w:rPr>
        <w:t xml:space="preserve"> </w:t>
      </w:r>
      <w:r w:rsidRPr="005319EA">
        <w:t xml:space="preserve">Compromis, </w:t>
      </w:r>
      <w:r w:rsidR="00EB09A5" w:rsidRPr="005319EA">
        <w:t>paras.</w:t>
      </w:r>
      <w:r w:rsidRPr="005319EA">
        <w:t xml:space="preserve"> 26, 33, 34</w:t>
      </w:r>
      <w:r w:rsidR="00956C64" w:rsidRPr="005319EA">
        <w:t xml:space="preserve">. </w:t>
      </w:r>
      <w:r w:rsidR="00956C64" w:rsidRPr="005319EA">
        <w:rPr>
          <w:i/>
          <w:iCs/>
        </w:rPr>
        <w:t xml:space="preserve">See </w:t>
      </w:r>
      <w:r w:rsidR="00F302B4" w:rsidRPr="005319EA">
        <w:rPr>
          <w:i/>
          <w:iCs/>
        </w:rPr>
        <w:t>supra</w:t>
      </w:r>
      <w:r w:rsidR="00F302B4" w:rsidRPr="005319EA">
        <w:t xml:space="preserve"> II(A)(2).</w:t>
      </w:r>
    </w:p>
  </w:footnote>
  <w:footnote w:id="90">
    <w:p w14:paraId="2A3ACC98" w14:textId="1CE9D9FA" w:rsidR="001F3A4F" w:rsidRPr="005319EA" w:rsidRDefault="001F3A4F" w:rsidP="001C756C">
      <w:pPr>
        <w:pStyle w:val="FootnoteText"/>
        <w:jc w:val="both"/>
      </w:pPr>
      <w:r w:rsidRPr="005319EA">
        <w:rPr>
          <w:rStyle w:val="FootnoteReference"/>
        </w:rPr>
        <w:footnoteRef/>
      </w:r>
      <w:r w:rsidRPr="005319EA">
        <w:t xml:space="preserve"> Nottebohm</w:t>
      </w:r>
      <w:r w:rsidR="00956C64" w:rsidRPr="005319EA">
        <w:t xml:space="preserve">, </w:t>
      </w:r>
      <w:r w:rsidR="00956C64" w:rsidRPr="005319EA">
        <w:rPr>
          <w:i/>
          <w:iCs/>
        </w:rPr>
        <w:t>supra</w:t>
      </w:r>
      <w:r w:rsidR="00956C64" w:rsidRPr="005319EA">
        <w:t xml:space="preserve"> note </w:t>
      </w:r>
      <w:r w:rsidR="00365E52" w:rsidRPr="005319EA">
        <w:t>2</w:t>
      </w:r>
      <w:r w:rsidR="008644B4" w:rsidRPr="005319EA">
        <w:t>,</w:t>
      </w:r>
      <w:r w:rsidR="00956C64" w:rsidRPr="005319EA">
        <w:t xml:space="preserve"> 23</w:t>
      </w:r>
      <w:r w:rsidRPr="005319EA">
        <w:t>.</w:t>
      </w:r>
    </w:p>
  </w:footnote>
  <w:footnote w:id="91">
    <w:p w14:paraId="2CC79FEA" w14:textId="52183E17" w:rsidR="001F3A4F" w:rsidRPr="005319EA" w:rsidRDefault="001F3A4F" w:rsidP="001C756C">
      <w:pPr>
        <w:pBdr>
          <w:top w:val="nil"/>
          <w:left w:val="nil"/>
          <w:bottom w:val="nil"/>
          <w:right w:val="nil"/>
          <w:between w:val="nil"/>
        </w:pBdr>
        <w:spacing w:before="0" w:after="0"/>
        <w:jc w:val="both"/>
        <w:rPr>
          <w:sz w:val="20"/>
          <w:szCs w:val="20"/>
        </w:rPr>
      </w:pPr>
      <w:r w:rsidRPr="005319EA">
        <w:rPr>
          <w:sz w:val="20"/>
          <w:szCs w:val="20"/>
          <w:vertAlign w:val="superscript"/>
        </w:rPr>
        <w:footnoteRef/>
      </w:r>
      <w:r w:rsidRPr="005319EA">
        <w:rPr>
          <w:sz w:val="20"/>
          <w:szCs w:val="20"/>
        </w:rPr>
        <w:t xml:space="preserve"> </w:t>
      </w:r>
      <w:r w:rsidR="00956C64" w:rsidRPr="005319EA">
        <w:rPr>
          <w:sz w:val="20"/>
          <w:szCs w:val="20"/>
        </w:rPr>
        <w:t xml:space="preserve">Int’l L. Comm’n, </w:t>
      </w:r>
      <w:r w:rsidRPr="005319EA">
        <w:rPr>
          <w:sz w:val="20"/>
          <w:szCs w:val="20"/>
        </w:rPr>
        <w:t>Draft Articles on Diplomatic Protection, 2 Y.B. Int’l Law Comm’n 26</w:t>
      </w:r>
      <w:r w:rsidR="00956C64" w:rsidRPr="005319EA">
        <w:rPr>
          <w:sz w:val="20"/>
          <w:szCs w:val="20"/>
        </w:rPr>
        <w:t>, art. 3</w:t>
      </w:r>
      <w:r w:rsidRPr="005319EA">
        <w:rPr>
          <w:sz w:val="20"/>
          <w:szCs w:val="20"/>
        </w:rPr>
        <w:t xml:space="preserve"> (2006). </w:t>
      </w:r>
    </w:p>
  </w:footnote>
  <w:footnote w:id="92">
    <w:p w14:paraId="014E8C6F" w14:textId="38005CF6"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rPr>
        <w:t xml:space="preserve"> </w:t>
      </w:r>
      <w:r w:rsidR="00CE3512" w:rsidRPr="005319EA">
        <w:rPr>
          <w:sz w:val="20"/>
          <w:szCs w:val="20"/>
        </w:rPr>
        <w:t xml:space="preserve">Tsilly Dagan &amp; Talia Fisher, </w:t>
      </w:r>
      <w:r w:rsidR="00CE3512" w:rsidRPr="005319EA">
        <w:rPr>
          <w:i/>
          <w:iCs/>
          <w:sz w:val="20"/>
          <w:szCs w:val="20"/>
        </w:rPr>
        <w:t>State Inc.</w:t>
      </w:r>
      <w:r w:rsidR="00CE3512" w:rsidRPr="005319EA">
        <w:rPr>
          <w:sz w:val="20"/>
          <w:szCs w:val="20"/>
        </w:rPr>
        <w:t xml:space="preserve">, 27 </w:t>
      </w:r>
      <w:r w:rsidR="00CE3512" w:rsidRPr="005319EA">
        <w:rPr>
          <w:smallCaps/>
          <w:sz w:val="20"/>
          <w:szCs w:val="20"/>
        </w:rPr>
        <w:t>Cornell J. L. &amp; Pub. Pol</w:t>
      </w:r>
      <w:r w:rsidR="008A3CB7" w:rsidRPr="005319EA">
        <w:rPr>
          <w:smallCaps/>
          <w:sz w:val="20"/>
          <w:szCs w:val="20"/>
        </w:rPr>
        <w:t>’</w:t>
      </w:r>
      <w:r w:rsidR="00CE3512" w:rsidRPr="005319EA">
        <w:rPr>
          <w:smallCaps/>
          <w:sz w:val="20"/>
          <w:szCs w:val="20"/>
        </w:rPr>
        <w:t>y</w:t>
      </w:r>
      <w:r w:rsidR="00CE3512" w:rsidRPr="005319EA">
        <w:rPr>
          <w:sz w:val="20"/>
          <w:szCs w:val="20"/>
        </w:rPr>
        <w:t xml:space="preserve"> 661, 664-666</w:t>
      </w:r>
      <w:r w:rsidR="008A3CB7" w:rsidRPr="005319EA">
        <w:rPr>
          <w:sz w:val="20"/>
          <w:szCs w:val="20"/>
        </w:rPr>
        <w:t xml:space="preserve"> (2018).</w:t>
      </w:r>
      <w:r w:rsidR="00CE3512" w:rsidRPr="005319EA">
        <w:rPr>
          <w:sz w:val="20"/>
          <w:szCs w:val="20"/>
        </w:rPr>
        <w:t xml:space="preserve"> </w:t>
      </w:r>
      <w:r w:rsidR="00FF7C6D" w:rsidRPr="005319EA">
        <w:rPr>
          <w:i/>
          <w:iCs/>
          <w:sz w:val="20"/>
          <w:szCs w:val="20"/>
        </w:rPr>
        <w:t xml:space="preserve">See </w:t>
      </w:r>
      <w:r w:rsidR="00CE3512" w:rsidRPr="005319EA">
        <w:rPr>
          <w:i/>
          <w:iCs/>
          <w:sz w:val="20"/>
          <w:szCs w:val="20"/>
        </w:rPr>
        <w:t xml:space="preserve">also </w:t>
      </w:r>
      <w:r w:rsidR="00FF7C6D" w:rsidRPr="005319EA">
        <w:rPr>
          <w:sz w:val="20"/>
          <w:szCs w:val="20"/>
        </w:rPr>
        <w:t xml:space="preserve">Luke Hurst, Buying EU Citizenship: What are Golden Passports and Visas and How Do They Work?, </w:t>
      </w:r>
      <w:r w:rsidR="00FF7C6D" w:rsidRPr="005319EA">
        <w:rPr>
          <w:smallCaps/>
          <w:sz w:val="20"/>
          <w:szCs w:val="20"/>
        </w:rPr>
        <w:t>EuroNews</w:t>
      </w:r>
      <w:r w:rsidR="00FF7C6D" w:rsidRPr="005319EA">
        <w:rPr>
          <w:sz w:val="20"/>
          <w:szCs w:val="20"/>
        </w:rPr>
        <w:t xml:space="preserve"> (Oct. 20, 2020), https://www.euronews.com/2020/10/20/buying-eu-citizenship-what-are-golden-passports-and-visas-and-how-do-they-work.</w:t>
      </w:r>
    </w:p>
  </w:footnote>
  <w:footnote w:id="93">
    <w:p w14:paraId="3D6E292F" w14:textId="320BCFD3" w:rsidR="001F3A4F" w:rsidRPr="005319EA" w:rsidRDefault="001F3A4F" w:rsidP="001C756C">
      <w:pPr>
        <w:pStyle w:val="FootnoteText"/>
        <w:jc w:val="both"/>
      </w:pPr>
      <w:r w:rsidRPr="005319EA">
        <w:rPr>
          <w:rStyle w:val="FootnoteReference"/>
        </w:rPr>
        <w:footnoteRef/>
      </w:r>
      <w:r w:rsidRPr="005319EA">
        <w:rPr>
          <w:vertAlign w:val="superscript"/>
        </w:rPr>
        <w:t xml:space="preserve"> </w:t>
      </w:r>
      <w:r w:rsidRPr="005319EA">
        <w:t>Compromis</w:t>
      </w:r>
      <w:r w:rsidR="00EB09A5" w:rsidRPr="005319EA">
        <w:t>,</w:t>
      </w:r>
      <w:r w:rsidRPr="005319EA">
        <w:t xml:space="preserve"> </w:t>
      </w:r>
      <w:r w:rsidR="00EB09A5" w:rsidRPr="005319EA">
        <w:rPr>
          <w:rFonts w:eastAsia="Calibri"/>
        </w:rPr>
        <w:t>para</w:t>
      </w:r>
      <w:r w:rsidR="00055009" w:rsidRPr="005319EA">
        <w:rPr>
          <w:rFonts w:eastAsia="Calibri"/>
        </w:rPr>
        <w:t>s</w:t>
      </w:r>
      <w:r w:rsidR="00EB09A5" w:rsidRPr="005319EA">
        <w:rPr>
          <w:rFonts w:eastAsia="Calibri"/>
        </w:rPr>
        <w:t xml:space="preserve">. </w:t>
      </w:r>
      <w:r w:rsidRPr="005319EA">
        <w:t>11, 13</w:t>
      </w:r>
      <w:r w:rsidR="00D76256" w:rsidRPr="005319EA">
        <w:t>.</w:t>
      </w:r>
    </w:p>
  </w:footnote>
  <w:footnote w:id="94">
    <w:p w14:paraId="462EC605" w14:textId="60A605BD" w:rsidR="001F3A4F" w:rsidRPr="005319EA" w:rsidRDefault="001F3A4F" w:rsidP="001C756C">
      <w:pPr>
        <w:spacing w:before="0" w:after="0"/>
        <w:jc w:val="both"/>
        <w:rPr>
          <w:sz w:val="20"/>
          <w:szCs w:val="20"/>
        </w:rPr>
      </w:pPr>
      <w:r w:rsidRPr="005319EA">
        <w:rPr>
          <w:sz w:val="20"/>
          <w:szCs w:val="20"/>
          <w:vertAlign w:val="superscript"/>
        </w:rPr>
        <w:footnoteRef/>
      </w:r>
      <w:r w:rsidR="00970E6D" w:rsidRPr="005319EA">
        <w:rPr>
          <w:sz w:val="20"/>
          <w:szCs w:val="20"/>
        </w:rPr>
        <w:t xml:space="preserve"> </w:t>
      </w:r>
      <w:r w:rsidR="00970E6D" w:rsidRPr="005319EA">
        <w:rPr>
          <w:i/>
          <w:iCs/>
          <w:sz w:val="20"/>
          <w:szCs w:val="20"/>
        </w:rPr>
        <w:t xml:space="preserve">See </w:t>
      </w:r>
      <w:r w:rsidR="00970E6D" w:rsidRPr="005319EA">
        <w:rPr>
          <w:sz w:val="20"/>
          <w:szCs w:val="20"/>
        </w:rPr>
        <w:t xml:space="preserve">Francisca Fernando et al., </w:t>
      </w:r>
      <w:r w:rsidRPr="005319EA">
        <w:rPr>
          <w:i/>
          <w:iCs/>
          <w:sz w:val="20"/>
          <w:szCs w:val="20"/>
        </w:rPr>
        <w:t xml:space="preserve">Citizenship for </w:t>
      </w:r>
      <w:r w:rsidR="00970E6D" w:rsidRPr="005319EA">
        <w:rPr>
          <w:i/>
          <w:iCs/>
          <w:sz w:val="20"/>
          <w:szCs w:val="20"/>
        </w:rPr>
        <w:t>S</w:t>
      </w:r>
      <w:r w:rsidRPr="005319EA">
        <w:rPr>
          <w:i/>
          <w:iCs/>
          <w:sz w:val="20"/>
          <w:szCs w:val="20"/>
        </w:rPr>
        <w:t>ale</w:t>
      </w:r>
      <w:r w:rsidRPr="005319EA">
        <w:rPr>
          <w:sz w:val="20"/>
          <w:szCs w:val="20"/>
        </w:rPr>
        <w:t xml:space="preserve">, </w:t>
      </w:r>
      <w:r w:rsidR="00970E6D" w:rsidRPr="005319EA">
        <w:rPr>
          <w:smallCaps/>
          <w:sz w:val="20"/>
          <w:szCs w:val="20"/>
        </w:rPr>
        <w:t>Int’l Monetary Fund</w:t>
      </w:r>
      <w:r w:rsidR="00970E6D" w:rsidRPr="005319EA">
        <w:rPr>
          <w:sz w:val="20"/>
          <w:szCs w:val="20"/>
        </w:rPr>
        <w:t xml:space="preserve"> (2021).</w:t>
      </w:r>
    </w:p>
  </w:footnote>
  <w:footnote w:id="95">
    <w:p w14:paraId="0B6F79DF" w14:textId="45B3C34A" w:rsidR="001F3A4F" w:rsidRPr="005319EA" w:rsidRDefault="001F3A4F" w:rsidP="001C756C">
      <w:pPr>
        <w:spacing w:before="0" w:after="0"/>
        <w:jc w:val="both"/>
        <w:rPr>
          <w:sz w:val="20"/>
          <w:szCs w:val="20"/>
        </w:rPr>
      </w:pPr>
      <w:r w:rsidRPr="005319EA">
        <w:rPr>
          <w:sz w:val="20"/>
          <w:szCs w:val="20"/>
          <w:vertAlign w:val="superscript"/>
        </w:rPr>
        <w:footnoteRef/>
      </w:r>
      <w:r w:rsidR="00B054B9" w:rsidRPr="005319EA">
        <w:rPr>
          <w:sz w:val="20"/>
          <w:szCs w:val="20"/>
        </w:rPr>
        <w:t xml:space="preserve"> </w:t>
      </w:r>
      <w:r w:rsidR="00970E6D" w:rsidRPr="005319EA">
        <w:rPr>
          <w:sz w:val="20"/>
          <w:szCs w:val="20"/>
        </w:rPr>
        <w:t xml:space="preserve">Petra Weingerl &amp; Matjaz Tratnik, </w:t>
      </w:r>
      <w:r w:rsidRPr="005319EA">
        <w:rPr>
          <w:i/>
          <w:iCs/>
          <w:sz w:val="20"/>
          <w:szCs w:val="20"/>
        </w:rPr>
        <w:t>Citizenship by Investment Programs from the Perspective of International and EU Law</w:t>
      </w:r>
      <w:r w:rsidR="00970E6D" w:rsidRPr="005319EA">
        <w:rPr>
          <w:sz w:val="20"/>
          <w:szCs w:val="20"/>
        </w:rPr>
        <w:t xml:space="preserve">, 11 </w:t>
      </w:r>
      <w:r w:rsidR="00970E6D" w:rsidRPr="005319EA">
        <w:rPr>
          <w:smallCaps/>
          <w:sz w:val="20"/>
          <w:szCs w:val="20"/>
        </w:rPr>
        <w:t xml:space="preserve">LeXonomica 95-126 </w:t>
      </w:r>
      <w:r w:rsidR="00970E6D" w:rsidRPr="005319EA">
        <w:rPr>
          <w:sz w:val="20"/>
          <w:szCs w:val="20"/>
        </w:rPr>
        <w:t xml:space="preserve">(2019). </w:t>
      </w:r>
      <w:r w:rsidR="00970E6D" w:rsidRPr="005319EA">
        <w:rPr>
          <w:i/>
          <w:iCs/>
          <w:sz w:val="20"/>
          <w:szCs w:val="20"/>
        </w:rPr>
        <w:t>See also</w:t>
      </w:r>
      <w:r w:rsidRPr="005319EA">
        <w:rPr>
          <w:sz w:val="20"/>
          <w:szCs w:val="20"/>
        </w:rPr>
        <w:t xml:space="preserve"> Nationality Decrees</w:t>
      </w:r>
      <w:r w:rsidR="007440C2" w:rsidRPr="005319EA">
        <w:rPr>
          <w:sz w:val="20"/>
          <w:szCs w:val="20"/>
        </w:rPr>
        <w:t xml:space="preserve"> </w:t>
      </w:r>
      <w:r w:rsidRPr="005319EA">
        <w:rPr>
          <w:sz w:val="20"/>
          <w:szCs w:val="20"/>
        </w:rPr>
        <w:t xml:space="preserve">Advisory Opinion, </w:t>
      </w:r>
      <w:r w:rsidR="007440C2" w:rsidRPr="005319EA">
        <w:rPr>
          <w:i/>
          <w:iCs/>
          <w:sz w:val="20"/>
          <w:szCs w:val="20"/>
        </w:rPr>
        <w:t xml:space="preserve">supra </w:t>
      </w:r>
      <w:r w:rsidR="007440C2" w:rsidRPr="005319EA">
        <w:rPr>
          <w:sz w:val="20"/>
          <w:szCs w:val="20"/>
        </w:rPr>
        <w:t>note 44</w:t>
      </w:r>
      <w:r w:rsidRPr="005319EA">
        <w:rPr>
          <w:sz w:val="20"/>
          <w:szCs w:val="20"/>
        </w:rPr>
        <w:t xml:space="preserve">, </w:t>
      </w:r>
      <w:r w:rsidR="001C7E9F" w:rsidRPr="005319EA">
        <w:rPr>
          <w:sz w:val="20"/>
          <w:szCs w:val="20"/>
        </w:rPr>
        <w:t xml:space="preserve">at </w:t>
      </w:r>
      <w:r w:rsidR="006C361A" w:rsidRPr="005319EA">
        <w:rPr>
          <w:sz w:val="20"/>
          <w:szCs w:val="20"/>
        </w:rPr>
        <w:t>¶</w:t>
      </w:r>
      <w:r w:rsidRPr="005319EA">
        <w:rPr>
          <w:sz w:val="20"/>
          <w:szCs w:val="20"/>
        </w:rPr>
        <w:t xml:space="preserve"> 24</w:t>
      </w:r>
      <w:r w:rsidR="007440C2" w:rsidRPr="005319EA">
        <w:rPr>
          <w:sz w:val="20"/>
          <w:szCs w:val="20"/>
        </w:rPr>
        <w:t>.</w:t>
      </w:r>
    </w:p>
  </w:footnote>
  <w:footnote w:id="96">
    <w:p w14:paraId="4EA32180" w14:textId="28698BFF" w:rsidR="001F3A4F" w:rsidRPr="005319EA" w:rsidRDefault="001F3A4F" w:rsidP="001C756C">
      <w:pPr>
        <w:pStyle w:val="FootnoteText"/>
        <w:jc w:val="both"/>
      </w:pPr>
      <w:r w:rsidRPr="005319EA">
        <w:rPr>
          <w:rStyle w:val="FootnoteReference"/>
        </w:rPr>
        <w:footnoteRef/>
      </w:r>
      <w:r w:rsidRPr="005319EA">
        <w:rPr>
          <w:vertAlign w:val="superscript"/>
        </w:rPr>
        <w:t xml:space="preserve"> </w:t>
      </w:r>
      <w:r w:rsidRPr="005319EA">
        <w:t>Compromis</w:t>
      </w:r>
      <w:r w:rsidR="00EB09A5" w:rsidRPr="005319EA">
        <w:t xml:space="preserve">, </w:t>
      </w:r>
      <w:r w:rsidR="00EB09A5" w:rsidRPr="005319EA">
        <w:rPr>
          <w:rFonts w:eastAsia="Calibri"/>
        </w:rPr>
        <w:t>para</w:t>
      </w:r>
      <w:r w:rsidR="00956C64" w:rsidRPr="005319EA">
        <w:rPr>
          <w:rFonts w:eastAsia="Calibri"/>
        </w:rPr>
        <w:t>s</w:t>
      </w:r>
      <w:r w:rsidR="00EB09A5" w:rsidRPr="005319EA">
        <w:rPr>
          <w:rFonts w:eastAsia="Calibri"/>
        </w:rPr>
        <w:t>.</w:t>
      </w:r>
      <w:r w:rsidRPr="005319EA">
        <w:t xml:space="preserve"> 11-13</w:t>
      </w:r>
    </w:p>
  </w:footnote>
  <w:footnote w:id="97">
    <w:p w14:paraId="6348FBE5" w14:textId="35DD8816"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Id</w:t>
      </w:r>
      <w:r w:rsidRPr="005319EA">
        <w:t>.</w:t>
      </w:r>
      <w:r w:rsidR="00520558" w:rsidRPr="005319EA">
        <w:t xml:space="preserve"> at </w:t>
      </w:r>
      <w:r w:rsidR="00956C64" w:rsidRPr="005319EA">
        <w:t xml:space="preserve">para. </w:t>
      </w:r>
      <w:r w:rsidRPr="005319EA">
        <w:t>194</w:t>
      </w:r>
      <w:r w:rsidR="00520558" w:rsidRPr="005319EA">
        <w:t>.</w:t>
      </w:r>
    </w:p>
  </w:footnote>
  <w:footnote w:id="98">
    <w:p w14:paraId="01F47C94" w14:textId="2179C5C5"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rPr>
        <w:t xml:space="preserve"> </w:t>
      </w:r>
      <w:r w:rsidR="00F03311" w:rsidRPr="005319EA">
        <w:rPr>
          <w:sz w:val="20"/>
          <w:szCs w:val="20"/>
        </w:rPr>
        <w:t xml:space="preserve">Nottebohm, </w:t>
      </w:r>
      <w:r w:rsidR="00F03311" w:rsidRPr="005319EA">
        <w:rPr>
          <w:i/>
          <w:iCs/>
          <w:sz w:val="20"/>
          <w:szCs w:val="20"/>
        </w:rPr>
        <w:t>supra</w:t>
      </w:r>
      <w:r w:rsidR="00F03311" w:rsidRPr="005319EA">
        <w:rPr>
          <w:sz w:val="20"/>
          <w:szCs w:val="20"/>
        </w:rPr>
        <w:t xml:space="preserve"> note 2, 23.</w:t>
      </w:r>
    </w:p>
  </w:footnote>
  <w:footnote w:id="99">
    <w:p w14:paraId="1B5BDAF6" w14:textId="63C07671"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rPr>
        <w:t xml:space="preserve"> </w:t>
      </w:r>
      <w:r w:rsidR="00F03311" w:rsidRPr="005319EA">
        <w:rPr>
          <w:i/>
          <w:iCs/>
          <w:sz w:val="20"/>
          <w:szCs w:val="20"/>
        </w:rPr>
        <w:t>Id.</w:t>
      </w:r>
    </w:p>
  </w:footnote>
  <w:footnote w:id="100">
    <w:p w14:paraId="2DEBD4C1" w14:textId="1E76E1E8" w:rsidR="001F3A4F" w:rsidRPr="005319EA" w:rsidRDefault="001F3A4F" w:rsidP="001C756C">
      <w:pPr>
        <w:pStyle w:val="FootnoteText"/>
        <w:jc w:val="both"/>
      </w:pPr>
      <w:r w:rsidRPr="005319EA">
        <w:rPr>
          <w:rStyle w:val="FootnoteReference"/>
        </w:rPr>
        <w:footnoteRef/>
      </w:r>
      <w:r w:rsidRPr="005319EA">
        <w:t xml:space="preserve"> </w:t>
      </w:r>
      <w:r w:rsidR="00956C64" w:rsidRPr="005319EA">
        <w:t>Int’l L. Comm’n</w:t>
      </w:r>
      <w:r w:rsidRPr="005319EA">
        <w:t xml:space="preserve">, Draft Articles on Diplomatic Protection with Commentaries, </w:t>
      </w:r>
      <w:r w:rsidR="00956C64" w:rsidRPr="005319EA">
        <w:t xml:space="preserve">30, </w:t>
      </w:r>
      <w:r w:rsidR="005B35A3" w:rsidRPr="005319EA">
        <w:t xml:space="preserve">U.N. Doc. </w:t>
      </w:r>
      <w:r w:rsidRPr="005319EA">
        <w:t>A/65/10</w:t>
      </w:r>
      <w:r w:rsidR="00956C64" w:rsidRPr="005319EA">
        <w:t xml:space="preserve"> </w:t>
      </w:r>
      <w:r w:rsidR="005B35A3" w:rsidRPr="005319EA">
        <w:t>(2006)</w:t>
      </w:r>
      <w:r w:rsidRPr="005319EA">
        <w:t>.</w:t>
      </w:r>
    </w:p>
  </w:footnote>
  <w:footnote w:id="101">
    <w:p w14:paraId="4B4DC23C" w14:textId="5ED43033"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rPr>
        <w:t xml:space="preserve"> </w:t>
      </w:r>
      <w:r w:rsidR="00956C64" w:rsidRPr="005319EA">
        <w:rPr>
          <w:sz w:val="20"/>
          <w:szCs w:val="20"/>
        </w:rPr>
        <w:t xml:space="preserve">Craig Meyers, “Checkbook Citizenship”: Renewed Relevance for the Nottebohm Ruling, </w:t>
      </w:r>
      <w:r w:rsidR="00956C64" w:rsidRPr="005319EA">
        <w:rPr>
          <w:smallCaps/>
          <w:sz w:val="20"/>
          <w:szCs w:val="20"/>
        </w:rPr>
        <w:t xml:space="preserve">E-Int’l. Relations </w:t>
      </w:r>
      <w:r w:rsidR="00956C64" w:rsidRPr="005319EA">
        <w:rPr>
          <w:sz w:val="20"/>
          <w:szCs w:val="20"/>
        </w:rPr>
        <w:t>(Oct. 5, 2020), https://www.e-ir.info/pdf/88004.</w:t>
      </w:r>
    </w:p>
  </w:footnote>
  <w:footnote w:id="102">
    <w:p w14:paraId="012154A3" w14:textId="08ABBDCB" w:rsidR="001F3A4F" w:rsidRPr="005319EA" w:rsidRDefault="001F3A4F" w:rsidP="001C756C">
      <w:pPr>
        <w:spacing w:before="0" w:after="0"/>
        <w:jc w:val="both"/>
        <w:rPr>
          <w:sz w:val="20"/>
          <w:szCs w:val="20"/>
          <w:lang w:val="it-IT"/>
        </w:rPr>
      </w:pPr>
      <w:r w:rsidRPr="005319EA">
        <w:rPr>
          <w:sz w:val="20"/>
          <w:szCs w:val="20"/>
          <w:vertAlign w:val="superscript"/>
        </w:rPr>
        <w:footnoteRef/>
      </w:r>
      <w:r w:rsidRPr="005319EA">
        <w:rPr>
          <w:sz w:val="20"/>
          <w:szCs w:val="20"/>
          <w:lang w:val="it-IT"/>
        </w:rPr>
        <w:t xml:space="preserve"> </w:t>
      </w:r>
      <w:r w:rsidR="00956C64" w:rsidRPr="005319EA">
        <w:rPr>
          <w:i/>
          <w:iCs/>
          <w:sz w:val="20"/>
          <w:szCs w:val="20"/>
          <w:lang w:val="it-IT"/>
        </w:rPr>
        <w:t>Id.</w:t>
      </w:r>
    </w:p>
  </w:footnote>
  <w:footnote w:id="103">
    <w:p w14:paraId="76B8A6B6" w14:textId="26212986"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EB09A5" w:rsidRPr="005319EA">
        <w:rPr>
          <w:lang w:val="it-IT"/>
        </w:rPr>
        <w:t xml:space="preserve">, </w:t>
      </w:r>
      <w:r w:rsidR="00EB09A5" w:rsidRPr="005319EA">
        <w:rPr>
          <w:rFonts w:eastAsia="Calibri"/>
          <w:lang w:val="it-IT"/>
        </w:rPr>
        <w:t>para.</w:t>
      </w:r>
      <w:r w:rsidRPr="005319EA">
        <w:rPr>
          <w:lang w:val="it-IT"/>
        </w:rPr>
        <w:t xml:space="preserve"> 19 </w:t>
      </w:r>
    </w:p>
  </w:footnote>
  <w:footnote w:id="104">
    <w:p w14:paraId="24E0887C" w14:textId="0C6083D4" w:rsidR="001F3A4F" w:rsidRPr="005319EA" w:rsidRDefault="001F3A4F" w:rsidP="001C756C">
      <w:pPr>
        <w:spacing w:before="0" w:after="0"/>
        <w:jc w:val="both"/>
        <w:rPr>
          <w:rFonts w:eastAsia="Calibri"/>
          <w:sz w:val="20"/>
          <w:szCs w:val="20"/>
          <w:lang w:val="it-IT"/>
        </w:rPr>
      </w:pPr>
      <w:r w:rsidRPr="005319EA">
        <w:rPr>
          <w:sz w:val="20"/>
          <w:szCs w:val="20"/>
          <w:vertAlign w:val="superscript"/>
        </w:rPr>
        <w:footnoteRef/>
      </w:r>
      <w:r w:rsidRPr="005319EA">
        <w:rPr>
          <w:rFonts w:eastAsia="Calibri"/>
          <w:sz w:val="20"/>
          <w:szCs w:val="20"/>
          <w:lang w:val="it-IT"/>
        </w:rPr>
        <w:t xml:space="preserve"> Compromis, </w:t>
      </w:r>
      <w:r w:rsidR="00EB09A5" w:rsidRPr="005319EA">
        <w:rPr>
          <w:rFonts w:eastAsia="Calibri"/>
          <w:sz w:val="20"/>
          <w:szCs w:val="20"/>
          <w:lang w:val="it-IT"/>
        </w:rPr>
        <w:t>para.</w:t>
      </w:r>
      <w:r w:rsidRPr="005319EA">
        <w:rPr>
          <w:rFonts w:eastAsia="Calibri"/>
          <w:sz w:val="20"/>
          <w:szCs w:val="20"/>
          <w:lang w:val="it-IT"/>
        </w:rPr>
        <w:t xml:space="preserve"> 15</w:t>
      </w:r>
    </w:p>
  </w:footnote>
  <w:footnote w:id="105">
    <w:p w14:paraId="54E0BF5C" w14:textId="4A6F9C9E" w:rsidR="001F3A4F" w:rsidRPr="005319EA" w:rsidRDefault="001F3A4F" w:rsidP="001C756C">
      <w:pPr>
        <w:spacing w:before="0" w:after="0"/>
        <w:jc w:val="both"/>
        <w:rPr>
          <w:rFonts w:eastAsia="Calibri"/>
          <w:sz w:val="20"/>
          <w:szCs w:val="20"/>
          <w:lang w:val="it-IT"/>
        </w:rPr>
      </w:pPr>
      <w:r w:rsidRPr="005319EA">
        <w:rPr>
          <w:sz w:val="20"/>
          <w:szCs w:val="20"/>
          <w:vertAlign w:val="superscript"/>
        </w:rPr>
        <w:footnoteRef/>
      </w:r>
      <w:r w:rsidRPr="005319EA">
        <w:rPr>
          <w:rFonts w:eastAsia="Calibri"/>
          <w:sz w:val="20"/>
          <w:szCs w:val="20"/>
          <w:lang w:val="it-IT"/>
        </w:rPr>
        <w:t xml:space="preserve"> Compromis, </w:t>
      </w:r>
      <w:r w:rsidR="00EB09A5" w:rsidRPr="005319EA">
        <w:rPr>
          <w:rFonts w:eastAsia="Calibri"/>
          <w:sz w:val="20"/>
          <w:szCs w:val="20"/>
          <w:lang w:val="it-IT"/>
        </w:rPr>
        <w:t>para.</w:t>
      </w:r>
      <w:r w:rsidR="0051329A" w:rsidRPr="005319EA">
        <w:rPr>
          <w:rFonts w:eastAsia="Calibri"/>
          <w:sz w:val="20"/>
          <w:szCs w:val="20"/>
          <w:lang w:val="it-IT"/>
        </w:rPr>
        <w:t xml:space="preserve"> </w:t>
      </w:r>
      <w:r w:rsidRPr="005319EA">
        <w:rPr>
          <w:rFonts w:eastAsia="Calibri"/>
          <w:sz w:val="20"/>
          <w:szCs w:val="20"/>
          <w:lang w:val="it-IT"/>
        </w:rPr>
        <w:t>17</w:t>
      </w:r>
    </w:p>
  </w:footnote>
  <w:footnote w:id="106">
    <w:p w14:paraId="4D19FCBF" w14:textId="4BA1B39D"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EB09A5" w:rsidRPr="005319EA">
        <w:rPr>
          <w:lang w:val="it-IT"/>
        </w:rPr>
        <w:t>,</w:t>
      </w:r>
      <w:r w:rsidRPr="005319EA">
        <w:rPr>
          <w:lang w:val="it-IT"/>
        </w:rPr>
        <w:t xml:space="preserve"> </w:t>
      </w:r>
      <w:r w:rsidR="00EB09A5" w:rsidRPr="005319EA">
        <w:rPr>
          <w:rFonts w:eastAsia="Calibri"/>
          <w:lang w:val="it-IT"/>
        </w:rPr>
        <w:t>para.</w:t>
      </w:r>
      <w:r w:rsidRPr="005319EA">
        <w:rPr>
          <w:rFonts w:eastAsia="Calibri"/>
          <w:lang w:val="it-IT"/>
        </w:rPr>
        <w:t xml:space="preserve"> </w:t>
      </w:r>
      <w:r w:rsidRPr="005319EA">
        <w:rPr>
          <w:lang w:val="it-IT"/>
        </w:rPr>
        <w:t>21</w:t>
      </w:r>
      <w:r w:rsidR="008A22AF" w:rsidRPr="005319EA">
        <w:rPr>
          <w:lang w:val="it-IT"/>
        </w:rPr>
        <w:t>.</w:t>
      </w:r>
    </w:p>
  </w:footnote>
  <w:footnote w:id="107">
    <w:p w14:paraId="7901FA6F" w14:textId="15746302"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lang w:val="it-IT"/>
        </w:rPr>
        <w:t xml:space="preserve"> Compromis</w:t>
      </w:r>
      <w:r w:rsidR="00EB09A5" w:rsidRPr="005319EA">
        <w:rPr>
          <w:sz w:val="20"/>
          <w:szCs w:val="20"/>
          <w:lang w:val="it-IT"/>
        </w:rPr>
        <w:t>,</w:t>
      </w:r>
      <w:r w:rsidRPr="005319EA">
        <w:rPr>
          <w:sz w:val="20"/>
          <w:szCs w:val="20"/>
          <w:lang w:val="it-IT"/>
        </w:rPr>
        <w:t xml:space="preserve"> </w:t>
      </w:r>
      <w:r w:rsidR="00EB09A5" w:rsidRPr="005319EA">
        <w:rPr>
          <w:rFonts w:eastAsia="Calibri"/>
          <w:sz w:val="20"/>
          <w:szCs w:val="20"/>
          <w:lang w:val="it-IT"/>
        </w:rPr>
        <w:t>paras.</w:t>
      </w:r>
      <w:r w:rsidRPr="005319EA">
        <w:rPr>
          <w:rFonts w:eastAsia="Calibri"/>
          <w:sz w:val="20"/>
          <w:szCs w:val="20"/>
          <w:lang w:val="it-IT"/>
        </w:rPr>
        <w:t xml:space="preserve"> </w:t>
      </w:r>
      <w:r w:rsidRPr="005319EA">
        <w:rPr>
          <w:rFonts w:eastAsia="Calibri"/>
          <w:sz w:val="20"/>
          <w:szCs w:val="20"/>
        </w:rPr>
        <w:t>15, 17</w:t>
      </w:r>
      <w:r w:rsidR="008A22AF" w:rsidRPr="005319EA">
        <w:rPr>
          <w:rFonts w:eastAsia="Calibri"/>
          <w:sz w:val="20"/>
          <w:szCs w:val="20"/>
        </w:rPr>
        <w:t>.</w:t>
      </w:r>
    </w:p>
  </w:footnote>
  <w:footnote w:id="108">
    <w:p w14:paraId="5BF1665D" w14:textId="2D06F674" w:rsidR="001F3A4F" w:rsidRPr="005319EA" w:rsidRDefault="001F3A4F" w:rsidP="001C756C">
      <w:pPr>
        <w:pStyle w:val="FootnoteText"/>
        <w:jc w:val="both"/>
      </w:pPr>
      <w:r w:rsidRPr="005319EA">
        <w:rPr>
          <w:rStyle w:val="FootnoteReference"/>
        </w:rPr>
        <w:footnoteRef/>
      </w:r>
      <w:r w:rsidRPr="005319EA">
        <w:t xml:space="preserve"> Compromis</w:t>
      </w:r>
      <w:r w:rsidR="00EB09A5" w:rsidRPr="005319EA">
        <w:t>,</w:t>
      </w:r>
      <w:r w:rsidRPr="005319EA">
        <w:t xml:space="preserve"> </w:t>
      </w:r>
      <w:r w:rsidR="00EB09A5" w:rsidRPr="005319EA">
        <w:rPr>
          <w:rFonts w:eastAsia="Calibri"/>
        </w:rPr>
        <w:t>para.</w:t>
      </w:r>
      <w:r w:rsidRPr="005319EA">
        <w:rPr>
          <w:rFonts w:eastAsia="Calibri"/>
        </w:rPr>
        <w:t xml:space="preserve"> </w:t>
      </w:r>
      <w:r w:rsidRPr="005319EA">
        <w:t>16</w:t>
      </w:r>
      <w:r w:rsidR="008A22AF" w:rsidRPr="005319EA">
        <w:t>.</w:t>
      </w:r>
    </w:p>
  </w:footnote>
  <w:footnote w:id="109">
    <w:p w14:paraId="56F0E928" w14:textId="2CD1FD08" w:rsidR="001F3A4F" w:rsidRPr="005319EA" w:rsidRDefault="001F3A4F" w:rsidP="001C756C">
      <w:pPr>
        <w:pStyle w:val="FootnoteText"/>
        <w:jc w:val="both"/>
      </w:pPr>
      <w:r w:rsidRPr="005319EA">
        <w:rPr>
          <w:rStyle w:val="FootnoteReference"/>
        </w:rPr>
        <w:footnoteRef/>
      </w:r>
      <w:r w:rsidRPr="005319EA">
        <w:t xml:space="preserve"> </w:t>
      </w:r>
      <w:r w:rsidR="005C0127" w:rsidRPr="005319EA">
        <w:rPr>
          <w:i/>
          <w:iCs/>
        </w:rPr>
        <w:t>S</w:t>
      </w:r>
      <w:r w:rsidRPr="005319EA">
        <w:rPr>
          <w:i/>
          <w:iCs/>
        </w:rPr>
        <w:t>upra</w:t>
      </w:r>
      <w:r w:rsidRPr="005319EA">
        <w:t xml:space="preserve"> </w:t>
      </w:r>
      <w:r w:rsidR="00151AEB" w:rsidRPr="005319EA">
        <w:t xml:space="preserve">Part </w:t>
      </w:r>
      <w:r w:rsidRPr="005319EA">
        <w:t>III</w:t>
      </w:r>
      <w:r w:rsidR="008A22AF" w:rsidRPr="005319EA">
        <w:t>.</w:t>
      </w:r>
    </w:p>
  </w:footnote>
  <w:footnote w:id="110">
    <w:p w14:paraId="732D8888" w14:textId="7018504F"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vertAlign w:val="superscript"/>
        </w:rPr>
        <w:t xml:space="preserve"> </w:t>
      </w:r>
      <w:r w:rsidRPr="005319EA">
        <w:rPr>
          <w:sz w:val="20"/>
          <w:szCs w:val="20"/>
        </w:rPr>
        <w:t xml:space="preserve"> Vienna Convention on Consular Relations, </w:t>
      </w:r>
      <w:r w:rsidR="008F3DB1" w:rsidRPr="005319EA">
        <w:rPr>
          <w:sz w:val="20"/>
          <w:szCs w:val="20"/>
        </w:rPr>
        <w:t xml:space="preserve">art. 36, </w:t>
      </w:r>
      <w:r w:rsidR="00D70F1E" w:rsidRPr="005319EA">
        <w:rPr>
          <w:sz w:val="20"/>
          <w:szCs w:val="20"/>
        </w:rPr>
        <w:t xml:space="preserve">24 April 1963, 596 U.N.T.S. 261 </w:t>
      </w:r>
      <w:r w:rsidR="008F3DB1" w:rsidRPr="005319EA">
        <w:rPr>
          <w:sz w:val="20"/>
          <w:szCs w:val="20"/>
        </w:rPr>
        <w:t>[“VCCR”].</w:t>
      </w:r>
    </w:p>
  </w:footnote>
  <w:footnote w:id="111">
    <w:p w14:paraId="34DBC3EA" w14:textId="6ED5936A" w:rsidR="001F3A4F" w:rsidRPr="005319EA" w:rsidRDefault="001F3A4F" w:rsidP="001C756C">
      <w:pPr>
        <w:spacing w:before="0" w:after="0"/>
        <w:jc w:val="both"/>
        <w:rPr>
          <w:sz w:val="20"/>
          <w:szCs w:val="20"/>
        </w:rPr>
      </w:pPr>
      <w:r w:rsidRPr="005319EA">
        <w:rPr>
          <w:sz w:val="20"/>
          <w:szCs w:val="20"/>
          <w:vertAlign w:val="superscript"/>
        </w:rPr>
        <w:footnoteRef/>
      </w:r>
      <w:r w:rsidRPr="005319EA">
        <w:rPr>
          <w:sz w:val="20"/>
          <w:szCs w:val="20"/>
        </w:rPr>
        <w:t xml:space="preserve"> </w:t>
      </w:r>
      <w:r w:rsidR="00D70F1E" w:rsidRPr="005319EA">
        <w:rPr>
          <w:i/>
          <w:iCs/>
          <w:sz w:val="20"/>
          <w:szCs w:val="20"/>
        </w:rPr>
        <w:t>Id.</w:t>
      </w:r>
      <w:r w:rsidR="00D70F1E" w:rsidRPr="005319EA">
        <w:rPr>
          <w:sz w:val="20"/>
          <w:szCs w:val="20"/>
        </w:rPr>
        <w:t>, pmbl.</w:t>
      </w:r>
    </w:p>
  </w:footnote>
  <w:footnote w:id="112">
    <w:p w14:paraId="6DF7C13F" w14:textId="3FA45EA3" w:rsidR="001F3A4F" w:rsidRPr="005319EA" w:rsidRDefault="001F3A4F" w:rsidP="001C756C">
      <w:pPr>
        <w:pStyle w:val="FootnoteText"/>
        <w:jc w:val="both"/>
      </w:pPr>
      <w:r w:rsidRPr="005319EA">
        <w:rPr>
          <w:rStyle w:val="FootnoteReference"/>
        </w:rPr>
        <w:footnoteRef/>
      </w:r>
      <w:r w:rsidRPr="005319EA">
        <w:rPr>
          <w:vertAlign w:val="superscript"/>
        </w:rPr>
        <w:t xml:space="preserve"> </w:t>
      </w:r>
      <w:r w:rsidR="006A347D" w:rsidRPr="005319EA">
        <w:t xml:space="preserve">Willian J. Aceves, </w:t>
      </w:r>
      <w:r w:rsidR="006A347D" w:rsidRPr="005319EA">
        <w:rPr>
          <w:i/>
          <w:iCs/>
        </w:rPr>
        <w:t>The Vienna Convention on Consular Relations: A Study of Rights, Wrongs, and Remedies</w:t>
      </w:r>
      <w:r w:rsidR="006A347D" w:rsidRPr="005319EA">
        <w:t xml:space="preserve">, 31 </w:t>
      </w:r>
      <w:r w:rsidR="006A347D" w:rsidRPr="005319EA">
        <w:rPr>
          <w:smallCaps/>
        </w:rPr>
        <w:t>Vand. J. Transactional L.</w:t>
      </w:r>
      <w:r w:rsidR="006A347D" w:rsidRPr="005319EA">
        <w:t xml:space="preserve"> 257, 314 (1998</w:t>
      </w:r>
      <w:r w:rsidRPr="005319EA">
        <w:t>).</w:t>
      </w:r>
    </w:p>
  </w:footnote>
  <w:footnote w:id="113">
    <w:p w14:paraId="032CA622" w14:textId="6993894C" w:rsidR="001F3A4F" w:rsidRPr="005319EA" w:rsidRDefault="001F3A4F" w:rsidP="001C756C">
      <w:pPr>
        <w:spacing w:before="0" w:after="0"/>
        <w:jc w:val="both"/>
        <w:rPr>
          <w:rFonts w:eastAsia="Calibri"/>
          <w:sz w:val="20"/>
          <w:szCs w:val="20"/>
          <w:highlight w:val="yellow"/>
        </w:rPr>
      </w:pPr>
      <w:r w:rsidRPr="005319EA">
        <w:rPr>
          <w:sz w:val="20"/>
          <w:szCs w:val="20"/>
          <w:vertAlign w:val="superscript"/>
        </w:rPr>
        <w:footnoteRef/>
      </w:r>
      <w:r w:rsidRPr="005319EA">
        <w:rPr>
          <w:sz w:val="20"/>
          <w:szCs w:val="20"/>
          <w:vertAlign w:val="superscript"/>
        </w:rPr>
        <w:t xml:space="preserve"> </w:t>
      </w:r>
      <w:r w:rsidR="00A426B4" w:rsidRPr="005319EA">
        <w:rPr>
          <w:rFonts w:eastAsia="Calibri"/>
          <w:sz w:val="20"/>
          <w:szCs w:val="20"/>
        </w:rPr>
        <w:t>Brief of Amici Curiae Republic of Argentina, Republic of Brazil, Republic of Ecuador, and Republic of Mexico in Support of Petition for a Writ of Certiorari, Paraguay v. Gilmore (No. 97–1390)</w:t>
      </w:r>
      <w:r w:rsidRPr="005319EA">
        <w:rPr>
          <w:rFonts w:eastAsia="Calibri"/>
          <w:sz w:val="20"/>
          <w:szCs w:val="20"/>
        </w:rPr>
        <w:t xml:space="preserve">, </w:t>
      </w:r>
      <w:r w:rsidR="00A426B4" w:rsidRPr="005319EA">
        <w:rPr>
          <w:rFonts w:eastAsia="Calibri"/>
          <w:sz w:val="20"/>
          <w:szCs w:val="20"/>
        </w:rPr>
        <w:t>a</w:t>
      </w:r>
      <w:r w:rsidRPr="005319EA">
        <w:rPr>
          <w:rFonts w:eastAsia="Calibri"/>
          <w:sz w:val="20"/>
          <w:szCs w:val="20"/>
        </w:rPr>
        <w:t xml:space="preserve">nnex 28. </w:t>
      </w:r>
      <w:r w:rsidRPr="005319EA">
        <w:rPr>
          <w:rFonts w:eastAsia="Calibri"/>
          <w:i/>
          <w:iCs/>
          <w:sz w:val="20"/>
          <w:szCs w:val="20"/>
        </w:rPr>
        <w:t xml:space="preserve">See </w:t>
      </w:r>
      <w:r w:rsidR="00763DF1" w:rsidRPr="005319EA">
        <w:rPr>
          <w:rFonts w:eastAsia="Calibri"/>
          <w:i/>
          <w:iCs/>
          <w:sz w:val="20"/>
          <w:szCs w:val="20"/>
        </w:rPr>
        <w:t>generally</w:t>
      </w:r>
      <w:r w:rsidRPr="005319EA">
        <w:rPr>
          <w:rFonts w:eastAsia="Calibri"/>
          <w:sz w:val="20"/>
          <w:szCs w:val="20"/>
        </w:rPr>
        <w:t xml:space="preserve"> </w:t>
      </w:r>
      <w:r w:rsidR="00763DF1" w:rsidRPr="005319EA">
        <w:rPr>
          <w:rFonts w:eastAsia="Calibri"/>
          <w:sz w:val="20"/>
          <w:szCs w:val="20"/>
        </w:rPr>
        <w:t xml:space="preserve">Cindy Buys, </w:t>
      </w:r>
      <w:r w:rsidR="00763DF1" w:rsidRPr="005319EA">
        <w:rPr>
          <w:rFonts w:eastAsia="Calibri"/>
          <w:i/>
          <w:iCs/>
          <w:sz w:val="20"/>
          <w:szCs w:val="20"/>
        </w:rPr>
        <w:t>Do Unto Others: The Importance of Better Compliance with Consular Notification Rights</w:t>
      </w:r>
      <w:r w:rsidRPr="005319EA">
        <w:rPr>
          <w:rFonts w:eastAsia="Calibri"/>
          <w:sz w:val="20"/>
          <w:szCs w:val="20"/>
        </w:rPr>
        <w:t xml:space="preserve">, </w:t>
      </w:r>
      <w:r w:rsidR="00763DF1" w:rsidRPr="005319EA">
        <w:rPr>
          <w:rFonts w:eastAsia="Calibri"/>
          <w:sz w:val="20"/>
          <w:szCs w:val="20"/>
        </w:rPr>
        <w:t xml:space="preserve">21 </w:t>
      </w:r>
      <w:r w:rsidR="00763DF1" w:rsidRPr="005319EA">
        <w:rPr>
          <w:rFonts w:eastAsia="Calibri"/>
          <w:smallCaps/>
          <w:sz w:val="20"/>
          <w:szCs w:val="20"/>
        </w:rPr>
        <w:t>Duke J. Comp. &amp; Int’l. L.</w:t>
      </w:r>
      <w:r w:rsidR="00763DF1" w:rsidRPr="005319EA">
        <w:rPr>
          <w:rFonts w:eastAsia="Calibri"/>
          <w:sz w:val="20"/>
          <w:szCs w:val="20"/>
        </w:rPr>
        <w:t xml:space="preserve"> 461 (2011).</w:t>
      </w:r>
      <w:r w:rsidRPr="005319EA">
        <w:rPr>
          <w:rFonts w:eastAsia="Calibri"/>
          <w:sz w:val="20"/>
          <w:szCs w:val="20"/>
        </w:rPr>
        <w:t xml:space="preserve"> </w:t>
      </w:r>
    </w:p>
  </w:footnote>
  <w:footnote w:id="114">
    <w:p w14:paraId="62EE0B37" w14:textId="3D1D901E" w:rsidR="001F3A4F" w:rsidRPr="005319EA" w:rsidRDefault="001F3A4F" w:rsidP="001C756C">
      <w:pPr>
        <w:spacing w:before="0" w:after="0"/>
        <w:jc w:val="both"/>
        <w:rPr>
          <w:sz w:val="20"/>
          <w:szCs w:val="20"/>
          <w:vertAlign w:val="superscript"/>
        </w:rPr>
      </w:pPr>
      <w:r w:rsidRPr="005319EA">
        <w:rPr>
          <w:sz w:val="20"/>
          <w:szCs w:val="20"/>
        </w:rPr>
        <w:footnoteRef/>
      </w:r>
      <w:r w:rsidRPr="005319EA">
        <w:rPr>
          <w:sz w:val="20"/>
          <w:szCs w:val="20"/>
        </w:rPr>
        <w:t xml:space="preserve"> </w:t>
      </w:r>
      <w:r w:rsidR="00A426B4" w:rsidRPr="005319EA">
        <w:rPr>
          <w:smallCaps/>
          <w:sz w:val="20"/>
          <w:szCs w:val="20"/>
        </w:rPr>
        <w:t>UN High Comm’n Hum. Rts.</w:t>
      </w:r>
      <w:r w:rsidRPr="005319EA">
        <w:rPr>
          <w:smallCaps/>
          <w:sz w:val="20"/>
          <w:szCs w:val="20"/>
        </w:rPr>
        <w:t>, The Rights of Non-Citizens</w:t>
      </w:r>
      <w:r w:rsidRPr="005319EA">
        <w:rPr>
          <w:sz w:val="20"/>
          <w:szCs w:val="20"/>
        </w:rPr>
        <w:t xml:space="preserve"> </w:t>
      </w:r>
      <w:r w:rsidR="00A426B4" w:rsidRPr="005319EA">
        <w:rPr>
          <w:sz w:val="20"/>
          <w:szCs w:val="20"/>
        </w:rPr>
        <w:t xml:space="preserve">5 </w:t>
      </w:r>
      <w:r w:rsidRPr="005319EA">
        <w:rPr>
          <w:sz w:val="20"/>
          <w:szCs w:val="20"/>
        </w:rPr>
        <w:t>(2005)</w:t>
      </w:r>
      <w:r w:rsidR="00A426B4" w:rsidRPr="005319EA">
        <w:rPr>
          <w:sz w:val="20"/>
          <w:szCs w:val="20"/>
        </w:rPr>
        <w:t>.</w:t>
      </w:r>
    </w:p>
  </w:footnote>
  <w:footnote w:id="115">
    <w:p w14:paraId="613124E8" w14:textId="44CE216B" w:rsidR="001F3A4F" w:rsidRPr="005319EA" w:rsidRDefault="001F3A4F" w:rsidP="001C756C">
      <w:pPr>
        <w:pStyle w:val="FootnoteText"/>
        <w:jc w:val="both"/>
      </w:pPr>
      <w:r w:rsidRPr="005319EA">
        <w:rPr>
          <w:rStyle w:val="FootnoteReference"/>
        </w:rPr>
        <w:footnoteRef/>
      </w:r>
      <w:r w:rsidRPr="005319EA">
        <w:t xml:space="preserve"> </w:t>
      </w:r>
      <w:r w:rsidR="00A426B4" w:rsidRPr="005319EA">
        <w:t xml:space="preserve">Jadhav (India v. Pak.), Judgment, 2019 I.C.J. Rep. 418, </w:t>
      </w:r>
      <w:r w:rsidR="00DE3BCC" w:rsidRPr="005319EA">
        <w:rPr>
          <w:rFonts w:eastAsia="Calibri"/>
        </w:rPr>
        <w:t>para.</w:t>
      </w:r>
      <w:r w:rsidR="00A426B4" w:rsidRPr="005319EA">
        <w:t xml:space="preserve"> 123 (July 17) [“Jadhav”].</w:t>
      </w:r>
      <w:r w:rsidRPr="005319EA">
        <w:t xml:space="preserve">; </w:t>
      </w:r>
      <w:r w:rsidR="00A426B4" w:rsidRPr="005319EA">
        <w:t xml:space="preserve">Avena and Other Mexican Nationals (Mex. v. U.S.), Judgment, 2004 I.C.J. Rep. 12, </w:t>
      </w:r>
      <w:r w:rsidR="00DE3BCC" w:rsidRPr="005319EA">
        <w:rPr>
          <w:rFonts w:eastAsia="Calibri"/>
        </w:rPr>
        <w:t>paras.</w:t>
      </w:r>
      <w:r w:rsidR="00A426B4" w:rsidRPr="005319EA">
        <w:t xml:space="preserve"> 40, 47 (Mar. 31) [“Avena”]; </w:t>
      </w:r>
      <w:r w:rsidR="009925E0" w:rsidRPr="005319EA">
        <w:t xml:space="preserve">LaGrand (Ger. v. U.S.), Judgment, 2001 I.C.J. Rep. 466, </w:t>
      </w:r>
      <w:r w:rsidR="00DE3BCC" w:rsidRPr="005319EA">
        <w:rPr>
          <w:rFonts w:eastAsia="Calibri"/>
        </w:rPr>
        <w:t>para.</w:t>
      </w:r>
      <w:r w:rsidR="009925E0" w:rsidRPr="005319EA">
        <w:t xml:space="preserve"> 77 (June 27) [“LaGrand”]</w:t>
      </w:r>
      <w:r w:rsidR="00A426B4" w:rsidRPr="005319EA">
        <w:t>.</w:t>
      </w:r>
    </w:p>
  </w:footnote>
  <w:footnote w:id="116">
    <w:p w14:paraId="3561C6A7" w14:textId="404010F0" w:rsidR="001F3A4F" w:rsidRPr="005319EA" w:rsidRDefault="001F3A4F" w:rsidP="001C756C">
      <w:pPr>
        <w:pStyle w:val="FootnoteText"/>
        <w:jc w:val="both"/>
      </w:pPr>
      <w:r w:rsidRPr="005319EA">
        <w:rPr>
          <w:rStyle w:val="FootnoteReference"/>
        </w:rPr>
        <w:footnoteRef/>
      </w:r>
      <w:r w:rsidRPr="005319EA">
        <w:t xml:space="preserve"> </w:t>
      </w:r>
      <w:r w:rsidR="009525F3" w:rsidRPr="005319EA">
        <w:t>Int’l L. Comm’n, Draft Articles on Consular Relations with Commentaries, 2 Y.B. Int’l Law Comm’n 92</w:t>
      </w:r>
      <w:r w:rsidRPr="005319EA">
        <w:t>, 113</w:t>
      </w:r>
      <w:r w:rsidR="009525F3" w:rsidRPr="005319EA">
        <w:t xml:space="preserve"> (1961)</w:t>
      </w:r>
      <w:r w:rsidR="008B5E25" w:rsidRPr="005319EA">
        <w:t xml:space="preserve"> [“VCCR with Commentaries”]</w:t>
      </w:r>
      <w:r w:rsidR="009525F3" w:rsidRPr="005319EA">
        <w:t>.</w:t>
      </w:r>
    </w:p>
  </w:footnote>
  <w:footnote w:id="117">
    <w:p w14:paraId="030EBD81" w14:textId="0EE4D681" w:rsidR="001F3A4F" w:rsidRPr="005319EA" w:rsidRDefault="001F3A4F" w:rsidP="001C756C">
      <w:pPr>
        <w:spacing w:before="0" w:after="0"/>
        <w:jc w:val="both"/>
        <w:rPr>
          <w:sz w:val="20"/>
          <w:szCs w:val="20"/>
          <w:vertAlign w:val="superscript"/>
        </w:rPr>
      </w:pPr>
      <w:r w:rsidRPr="005319EA">
        <w:rPr>
          <w:sz w:val="20"/>
          <w:szCs w:val="20"/>
          <w:vertAlign w:val="superscript"/>
        </w:rPr>
        <w:footnoteRef/>
      </w:r>
      <w:r w:rsidRPr="005319EA">
        <w:rPr>
          <w:sz w:val="20"/>
          <w:szCs w:val="20"/>
          <w:vertAlign w:val="superscript"/>
        </w:rPr>
        <w:t xml:space="preserve"> </w:t>
      </w:r>
      <w:r w:rsidRPr="005319EA">
        <w:rPr>
          <w:sz w:val="20"/>
          <w:szCs w:val="20"/>
        </w:rPr>
        <w:t>VCCR</w:t>
      </w:r>
      <w:r w:rsidR="00151AEB" w:rsidRPr="005319EA">
        <w:rPr>
          <w:sz w:val="20"/>
          <w:szCs w:val="20"/>
        </w:rPr>
        <w:t>,</w:t>
      </w:r>
      <w:r w:rsidRPr="005319EA">
        <w:rPr>
          <w:sz w:val="20"/>
          <w:szCs w:val="20"/>
        </w:rPr>
        <w:t xml:space="preserve"> </w:t>
      </w:r>
      <w:r w:rsidR="00F03BFC" w:rsidRPr="005319EA">
        <w:rPr>
          <w:sz w:val="20"/>
          <w:szCs w:val="20"/>
        </w:rPr>
        <w:t>a</w:t>
      </w:r>
      <w:r w:rsidRPr="005319EA">
        <w:rPr>
          <w:sz w:val="20"/>
          <w:szCs w:val="20"/>
        </w:rPr>
        <w:t>rt</w:t>
      </w:r>
      <w:r w:rsidR="00F03BFC" w:rsidRPr="005319EA">
        <w:rPr>
          <w:sz w:val="20"/>
          <w:szCs w:val="20"/>
        </w:rPr>
        <w:t>.</w:t>
      </w:r>
      <w:r w:rsidRPr="005319EA">
        <w:rPr>
          <w:sz w:val="20"/>
          <w:szCs w:val="20"/>
        </w:rPr>
        <w:t xml:space="preserve"> 36(1)(</w:t>
      </w:r>
      <w:r w:rsidR="009525F3" w:rsidRPr="005319EA">
        <w:rPr>
          <w:sz w:val="20"/>
          <w:szCs w:val="20"/>
        </w:rPr>
        <w:t>b).</w:t>
      </w:r>
    </w:p>
  </w:footnote>
  <w:footnote w:id="118">
    <w:p w14:paraId="6788A041" w14:textId="04D60670" w:rsidR="001F3A4F" w:rsidRPr="005319EA" w:rsidRDefault="001F3A4F" w:rsidP="001C756C">
      <w:pPr>
        <w:pStyle w:val="FootnoteText"/>
        <w:jc w:val="both"/>
      </w:pPr>
      <w:r w:rsidRPr="005319EA">
        <w:rPr>
          <w:rStyle w:val="FootnoteReference"/>
        </w:rPr>
        <w:footnoteRef/>
      </w:r>
      <w:r w:rsidRPr="005319EA">
        <w:t xml:space="preserve"> Jadhav</w:t>
      </w:r>
      <w:r w:rsidR="00A426B4" w:rsidRPr="005319EA">
        <w:t xml:space="preserve">, </w:t>
      </w:r>
      <w:r w:rsidR="00A426B4" w:rsidRPr="005319EA">
        <w:rPr>
          <w:i/>
          <w:iCs/>
        </w:rPr>
        <w:t>supra</w:t>
      </w:r>
      <w:r w:rsidR="00A426B4" w:rsidRPr="005319EA">
        <w:t xml:space="preserve"> note </w:t>
      </w:r>
      <w:r w:rsidR="00803CCC" w:rsidRPr="005319EA">
        <w:t>114</w:t>
      </w:r>
      <w:r w:rsidR="001C7E9F" w:rsidRPr="005319EA">
        <w:t xml:space="preserve">, </w:t>
      </w:r>
      <w:r w:rsidR="006C361A" w:rsidRPr="005319EA">
        <w:t>¶</w:t>
      </w:r>
      <w:r w:rsidRPr="005319EA">
        <w:t xml:space="preserve"> 123</w:t>
      </w:r>
      <w:r w:rsidR="00A426B4" w:rsidRPr="005319EA">
        <w:t xml:space="preserve">. </w:t>
      </w:r>
      <w:r w:rsidR="00A426B4" w:rsidRPr="005319EA">
        <w:rPr>
          <w:i/>
          <w:iCs/>
        </w:rPr>
        <w:t>See also</w:t>
      </w:r>
      <w:r w:rsidRPr="005319EA">
        <w:t xml:space="preserve"> Ave</w:t>
      </w:r>
      <w:r w:rsidR="00A426B4" w:rsidRPr="005319EA">
        <w:t>n</w:t>
      </w:r>
      <w:r w:rsidRPr="005319EA">
        <w:t>a</w:t>
      </w:r>
      <w:r w:rsidR="00A426B4" w:rsidRPr="005319EA">
        <w:t>,</w:t>
      </w:r>
      <w:r w:rsidRPr="005319EA">
        <w:t xml:space="preserve"> </w:t>
      </w:r>
      <w:r w:rsidR="00A426B4" w:rsidRPr="005319EA">
        <w:rPr>
          <w:i/>
          <w:iCs/>
        </w:rPr>
        <w:t xml:space="preserve">supra </w:t>
      </w:r>
      <w:r w:rsidR="00A426B4" w:rsidRPr="005319EA">
        <w:t xml:space="preserve">note </w:t>
      </w:r>
      <w:r w:rsidR="00803CCC" w:rsidRPr="005319EA">
        <w:t>114</w:t>
      </w:r>
      <w:r w:rsidR="006C361A" w:rsidRPr="005319EA">
        <w:t>,</w:t>
      </w:r>
      <w:r w:rsidR="001C7E9F" w:rsidRPr="005319EA">
        <w:t xml:space="preserve"> </w:t>
      </w:r>
      <w:r w:rsidR="00613EB2" w:rsidRPr="005319EA">
        <w:t>¶¶</w:t>
      </w:r>
      <w:r w:rsidR="00A426B4" w:rsidRPr="005319EA">
        <w:t xml:space="preserve"> 40, 47. </w:t>
      </w:r>
      <w:r w:rsidR="00A426B4" w:rsidRPr="005319EA">
        <w:rPr>
          <w:i/>
          <w:iCs/>
        </w:rPr>
        <w:t xml:space="preserve">See generally </w:t>
      </w:r>
      <w:r w:rsidR="00A426B4" w:rsidRPr="005319EA">
        <w:t>United States Diplomatic and Consular Staff in Tehran (U.S. v. Iran), Judgment, 1980 I.C.J. Rep. 3 (May 24)</w:t>
      </w:r>
      <w:r w:rsidRPr="005319EA">
        <w:t>.</w:t>
      </w:r>
    </w:p>
  </w:footnote>
  <w:footnote w:id="119">
    <w:p w14:paraId="7F78C5C3" w14:textId="1B81F7C3" w:rsidR="001F3A4F" w:rsidRPr="005319EA" w:rsidRDefault="001F3A4F" w:rsidP="001C756C">
      <w:pPr>
        <w:spacing w:before="0" w:after="0"/>
        <w:jc w:val="both"/>
        <w:rPr>
          <w:sz w:val="20"/>
          <w:szCs w:val="20"/>
          <w:vertAlign w:val="superscript"/>
        </w:rPr>
      </w:pPr>
      <w:r w:rsidRPr="005319EA">
        <w:rPr>
          <w:sz w:val="20"/>
          <w:szCs w:val="20"/>
          <w:vertAlign w:val="superscript"/>
        </w:rPr>
        <w:footnoteRef/>
      </w:r>
      <w:r w:rsidRPr="005319EA">
        <w:rPr>
          <w:sz w:val="20"/>
          <w:szCs w:val="20"/>
          <w:vertAlign w:val="superscript"/>
        </w:rPr>
        <w:t xml:space="preserve"> </w:t>
      </w:r>
      <w:r w:rsidRPr="005319EA">
        <w:rPr>
          <w:sz w:val="20"/>
          <w:szCs w:val="20"/>
        </w:rPr>
        <w:t>Avena</w:t>
      </w:r>
      <w:r w:rsidR="0014000C" w:rsidRPr="005319EA">
        <w:rPr>
          <w:sz w:val="20"/>
          <w:szCs w:val="20"/>
        </w:rPr>
        <w:t xml:space="preserve">, </w:t>
      </w:r>
      <w:r w:rsidR="0014000C" w:rsidRPr="005319EA">
        <w:rPr>
          <w:i/>
          <w:iCs/>
          <w:sz w:val="20"/>
          <w:szCs w:val="20"/>
        </w:rPr>
        <w:t xml:space="preserve">supra </w:t>
      </w:r>
      <w:r w:rsidR="0014000C" w:rsidRPr="005319EA">
        <w:rPr>
          <w:sz w:val="20"/>
          <w:szCs w:val="20"/>
        </w:rPr>
        <w:t xml:space="preserve">note </w:t>
      </w:r>
      <w:r w:rsidR="00803CCC" w:rsidRPr="005319EA">
        <w:rPr>
          <w:sz w:val="20"/>
          <w:szCs w:val="20"/>
        </w:rPr>
        <w:t>114</w:t>
      </w:r>
      <w:r w:rsidR="006C361A" w:rsidRPr="005319EA">
        <w:rPr>
          <w:sz w:val="20"/>
          <w:szCs w:val="20"/>
        </w:rPr>
        <w:t>, ¶</w:t>
      </w:r>
      <w:r w:rsidR="00DE3BCC" w:rsidRPr="005319EA">
        <w:rPr>
          <w:rFonts w:eastAsia="Calibri"/>
          <w:sz w:val="20"/>
          <w:szCs w:val="20"/>
        </w:rPr>
        <w:t xml:space="preserve"> </w:t>
      </w:r>
      <w:r w:rsidRPr="005319EA">
        <w:rPr>
          <w:sz w:val="20"/>
          <w:szCs w:val="20"/>
        </w:rPr>
        <w:t>61</w:t>
      </w:r>
      <w:r w:rsidR="0014000C" w:rsidRPr="005319EA">
        <w:rPr>
          <w:sz w:val="20"/>
          <w:szCs w:val="20"/>
        </w:rPr>
        <w:t>.</w:t>
      </w:r>
      <w:r w:rsidRPr="005319EA">
        <w:rPr>
          <w:sz w:val="20"/>
          <w:szCs w:val="20"/>
        </w:rPr>
        <w:t xml:space="preserve"> </w:t>
      </w:r>
      <w:r w:rsidRPr="005319EA">
        <w:rPr>
          <w:i/>
          <w:iCs/>
          <w:sz w:val="20"/>
          <w:szCs w:val="20"/>
        </w:rPr>
        <w:t>See also</w:t>
      </w:r>
      <w:r w:rsidRPr="005319EA">
        <w:rPr>
          <w:sz w:val="20"/>
          <w:szCs w:val="20"/>
        </w:rPr>
        <w:t>, Jadhav</w:t>
      </w:r>
      <w:r w:rsidR="0014000C" w:rsidRPr="005319EA">
        <w:rPr>
          <w:sz w:val="20"/>
          <w:szCs w:val="20"/>
        </w:rPr>
        <w:t xml:space="preserve">, </w:t>
      </w:r>
      <w:r w:rsidR="0014000C" w:rsidRPr="005319EA">
        <w:rPr>
          <w:i/>
          <w:iCs/>
          <w:sz w:val="20"/>
          <w:szCs w:val="20"/>
        </w:rPr>
        <w:t xml:space="preserve">supra </w:t>
      </w:r>
      <w:r w:rsidR="0014000C" w:rsidRPr="005319EA">
        <w:rPr>
          <w:sz w:val="20"/>
          <w:szCs w:val="20"/>
        </w:rPr>
        <w:t xml:space="preserve">note </w:t>
      </w:r>
      <w:r w:rsidR="00803CCC" w:rsidRPr="005319EA">
        <w:rPr>
          <w:sz w:val="20"/>
          <w:szCs w:val="20"/>
        </w:rPr>
        <w:t>114</w:t>
      </w:r>
      <w:r w:rsidR="006C361A" w:rsidRPr="005319EA">
        <w:rPr>
          <w:sz w:val="20"/>
          <w:szCs w:val="20"/>
        </w:rPr>
        <w:t>,</w:t>
      </w:r>
      <w:r w:rsidR="00613EB2" w:rsidRPr="005319EA">
        <w:rPr>
          <w:sz w:val="20"/>
          <w:szCs w:val="20"/>
        </w:rPr>
        <w:t xml:space="preserve"> </w:t>
      </w:r>
      <w:r w:rsidR="006C361A" w:rsidRPr="005319EA">
        <w:rPr>
          <w:sz w:val="20"/>
          <w:szCs w:val="20"/>
        </w:rPr>
        <w:t>¶</w:t>
      </w:r>
      <w:r w:rsidR="00DE3BCC" w:rsidRPr="005319EA">
        <w:rPr>
          <w:rFonts w:eastAsia="Calibri"/>
          <w:sz w:val="20"/>
          <w:szCs w:val="20"/>
        </w:rPr>
        <w:t xml:space="preserve"> </w:t>
      </w:r>
      <w:r w:rsidRPr="005319EA">
        <w:rPr>
          <w:sz w:val="20"/>
          <w:szCs w:val="20"/>
        </w:rPr>
        <w:t>133.</w:t>
      </w:r>
    </w:p>
  </w:footnote>
  <w:footnote w:id="120">
    <w:p w14:paraId="5747CD1D" w14:textId="41A192AF" w:rsidR="001F3A4F" w:rsidRPr="005319EA" w:rsidRDefault="001F3A4F" w:rsidP="001C756C">
      <w:pPr>
        <w:pStyle w:val="FootnoteText"/>
        <w:jc w:val="both"/>
      </w:pPr>
      <w:r w:rsidRPr="005319EA">
        <w:rPr>
          <w:rStyle w:val="FootnoteReference"/>
        </w:rPr>
        <w:footnoteRef/>
      </w:r>
      <w:r w:rsidRPr="005319EA">
        <w:t xml:space="preserve"> </w:t>
      </w:r>
      <w:r w:rsidR="002243A5" w:rsidRPr="005319EA">
        <w:t>ILC, Draft Articles on Consular Relations with Commentaries, 2 Y.B. Int’l Law Comm’n 92, 112 (1961).</w:t>
      </w:r>
    </w:p>
  </w:footnote>
  <w:footnote w:id="121">
    <w:p w14:paraId="7894B45D" w14:textId="640ABED7" w:rsidR="001F3A4F" w:rsidRPr="005319EA" w:rsidRDefault="001F3A4F" w:rsidP="001C756C">
      <w:pPr>
        <w:pStyle w:val="NormalWeb"/>
        <w:spacing w:before="0" w:beforeAutospacing="0" w:after="0" w:afterAutospacing="0"/>
        <w:jc w:val="both"/>
        <w:rPr>
          <w:sz w:val="20"/>
          <w:szCs w:val="20"/>
          <w:lang w:val="it-IT"/>
        </w:rPr>
      </w:pPr>
      <w:r w:rsidRPr="005319EA">
        <w:rPr>
          <w:rStyle w:val="FootnoteReference"/>
          <w:sz w:val="20"/>
          <w:szCs w:val="20"/>
        </w:rPr>
        <w:footnoteRef/>
      </w:r>
      <w:r w:rsidRPr="005319EA">
        <w:rPr>
          <w:sz w:val="20"/>
          <w:szCs w:val="20"/>
          <w:lang w:val="it-IT"/>
        </w:rPr>
        <w:t xml:space="preserve"> Avena</w:t>
      </w:r>
      <w:r w:rsidR="0014000C" w:rsidRPr="005319EA">
        <w:rPr>
          <w:sz w:val="20"/>
          <w:szCs w:val="20"/>
          <w:lang w:val="it-IT"/>
        </w:rPr>
        <w:t xml:space="preserve">, </w:t>
      </w:r>
      <w:r w:rsidR="0014000C" w:rsidRPr="005319EA">
        <w:rPr>
          <w:i/>
          <w:iCs/>
          <w:sz w:val="20"/>
          <w:szCs w:val="20"/>
          <w:lang w:val="it-IT"/>
        </w:rPr>
        <w:t xml:space="preserve">supra </w:t>
      </w:r>
      <w:r w:rsidR="0014000C" w:rsidRPr="005319EA">
        <w:rPr>
          <w:sz w:val="20"/>
          <w:szCs w:val="20"/>
          <w:lang w:val="it-IT"/>
        </w:rPr>
        <w:t xml:space="preserve">note </w:t>
      </w:r>
      <w:r w:rsidR="00E06FA1" w:rsidRPr="005319EA">
        <w:rPr>
          <w:sz w:val="20"/>
          <w:szCs w:val="20"/>
          <w:lang w:val="it-IT"/>
        </w:rPr>
        <w:t>114</w:t>
      </w:r>
      <w:r w:rsidR="006C361A" w:rsidRPr="005319EA">
        <w:rPr>
          <w:sz w:val="20"/>
          <w:szCs w:val="20"/>
          <w:lang w:val="it-IT"/>
        </w:rPr>
        <w:t>, ¶</w:t>
      </w:r>
      <w:r w:rsidR="00DE3BCC" w:rsidRPr="005319EA">
        <w:rPr>
          <w:rFonts w:eastAsia="Calibri"/>
          <w:sz w:val="20"/>
          <w:szCs w:val="20"/>
          <w:lang w:val="it-IT"/>
        </w:rPr>
        <w:t xml:space="preserve"> </w:t>
      </w:r>
      <w:r w:rsidRPr="005319EA">
        <w:rPr>
          <w:sz w:val="20"/>
          <w:szCs w:val="20"/>
          <w:lang w:val="it-IT"/>
        </w:rPr>
        <w:t xml:space="preserve">63. </w:t>
      </w:r>
    </w:p>
  </w:footnote>
  <w:footnote w:id="122">
    <w:p w14:paraId="7BD84406" w14:textId="1B24B788" w:rsidR="001F3A4F" w:rsidRPr="005319EA" w:rsidRDefault="001F3A4F" w:rsidP="001C756C">
      <w:pPr>
        <w:pStyle w:val="NormalWeb"/>
        <w:spacing w:before="0" w:beforeAutospacing="0" w:after="0" w:afterAutospacing="0"/>
        <w:jc w:val="both"/>
        <w:rPr>
          <w:sz w:val="20"/>
          <w:szCs w:val="20"/>
          <w:lang w:val="it-IT"/>
        </w:rPr>
      </w:pPr>
      <w:r w:rsidRPr="005319EA">
        <w:rPr>
          <w:rStyle w:val="FootnoteReference"/>
          <w:sz w:val="20"/>
          <w:szCs w:val="20"/>
        </w:rPr>
        <w:footnoteRef/>
      </w:r>
      <w:r w:rsidR="00EB42A6" w:rsidRPr="005319EA">
        <w:rPr>
          <w:sz w:val="20"/>
          <w:szCs w:val="20"/>
          <w:lang w:val="it-IT"/>
        </w:rPr>
        <w:t xml:space="preserve"> </w:t>
      </w:r>
      <w:r w:rsidR="00EB42A6" w:rsidRPr="005319EA">
        <w:rPr>
          <w:i/>
          <w:iCs/>
          <w:sz w:val="20"/>
          <w:szCs w:val="20"/>
          <w:lang w:val="it-IT"/>
        </w:rPr>
        <w:t xml:space="preserve">See </w:t>
      </w:r>
      <w:r w:rsidRPr="005319EA">
        <w:rPr>
          <w:sz w:val="20"/>
          <w:szCs w:val="20"/>
          <w:lang w:val="it-IT"/>
        </w:rPr>
        <w:t>Almonacid-Arellano v. Chile, I</w:t>
      </w:r>
      <w:r w:rsidR="00EB42A6" w:rsidRPr="005319EA">
        <w:rPr>
          <w:sz w:val="20"/>
          <w:szCs w:val="20"/>
          <w:lang w:val="it-IT"/>
        </w:rPr>
        <w:t>A</w:t>
      </w:r>
      <w:r w:rsidRPr="005319EA">
        <w:rPr>
          <w:sz w:val="20"/>
          <w:szCs w:val="20"/>
          <w:lang w:val="it-IT"/>
        </w:rPr>
        <w:t>C</w:t>
      </w:r>
      <w:r w:rsidR="00EB42A6" w:rsidRPr="005319EA">
        <w:rPr>
          <w:sz w:val="20"/>
          <w:szCs w:val="20"/>
          <w:lang w:val="it-IT"/>
        </w:rPr>
        <w:t>t</w:t>
      </w:r>
      <w:r w:rsidRPr="005319EA">
        <w:rPr>
          <w:sz w:val="20"/>
          <w:szCs w:val="20"/>
          <w:lang w:val="it-IT"/>
        </w:rPr>
        <w:t>HR</w:t>
      </w:r>
      <w:r w:rsidR="00EB42A6" w:rsidRPr="005319EA">
        <w:rPr>
          <w:sz w:val="20"/>
          <w:szCs w:val="20"/>
          <w:lang w:val="it-IT"/>
        </w:rPr>
        <w:t xml:space="preserve"> (ser. C) No. 254,</w:t>
      </w:r>
      <w:r w:rsidRPr="005319EA">
        <w:rPr>
          <w:sz w:val="20"/>
          <w:szCs w:val="20"/>
          <w:lang w:val="it-IT"/>
        </w:rPr>
        <w:t xml:space="preserve"> </w:t>
      </w:r>
      <w:r w:rsidR="00DE3BCC" w:rsidRPr="005319EA">
        <w:rPr>
          <w:rFonts w:eastAsia="Calibri"/>
          <w:sz w:val="20"/>
          <w:szCs w:val="20"/>
          <w:lang w:val="it-IT"/>
        </w:rPr>
        <w:t xml:space="preserve">para. </w:t>
      </w:r>
      <w:r w:rsidRPr="005319EA">
        <w:rPr>
          <w:sz w:val="20"/>
          <w:szCs w:val="20"/>
          <w:lang w:val="it-IT"/>
        </w:rPr>
        <w:t>48</w:t>
      </w:r>
      <w:r w:rsidR="00EB42A6" w:rsidRPr="005319EA">
        <w:rPr>
          <w:sz w:val="20"/>
          <w:szCs w:val="20"/>
          <w:lang w:val="it-IT"/>
        </w:rPr>
        <w:t xml:space="preserve"> (2006); </w:t>
      </w:r>
      <w:r w:rsidRPr="005319EA">
        <w:rPr>
          <w:sz w:val="20"/>
          <w:szCs w:val="20"/>
          <w:lang w:val="it-IT"/>
        </w:rPr>
        <w:t>Acosta-Calderón v. Ecuador</w:t>
      </w:r>
      <w:r w:rsidR="00EB42A6" w:rsidRPr="005319EA">
        <w:rPr>
          <w:sz w:val="20"/>
          <w:szCs w:val="20"/>
          <w:lang w:val="it-IT"/>
        </w:rPr>
        <w:t xml:space="preserve">, IACtHR (ser. C) No. 129, </w:t>
      </w:r>
      <w:r w:rsidR="00DE3BCC" w:rsidRPr="005319EA">
        <w:rPr>
          <w:rFonts w:eastAsia="Calibri"/>
          <w:sz w:val="20"/>
          <w:szCs w:val="20"/>
          <w:lang w:val="it-IT"/>
        </w:rPr>
        <w:t xml:space="preserve">para. </w:t>
      </w:r>
      <w:r w:rsidR="00EB42A6" w:rsidRPr="005319EA">
        <w:rPr>
          <w:sz w:val="20"/>
          <w:szCs w:val="20"/>
          <w:lang w:val="it-IT"/>
        </w:rPr>
        <w:t>101(g)</w:t>
      </w:r>
      <w:r w:rsidRPr="005319EA">
        <w:rPr>
          <w:sz w:val="20"/>
          <w:szCs w:val="20"/>
          <w:lang w:val="it-IT"/>
        </w:rPr>
        <w:t xml:space="preserve"> </w:t>
      </w:r>
      <w:r w:rsidR="00EB42A6" w:rsidRPr="005319EA">
        <w:rPr>
          <w:sz w:val="20"/>
          <w:szCs w:val="20"/>
          <w:lang w:val="it-IT"/>
        </w:rPr>
        <w:t>(</w:t>
      </w:r>
      <w:r w:rsidRPr="005319EA">
        <w:rPr>
          <w:sz w:val="20"/>
          <w:szCs w:val="20"/>
          <w:lang w:val="it-IT"/>
        </w:rPr>
        <w:t>2005)</w:t>
      </w:r>
      <w:r w:rsidR="00EB42A6" w:rsidRPr="005319EA">
        <w:rPr>
          <w:sz w:val="20"/>
          <w:szCs w:val="20"/>
          <w:lang w:val="it-IT"/>
        </w:rPr>
        <w:t>.</w:t>
      </w:r>
    </w:p>
  </w:footnote>
  <w:footnote w:id="123">
    <w:p w14:paraId="32B69E21" w14:textId="37B65704" w:rsidR="001F3A4F" w:rsidRPr="005319EA" w:rsidRDefault="001F3A4F" w:rsidP="001C756C">
      <w:pPr>
        <w:pStyle w:val="NormalWeb"/>
        <w:spacing w:before="0" w:beforeAutospacing="0" w:after="0" w:afterAutospacing="0"/>
        <w:jc w:val="both"/>
        <w:rPr>
          <w:sz w:val="20"/>
          <w:szCs w:val="20"/>
          <w:lang w:val="it-IT"/>
        </w:rPr>
      </w:pPr>
      <w:r w:rsidRPr="005319EA">
        <w:rPr>
          <w:rStyle w:val="FootnoteReference"/>
          <w:sz w:val="20"/>
          <w:szCs w:val="20"/>
        </w:rPr>
        <w:footnoteRef/>
      </w:r>
      <w:r w:rsidRPr="005319EA">
        <w:rPr>
          <w:sz w:val="20"/>
          <w:szCs w:val="20"/>
          <w:lang w:val="it-IT"/>
        </w:rPr>
        <w:t xml:space="preserve"> LaGrand,</w:t>
      </w:r>
      <w:r w:rsidR="009925E0" w:rsidRPr="005319EA">
        <w:rPr>
          <w:sz w:val="20"/>
          <w:szCs w:val="20"/>
          <w:lang w:val="it-IT"/>
        </w:rPr>
        <w:t xml:space="preserve"> </w:t>
      </w:r>
      <w:r w:rsidR="009925E0" w:rsidRPr="005319EA">
        <w:rPr>
          <w:i/>
          <w:iCs/>
          <w:sz w:val="20"/>
          <w:szCs w:val="20"/>
          <w:lang w:val="it-IT"/>
        </w:rPr>
        <w:t>supra</w:t>
      </w:r>
      <w:r w:rsidR="009925E0" w:rsidRPr="005319EA">
        <w:rPr>
          <w:sz w:val="20"/>
          <w:szCs w:val="20"/>
          <w:lang w:val="it-IT"/>
        </w:rPr>
        <w:t xml:space="preserve"> note </w:t>
      </w:r>
      <w:r w:rsidR="00E06FA1" w:rsidRPr="005319EA">
        <w:rPr>
          <w:sz w:val="20"/>
          <w:szCs w:val="20"/>
          <w:lang w:val="it-IT"/>
        </w:rPr>
        <w:t>114</w:t>
      </w:r>
      <w:r w:rsidR="00461780" w:rsidRPr="005319EA">
        <w:rPr>
          <w:sz w:val="20"/>
          <w:szCs w:val="20"/>
          <w:lang w:val="it-IT"/>
        </w:rPr>
        <w:t>, ¶</w:t>
      </w:r>
      <w:r w:rsidR="00DE3BCC" w:rsidRPr="005319EA">
        <w:rPr>
          <w:rFonts w:eastAsia="Calibri"/>
          <w:sz w:val="20"/>
          <w:szCs w:val="20"/>
          <w:lang w:val="it-IT"/>
        </w:rPr>
        <w:t xml:space="preserve"> </w:t>
      </w:r>
      <w:r w:rsidRPr="005319EA">
        <w:rPr>
          <w:sz w:val="20"/>
          <w:szCs w:val="20"/>
          <w:lang w:val="it-IT"/>
        </w:rPr>
        <w:t>73</w:t>
      </w:r>
      <w:r w:rsidR="009925E0" w:rsidRPr="005319EA">
        <w:rPr>
          <w:sz w:val="20"/>
          <w:szCs w:val="20"/>
          <w:lang w:val="it-IT"/>
        </w:rPr>
        <w:t>.</w:t>
      </w:r>
    </w:p>
  </w:footnote>
  <w:footnote w:id="124">
    <w:p w14:paraId="22DD2CE2" w14:textId="18D77D58" w:rsidR="001F3A4F" w:rsidRPr="005319EA" w:rsidRDefault="001F3A4F" w:rsidP="001C756C">
      <w:pPr>
        <w:pStyle w:val="FootnoteText"/>
        <w:jc w:val="both"/>
        <w:rPr>
          <w:lang w:val="it-IT"/>
        </w:rPr>
      </w:pPr>
      <w:r w:rsidRPr="005319EA">
        <w:rPr>
          <w:rStyle w:val="FootnoteReference"/>
        </w:rPr>
        <w:footnoteRef/>
      </w:r>
      <w:r w:rsidR="004C6B21" w:rsidRPr="005319EA">
        <w:rPr>
          <w:i/>
          <w:iCs/>
          <w:lang w:val="it-IT"/>
        </w:rPr>
        <w:t xml:space="preserve"> Id.</w:t>
      </w:r>
    </w:p>
  </w:footnote>
  <w:footnote w:id="125">
    <w:p w14:paraId="1A0FAC3A" w14:textId="5A3E2255"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DE3BCC" w:rsidRPr="005319EA">
        <w:rPr>
          <w:lang w:val="it-IT"/>
        </w:rPr>
        <w:t>,</w:t>
      </w:r>
      <w:r w:rsidR="00DE3BCC" w:rsidRPr="005319EA">
        <w:rPr>
          <w:rFonts w:eastAsia="Calibri"/>
          <w:lang w:val="it-IT"/>
        </w:rPr>
        <w:t xml:space="preserve"> para. </w:t>
      </w:r>
      <w:r w:rsidRPr="005319EA">
        <w:rPr>
          <w:lang w:val="it-IT"/>
        </w:rPr>
        <w:t>45</w:t>
      </w:r>
      <w:r w:rsidR="000F2DE5" w:rsidRPr="005319EA">
        <w:rPr>
          <w:lang w:val="it-IT"/>
        </w:rPr>
        <w:t>.</w:t>
      </w:r>
    </w:p>
  </w:footnote>
  <w:footnote w:id="126">
    <w:p w14:paraId="664EE38B" w14:textId="78AB8FEA"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w:t>
      </w:r>
      <w:r w:rsidRPr="005319EA">
        <w:rPr>
          <w:i/>
          <w:iCs/>
          <w:lang w:val="it-IT"/>
        </w:rPr>
        <w:t xml:space="preserve">Supra </w:t>
      </w:r>
      <w:r w:rsidRPr="005319EA">
        <w:rPr>
          <w:lang w:val="it-IT"/>
        </w:rPr>
        <w:t>III</w:t>
      </w:r>
      <w:r w:rsidR="008F5345" w:rsidRPr="005319EA">
        <w:rPr>
          <w:lang w:val="it-IT"/>
        </w:rPr>
        <w:t>.</w:t>
      </w:r>
    </w:p>
  </w:footnote>
  <w:footnote w:id="127">
    <w:p w14:paraId="7B7C275B" w14:textId="1CB80E3E" w:rsidR="001F3A4F" w:rsidRPr="005319EA" w:rsidRDefault="001F3A4F" w:rsidP="001C756C">
      <w:pPr>
        <w:pStyle w:val="FootnoteText"/>
        <w:jc w:val="both"/>
      </w:pPr>
      <w:r w:rsidRPr="005319EA">
        <w:rPr>
          <w:rStyle w:val="FootnoteReference"/>
        </w:rPr>
        <w:footnoteRef/>
      </w:r>
      <w:r w:rsidRPr="005319EA">
        <w:t xml:space="preserve"> Compromis</w:t>
      </w:r>
      <w:r w:rsidR="00DE3BCC" w:rsidRPr="005319EA">
        <w:t>,</w:t>
      </w:r>
      <w:r w:rsidR="00DE3BCC" w:rsidRPr="005319EA">
        <w:rPr>
          <w:rFonts w:eastAsia="Calibri"/>
        </w:rPr>
        <w:t xml:space="preserve"> para.</w:t>
      </w:r>
      <w:r w:rsidRPr="005319EA">
        <w:t xml:space="preserve"> 45</w:t>
      </w:r>
      <w:r w:rsidR="000F2DE5" w:rsidRPr="005319EA">
        <w:t>.</w:t>
      </w:r>
    </w:p>
  </w:footnote>
  <w:footnote w:id="128">
    <w:p w14:paraId="64FEC26C" w14:textId="5C07218F" w:rsidR="001F3A4F" w:rsidRPr="005319EA" w:rsidRDefault="001F3A4F" w:rsidP="001C756C">
      <w:pPr>
        <w:pStyle w:val="FootnoteText"/>
        <w:jc w:val="both"/>
      </w:pPr>
      <w:r w:rsidRPr="005319EA">
        <w:rPr>
          <w:rStyle w:val="FootnoteReference"/>
        </w:rPr>
        <w:footnoteRef/>
      </w:r>
      <w:r w:rsidRPr="005319EA">
        <w:t xml:space="preserve"> Compromis</w:t>
      </w:r>
      <w:r w:rsidR="00DE3BCC" w:rsidRPr="005319EA">
        <w:t>,</w:t>
      </w:r>
      <w:r w:rsidR="00DE3BCC" w:rsidRPr="005319EA">
        <w:rPr>
          <w:rFonts w:eastAsia="Calibri"/>
        </w:rPr>
        <w:t xml:space="preserve"> para. </w:t>
      </w:r>
      <w:r w:rsidRPr="005319EA">
        <w:t>45</w:t>
      </w:r>
      <w:r w:rsidR="000F2DE5" w:rsidRPr="005319EA">
        <w:t>.</w:t>
      </w:r>
    </w:p>
  </w:footnote>
  <w:footnote w:id="129">
    <w:p w14:paraId="1C758686" w14:textId="6C859A23" w:rsidR="001F3A4F" w:rsidRPr="005319EA" w:rsidRDefault="001F3A4F" w:rsidP="001C756C">
      <w:pPr>
        <w:pStyle w:val="FootnoteText"/>
        <w:jc w:val="both"/>
      </w:pPr>
      <w:r w:rsidRPr="005319EA">
        <w:rPr>
          <w:rStyle w:val="FootnoteReference"/>
        </w:rPr>
        <w:footnoteRef/>
      </w:r>
      <w:r w:rsidRPr="005319EA">
        <w:t xml:space="preserve"> VCCR </w:t>
      </w:r>
      <w:r w:rsidR="00460ECE" w:rsidRPr="005319EA">
        <w:t xml:space="preserve">with </w:t>
      </w:r>
      <w:r w:rsidRPr="005319EA">
        <w:t xml:space="preserve">Commentaries, </w:t>
      </w:r>
      <w:r w:rsidR="00460ECE" w:rsidRPr="005319EA">
        <w:rPr>
          <w:i/>
          <w:iCs/>
        </w:rPr>
        <w:t xml:space="preserve">supra </w:t>
      </w:r>
      <w:r w:rsidR="00460ECE" w:rsidRPr="005319EA">
        <w:t xml:space="preserve">14, </w:t>
      </w:r>
      <w:r w:rsidRPr="005319EA">
        <w:t>113</w:t>
      </w:r>
      <w:r w:rsidR="00460ECE" w:rsidRPr="005319EA">
        <w:t>.</w:t>
      </w:r>
    </w:p>
  </w:footnote>
  <w:footnote w:id="130">
    <w:p w14:paraId="63B67BA0" w14:textId="0B48377E" w:rsidR="001F3A4F" w:rsidRPr="005319EA" w:rsidRDefault="001F3A4F" w:rsidP="001C756C">
      <w:pPr>
        <w:pStyle w:val="FootnoteText"/>
        <w:jc w:val="both"/>
        <w:rPr>
          <w:lang w:val="it-IT"/>
        </w:rPr>
      </w:pPr>
      <w:r w:rsidRPr="005319EA">
        <w:rPr>
          <w:rStyle w:val="FootnoteReference"/>
        </w:rPr>
        <w:footnoteRef/>
      </w:r>
      <w:r w:rsidRPr="005319EA">
        <w:t xml:space="preserve"> Jadhav</w:t>
      </w:r>
      <w:r w:rsidR="009925E0" w:rsidRPr="005319EA">
        <w:t xml:space="preserve">, </w:t>
      </w:r>
      <w:r w:rsidR="009925E0" w:rsidRPr="005319EA">
        <w:rPr>
          <w:i/>
          <w:iCs/>
        </w:rPr>
        <w:t xml:space="preserve">supra </w:t>
      </w:r>
      <w:r w:rsidR="009925E0" w:rsidRPr="005319EA">
        <w:t xml:space="preserve">note </w:t>
      </w:r>
      <w:r w:rsidR="00E06FA1" w:rsidRPr="005319EA">
        <w:t>114</w:t>
      </w:r>
      <w:r w:rsidR="008914CA" w:rsidRPr="005319EA">
        <w:rPr>
          <w:rFonts w:eastAsia="Calibri"/>
        </w:rPr>
        <w:t>,</w:t>
      </w:r>
      <w:r w:rsidR="00460ECE" w:rsidRPr="005319EA">
        <w:rPr>
          <w:rFonts w:eastAsia="Calibri"/>
        </w:rPr>
        <w:t xml:space="preserve"> </w:t>
      </w:r>
      <w:r w:rsidR="008914CA" w:rsidRPr="005319EA">
        <w:t>¶</w:t>
      </w:r>
      <w:r w:rsidR="00DE3BCC" w:rsidRPr="005319EA">
        <w:rPr>
          <w:rFonts w:eastAsia="Calibri"/>
        </w:rPr>
        <w:t xml:space="preserve"> </w:t>
      </w:r>
      <w:r w:rsidRPr="005319EA">
        <w:t>118</w:t>
      </w:r>
      <w:r w:rsidR="009925E0" w:rsidRPr="005319EA">
        <w:t xml:space="preserve">. </w:t>
      </w:r>
      <w:r w:rsidRPr="005319EA">
        <w:rPr>
          <w:i/>
          <w:iCs/>
        </w:rPr>
        <w:t xml:space="preserve">See also </w:t>
      </w:r>
      <w:r w:rsidR="009925E0" w:rsidRPr="005319EA">
        <w:t>El-Masri v. The Former Yugoslav Republic of Macedonia, App. No. 39630/09, ECtHR,</w:t>
      </w:r>
      <w:r w:rsidR="00DE3BCC" w:rsidRPr="005319EA">
        <w:rPr>
          <w:rFonts w:eastAsia="Calibri"/>
        </w:rPr>
        <w:t xml:space="preserve"> para. </w:t>
      </w:r>
      <w:r w:rsidRPr="005319EA">
        <w:rPr>
          <w:lang w:val="it-IT"/>
        </w:rPr>
        <w:t>236</w:t>
      </w:r>
      <w:r w:rsidR="009925E0" w:rsidRPr="005319EA">
        <w:rPr>
          <w:lang w:val="it-IT"/>
        </w:rPr>
        <w:t xml:space="preserve"> (2012).</w:t>
      </w:r>
    </w:p>
  </w:footnote>
  <w:footnote w:id="131">
    <w:p w14:paraId="6AB184C3" w14:textId="189F5E44"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DE3BCC" w:rsidRPr="005319EA">
        <w:rPr>
          <w:lang w:val="it-IT"/>
        </w:rPr>
        <w:t xml:space="preserve">, </w:t>
      </w:r>
      <w:r w:rsidR="00DE3BCC" w:rsidRPr="005319EA">
        <w:rPr>
          <w:rFonts w:eastAsia="Calibri"/>
          <w:lang w:val="it-IT"/>
        </w:rPr>
        <w:t xml:space="preserve">para. </w:t>
      </w:r>
      <w:r w:rsidRPr="005319EA">
        <w:rPr>
          <w:lang w:val="it-IT"/>
        </w:rPr>
        <w:t>45</w:t>
      </w:r>
      <w:r w:rsidR="000F2DE5" w:rsidRPr="005319EA">
        <w:rPr>
          <w:lang w:val="it-IT"/>
        </w:rPr>
        <w:t>.</w:t>
      </w:r>
    </w:p>
  </w:footnote>
  <w:footnote w:id="132">
    <w:p w14:paraId="373F0C4D" w14:textId="34F01F16"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DE3BCC" w:rsidRPr="005319EA">
        <w:rPr>
          <w:lang w:val="it-IT"/>
        </w:rPr>
        <w:t>,</w:t>
      </w:r>
      <w:r w:rsidR="00DE3BCC" w:rsidRPr="005319EA">
        <w:rPr>
          <w:rFonts w:eastAsia="Calibri"/>
          <w:lang w:val="it-IT"/>
        </w:rPr>
        <w:t xml:space="preserve"> para. </w:t>
      </w:r>
      <w:r w:rsidRPr="005319EA">
        <w:rPr>
          <w:lang w:val="it-IT"/>
        </w:rPr>
        <w:t>45</w:t>
      </w:r>
      <w:r w:rsidR="000F2DE5" w:rsidRPr="005319EA">
        <w:rPr>
          <w:lang w:val="it-IT"/>
        </w:rPr>
        <w:t>.</w:t>
      </w:r>
    </w:p>
  </w:footnote>
  <w:footnote w:id="133">
    <w:p w14:paraId="08C7A930" w14:textId="7AE5544C"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DE3BCC" w:rsidRPr="005319EA">
        <w:rPr>
          <w:lang w:val="it-IT"/>
        </w:rPr>
        <w:t>,</w:t>
      </w:r>
      <w:r w:rsidR="00DE3BCC" w:rsidRPr="005319EA">
        <w:rPr>
          <w:rFonts w:eastAsia="Calibri"/>
          <w:lang w:val="it-IT"/>
        </w:rPr>
        <w:t xml:space="preserve"> para. </w:t>
      </w:r>
      <w:r w:rsidRPr="005319EA">
        <w:rPr>
          <w:lang w:val="it-IT"/>
        </w:rPr>
        <w:t>45</w:t>
      </w:r>
      <w:r w:rsidR="000F2DE5" w:rsidRPr="005319EA">
        <w:rPr>
          <w:lang w:val="it-IT"/>
        </w:rPr>
        <w:t>.</w:t>
      </w:r>
    </w:p>
  </w:footnote>
  <w:footnote w:id="134">
    <w:p w14:paraId="6EB2474A" w14:textId="4ADFE87C"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DE3BCC" w:rsidRPr="005319EA">
        <w:rPr>
          <w:lang w:val="it-IT"/>
        </w:rPr>
        <w:t>,</w:t>
      </w:r>
      <w:r w:rsidR="00DE3BCC" w:rsidRPr="005319EA">
        <w:rPr>
          <w:rFonts w:eastAsia="Calibri"/>
          <w:lang w:val="it-IT"/>
        </w:rPr>
        <w:t xml:space="preserve"> para. </w:t>
      </w:r>
      <w:r w:rsidRPr="005319EA">
        <w:rPr>
          <w:lang w:val="it-IT"/>
        </w:rPr>
        <w:t>47</w:t>
      </w:r>
      <w:r w:rsidR="000F2DE5" w:rsidRPr="005319EA">
        <w:rPr>
          <w:lang w:val="it-IT"/>
        </w:rPr>
        <w:t>.</w:t>
      </w:r>
    </w:p>
  </w:footnote>
  <w:footnote w:id="135">
    <w:p w14:paraId="4865CC35" w14:textId="5C7727D9"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w:t>
      </w:r>
      <w:r w:rsidR="004C6B21" w:rsidRPr="005319EA">
        <w:rPr>
          <w:lang w:val="it-IT"/>
        </w:rPr>
        <w:t xml:space="preserve">LaGrand, </w:t>
      </w:r>
      <w:r w:rsidR="004C6B21" w:rsidRPr="005319EA">
        <w:rPr>
          <w:i/>
          <w:iCs/>
          <w:lang w:val="it-IT"/>
        </w:rPr>
        <w:t xml:space="preserve">supra </w:t>
      </w:r>
      <w:r w:rsidR="004C6B21" w:rsidRPr="005319EA">
        <w:rPr>
          <w:lang w:val="it-IT"/>
        </w:rPr>
        <w:t xml:space="preserve">note </w:t>
      </w:r>
      <w:r w:rsidR="00E06FA1" w:rsidRPr="005319EA">
        <w:rPr>
          <w:lang w:val="it-IT"/>
        </w:rPr>
        <w:t>114</w:t>
      </w:r>
      <w:r w:rsidRPr="005319EA">
        <w:rPr>
          <w:lang w:val="it-IT"/>
        </w:rPr>
        <w:t>,</w:t>
      </w:r>
      <w:r w:rsidR="00DE3BCC" w:rsidRPr="005319EA">
        <w:rPr>
          <w:rFonts w:eastAsia="Calibri"/>
          <w:lang w:val="it-IT"/>
        </w:rPr>
        <w:t xml:space="preserve"> </w:t>
      </w:r>
      <w:r w:rsidR="008914CA" w:rsidRPr="005319EA">
        <w:rPr>
          <w:lang w:val="it-IT"/>
        </w:rPr>
        <w:t>¶</w:t>
      </w:r>
      <w:r w:rsidRPr="005319EA">
        <w:rPr>
          <w:lang w:val="it-IT"/>
        </w:rPr>
        <w:t xml:space="preserve"> 73</w:t>
      </w:r>
      <w:r w:rsidR="004C6B21" w:rsidRPr="005319EA">
        <w:rPr>
          <w:lang w:val="it-IT"/>
        </w:rPr>
        <w:t>.</w:t>
      </w:r>
    </w:p>
  </w:footnote>
  <w:footnote w:id="136">
    <w:p w14:paraId="0457DD82" w14:textId="23D59AB8" w:rsidR="001F3A4F" w:rsidRPr="005319EA" w:rsidRDefault="001F3A4F" w:rsidP="001C756C">
      <w:pPr>
        <w:spacing w:before="0" w:after="0"/>
        <w:jc w:val="both"/>
        <w:rPr>
          <w:sz w:val="20"/>
          <w:szCs w:val="20"/>
          <w:vertAlign w:val="superscript"/>
        </w:rPr>
      </w:pPr>
      <w:r w:rsidRPr="005319EA">
        <w:rPr>
          <w:sz w:val="20"/>
          <w:szCs w:val="20"/>
          <w:vertAlign w:val="superscript"/>
        </w:rPr>
        <w:footnoteRef/>
      </w:r>
      <w:r w:rsidRPr="005319EA">
        <w:rPr>
          <w:sz w:val="20"/>
          <w:szCs w:val="20"/>
          <w:vertAlign w:val="superscript"/>
        </w:rPr>
        <w:t xml:space="preserve"> </w:t>
      </w:r>
      <w:r w:rsidRPr="005319EA">
        <w:rPr>
          <w:sz w:val="20"/>
          <w:szCs w:val="20"/>
        </w:rPr>
        <w:t>VCCR, art. 5(a)</w:t>
      </w:r>
      <w:r w:rsidR="00E06FA1" w:rsidRPr="005319EA">
        <w:rPr>
          <w:sz w:val="20"/>
          <w:szCs w:val="20"/>
        </w:rPr>
        <w:t>.</w:t>
      </w:r>
    </w:p>
  </w:footnote>
  <w:footnote w:id="137">
    <w:p w14:paraId="39D965F2" w14:textId="32984EC7" w:rsidR="001F3A4F" w:rsidRPr="005319EA" w:rsidRDefault="001F3A4F" w:rsidP="001C756C">
      <w:pPr>
        <w:pStyle w:val="FootnoteText"/>
        <w:jc w:val="both"/>
      </w:pPr>
      <w:r w:rsidRPr="005319EA">
        <w:rPr>
          <w:rStyle w:val="FootnoteReference"/>
        </w:rPr>
        <w:footnoteRef/>
      </w:r>
      <w:r w:rsidRPr="005319EA">
        <w:t xml:space="preserve"> LaGrand,</w:t>
      </w:r>
      <w:r w:rsidR="008F3DB1" w:rsidRPr="005319EA">
        <w:t xml:space="preserve"> </w:t>
      </w:r>
      <w:r w:rsidR="008F3DB1" w:rsidRPr="005319EA">
        <w:rPr>
          <w:i/>
          <w:iCs/>
        </w:rPr>
        <w:t xml:space="preserve">supra </w:t>
      </w:r>
      <w:r w:rsidR="008F3DB1" w:rsidRPr="005319EA">
        <w:t xml:space="preserve">note </w:t>
      </w:r>
      <w:r w:rsidR="00E06FA1" w:rsidRPr="005319EA">
        <w:t>114</w:t>
      </w:r>
      <w:r w:rsidR="008F3DB1" w:rsidRPr="005319EA">
        <w:t xml:space="preserve">, </w:t>
      </w:r>
      <w:r w:rsidR="00460ECE" w:rsidRPr="005319EA">
        <w:t xml:space="preserve">at </w:t>
      </w:r>
      <w:r w:rsidR="008914CA" w:rsidRPr="005319EA">
        <w:t>¶</w:t>
      </w:r>
      <w:r w:rsidR="00DE3BCC" w:rsidRPr="005319EA">
        <w:rPr>
          <w:rFonts w:eastAsia="Calibri"/>
        </w:rPr>
        <w:t xml:space="preserve"> </w:t>
      </w:r>
      <w:r w:rsidRPr="005319EA">
        <w:t>73</w:t>
      </w:r>
      <w:r w:rsidR="008F3DB1" w:rsidRPr="005319EA">
        <w:t>.</w:t>
      </w:r>
    </w:p>
  </w:footnote>
  <w:footnote w:id="138">
    <w:p w14:paraId="6428C4B6" w14:textId="56CD7A31"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See</w:t>
      </w:r>
      <w:r w:rsidRPr="005319EA">
        <w:t xml:space="preserve"> </w:t>
      </w:r>
      <w:r w:rsidRPr="005319EA">
        <w:rPr>
          <w:i/>
          <w:iCs/>
        </w:rPr>
        <w:t>supra</w:t>
      </w:r>
      <w:r w:rsidRPr="005319EA">
        <w:t xml:space="preserve"> III</w:t>
      </w:r>
      <w:r w:rsidR="00E06FA1" w:rsidRPr="005319EA">
        <w:t>.</w:t>
      </w:r>
    </w:p>
  </w:footnote>
  <w:footnote w:id="139">
    <w:p w14:paraId="0B0F651E" w14:textId="771DDBBC" w:rsidR="001F3A4F" w:rsidRPr="005319EA" w:rsidRDefault="001F3A4F" w:rsidP="001C756C">
      <w:pPr>
        <w:pStyle w:val="NormalWeb"/>
        <w:spacing w:before="0" w:beforeAutospacing="0" w:after="0" w:afterAutospacing="0"/>
        <w:jc w:val="both"/>
        <w:rPr>
          <w:sz w:val="20"/>
          <w:szCs w:val="20"/>
        </w:rPr>
      </w:pPr>
      <w:r w:rsidRPr="005319EA">
        <w:rPr>
          <w:rStyle w:val="FootnoteReference"/>
          <w:sz w:val="20"/>
          <w:szCs w:val="20"/>
        </w:rPr>
        <w:footnoteRef/>
      </w:r>
      <w:r w:rsidRPr="005319EA">
        <w:rPr>
          <w:sz w:val="20"/>
          <w:szCs w:val="20"/>
        </w:rPr>
        <w:t xml:space="preserve"> </w:t>
      </w:r>
      <w:r w:rsidR="008F5345" w:rsidRPr="005319EA">
        <w:rPr>
          <w:sz w:val="20"/>
          <w:szCs w:val="20"/>
        </w:rPr>
        <w:t xml:space="preserve">ICCPR, </w:t>
      </w:r>
      <w:r w:rsidR="008F5345" w:rsidRPr="005319EA">
        <w:rPr>
          <w:i/>
          <w:iCs/>
          <w:sz w:val="20"/>
          <w:szCs w:val="20"/>
        </w:rPr>
        <w:t xml:space="preserve">supra </w:t>
      </w:r>
      <w:r w:rsidR="008F5345" w:rsidRPr="005319EA">
        <w:rPr>
          <w:sz w:val="20"/>
          <w:szCs w:val="20"/>
        </w:rPr>
        <w:t>note 28</w:t>
      </w:r>
      <w:r w:rsidR="001B0BD5" w:rsidRPr="005319EA">
        <w:rPr>
          <w:sz w:val="20"/>
          <w:szCs w:val="20"/>
        </w:rPr>
        <w:t>,</w:t>
      </w:r>
      <w:r w:rsidR="008F5345" w:rsidRPr="005319EA">
        <w:rPr>
          <w:sz w:val="20"/>
          <w:szCs w:val="20"/>
        </w:rPr>
        <w:t xml:space="preserve"> </w:t>
      </w:r>
      <w:r w:rsidR="00460ECE" w:rsidRPr="005319EA">
        <w:rPr>
          <w:sz w:val="20"/>
          <w:szCs w:val="20"/>
        </w:rPr>
        <w:t xml:space="preserve">at </w:t>
      </w:r>
      <w:r w:rsidR="008F5345" w:rsidRPr="005319EA">
        <w:rPr>
          <w:sz w:val="20"/>
          <w:szCs w:val="20"/>
        </w:rPr>
        <w:t>art. 9.</w:t>
      </w:r>
    </w:p>
  </w:footnote>
  <w:footnote w:id="140">
    <w:p w14:paraId="68A6F20F" w14:textId="1E58284E" w:rsidR="001F3A4F" w:rsidRPr="005319EA" w:rsidRDefault="001F3A4F" w:rsidP="001C756C">
      <w:pPr>
        <w:pStyle w:val="NormalWeb"/>
        <w:spacing w:before="0" w:beforeAutospacing="0" w:after="0" w:afterAutospacing="0"/>
        <w:jc w:val="both"/>
        <w:rPr>
          <w:sz w:val="20"/>
          <w:szCs w:val="20"/>
        </w:rPr>
      </w:pPr>
      <w:r w:rsidRPr="005319EA">
        <w:rPr>
          <w:rStyle w:val="FootnoteReference"/>
          <w:sz w:val="20"/>
          <w:szCs w:val="20"/>
        </w:rPr>
        <w:footnoteRef/>
      </w:r>
      <w:r w:rsidRPr="005319EA">
        <w:rPr>
          <w:sz w:val="20"/>
          <w:szCs w:val="20"/>
        </w:rPr>
        <w:t xml:space="preserve"> </w:t>
      </w:r>
      <w:bookmarkStart w:id="71" w:name="_Hlk155883237"/>
      <w:r w:rsidR="005959D5" w:rsidRPr="005319EA">
        <w:rPr>
          <w:i/>
          <w:iCs/>
          <w:sz w:val="20"/>
          <w:szCs w:val="20"/>
        </w:rPr>
        <w:t xml:space="preserve">See </w:t>
      </w:r>
      <w:r w:rsidR="005959D5" w:rsidRPr="005319EA">
        <w:rPr>
          <w:sz w:val="20"/>
          <w:szCs w:val="20"/>
        </w:rPr>
        <w:t xml:space="preserve">HRComm, General Comment No. 35, Article 9, Liberty and Security of Person, U.N. Doc. CCPR/C/GC/35, </w:t>
      </w:r>
      <w:r w:rsidR="004318F7" w:rsidRPr="005319EA">
        <w:rPr>
          <w:rFonts w:eastAsia="Calibri"/>
          <w:sz w:val="20"/>
          <w:szCs w:val="20"/>
        </w:rPr>
        <w:t xml:space="preserve">para. </w:t>
      </w:r>
      <w:r w:rsidR="005959D5" w:rsidRPr="005319EA">
        <w:rPr>
          <w:sz w:val="20"/>
          <w:szCs w:val="20"/>
        </w:rPr>
        <w:t xml:space="preserve">58 (Dec. 16, 2014) </w:t>
      </w:r>
      <w:bookmarkEnd w:id="71"/>
      <w:r w:rsidR="005959D5" w:rsidRPr="005319EA">
        <w:rPr>
          <w:sz w:val="20"/>
          <w:szCs w:val="20"/>
        </w:rPr>
        <w:t xml:space="preserve">[“HRComm General Comment No. 35”]; HRComm, Communication No. 1450/2006, Views of the Human Rights Committee Under Article 5, Paragraph 4, of the Optional Protocol to the International Covenant on Civil and Political Rights, U.N. Doc. CCPR/C/93/D/1450/2006, </w:t>
      </w:r>
      <w:r w:rsidR="00956C64" w:rsidRPr="005319EA">
        <w:rPr>
          <w:sz w:val="20"/>
          <w:szCs w:val="20"/>
        </w:rPr>
        <w:t xml:space="preserve">para. </w:t>
      </w:r>
      <w:r w:rsidR="005959D5" w:rsidRPr="005319EA">
        <w:rPr>
          <w:sz w:val="20"/>
          <w:szCs w:val="20"/>
        </w:rPr>
        <w:t>7.3 (Aug. 5, 2008)</w:t>
      </w:r>
      <w:r w:rsidR="00A859B3" w:rsidRPr="005319EA">
        <w:rPr>
          <w:sz w:val="20"/>
          <w:szCs w:val="20"/>
        </w:rPr>
        <w:t>.</w:t>
      </w:r>
    </w:p>
  </w:footnote>
  <w:footnote w:id="141">
    <w:p w14:paraId="67A11232" w14:textId="4664906F" w:rsidR="001F3A4F" w:rsidRPr="005319EA" w:rsidRDefault="001F3A4F" w:rsidP="001C756C">
      <w:pPr>
        <w:pStyle w:val="NormalWeb"/>
        <w:spacing w:before="0" w:beforeAutospacing="0" w:after="0" w:afterAutospacing="0"/>
        <w:jc w:val="both"/>
        <w:rPr>
          <w:sz w:val="20"/>
          <w:szCs w:val="20"/>
        </w:rPr>
      </w:pPr>
      <w:r w:rsidRPr="005319EA">
        <w:rPr>
          <w:rStyle w:val="FootnoteReference"/>
          <w:sz w:val="20"/>
          <w:szCs w:val="20"/>
        </w:rPr>
        <w:footnoteRef/>
      </w:r>
      <w:r w:rsidRPr="005319EA">
        <w:rPr>
          <w:sz w:val="20"/>
          <w:szCs w:val="20"/>
        </w:rPr>
        <w:t xml:space="preserve"> </w:t>
      </w:r>
      <w:r w:rsidR="001704B6" w:rsidRPr="005319EA">
        <w:rPr>
          <w:sz w:val="20"/>
          <w:szCs w:val="20"/>
        </w:rPr>
        <w:t xml:space="preserve">Eur. Consult. Ass., </w:t>
      </w:r>
      <w:r w:rsidR="001704B6" w:rsidRPr="005319EA">
        <w:rPr>
          <w:i/>
          <w:iCs/>
          <w:sz w:val="20"/>
          <w:szCs w:val="20"/>
        </w:rPr>
        <w:t>European Convention on Consular Functions</w:t>
      </w:r>
      <w:r w:rsidR="001704B6" w:rsidRPr="005319EA">
        <w:rPr>
          <w:sz w:val="20"/>
          <w:szCs w:val="20"/>
        </w:rPr>
        <w:t xml:space="preserve">, E.T.S 6, Doc. 11.XII.1967 art 2(2) (1967); </w:t>
      </w:r>
      <w:r w:rsidR="001704B6" w:rsidRPr="005319EA">
        <w:rPr>
          <w:i/>
          <w:iCs/>
          <w:sz w:val="20"/>
          <w:szCs w:val="20"/>
        </w:rPr>
        <w:t xml:space="preserve">The Right to Consular Access </w:t>
      </w:r>
      <w:r w:rsidR="001704B6" w:rsidRPr="005319EA">
        <w:rPr>
          <w:sz w:val="20"/>
          <w:szCs w:val="20"/>
        </w:rPr>
        <w:t xml:space="preserve">in </w:t>
      </w:r>
      <w:r w:rsidR="001704B6" w:rsidRPr="005319EA">
        <w:rPr>
          <w:smallCaps/>
          <w:sz w:val="20"/>
          <w:szCs w:val="20"/>
        </w:rPr>
        <w:t>A Jailhouse Lawyer’s Manual: Immigration and Consular Access Supplement</w:t>
      </w:r>
      <w:r w:rsidR="001704B6" w:rsidRPr="005319EA">
        <w:rPr>
          <w:sz w:val="20"/>
          <w:szCs w:val="20"/>
        </w:rPr>
        <w:t xml:space="preserve">, 11 </w:t>
      </w:r>
      <w:r w:rsidR="001704B6" w:rsidRPr="005319EA">
        <w:rPr>
          <w:smallCaps/>
          <w:sz w:val="20"/>
          <w:szCs w:val="20"/>
        </w:rPr>
        <w:t>Supp. Columbla Hum. Rts. L.R</w:t>
      </w:r>
      <w:r w:rsidR="001704B6" w:rsidRPr="005319EA">
        <w:rPr>
          <w:sz w:val="20"/>
          <w:szCs w:val="20"/>
        </w:rPr>
        <w:t>. 70 (2018); Foster &amp; Elam v. Neilson, 27 U.S. 253 (1829); Sanchez-Llamas v. Oregon, 548 U.S. 331 (2006).</w:t>
      </w:r>
    </w:p>
  </w:footnote>
  <w:footnote w:id="142">
    <w:p w14:paraId="294405D2" w14:textId="6A6AE2D2" w:rsidR="001F3A4F" w:rsidRPr="005319EA" w:rsidRDefault="001F3A4F" w:rsidP="001C756C">
      <w:pPr>
        <w:pStyle w:val="FootnoteText"/>
        <w:jc w:val="both"/>
      </w:pPr>
      <w:r w:rsidRPr="005319EA">
        <w:rPr>
          <w:rStyle w:val="FootnoteReference"/>
        </w:rPr>
        <w:footnoteRef/>
      </w:r>
      <w:r w:rsidRPr="005319EA">
        <w:t xml:space="preserve"> Compromis</w:t>
      </w:r>
      <w:r w:rsidR="00DE3BCC" w:rsidRPr="005319EA">
        <w:t>,</w:t>
      </w:r>
      <w:r w:rsidR="00DE3BCC" w:rsidRPr="005319EA">
        <w:rPr>
          <w:rFonts w:eastAsia="Calibri"/>
        </w:rPr>
        <w:t xml:space="preserve"> para. </w:t>
      </w:r>
      <w:r w:rsidRPr="005319EA">
        <w:t>44</w:t>
      </w:r>
      <w:r w:rsidR="005B4D0B" w:rsidRPr="005319EA">
        <w:t>.</w:t>
      </w:r>
    </w:p>
  </w:footnote>
  <w:footnote w:id="143">
    <w:p w14:paraId="31A01438" w14:textId="3640B110" w:rsidR="001F3A4F" w:rsidRPr="005319EA" w:rsidRDefault="001F3A4F" w:rsidP="001C756C">
      <w:pPr>
        <w:pStyle w:val="FootnoteText"/>
        <w:jc w:val="both"/>
      </w:pPr>
      <w:r w:rsidRPr="005319EA">
        <w:rPr>
          <w:rStyle w:val="FootnoteReference"/>
        </w:rPr>
        <w:footnoteRef/>
      </w:r>
      <w:r w:rsidRPr="005319EA">
        <w:t xml:space="preserve"> </w:t>
      </w:r>
      <w:r w:rsidR="001704B6" w:rsidRPr="005319EA">
        <w:t xml:space="preserve">The Right to Information on Consular Assistance in the Framework of the Guarantees of the Due Process of Law, IACtHR (ser. C) No. OC-16/99, </w:t>
      </w:r>
      <w:r w:rsidR="00DE3BCC" w:rsidRPr="005319EA">
        <w:rPr>
          <w:rFonts w:eastAsia="Calibri"/>
        </w:rPr>
        <w:t xml:space="preserve">paras. </w:t>
      </w:r>
      <w:r w:rsidR="001704B6" w:rsidRPr="005319EA">
        <w:t>83-87 (1999) [“The Right to Information on Consular Assistance”].</w:t>
      </w:r>
    </w:p>
  </w:footnote>
  <w:footnote w:id="144">
    <w:p w14:paraId="65347465" w14:textId="303E817D"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See</w:t>
      </w:r>
      <w:r w:rsidRPr="005319EA">
        <w:t xml:space="preserve"> </w:t>
      </w:r>
      <w:r w:rsidRPr="005319EA">
        <w:rPr>
          <w:i/>
          <w:iCs/>
        </w:rPr>
        <w:t>supra</w:t>
      </w:r>
      <w:r w:rsidRPr="005319EA">
        <w:t xml:space="preserve"> III</w:t>
      </w:r>
      <w:r w:rsidR="00E45469" w:rsidRPr="005319EA">
        <w:t>.</w:t>
      </w:r>
    </w:p>
  </w:footnote>
  <w:footnote w:id="145">
    <w:p w14:paraId="28622E8B" w14:textId="218C8F46" w:rsidR="001F3A4F" w:rsidRPr="005319EA" w:rsidRDefault="001F3A4F" w:rsidP="001C756C">
      <w:pPr>
        <w:pStyle w:val="FootnoteText"/>
        <w:jc w:val="both"/>
      </w:pPr>
      <w:r w:rsidRPr="005319EA">
        <w:rPr>
          <w:rStyle w:val="FootnoteReference"/>
        </w:rPr>
        <w:footnoteRef/>
      </w:r>
      <w:r w:rsidRPr="005319EA">
        <w:t xml:space="preserve"> Compromis</w:t>
      </w:r>
      <w:r w:rsidR="00DE3BCC" w:rsidRPr="005319EA">
        <w:t>,</w:t>
      </w:r>
      <w:r w:rsidR="00DE3BCC" w:rsidRPr="005319EA">
        <w:rPr>
          <w:rFonts w:eastAsia="Calibri"/>
        </w:rPr>
        <w:t xml:space="preserve"> para.</w:t>
      </w:r>
      <w:r w:rsidRPr="005319EA">
        <w:t xml:space="preserve"> 44</w:t>
      </w:r>
      <w:r w:rsidR="005B4D0B" w:rsidRPr="005319EA">
        <w:t>.</w:t>
      </w:r>
    </w:p>
  </w:footnote>
  <w:footnote w:id="146">
    <w:p w14:paraId="59A05AE5" w14:textId="44C01B5C" w:rsidR="001F3A4F" w:rsidRPr="005319EA" w:rsidRDefault="001F3A4F" w:rsidP="001C756C">
      <w:pPr>
        <w:pStyle w:val="NormalWeb"/>
        <w:spacing w:before="0" w:beforeAutospacing="0" w:after="0" w:afterAutospacing="0"/>
        <w:jc w:val="both"/>
        <w:rPr>
          <w:sz w:val="20"/>
          <w:szCs w:val="20"/>
        </w:rPr>
      </w:pPr>
      <w:r w:rsidRPr="005319EA">
        <w:rPr>
          <w:rStyle w:val="FootnoteReference"/>
          <w:sz w:val="20"/>
          <w:szCs w:val="20"/>
        </w:rPr>
        <w:footnoteRef/>
      </w:r>
      <w:r w:rsidRPr="005319EA">
        <w:rPr>
          <w:sz w:val="20"/>
          <w:szCs w:val="20"/>
        </w:rPr>
        <w:t xml:space="preserve"> </w:t>
      </w:r>
      <w:r w:rsidRPr="005319EA">
        <w:rPr>
          <w:i/>
          <w:iCs/>
          <w:sz w:val="20"/>
          <w:szCs w:val="20"/>
        </w:rPr>
        <w:t>See generally</w:t>
      </w:r>
      <w:r w:rsidRPr="005319EA">
        <w:rPr>
          <w:sz w:val="20"/>
          <w:szCs w:val="20"/>
        </w:rPr>
        <w:t xml:space="preserve"> </w:t>
      </w:r>
      <w:r w:rsidR="00E45469" w:rsidRPr="005319EA">
        <w:rPr>
          <w:sz w:val="20"/>
          <w:szCs w:val="20"/>
        </w:rPr>
        <w:t xml:space="preserve">ICCPR, </w:t>
      </w:r>
      <w:r w:rsidR="00E45469" w:rsidRPr="005319EA">
        <w:rPr>
          <w:i/>
          <w:iCs/>
          <w:sz w:val="20"/>
          <w:szCs w:val="20"/>
        </w:rPr>
        <w:t xml:space="preserve">supra </w:t>
      </w:r>
      <w:r w:rsidR="00E45469" w:rsidRPr="005319EA">
        <w:rPr>
          <w:sz w:val="20"/>
          <w:szCs w:val="20"/>
        </w:rPr>
        <w:t>note 28</w:t>
      </w:r>
      <w:r w:rsidR="00AD504E" w:rsidRPr="005319EA">
        <w:rPr>
          <w:sz w:val="20"/>
          <w:szCs w:val="20"/>
        </w:rPr>
        <w:t>,</w:t>
      </w:r>
      <w:r w:rsidR="00552217" w:rsidRPr="005319EA">
        <w:rPr>
          <w:sz w:val="20"/>
          <w:szCs w:val="20"/>
        </w:rPr>
        <w:t xml:space="preserve"> at</w:t>
      </w:r>
      <w:r w:rsidR="00E45469" w:rsidRPr="005319EA">
        <w:rPr>
          <w:sz w:val="20"/>
          <w:szCs w:val="20"/>
        </w:rPr>
        <w:t xml:space="preserve"> art. 14.</w:t>
      </w:r>
    </w:p>
  </w:footnote>
  <w:footnote w:id="147">
    <w:p w14:paraId="77CBD935" w14:textId="7ADF48B4" w:rsidR="001F3A4F" w:rsidRPr="005319EA" w:rsidRDefault="001F3A4F" w:rsidP="001C756C">
      <w:pPr>
        <w:pStyle w:val="NormalWeb"/>
        <w:spacing w:before="0" w:beforeAutospacing="0" w:after="0" w:afterAutospacing="0"/>
        <w:jc w:val="both"/>
        <w:rPr>
          <w:sz w:val="20"/>
          <w:szCs w:val="20"/>
        </w:rPr>
      </w:pPr>
      <w:r w:rsidRPr="005319EA">
        <w:rPr>
          <w:rStyle w:val="FootnoteReference"/>
          <w:sz w:val="20"/>
          <w:szCs w:val="20"/>
        </w:rPr>
        <w:footnoteRef/>
      </w:r>
      <w:r w:rsidRPr="005319EA">
        <w:rPr>
          <w:sz w:val="20"/>
          <w:szCs w:val="20"/>
        </w:rPr>
        <w:t xml:space="preserve"> </w:t>
      </w:r>
      <w:r w:rsidR="00E45469" w:rsidRPr="005319EA">
        <w:rPr>
          <w:sz w:val="20"/>
          <w:szCs w:val="20"/>
        </w:rPr>
        <w:t xml:space="preserve">ICCPR, </w:t>
      </w:r>
      <w:r w:rsidR="00E45469" w:rsidRPr="005319EA">
        <w:rPr>
          <w:i/>
          <w:iCs/>
          <w:sz w:val="20"/>
          <w:szCs w:val="20"/>
        </w:rPr>
        <w:t xml:space="preserve">supra </w:t>
      </w:r>
      <w:r w:rsidR="00E45469" w:rsidRPr="005319EA">
        <w:rPr>
          <w:sz w:val="20"/>
          <w:szCs w:val="20"/>
        </w:rPr>
        <w:t>note 28</w:t>
      </w:r>
      <w:r w:rsidR="00AD504E" w:rsidRPr="005319EA">
        <w:rPr>
          <w:sz w:val="20"/>
          <w:szCs w:val="20"/>
        </w:rPr>
        <w:t xml:space="preserve">, </w:t>
      </w:r>
      <w:r w:rsidR="00552217" w:rsidRPr="005319EA">
        <w:rPr>
          <w:sz w:val="20"/>
          <w:szCs w:val="20"/>
        </w:rPr>
        <w:t xml:space="preserve">at </w:t>
      </w:r>
      <w:r w:rsidR="00E45469" w:rsidRPr="005319EA">
        <w:rPr>
          <w:sz w:val="20"/>
          <w:szCs w:val="20"/>
        </w:rPr>
        <w:t>art. 14</w:t>
      </w:r>
      <w:r w:rsidR="001704B6" w:rsidRPr="005319EA">
        <w:rPr>
          <w:sz w:val="20"/>
          <w:szCs w:val="20"/>
        </w:rPr>
        <w:t xml:space="preserve">. </w:t>
      </w:r>
      <w:r w:rsidR="001704B6" w:rsidRPr="005319EA">
        <w:rPr>
          <w:i/>
          <w:iCs/>
          <w:sz w:val="20"/>
          <w:szCs w:val="20"/>
        </w:rPr>
        <w:t>See also</w:t>
      </w:r>
      <w:r w:rsidRPr="005319EA">
        <w:rPr>
          <w:sz w:val="20"/>
          <w:szCs w:val="20"/>
        </w:rPr>
        <w:t xml:space="preserve"> </w:t>
      </w:r>
      <w:r w:rsidR="001704B6" w:rsidRPr="005319EA">
        <w:rPr>
          <w:sz w:val="20"/>
          <w:szCs w:val="20"/>
        </w:rPr>
        <w:t>The Right to Information on Consular Assistance</w:t>
      </w:r>
      <w:r w:rsidRPr="005319EA">
        <w:rPr>
          <w:sz w:val="20"/>
          <w:szCs w:val="20"/>
        </w:rPr>
        <w:t>,</w:t>
      </w:r>
      <w:r w:rsidR="001704B6" w:rsidRPr="005319EA">
        <w:rPr>
          <w:sz w:val="20"/>
          <w:szCs w:val="20"/>
        </w:rPr>
        <w:t xml:space="preserve"> </w:t>
      </w:r>
      <w:r w:rsidR="001704B6" w:rsidRPr="005319EA">
        <w:rPr>
          <w:i/>
          <w:iCs/>
          <w:sz w:val="20"/>
          <w:szCs w:val="20"/>
        </w:rPr>
        <w:t xml:space="preserve">supra </w:t>
      </w:r>
      <w:r w:rsidR="001704B6" w:rsidRPr="005319EA">
        <w:rPr>
          <w:sz w:val="20"/>
          <w:szCs w:val="20"/>
        </w:rPr>
        <w:t>note 14</w:t>
      </w:r>
      <w:r w:rsidR="00E5329F" w:rsidRPr="005319EA">
        <w:rPr>
          <w:sz w:val="20"/>
          <w:szCs w:val="20"/>
        </w:rPr>
        <w:t>2</w:t>
      </w:r>
      <w:r w:rsidR="001704B6" w:rsidRPr="005319EA">
        <w:rPr>
          <w:sz w:val="20"/>
          <w:szCs w:val="20"/>
        </w:rPr>
        <w:t>,</w:t>
      </w:r>
      <w:r w:rsidR="004C18BC" w:rsidRPr="005319EA">
        <w:rPr>
          <w:sz w:val="20"/>
          <w:szCs w:val="20"/>
        </w:rPr>
        <w:t xml:space="preserve"> </w:t>
      </w:r>
      <w:r w:rsidR="00DE3BCC" w:rsidRPr="005319EA">
        <w:rPr>
          <w:rFonts w:eastAsia="Calibri"/>
          <w:sz w:val="20"/>
          <w:szCs w:val="20"/>
        </w:rPr>
        <w:t>para.</w:t>
      </w:r>
      <w:r w:rsidR="004C18BC" w:rsidRPr="005319EA">
        <w:rPr>
          <w:sz w:val="20"/>
          <w:szCs w:val="20"/>
        </w:rPr>
        <w:t xml:space="preserve"> 124</w:t>
      </w:r>
      <w:r w:rsidRPr="005319EA">
        <w:rPr>
          <w:sz w:val="20"/>
          <w:szCs w:val="20"/>
        </w:rPr>
        <w:t xml:space="preserve">. </w:t>
      </w:r>
      <w:r w:rsidRPr="005319EA">
        <w:rPr>
          <w:i/>
          <w:iCs/>
          <w:sz w:val="20"/>
          <w:szCs w:val="20"/>
        </w:rPr>
        <w:t>See</w:t>
      </w:r>
      <w:r w:rsidRPr="005319EA">
        <w:rPr>
          <w:sz w:val="20"/>
          <w:szCs w:val="20"/>
        </w:rPr>
        <w:t xml:space="preserve"> William J. Aceves</w:t>
      </w:r>
      <w:r w:rsidRPr="005319EA">
        <w:rPr>
          <w:i/>
          <w:iCs/>
          <w:sz w:val="20"/>
          <w:szCs w:val="20"/>
        </w:rPr>
        <w:t>, The Right of Information on Consular Assistance in the Framework of the Guarantees of the Due Process of Law. Advisory Opinion OC-16-99</w:t>
      </w:r>
      <w:r w:rsidRPr="005319EA">
        <w:rPr>
          <w:sz w:val="20"/>
          <w:szCs w:val="20"/>
        </w:rPr>
        <w:t xml:space="preserve">, 94 </w:t>
      </w:r>
      <w:r w:rsidR="004C18BC" w:rsidRPr="005319EA">
        <w:rPr>
          <w:smallCaps/>
          <w:sz w:val="20"/>
          <w:szCs w:val="20"/>
        </w:rPr>
        <w:t>Am. J. Int’l. L</w:t>
      </w:r>
      <w:r w:rsidRPr="005319EA">
        <w:rPr>
          <w:sz w:val="20"/>
          <w:szCs w:val="20"/>
        </w:rPr>
        <w:t>. 555, 559 (2000).</w:t>
      </w:r>
    </w:p>
  </w:footnote>
  <w:footnote w:id="148">
    <w:p w14:paraId="6258B42C" w14:textId="7ED39674" w:rsidR="001F3A4F" w:rsidRPr="005319EA" w:rsidRDefault="001F3A4F" w:rsidP="001C756C">
      <w:pPr>
        <w:spacing w:before="0" w:after="0"/>
        <w:jc w:val="both"/>
        <w:rPr>
          <w:sz w:val="20"/>
          <w:szCs w:val="20"/>
        </w:rPr>
      </w:pPr>
      <w:r w:rsidRPr="005319EA">
        <w:rPr>
          <w:rStyle w:val="FootnoteReference"/>
          <w:sz w:val="20"/>
          <w:szCs w:val="20"/>
        </w:rPr>
        <w:footnoteRef/>
      </w:r>
      <w:r w:rsidRPr="005319EA">
        <w:rPr>
          <w:sz w:val="20"/>
          <w:szCs w:val="20"/>
        </w:rPr>
        <w:t xml:space="preserve"> </w:t>
      </w:r>
      <w:r w:rsidRPr="005319EA">
        <w:rPr>
          <w:iCs/>
          <w:sz w:val="20"/>
          <w:szCs w:val="20"/>
        </w:rPr>
        <w:t>Obligation to Prosecute or Extradite</w:t>
      </w:r>
      <w:r w:rsidR="004C18BC" w:rsidRPr="005319EA">
        <w:rPr>
          <w:sz w:val="20"/>
          <w:szCs w:val="20"/>
        </w:rPr>
        <w:t xml:space="preserve">, </w:t>
      </w:r>
      <w:r w:rsidR="004C18BC" w:rsidRPr="005319EA">
        <w:rPr>
          <w:i/>
          <w:iCs/>
          <w:sz w:val="20"/>
          <w:szCs w:val="20"/>
        </w:rPr>
        <w:t xml:space="preserve">supra </w:t>
      </w:r>
      <w:r w:rsidR="004C18BC" w:rsidRPr="005319EA">
        <w:rPr>
          <w:sz w:val="20"/>
          <w:szCs w:val="20"/>
        </w:rPr>
        <w:t xml:space="preserve">note 6, </w:t>
      </w:r>
      <w:r w:rsidR="00552217" w:rsidRPr="005319EA">
        <w:rPr>
          <w:sz w:val="20"/>
          <w:szCs w:val="20"/>
        </w:rPr>
        <w:t xml:space="preserve">at </w:t>
      </w:r>
      <w:r w:rsidR="00701CFD" w:rsidRPr="005319EA">
        <w:rPr>
          <w:sz w:val="20"/>
          <w:szCs w:val="20"/>
        </w:rPr>
        <w:t xml:space="preserve">¶¶ </w:t>
      </w:r>
      <w:r w:rsidR="004C18BC" w:rsidRPr="005319EA">
        <w:rPr>
          <w:sz w:val="20"/>
          <w:szCs w:val="20"/>
        </w:rPr>
        <w:t>92-95.</w:t>
      </w:r>
    </w:p>
  </w:footnote>
  <w:footnote w:id="149">
    <w:p w14:paraId="0004E7CF" w14:textId="28612302" w:rsidR="001F3A4F" w:rsidRPr="005319EA" w:rsidRDefault="001F3A4F" w:rsidP="001C756C">
      <w:pPr>
        <w:pStyle w:val="FootnoteText"/>
        <w:jc w:val="both"/>
      </w:pPr>
      <w:r w:rsidRPr="005319EA">
        <w:rPr>
          <w:rStyle w:val="FootnoteReference"/>
        </w:rPr>
        <w:footnoteRef/>
      </w:r>
      <w:r w:rsidRPr="005319EA">
        <w:t xml:space="preserve"> Compromis</w:t>
      </w:r>
      <w:r w:rsidR="00E5329F" w:rsidRPr="005319EA">
        <w:t>, para.</w:t>
      </w:r>
      <w:r w:rsidRPr="005319EA">
        <w:t xml:space="preserve"> 47</w:t>
      </w:r>
      <w:r w:rsidR="005B4D0B" w:rsidRPr="005319EA">
        <w:t>.</w:t>
      </w:r>
    </w:p>
  </w:footnote>
  <w:footnote w:id="150">
    <w:p w14:paraId="573DB249" w14:textId="3188CE82" w:rsidR="001F3A4F" w:rsidRPr="005319EA" w:rsidRDefault="001F3A4F" w:rsidP="001C756C">
      <w:pPr>
        <w:pStyle w:val="FootnoteText"/>
        <w:jc w:val="both"/>
      </w:pPr>
      <w:r w:rsidRPr="005319EA">
        <w:rPr>
          <w:rStyle w:val="FootnoteReference"/>
        </w:rPr>
        <w:footnoteRef/>
      </w:r>
      <w:r w:rsidRPr="005319EA">
        <w:t xml:space="preserve"> Compromis</w:t>
      </w:r>
      <w:r w:rsidR="00E5329F" w:rsidRPr="005319EA">
        <w:t>, para.</w:t>
      </w:r>
      <w:r w:rsidRPr="005319EA">
        <w:t xml:space="preserve"> 16</w:t>
      </w:r>
      <w:r w:rsidR="005B4D0B" w:rsidRPr="005319EA">
        <w:t>.</w:t>
      </w:r>
    </w:p>
  </w:footnote>
  <w:footnote w:id="151">
    <w:p w14:paraId="74ED7C4D" w14:textId="2AC8FAAE" w:rsidR="001F3A4F" w:rsidRPr="005319EA" w:rsidRDefault="001F3A4F" w:rsidP="001C756C">
      <w:pPr>
        <w:pStyle w:val="FootnoteText"/>
        <w:jc w:val="both"/>
      </w:pPr>
      <w:r w:rsidRPr="005319EA">
        <w:rPr>
          <w:rStyle w:val="FootnoteReference"/>
        </w:rPr>
        <w:footnoteRef/>
      </w:r>
      <w:r w:rsidRPr="005319EA">
        <w:t xml:space="preserve"> </w:t>
      </w:r>
      <w:r w:rsidRPr="005319EA">
        <w:rPr>
          <w:rStyle w:val="normaltextrun"/>
          <w:i/>
          <w:iCs/>
        </w:rPr>
        <w:t xml:space="preserve">See generally </w:t>
      </w:r>
      <w:r w:rsidRPr="005319EA">
        <w:rPr>
          <w:rStyle w:val="normaltextrun"/>
        </w:rPr>
        <w:t>CSP</w:t>
      </w:r>
      <w:r w:rsidR="00CB3EC3" w:rsidRPr="005319EA">
        <w:rPr>
          <w:rStyle w:val="normaltextrun"/>
        </w:rPr>
        <w:t xml:space="preserve"> </w:t>
      </w:r>
      <w:r w:rsidR="00CB3EC3" w:rsidRPr="005319EA">
        <w:rPr>
          <w:rStyle w:val="normaltextrun"/>
          <w:i/>
          <w:iCs/>
        </w:rPr>
        <w:t xml:space="preserve">supra </w:t>
      </w:r>
      <w:r w:rsidR="00CB3EC3" w:rsidRPr="005319EA">
        <w:rPr>
          <w:rStyle w:val="normaltextrun"/>
        </w:rPr>
        <w:t>note 25</w:t>
      </w:r>
      <w:r w:rsidRPr="005319EA">
        <w:rPr>
          <w:rStyle w:val="normaltextrun"/>
        </w:rPr>
        <w:t xml:space="preserve">; </w:t>
      </w:r>
      <w:r w:rsidR="00CB3EC3" w:rsidRPr="005319EA">
        <w:t xml:space="preserve">CRS, </w:t>
      </w:r>
      <w:r w:rsidR="00CB3EC3" w:rsidRPr="005319EA">
        <w:rPr>
          <w:i/>
          <w:iCs/>
        </w:rPr>
        <w:t xml:space="preserve">supra </w:t>
      </w:r>
      <w:r w:rsidR="00CB3EC3" w:rsidRPr="005319EA">
        <w:t xml:space="preserve">note </w:t>
      </w:r>
      <w:r w:rsidR="00750D64" w:rsidRPr="005319EA">
        <w:t>17</w:t>
      </w:r>
      <w:r w:rsidRPr="005319EA">
        <w:rPr>
          <w:rStyle w:val="normaltextrun"/>
        </w:rPr>
        <w:t xml:space="preserve">. </w:t>
      </w:r>
      <w:r w:rsidRPr="005319EA">
        <w:rPr>
          <w:rStyle w:val="normaltextrun"/>
          <w:i/>
          <w:iCs/>
        </w:rPr>
        <w:t>See also</w:t>
      </w:r>
      <w:r w:rsidRPr="005319EA">
        <w:rPr>
          <w:rStyle w:val="normaltextrun"/>
        </w:rPr>
        <w:t xml:space="preserve"> </w:t>
      </w:r>
      <w:r w:rsidR="00750D64" w:rsidRPr="005319EA">
        <w:t xml:space="preserve">ICCPR, </w:t>
      </w:r>
      <w:r w:rsidR="00750D64" w:rsidRPr="005319EA">
        <w:rPr>
          <w:i/>
          <w:iCs/>
        </w:rPr>
        <w:t xml:space="preserve">supra </w:t>
      </w:r>
      <w:r w:rsidR="00750D64" w:rsidRPr="005319EA">
        <w:t>note 28</w:t>
      </w:r>
      <w:r w:rsidR="00AD504E" w:rsidRPr="005319EA">
        <w:t xml:space="preserve">, </w:t>
      </w:r>
      <w:r w:rsidR="00552217" w:rsidRPr="005319EA">
        <w:t xml:space="preserve">at </w:t>
      </w:r>
      <w:r w:rsidR="00750D64" w:rsidRPr="005319EA">
        <w:t>art. 23(3</w:t>
      </w:r>
      <w:r w:rsidR="00750D64" w:rsidRPr="005319EA">
        <w:rPr>
          <w:rStyle w:val="normaltextrun"/>
        </w:rPr>
        <w:t>)</w:t>
      </w:r>
      <w:r w:rsidRPr="005319EA">
        <w:rPr>
          <w:rStyle w:val="normaltextrun"/>
        </w:rPr>
        <w:t xml:space="preserve">; </w:t>
      </w:r>
      <w:r w:rsidR="004C18BC" w:rsidRPr="005319EA">
        <w:t>International Convention on the Elimination of All Forms of Racial Discrimination, art. 5(d)(iii), Dec. 21, 1965, 660 U.N.T.S. 195; Convention on the Rights of the Child, arts. 7 &amp; 8, Nov. 20, 1989, 1577 U.N.T.S. 3; Convention on the Elimination of All Forms of Discrimination against Women, art. 9, Dec. 18, 1979, 1249 U.N.T.S. 13.</w:t>
      </w:r>
    </w:p>
  </w:footnote>
  <w:footnote w:id="152">
    <w:p w14:paraId="55C67F3F" w14:textId="3BBA4F64" w:rsidR="001F3A4F" w:rsidRPr="005319EA" w:rsidRDefault="001F3A4F" w:rsidP="001C756C">
      <w:pPr>
        <w:pStyle w:val="FootnoteText"/>
        <w:jc w:val="both"/>
      </w:pPr>
      <w:r w:rsidRPr="005319EA">
        <w:rPr>
          <w:rStyle w:val="FootnoteReference"/>
        </w:rPr>
        <w:footnoteRef/>
      </w:r>
      <w:r w:rsidRPr="005319EA">
        <w:t xml:space="preserve"> </w:t>
      </w:r>
      <w:r w:rsidR="007F2899" w:rsidRPr="005319EA">
        <w:rPr>
          <w:i/>
          <w:iCs/>
        </w:rPr>
        <w:t xml:space="preserve">See </w:t>
      </w:r>
      <w:r w:rsidRPr="005319EA">
        <w:t xml:space="preserve">American Convention on Human Rights </w:t>
      </w:r>
      <w:r w:rsidR="007F2899" w:rsidRPr="005319EA">
        <w:t>“</w:t>
      </w:r>
      <w:r w:rsidRPr="005319EA">
        <w:t>Pact of San Jose, Costa Rica</w:t>
      </w:r>
      <w:r w:rsidR="007F2899" w:rsidRPr="005319EA">
        <w:t>”</w:t>
      </w:r>
      <w:r w:rsidRPr="005319EA">
        <w:t xml:space="preserve">, art. 20, Nov. 22, 1969, 1144 U.N.T.S. 123; </w:t>
      </w:r>
      <w:bookmarkStart w:id="77" w:name="_Hlk155881892"/>
      <w:r w:rsidR="007F2899" w:rsidRPr="005319EA">
        <w:t xml:space="preserve">OAU, </w:t>
      </w:r>
      <w:r w:rsidRPr="005319EA">
        <w:t>African Charter on the Rights and Welfare of the Child, art. 6</w:t>
      </w:r>
      <w:r w:rsidR="007F2899" w:rsidRPr="005319EA">
        <w:t>, July 11, 1990, CAB/LEG/24.9/49</w:t>
      </w:r>
      <w:r w:rsidRPr="005319EA">
        <w:t xml:space="preserve">; </w:t>
      </w:r>
      <w:r w:rsidR="007F2899" w:rsidRPr="005319EA">
        <w:t xml:space="preserve">IACHR, American Declaration of the Rights and Duties of Man, art. </w:t>
      </w:r>
      <w:r w:rsidR="00775C44" w:rsidRPr="005319EA">
        <w:t>xix</w:t>
      </w:r>
      <w:r w:rsidR="007F2899" w:rsidRPr="005319EA">
        <w:t>, May 2, 1948</w:t>
      </w:r>
      <w:r w:rsidRPr="005319EA">
        <w:t xml:space="preserve">, Res. XXX; </w:t>
      </w:r>
      <w:r w:rsidR="00775C44" w:rsidRPr="005319EA">
        <w:t>League of Arab States, Arab Charter on Human Rights, art. 29(1) Sept. 15 1994, [ST/HR/]CHR/NONE/2004/40/Rev.1;</w:t>
      </w:r>
      <w:bookmarkEnd w:id="77"/>
      <w:r w:rsidR="00775C44" w:rsidRPr="005319EA">
        <w:t xml:space="preserve"> </w:t>
      </w:r>
      <w:r w:rsidR="007F2899" w:rsidRPr="005319EA">
        <w:t>Council of Europe, European Convention on Nationality, art. 4(a), Nov. 6, 1997, E.T.S. 166</w:t>
      </w:r>
      <w:r w:rsidRPr="005319EA">
        <w:rPr>
          <w:rStyle w:val="normaltextrun"/>
        </w:rPr>
        <w:t>.</w:t>
      </w:r>
    </w:p>
  </w:footnote>
  <w:footnote w:id="153">
    <w:p w14:paraId="3B0C75AB" w14:textId="01BE5251" w:rsidR="001F3A4F" w:rsidRPr="005319EA" w:rsidRDefault="001F3A4F" w:rsidP="001C756C">
      <w:pPr>
        <w:pBdr>
          <w:top w:val="nil"/>
          <w:left w:val="nil"/>
          <w:bottom w:val="nil"/>
          <w:right w:val="nil"/>
          <w:between w:val="nil"/>
        </w:pBdr>
        <w:spacing w:before="0" w:after="0"/>
        <w:jc w:val="both"/>
        <w:rPr>
          <w:rFonts w:eastAsia="Calibri"/>
          <w:sz w:val="20"/>
          <w:szCs w:val="20"/>
        </w:rPr>
      </w:pPr>
      <w:r w:rsidRPr="005319EA">
        <w:rPr>
          <w:sz w:val="20"/>
          <w:szCs w:val="20"/>
          <w:vertAlign w:val="superscript"/>
        </w:rPr>
        <w:footnoteRef/>
      </w:r>
      <w:r w:rsidRPr="005319EA">
        <w:rPr>
          <w:rFonts w:eastAsia="Calibri"/>
          <w:sz w:val="20"/>
          <w:szCs w:val="20"/>
        </w:rPr>
        <w:t xml:space="preserve"> </w:t>
      </w:r>
      <w:r w:rsidR="003961AB" w:rsidRPr="005319EA">
        <w:rPr>
          <w:sz w:val="20"/>
          <w:szCs w:val="20"/>
        </w:rPr>
        <w:t>UDHR</w:t>
      </w:r>
      <w:r w:rsidR="007F2899" w:rsidRPr="005319EA">
        <w:rPr>
          <w:sz w:val="20"/>
          <w:szCs w:val="20"/>
        </w:rPr>
        <w:t xml:space="preserve">, </w:t>
      </w:r>
      <w:r w:rsidR="003961AB" w:rsidRPr="005319EA">
        <w:rPr>
          <w:i/>
          <w:iCs/>
          <w:sz w:val="20"/>
          <w:szCs w:val="20"/>
        </w:rPr>
        <w:t xml:space="preserve">supra </w:t>
      </w:r>
      <w:r w:rsidR="003961AB" w:rsidRPr="005319EA">
        <w:rPr>
          <w:sz w:val="20"/>
          <w:szCs w:val="20"/>
        </w:rPr>
        <w:t xml:space="preserve">note </w:t>
      </w:r>
      <w:r w:rsidR="004C743B" w:rsidRPr="005319EA">
        <w:rPr>
          <w:sz w:val="20"/>
          <w:szCs w:val="20"/>
        </w:rPr>
        <w:t>54</w:t>
      </w:r>
      <w:r w:rsidR="003961AB" w:rsidRPr="005319EA">
        <w:rPr>
          <w:sz w:val="20"/>
          <w:szCs w:val="20"/>
        </w:rPr>
        <w:t xml:space="preserve">, </w:t>
      </w:r>
      <w:r w:rsidR="00552217" w:rsidRPr="005319EA">
        <w:rPr>
          <w:sz w:val="20"/>
          <w:szCs w:val="20"/>
        </w:rPr>
        <w:t xml:space="preserve">at </w:t>
      </w:r>
      <w:r w:rsidR="007F2899" w:rsidRPr="005319EA">
        <w:rPr>
          <w:sz w:val="20"/>
          <w:szCs w:val="20"/>
        </w:rPr>
        <w:t>art. 1</w:t>
      </w:r>
      <w:r w:rsidR="003961AB" w:rsidRPr="005319EA">
        <w:rPr>
          <w:sz w:val="20"/>
          <w:szCs w:val="20"/>
        </w:rPr>
        <w:t>5</w:t>
      </w:r>
      <w:r w:rsidR="007F2899" w:rsidRPr="005319EA">
        <w:rPr>
          <w:sz w:val="20"/>
          <w:szCs w:val="20"/>
        </w:rPr>
        <w:t xml:space="preserve">. </w:t>
      </w:r>
      <w:r w:rsidR="007F2899" w:rsidRPr="005319EA">
        <w:rPr>
          <w:i/>
          <w:iCs/>
          <w:sz w:val="20"/>
          <w:szCs w:val="20"/>
        </w:rPr>
        <w:t xml:space="preserve">See also </w:t>
      </w:r>
      <w:bookmarkStart w:id="78" w:name="_Hlk155880810"/>
      <w:r w:rsidR="005168A6" w:rsidRPr="005319EA">
        <w:rPr>
          <w:sz w:val="20"/>
          <w:szCs w:val="20"/>
        </w:rPr>
        <w:t xml:space="preserve">G.A. Res. 49/169, </w:t>
      </w:r>
      <w:r w:rsidR="004C743B" w:rsidRPr="005319EA">
        <w:rPr>
          <w:sz w:val="20"/>
          <w:szCs w:val="20"/>
        </w:rPr>
        <w:t>para.</w:t>
      </w:r>
      <w:r w:rsidR="005168A6" w:rsidRPr="005319EA">
        <w:rPr>
          <w:sz w:val="20"/>
          <w:szCs w:val="20"/>
        </w:rPr>
        <w:t xml:space="preserve"> 8 (Dec. 23, 1994); G.A. Res. 50/152, </w:t>
      </w:r>
      <w:r w:rsidR="004C743B" w:rsidRPr="005319EA">
        <w:rPr>
          <w:sz w:val="20"/>
          <w:szCs w:val="20"/>
        </w:rPr>
        <w:t>prmbl.</w:t>
      </w:r>
      <w:r w:rsidR="005168A6" w:rsidRPr="005319EA">
        <w:rPr>
          <w:sz w:val="20"/>
          <w:szCs w:val="20"/>
        </w:rPr>
        <w:t xml:space="preserve"> (Dec. 21 1995); G.A. Res. 61/137</w:t>
      </w:r>
      <w:r w:rsidR="004C743B" w:rsidRPr="005319EA">
        <w:rPr>
          <w:sz w:val="20"/>
          <w:szCs w:val="20"/>
        </w:rPr>
        <w:t>, para.</w:t>
      </w:r>
      <w:r w:rsidR="005168A6" w:rsidRPr="005319EA">
        <w:rPr>
          <w:sz w:val="20"/>
          <w:szCs w:val="20"/>
        </w:rPr>
        <w:t xml:space="preserve"> 7 (Dec. 19, 2006); G.A. Res. 67/149</w:t>
      </w:r>
      <w:r w:rsidR="004C743B" w:rsidRPr="005319EA">
        <w:rPr>
          <w:sz w:val="20"/>
          <w:szCs w:val="20"/>
        </w:rPr>
        <w:t>, para.</w:t>
      </w:r>
      <w:r w:rsidR="005168A6" w:rsidRPr="005319EA">
        <w:rPr>
          <w:sz w:val="20"/>
          <w:szCs w:val="20"/>
        </w:rPr>
        <w:t xml:space="preserve"> 7(December 20, 2012);</w:t>
      </w:r>
      <w:r w:rsidR="003D5C64" w:rsidRPr="005319EA">
        <w:rPr>
          <w:sz w:val="20"/>
          <w:szCs w:val="20"/>
        </w:rPr>
        <w:t xml:space="preserve"> </w:t>
      </w:r>
      <w:r w:rsidR="005168A6" w:rsidRPr="005319EA">
        <w:rPr>
          <w:sz w:val="20"/>
          <w:szCs w:val="20"/>
        </w:rPr>
        <w:t>G.A. Res. 68/141</w:t>
      </w:r>
      <w:r w:rsidR="004C743B" w:rsidRPr="005319EA">
        <w:rPr>
          <w:sz w:val="20"/>
          <w:szCs w:val="20"/>
        </w:rPr>
        <w:t>, para.</w:t>
      </w:r>
      <w:r w:rsidR="005168A6" w:rsidRPr="005319EA">
        <w:rPr>
          <w:sz w:val="20"/>
          <w:szCs w:val="20"/>
        </w:rPr>
        <w:t xml:space="preserve"> 9 (December 18, 2013); G.A. Res. 70/135</w:t>
      </w:r>
      <w:r w:rsidR="004C743B" w:rsidRPr="005319EA">
        <w:rPr>
          <w:sz w:val="20"/>
          <w:szCs w:val="20"/>
        </w:rPr>
        <w:t>, para.</w:t>
      </w:r>
      <w:r w:rsidR="005168A6" w:rsidRPr="005319EA">
        <w:rPr>
          <w:sz w:val="20"/>
          <w:szCs w:val="20"/>
        </w:rPr>
        <w:t xml:space="preserve"> 12 (Dec. 17, 2015).</w:t>
      </w:r>
    </w:p>
    <w:bookmarkEnd w:id="78"/>
  </w:footnote>
  <w:footnote w:id="154">
    <w:p w14:paraId="680AFC88" w14:textId="2E9F3874" w:rsidR="001F3A4F" w:rsidRPr="005319EA" w:rsidRDefault="001F3A4F" w:rsidP="001C756C">
      <w:pPr>
        <w:pStyle w:val="paragraph"/>
        <w:spacing w:before="0" w:beforeAutospacing="0" w:after="0" w:afterAutospacing="0"/>
        <w:jc w:val="both"/>
        <w:textAlignment w:val="baseline"/>
        <w:rPr>
          <w:sz w:val="20"/>
          <w:szCs w:val="20"/>
        </w:rPr>
      </w:pPr>
      <w:r w:rsidRPr="005319EA">
        <w:rPr>
          <w:rStyle w:val="FootnoteReference"/>
          <w:sz w:val="20"/>
          <w:szCs w:val="20"/>
        </w:rPr>
        <w:footnoteRef/>
      </w:r>
      <w:r w:rsidRPr="005319EA">
        <w:rPr>
          <w:sz w:val="20"/>
          <w:szCs w:val="20"/>
        </w:rPr>
        <w:t xml:space="preserve"> </w:t>
      </w:r>
      <w:r w:rsidRPr="005319EA">
        <w:rPr>
          <w:rStyle w:val="normaltextrun"/>
          <w:i/>
          <w:iCs/>
          <w:sz w:val="20"/>
          <w:szCs w:val="20"/>
        </w:rPr>
        <w:t xml:space="preserve">See </w:t>
      </w:r>
      <w:r w:rsidR="004527A7" w:rsidRPr="005319EA">
        <w:rPr>
          <w:sz w:val="20"/>
          <w:szCs w:val="20"/>
        </w:rPr>
        <w:t xml:space="preserve">Riener v. Bulgaria, App. No. 46343/99, ECtHR, </w:t>
      </w:r>
      <w:r w:rsidR="00DE3BCC" w:rsidRPr="005319EA">
        <w:rPr>
          <w:rFonts w:eastAsia="Calibri"/>
          <w:sz w:val="20"/>
          <w:szCs w:val="20"/>
        </w:rPr>
        <w:t xml:space="preserve">para. </w:t>
      </w:r>
      <w:r w:rsidR="004527A7" w:rsidRPr="005319EA">
        <w:rPr>
          <w:sz w:val="20"/>
          <w:szCs w:val="20"/>
        </w:rPr>
        <w:t>151 (2006)</w:t>
      </w:r>
      <w:r w:rsidRPr="005319EA">
        <w:rPr>
          <w:rStyle w:val="normaltextrun"/>
          <w:sz w:val="20"/>
          <w:szCs w:val="20"/>
        </w:rPr>
        <w:t xml:space="preserve">; </w:t>
      </w:r>
      <w:r w:rsidR="004527A7" w:rsidRPr="005319EA">
        <w:rPr>
          <w:sz w:val="20"/>
          <w:szCs w:val="20"/>
        </w:rPr>
        <w:t xml:space="preserve">Karassev v. Finland, </w:t>
      </w:r>
      <w:r w:rsidR="00DE3BCC" w:rsidRPr="005319EA">
        <w:rPr>
          <w:sz w:val="20"/>
          <w:szCs w:val="20"/>
        </w:rPr>
        <w:t>App.</w:t>
      </w:r>
      <w:r w:rsidR="004527A7" w:rsidRPr="005319EA">
        <w:rPr>
          <w:sz w:val="20"/>
          <w:szCs w:val="20"/>
        </w:rPr>
        <w:t xml:space="preserve"> No. 31414/96,</w:t>
      </w:r>
      <w:r w:rsidR="00DE3BCC" w:rsidRPr="005319EA">
        <w:rPr>
          <w:sz w:val="20"/>
          <w:szCs w:val="20"/>
        </w:rPr>
        <w:t xml:space="preserve"> ECtHR,</w:t>
      </w:r>
      <w:r w:rsidR="004527A7" w:rsidRPr="005319EA">
        <w:rPr>
          <w:sz w:val="20"/>
          <w:szCs w:val="20"/>
        </w:rPr>
        <w:t xml:space="preserve"> </w:t>
      </w:r>
      <w:r w:rsidR="00DE3BCC" w:rsidRPr="005319EA">
        <w:rPr>
          <w:rFonts w:eastAsia="Calibri"/>
          <w:sz w:val="20"/>
          <w:szCs w:val="20"/>
        </w:rPr>
        <w:t xml:space="preserve">para. </w:t>
      </w:r>
      <w:r w:rsidR="004527A7" w:rsidRPr="005319EA">
        <w:rPr>
          <w:sz w:val="20"/>
          <w:szCs w:val="20"/>
        </w:rPr>
        <w:t>5 (1999)</w:t>
      </w:r>
      <w:r w:rsidRPr="005319EA">
        <w:rPr>
          <w:rStyle w:val="normaltextrun"/>
          <w:sz w:val="20"/>
          <w:szCs w:val="20"/>
        </w:rPr>
        <w:t xml:space="preserve">; </w:t>
      </w:r>
      <w:r w:rsidR="004527A7" w:rsidRPr="005319EA">
        <w:rPr>
          <w:sz w:val="20"/>
          <w:szCs w:val="20"/>
        </w:rPr>
        <w:t>Slivenko v. Latvia</w:t>
      </w:r>
      <w:r w:rsidR="004527A7" w:rsidRPr="005319EA">
        <w:rPr>
          <w:i/>
          <w:iCs/>
          <w:sz w:val="20"/>
          <w:szCs w:val="20"/>
        </w:rPr>
        <w:t xml:space="preserve">, </w:t>
      </w:r>
      <w:r w:rsidR="004527A7" w:rsidRPr="005319EA">
        <w:rPr>
          <w:sz w:val="20"/>
          <w:szCs w:val="20"/>
        </w:rPr>
        <w:t>App. No. 48321/99</w:t>
      </w:r>
      <w:r w:rsidR="004527A7" w:rsidRPr="005319EA">
        <w:rPr>
          <w:i/>
          <w:iCs/>
          <w:sz w:val="20"/>
          <w:szCs w:val="20"/>
        </w:rPr>
        <w:t>,</w:t>
      </w:r>
      <w:r w:rsidR="004527A7" w:rsidRPr="005319EA">
        <w:rPr>
          <w:sz w:val="20"/>
          <w:szCs w:val="20"/>
        </w:rPr>
        <w:t xml:space="preserve"> ECtHR, </w:t>
      </w:r>
      <w:r w:rsidR="00DE3BCC" w:rsidRPr="005319EA">
        <w:rPr>
          <w:rFonts w:eastAsia="Calibri"/>
          <w:sz w:val="20"/>
          <w:szCs w:val="20"/>
        </w:rPr>
        <w:t xml:space="preserve">para. </w:t>
      </w:r>
      <w:r w:rsidR="004527A7" w:rsidRPr="005319EA">
        <w:rPr>
          <w:sz w:val="20"/>
          <w:szCs w:val="20"/>
        </w:rPr>
        <w:t>98 (2002);</w:t>
      </w:r>
      <w:r w:rsidRPr="005319EA">
        <w:rPr>
          <w:rStyle w:val="normaltextrun"/>
          <w:sz w:val="20"/>
          <w:szCs w:val="20"/>
        </w:rPr>
        <w:t xml:space="preserve"> </w:t>
      </w:r>
      <w:r w:rsidR="000B3248" w:rsidRPr="005319EA">
        <w:rPr>
          <w:rStyle w:val="Emphasis"/>
          <w:i w:val="0"/>
          <w:iCs w:val="0"/>
          <w:sz w:val="20"/>
          <w:szCs w:val="20"/>
          <w:shd w:val="clear" w:color="auto" w:fill="FFFFFF"/>
        </w:rPr>
        <w:t>Girls Yean and Bosico v Dominican Republic</w:t>
      </w:r>
      <w:r w:rsidR="000B3248" w:rsidRPr="005319EA">
        <w:rPr>
          <w:i/>
          <w:iCs/>
          <w:sz w:val="20"/>
          <w:szCs w:val="20"/>
          <w:shd w:val="clear" w:color="auto" w:fill="FFFFFF"/>
        </w:rPr>
        <w:t>,</w:t>
      </w:r>
      <w:r w:rsidR="000B3248" w:rsidRPr="005319EA">
        <w:rPr>
          <w:sz w:val="20"/>
          <w:szCs w:val="20"/>
          <w:shd w:val="clear" w:color="auto" w:fill="FFFFFF"/>
        </w:rPr>
        <w:t xml:space="preserve"> IACtHR (ser. C) No. 130, </w:t>
      </w:r>
      <w:r w:rsidR="00DE3BCC" w:rsidRPr="005319EA">
        <w:rPr>
          <w:rFonts w:eastAsia="Calibri"/>
          <w:sz w:val="20"/>
          <w:szCs w:val="20"/>
        </w:rPr>
        <w:t xml:space="preserve">para. </w:t>
      </w:r>
      <w:r w:rsidR="000B3248" w:rsidRPr="005319EA">
        <w:rPr>
          <w:sz w:val="20"/>
          <w:szCs w:val="20"/>
          <w:shd w:val="clear" w:color="auto" w:fill="FFFFFF"/>
        </w:rPr>
        <w:t>140 (2005)</w:t>
      </w:r>
      <w:r w:rsidRPr="005319EA">
        <w:rPr>
          <w:rStyle w:val="normaltextrun"/>
          <w:sz w:val="20"/>
          <w:szCs w:val="20"/>
        </w:rPr>
        <w:t xml:space="preserve">; </w:t>
      </w:r>
      <w:r w:rsidR="000B3248" w:rsidRPr="005319EA">
        <w:rPr>
          <w:sz w:val="20"/>
          <w:szCs w:val="20"/>
          <w:shd w:val="clear" w:color="auto" w:fill="FFFFFF"/>
        </w:rPr>
        <w:t xml:space="preserve">Anudo Ochieng Anudo v. United Republic of Tanzania, </w:t>
      </w:r>
      <w:r w:rsidR="000B3248" w:rsidRPr="005319EA">
        <w:rPr>
          <w:sz w:val="20"/>
          <w:szCs w:val="20"/>
        </w:rPr>
        <w:t>App. No. 012/2015, ACtHPR, </w:t>
      </w:r>
      <w:r w:rsidR="00DE3BCC" w:rsidRPr="005319EA">
        <w:rPr>
          <w:rFonts w:eastAsia="Calibri"/>
          <w:sz w:val="20"/>
          <w:szCs w:val="20"/>
        </w:rPr>
        <w:t xml:space="preserve">para. </w:t>
      </w:r>
      <w:r w:rsidR="000B3248" w:rsidRPr="005319EA">
        <w:rPr>
          <w:sz w:val="20"/>
          <w:szCs w:val="20"/>
        </w:rPr>
        <w:t>78 (2018)</w:t>
      </w:r>
      <w:r w:rsidRPr="005319EA">
        <w:rPr>
          <w:rStyle w:val="normaltextrun"/>
          <w:sz w:val="20"/>
          <w:szCs w:val="20"/>
        </w:rPr>
        <w:t xml:space="preserve">; </w:t>
      </w:r>
      <w:r w:rsidR="000B3248" w:rsidRPr="005319EA">
        <w:rPr>
          <w:sz w:val="20"/>
          <w:szCs w:val="20"/>
        </w:rPr>
        <w:t xml:space="preserve">Robert John Penessis v. United Republic of Tanzania, App. No. 013/2015, ACtHPR, </w:t>
      </w:r>
      <w:r w:rsidR="00DE3BCC" w:rsidRPr="005319EA">
        <w:rPr>
          <w:rFonts w:eastAsia="Calibri"/>
          <w:sz w:val="20"/>
          <w:szCs w:val="20"/>
        </w:rPr>
        <w:t xml:space="preserve">para. </w:t>
      </w:r>
      <w:r w:rsidR="000B3248" w:rsidRPr="005319EA">
        <w:rPr>
          <w:sz w:val="20"/>
          <w:szCs w:val="20"/>
        </w:rPr>
        <w:t>87 (2019)</w:t>
      </w:r>
      <w:r w:rsidRPr="005319EA">
        <w:rPr>
          <w:rStyle w:val="normaltextrun"/>
          <w:sz w:val="20"/>
          <w:szCs w:val="20"/>
        </w:rPr>
        <w:t>.</w:t>
      </w:r>
      <w:r w:rsidRPr="005319EA">
        <w:rPr>
          <w:rStyle w:val="eop"/>
          <w:sz w:val="20"/>
          <w:szCs w:val="20"/>
        </w:rPr>
        <w:t> </w:t>
      </w:r>
    </w:p>
  </w:footnote>
  <w:footnote w:id="155">
    <w:p w14:paraId="0886DE54" w14:textId="68670F57" w:rsidR="001F3A4F" w:rsidRPr="005319EA" w:rsidRDefault="001F3A4F" w:rsidP="001C756C">
      <w:pPr>
        <w:pStyle w:val="FootnoteText"/>
        <w:jc w:val="both"/>
      </w:pPr>
      <w:r w:rsidRPr="005319EA">
        <w:rPr>
          <w:rStyle w:val="FootnoteReference"/>
        </w:rPr>
        <w:footnoteRef/>
      </w:r>
      <w:r w:rsidRPr="005319EA">
        <w:t xml:space="preserve"> </w:t>
      </w:r>
      <w:r w:rsidR="00D06444" w:rsidRPr="005319EA">
        <w:rPr>
          <w:rStyle w:val="normaltextrun"/>
        </w:rPr>
        <w:t xml:space="preserve">UNHCR, Guidelines on Statelessness No. 5: Loss and Deprivation of Nationality under Articles 5-9 of the 1961 Convention on the Reduction of Statelessness, HCR/GS/20/05, </w:t>
      </w:r>
      <w:r w:rsidR="00DE3BCC" w:rsidRPr="005319EA">
        <w:rPr>
          <w:rFonts w:eastAsia="Calibri"/>
        </w:rPr>
        <w:t xml:space="preserve">para. </w:t>
      </w:r>
      <w:r w:rsidR="00D06444" w:rsidRPr="005319EA">
        <w:rPr>
          <w:rStyle w:val="normaltextrun"/>
        </w:rPr>
        <w:t>49 (May 2020) [“UNHRC Guidelines on Statelessness No. 5”]</w:t>
      </w:r>
      <w:r w:rsidR="005B4D0B" w:rsidRPr="005319EA">
        <w:rPr>
          <w:rStyle w:val="normaltextrun"/>
        </w:rPr>
        <w:t>.</w:t>
      </w:r>
    </w:p>
  </w:footnote>
  <w:footnote w:id="156">
    <w:p w14:paraId="390BE5BA" w14:textId="498CB900" w:rsidR="001F3A4F" w:rsidRPr="005319EA" w:rsidRDefault="001F3A4F" w:rsidP="001C756C">
      <w:pPr>
        <w:pStyle w:val="FootnoteText"/>
        <w:jc w:val="both"/>
      </w:pPr>
      <w:r w:rsidRPr="005319EA">
        <w:rPr>
          <w:rStyle w:val="FootnoteReference"/>
        </w:rPr>
        <w:footnoteRef/>
      </w:r>
      <w:r w:rsidRPr="005319EA">
        <w:t xml:space="preserve"> </w:t>
      </w:r>
      <w:r w:rsidRPr="005319EA">
        <w:rPr>
          <w:rStyle w:val="normaltextrun"/>
        </w:rPr>
        <w:t>Military and Paramilitary Activities</w:t>
      </w:r>
      <w:r w:rsidR="00921CAE" w:rsidRPr="005319EA">
        <w:rPr>
          <w:rStyle w:val="normaltextrun"/>
        </w:rPr>
        <w:t xml:space="preserve">, </w:t>
      </w:r>
      <w:r w:rsidR="00921CAE" w:rsidRPr="005319EA">
        <w:rPr>
          <w:rStyle w:val="normaltextrun"/>
          <w:i/>
          <w:iCs/>
        </w:rPr>
        <w:t>supra</w:t>
      </w:r>
      <w:r w:rsidR="00921CAE" w:rsidRPr="005319EA">
        <w:rPr>
          <w:rStyle w:val="normaltextrun"/>
        </w:rPr>
        <w:t xml:space="preserve"> note 47, </w:t>
      </w:r>
      <w:r w:rsidR="00552217" w:rsidRPr="005319EA">
        <w:rPr>
          <w:rStyle w:val="normaltextrun"/>
        </w:rPr>
        <w:t xml:space="preserve">at </w:t>
      </w:r>
      <w:r w:rsidR="00552217" w:rsidRPr="005319EA">
        <w:t>¶</w:t>
      </w:r>
      <w:r w:rsidR="00DE3BCC" w:rsidRPr="005319EA">
        <w:rPr>
          <w:rFonts w:eastAsia="Calibri"/>
        </w:rPr>
        <w:t xml:space="preserve"> </w:t>
      </w:r>
      <w:r w:rsidRPr="005319EA">
        <w:rPr>
          <w:rStyle w:val="normaltextrun"/>
        </w:rPr>
        <w:t>183</w:t>
      </w:r>
      <w:r w:rsidR="00921CAE" w:rsidRPr="005319EA">
        <w:rPr>
          <w:rStyle w:val="normaltextrun"/>
        </w:rPr>
        <w:t xml:space="preserve">. </w:t>
      </w:r>
      <w:r w:rsidR="00921CAE" w:rsidRPr="005319EA">
        <w:rPr>
          <w:rStyle w:val="normaltextrun"/>
          <w:i/>
          <w:iCs/>
        </w:rPr>
        <w:t>See also</w:t>
      </w:r>
      <w:r w:rsidRPr="005319EA">
        <w:rPr>
          <w:rStyle w:val="normaltextrun"/>
        </w:rPr>
        <w:t xml:space="preserve"> Jurisdictional Immunities of the State (Ger</w:t>
      </w:r>
      <w:r w:rsidR="00E232AE" w:rsidRPr="005319EA">
        <w:rPr>
          <w:rStyle w:val="normaltextrun"/>
        </w:rPr>
        <w:t>.</w:t>
      </w:r>
      <w:r w:rsidRPr="005319EA">
        <w:rPr>
          <w:rStyle w:val="normaltextrun"/>
        </w:rPr>
        <w:t xml:space="preserve"> v. Italy: Greece intervening), Judgment, </w:t>
      </w:r>
      <w:r w:rsidR="00EB3C3B" w:rsidRPr="005319EA">
        <w:rPr>
          <w:rStyle w:val="normaltextrun"/>
        </w:rPr>
        <w:t xml:space="preserve">2012 </w:t>
      </w:r>
      <w:r w:rsidRPr="005319EA">
        <w:rPr>
          <w:rStyle w:val="normaltextrun"/>
        </w:rPr>
        <w:t xml:space="preserve">I.C.J. </w:t>
      </w:r>
      <w:r w:rsidR="000B3248" w:rsidRPr="005319EA">
        <w:rPr>
          <w:rStyle w:val="normaltextrun"/>
        </w:rPr>
        <w:t>Rep.</w:t>
      </w:r>
      <w:r w:rsidR="00EB3C3B" w:rsidRPr="005319EA">
        <w:rPr>
          <w:rStyle w:val="normaltextrun"/>
        </w:rPr>
        <w:t xml:space="preserve"> </w:t>
      </w:r>
      <w:r w:rsidRPr="005319EA">
        <w:rPr>
          <w:rStyle w:val="normaltextrun"/>
        </w:rPr>
        <w:t xml:space="preserve">99, </w:t>
      </w:r>
      <w:r w:rsidR="00552217" w:rsidRPr="005319EA">
        <w:t>¶</w:t>
      </w:r>
      <w:r w:rsidR="00DE3BCC" w:rsidRPr="005319EA">
        <w:rPr>
          <w:rFonts w:eastAsia="Calibri"/>
        </w:rPr>
        <w:t xml:space="preserve"> </w:t>
      </w:r>
      <w:r w:rsidRPr="005319EA">
        <w:rPr>
          <w:rStyle w:val="normaltextrun"/>
        </w:rPr>
        <w:t>55</w:t>
      </w:r>
      <w:r w:rsidR="00EB3C3B" w:rsidRPr="005319EA">
        <w:rPr>
          <w:rStyle w:val="normaltextrun"/>
        </w:rPr>
        <w:t xml:space="preserve"> (Feb. 3)</w:t>
      </w:r>
      <w:r w:rsidRPr="005319EA">
        <w:rPr>
          <w:rStyle w:val="normaltextrun"/>
        </w:rPr>
        <w:t>; North Sea Continental Shelf</w:t>
      </w:r>
      <w:r w:rsidR="00EB3C3B" w:rsidRPr="005319EA">
        <w:rPr>
          <w:rStyle w:val="normaltextrun"/>
        </w:rPr>
        <w:t xml:space="preserve"> (</w:t>
      </w:r>
      <w:r w:rsidR="00EB3C3B" w:rsidRPr="005319EA">
        <w:rPr>
          <w:shd w:val="clear" w:color="auto" w:fill="FFFFFF"/>
        </w:rPr>
        <w:t>Ger</w:t>
      </w:r>
      <w:r w:rsidR="00E232AE" w:rsidRPr="005319EA">
        <w:rPr>
          <w:shd w:val="clear" w:color="auto" w:fill="FFFFFF"/>
        </w:rPr>
        <w:t xml:space="preserve">. v. </w:t>
      </w:r>
      <w:r w:rsidR="00EB3C3B" w:rsidRPr="005319EA">
        <w:rPr>
          <w:shd w:val="clear" w:color="auto" w:fill="FFFFFF"/>
        </w:rPr>
        <w:t>Neth</w:t>
      </w:r>
      <w:r w:rsidR="00E232AE" w:rsidRPr="005319EA">
        <w:rPr>
          <w:shd w:val="clear" w:color="auto" w:fill="FFFFFF"/>
        </w:rPr>
        <w:t>.</w:t>
      </w:r>
      <w:r w:rsidR="00EB3C3B" w:rsidRPr="005319EA">
        <w:rPr>
          <w:shd w:val="clear" w:color="auto" w:fill="FFFFFF"/>
        </w:rPr>
        <w:t>)</w:t>
      </w:r>
      <w:r w:rsidRPr="005319EA">
        <w:rPr>
          <w:rStyle w:val="normaltextrun"/>
        </w:rPr>
        <w:t xml:space="preserve">, Judgment, </w:t>
      </w:r>
      <w:r w:rsidR="00EB3C3B" w:rsidRPr="005319EA">
        <w:rPr>
          <w:rStyle w:val="normaltextrun"/>
        </w:rPr>
        <w:t xml:space="preserve">1969 </w:t>
      </w:r>
      <w:r w:rsidRPr="005319EA">
        <w:rPr>
          <w:rStyle w:val="normaltextrun"/>
        </w:rPr>
        <w:t xml:space="preserve">I.C.J. </w:t>
      </w:r>
      <w:r w:rsidR="000B3248" w:rsidRPr="005319EA">
        <w:rPr>
          <w:rStyle w:val="normaltextrun"/>
        </w:rPr>
        <w:t>Rep.</w:t>
      </w:r>
      <w:r w:rsidRPr="005319EA">
        <w:rPr>
          <w:rStyle w:val="normaltextrun"/>
        </w:rPr>
        <w:t xml:space="preserve"> 3 </w:t>
      </w:r>
      <w:r w:rsidR="00552217" w:rsidRPr="005319EA">
        <w:t>¶</w:t>
      </w:r>
      <w:r w:rsidR="00DE3BCC" w:rsidRPr="005319EA">
        <w:rPr>
          <w:rFonts w:eastAsia="Calibri"/>
        </w:rPr>
        <w:t xml:space="preserve"> </w:t>
      </w:r>
      <w:r w:rsidRPr="005319EA">
        <w:rPr>
          <w:rStyle w:val="normaltextrun"/>
        </w:rPr>
        <w:t>77</w:t>
      </w:r>
      <w:r w:rsidR="00EB3C3B" w:rsidRPr="005319EA">
        <w:rPr>
          <w:rStyle w:val="normaltextrun"/>
        </w:rPr>
        <w:t xml:space="preserve"> (Feb. 20)</w:t>
      </w:r>
      <w:r w:rsidRPr="005319EA">
        <w:rPr>
          <w:rStyle w:val="normaltextrun"/>
        </w:rPr>
        <w:t>.</w:t>
      </w:r>
    </w:p>
  </w:footnote>
  <w:footnote w:id="157">
    <w:p w14:paraId="1878E6AA" w14:textId="7FF6C14A" w:rsidR="001F3A4F" w:rsidRPr="005319EA" w:rsidRDefault="001F3A4F" w:rsidP="001C756C">
      <w:pPr>
        <w:pStyle w:val="FootnoteText"/>
        <w:jc w:val="both"/>
      </w:pPr>
      <w:r w:rsidRPr="005319EA">
        <w:rPr>
          <w:rStyle w:val="FootnoteReference"/>
        </w:rPr>
        <w:footnoteRef/>
      </w:r>
      <w:r w:rsidRPr="005319EA">
        <w:t xml:space="preserve"> </w:t>
      </w:r>
      <w:r w:rsidR="00447D46" w:rsidRPr="005319EA">
        <w:rPr>
          <w:rStyle w:val="normaltextrun"/>
        </w:rPr>
        <w:t xml:space="preserve">CSP </w:t>
      </w:r>
      <w:r w:rsidR="00447D46" w:rsidRPr="005319EA">
        <w:rPr>
          <w:rStyle w:val="normaltextrun"/>
          <w:i/>
          <w:iCs/>
        </w:rPr>
        <w:t xml:space="preserve">supra </w:t>
      </w:r>
      <w:r w:rsidR="00447D46" w:rsidRPr="005319EA">
        <w:rPr>
          <w:rStyle w:val="normaltextrun"/>
        </w:rPr>
        <w:t>note 25</w:t>
      </w:r>
      <w:r w:rsidRPr="005319EA">
        <w:rPr>
          <w:rStyle w:val="normaltextrun"/>
        </w:rPr>
        <w:t xml:space="preserve">, </w:t>
      </w:r>
      <w:r w:rsidR="00552217" w:rsidRPr="005319EA">
        <w:rPr>
          <w:rStyle w:val="normaltextrun"/>
        </w:rPr>
        <w:t xml:space="preserve">at </w:t>
      </w:r>
      <w:r w:rsidRPr="005319EA">
        <w:rPr>
          <w:rStyle w:val="normaltextrun"/>
        </w:rPr>
        <w:t>art. 12(1). Nottebohm,</w:t>
      </w:r>
      <w:r w:rsidR="00447D46" w:rsidRPr="005319EA">
        <w:rPr>
          <w:rStyle w:val="normaltextrun"/>
        </w:rPr>
        <w:t xml:space="preserve"> </w:t>
      </w:r>
      <w:r w:rsidR="00447D46" w:rsidRPr="005319EA">
        <w:rPr>
          <w:rStyle w:val="normaltextrun"/>
          <w:i/>
          <w:iCs/>
        </w:rPr>
        <w:t xml:space="preserve">supra </w:t>
      </w:r>
      <w:r w:rsidR="00447D46" w:rsidRPr="005319EA">
        <w:rPr>
          <w:rStyle w:val="normaltextrun"/>
        </w:rPr>
        <w:t>note 2, at</w:t>
      </w:r>
      <w:r w:rsidRPr="005319EA">
        <w:rPr>
          <w:rStyle w:val="normaltextrun"/>
        </w:rPr>
        <w:t xml:space="preserve"> 23.</w:t>
      </w:r>
    </w:p>
  </w:footnote>
  <w:footnote w:id="158">
    <w:p w14:paraId="7135D648" w14:textId="62A560FB" w:rsidR="001F3A4F" w:rsidRPr="005319EA" w:rsidRDefault="001F3A4F" w:rsidP="001C756C">
      <w:pPr>
        <w:pStyle w:val="FootnoteText"/>
        <w:jc w:val="both"/>
        <w:rPr>
          <w:shd w:val="clear" w:color="auto" w:fill="FFFFFF"/>
        </w:rPr>
      </w:pPr>
      <w:r w:rsidRPr="005319EA">
        <w:rPr>
          <w:rStyle w:val="FootnoteReference"/>
        </w:rPr>
        <w:footnoteRef/>
      </w:r>
      <w:r w:rsidRPr="005319EA">
        <w:t xml:space="preserve"> </w:t>
      </w:r>
      <w:bookmarkStart w:id="79" w:name="_Hlk155877100"/>
      <w:r w:rsidR="00607E1C" w:rsidRPr="005319EA">
        <w:rPr>
          <w:rStyle w:val="normaltextrun"/>
        </w:rPr>
        <w:t>Proposed Amendments to the Naturalization Provision of the Constitution of Costa Rica,</w:t>
      </w:r>
      <w:r w:rsidR="00FA4F90" w:rsidRPr="005319EA">
        <w:rPr>
          <w:rStyle w:val="normaltextrun"/>
        </w:rPr>
        <w:t xml:space="preserve"> Advisory Opinion </w:t>
      </w:r>
      <w:r w:rsidR="00FA4F90" w:rsidRPr="005319EA">
        <w:t>OC-4/84,</w:t>
      </w:r>
      <w:r w:rsidR="00607E1C" w:rsidRPr="005319EA">
        <w:rPr>
          <w:rStyle w:val="normaltextrun"/>
        </w:rPr>
        <w:t xml:space="preserve"> IACtHR (ser. A) No. 4, </w:t>
      </w:r>
      <w:r w:rsidR="004318F7" w:rsidRPr="005319EA">
        <w:rPr>
          <w:rFonts w:eastAsia="Calibri"/>
        </w:rPr>
        <w:t xml:space="preserve">para. </w:t>
      </w:r>
      <w:r w:rsidRPr="005319EA">
        <w:rPr>
          <w:rStyle w:val="normaltextrun"/>
        </w:rPr>
        <w:t>32</w:t>
      </w:r>
      <w:r w:rsidR="00607E1C" w:rsidRPr="005319EA">
        <w:rPr>
          <w:rStyle w:val="normaltextrun"/>
        </w:rPr>
        <w:t xml:space="preserve"> (</w:t>
      </w:r>
      <w:r w:rsidR="000A30FD" w:rsidRPr="005319EA">
        <w:rPr>
          <w:rStyle w:val="normaltextrun"/>
        </w:rPr>
        <w:t xml:space="preserve">Jan. 19, </w:t>
      </w:r>
      <w:r w:rsidR="00607E1C" w:rsidRPr="005319EA">
        <w:rPr>
          <w:rStyle w:val="normaltextrun"/>
        </w:rPr>
        <w:t>1984)</w:t>
      </w:r>
      <w:r w:rsidRPr="005319EA">
        <w:rPr>
          <w:rStyle w:val="normaltextrun"/>
        </w:rPr>
        <w:t xml:space="preserve">. </w:t>
      </w:r>
      <w:bookmarkEnd w:id="79"/>
      <w:r w:rsidRPr="005319EA">
        <w:rPr>
          <w:rStyle w:val="normaltextrun"/>
          <w:i/>
          <w:iCs/>
        </w:rPr>
        <w:t xml:space="preserve">See also </w:t>
      </w:r>
      <w:bookmarkStart w:id="80" w:name="_Hlk155876870"/>
      <w:r w:rsidR="000A30FD" w:rsidRPr="005319EA">
        <w:rPr>
          <w:rStyle w:val="normaltextrun"/>
          <w:shd w:val="clear" w:color="auto" w:fill="FFFFFF"/>
        </w:rPr>
        <w:t xml:space="preserve">Expelled Dominicans and Haitians v. Dominican Republic, Preliminary Objections, Merits, Reparations and Costs, IACtHR (ser. C) No. 282, </w:t>
      </w:r>
      <w:r w:rsidR="004318F7" w:rsidRPr="005319EA">
        <w:rPr>
          <w:rFonts w:eastAsia="Calibri"/>
        </w:rPr>
        <w:t xml:space="preserve">para. </w:t>
      </w:r>
      <w:r w:rsidR="000A30FD" w:rsidRPr="005319EA">
        <w:rPr>
          <w:rStyle w:val="normaltextrun"/>
          <w:shd w:val="clear" w:color="auto" w:fill="FFFFFF"/>
        </w:rPr>
        <w:t>256 (Aug. 28, 2014).</w:t>
      </w:r>
      <w:r w:rsidRPr="005319EA">
        <w:rPr>
          <w:rStyle w:val="normaltextrun"/>
          <w:shd w:val="clear" w:color="auto" w:fill="FFFFFF"/>
        </w:rPr>
        <w:t> </w:t>
      </w:r>
      <w:bookmarkEnd w:id="80"/>
    </w:p>
  </w:footnote>
  <w:footnote w:id="159">
    <w:p w14:paraId="396A6FC8" w14:textId="44877AC6" w:rsidR="001F3A4F" w:rsidRPr="005319EA" w:rsidRDefault="001F3A4F" w:rsidP="001C756C">
      <w:pPr>
        <w:pStyle w:val="paragraph"/>
        <w:spacing w:before="0" w:beforeAutospacing="0" w:after="0" w:afterAutospacing="0"/>
        <w:jc w:val="both"/>
        <w:textAlignment w:val="baseline"/>
        <w:rPr>
          <w:sz w:val="20"/>
          <w:szCs w:val="20"/>
        </w:rPr>
      </w:pPr>
      <w:r w:rsidRPr="005319EA">
        <w:rPr>
          <w:rStyle w:val="FootnoteReference"/>
          <w:sz w:val="20"/>
          <w:szCs w:val="20"/>
        </w:rPr>
        <w:footnoteRef/>
      </w:r>
      <w:r w:rsidR="007C4308" w:rsidRPr="005319EA">
        <w:rPr>
          <w:sz w:val="20"/>
          <w:szCs w:val="20"/>
        </w:rPr>
        <w:t xml:space="preserve"> </w:t>
      </w:r>
      <w:bookmarkStart w:id="81" w:name="_Hlk155875653"/>
      <w:r w:rsidR="001F54AD" w:rsidRPr="005319EA">
        <w:rPr>
          <w:rStyle w:val="normaltextrun"/>
          <w:sz w:val="20"/>
          <w:szCs w:val="20"/>
        </w:rPr>
        <w:t>HRC</w:t>
      </w:r>
      <w:r w:rsidR="009525F3" w:rsidRPr="005319EA">
        <w:rPr>
          <w:rStyle w:val="normaltextrun"/>
          <w:sz w:val="20"/>
          <w:szCs w:val="20"/>
        </w:rPr>
        <w:t xml:space="preserve"> Res. </w:t>
      </w:r>
      <w:r w:rsidR="001F54AD" w:rsidRPr="005319EA">
        <w:rPr>
          <w:rStyle w:val="normaltextrun"/>
          <w:sz w:val="20"/>
          <w:szCs w:val="20"/>
        </w:rPr>
        <w:t>25/28</w:t>
      </w:r>
      <w:r w:rsidR="007C4308" w:rsidRPr="005319EA">
        <w:rPr>
          <w:rStyle w:val="normaltextrun"/>
          <w:sz w:val="20"/>
          <w:szCs w:val="20"/>
        </w:rPr>
        <w:t>,</w:t>
      </w:r>
      <w:r w:rsidR="001F54AD" w:rsidRPr="005319EA">
        <w:rPr>
          <w:rStyle w:val="normaltextrun"/>
          <w:sz w:val="20"/>
          <w:szCs w:val="20"/>
        </w:rPr>
        <w:t xml:space="preserve"> </w:t>
      </w:r>
      <w:r w:rsidR="009525F3" w:rsidRPr="005319EA">
        <w:rPr>
          <w:rStyle w:val="normaltextrun"/>
          <w:i/>
          <w:iCs/>
          <w:sz w:val="20"/>
          <w:szCs w:val="20"/>
        </w:rPr>
        <w:t>supra</w:t>
      </w:r>
      <w:r w:rsidR="009525F3" w:rsidRPr="005319EA">
        <w:rPr>
          <w:rStyle w:val="normaltextrun"/>
          <w:sz w:val="20"/>
          <w:szCs w:val="20"/>
        </w:rPr>
        <w:t xml:space="preserve"> note </w:t>
      </w:r>
      <w:r w:rsidR="00A41F39" w:rsidRPr="005319EA">
        <w:rPr>
          <w:rStyle w:val="normaltextrun"/>
          <w:sz w:val="20"/>
          <w:szCs w:val="20"/>
        </w:rPr>
        <w:t xml:space="preserve">29, </w:t>
      </w:r>
      <w:r w:rsidR="00544578" w:rsidRPr="005319EA">
        <w:rPr>
          <w:rStyle w:val="normaltextrun"/>
          <w:sz w:val="20"/>
          <w:szCs w:val="20"/>
        </w:rPr>
        <w:t xml:space="preserve">at </w:t>
      </w:r>
      <w:r w:rsidR="004318F7" w:rsidRPr="005319EA">
        <w:rPr>
          <w:rFonts w:eastAsia="Calibri"/>
          <w:sz w:val="20"/>
          <w:szCs w:val="20"/>
        </w:rPr>
        <w:t xml:space="preserve">para. </w:t>
      </w:r>
      <w:r w:rsidR="001F54AD" w:rsidRPr="005319EA">
        <w:rPr>
          <w:rStyle w:val="normaltextrun"/>
          <w:sz w:val="20"/>
          <w:szCs w:val="20"/>
        </w:rPr>
        <w:t>4</w:t>
      </w:r>
      <w:r w:rsidRPr="005319EA">
        <w:rPr>
          <w:rStyle w:val="normaltextrun"/>
          <w:sz w:val="20"/>
          <w:szCs w:val="20"/>
        </w:rPr>
        <w:t xml:space="preserve">. </w:t>
      </w:r>
      <w:bookmarkEnd w:id="81"/>
      <w:r w:rsidR="00D06444" w:rsidRPr="005319EA">
        <w:rPr>
          <w:rStyle w:val="normaltextrun"/>
          <w:i/>
          <w:iCs/>
          <w:sz w:val="20"/>
          <w:szCs w:val="20"/>
        </w:rPr>
        <w:t xml:space="preserve">See </w:t>
      </w:r>
      <w:r w:rsidR="00D06444" w:rsidRPr="005319EA">
        <w:rPr>
          <w:rStyle w:val="normaltextrun"/>
          <w:sz w:val="20"/>
          <w:szCs w:val="20"/>
        </w:rPr>
        <w:t xml:space="preserve">UNHRC Guidelines on Statelessness No. 5, </w:t>
      </w:r>
      <w:r w:rsidR="00D06444" w:rsidRPr="005319EA">
        <w:rPr>
          <w:rStyle w:val="normaltextrun"/>
          <w:i/>
          <w:iCs/>
          <w:sz w:val="20"/>
          <w:szCs w:val="20"/>
        </w:rPr>
        <w:t>supra</w:t>
      </w:r>
      <w:r w:rsidR="00D06444" w:rsidRPr="005319EA">
        <w:rPr>
          <w:rStyle w:val="normaltextrun"/>
          <w:sz w:val="20"/>
          <w:szCs w:val="20"/>
        </w:rPr>
        <w:t xml:space="preserve"> note </w:t>
      </w:r>
      <w:r w:rsidR="00EE76AA" w:rsidRPr="005319EA">
        <w:rPr>
          <w:rStyle w:val="normaltextrun"/>
          <w:sz w:val="20"/>
          <w:szCs w:val="20"/>
        </w:rPr>
        <w:t>154, at</w:t>
      </w:r>
      <w:r w:rsidR="00D06444" w:rsidRPr="005319EA">
        <w:rPr>
          <w:rStyle w:val="normaltextrun"/>
          <w:sz w:val="20"/>
          <w:szCs w:val="20"/>
        </w:rPr>
        <w:t xml:space="preserve"> </w:t>
      </w:r>
      <w:r w:rsidR="004318F7" w:rsidRPr="005319EA">
        <w:rPr>
          <w:rFonts w:eastAsia="Calibri"/>
          <w:sz w:val="20"/>
          <w:szCs w:val="20"/>
        </w:rPr>
        <w:t xml:space="preserve">paras. </w:t>
      </w:r>
      <w:r w:rsidRPr="005319EA">
        <w:rPr>
          <w:rStyle w:val="normaltextrun"/>
          <w:sz w:val="20"/>
          <w:szCs w:val="20"/>
        </w:rPr>
        <w:t xml:space="preserve">62, 91-9. </w:t>
      </w:r>
      <w:r w:rsidRPr="005319EA">
        <w:rPr>
          <w:rStyle w:val="normaltextrun"/>
          <w:i/>
          <w:iCs/>
          <w:sz w:val="20"/>
          <w:szCs w:val="20"/>
        </w:rPr>
        <w:t xml:space="preserve">See also </w:t>
      </w:r>
      <w:r w:rsidRPr="005319EA">
        <w:rPr>
          <w:rStyle w:val="normaltextrun"/>
          <w:sz w:val="20"/>
          <w:szCs w:val="20"/>
        </w:rPr>
        <w:t xml:space="preserve">Pham v. </w:t>
      </w:r>
      <w:r w:rsidR="007B1B0B" w:rsidRPr="005319EA">
        <w:rPr>
          <w:rStyle w:val="normaltextrun"/>
          <w:sz w:val="20"/>
          <w:szCs w:val="20"/>
        </w:rPr>
        <w:t>U.K.</w:t>
      </w:r>
      <w:r w:rsidRPr="005319EA">
        <w:rPr>
          <w:rStyle w:val="normaltextrun"/>
          <w:sz w:val="20"/>
          <w:szCs w:val="20"/>
        </w:rPr>
        <w:t xml:space="preserve">, </w:t>
      </w:r>
      <w:r w:rsidR="007B1B0B" w:rsidRPr="005319EA">
        <w:rPr>
          <w:rStyle w:val="normaltextrun"/>
          <w:sz w:val="20"/>
          <w:szCs w:val="20"/>
        </w:rPr>
        <w:t>App.</w:t>
      </w:r>
      <w:r w:rsidRPr="005319EA">
        <w:rPr>
          <w:rStyle w:val="normaltextrun"/>
          <w:sz w:val="20"/>
          <w:szCs w:val="20"/>
        </w:rPr>
        <w:t xml:space="preserve"> No. 37478/20, ECtHR</w:t>
      </w:r>
      <w:r w:rsidR="007B1B0B" w:rsidRPr="005319EA">
        <w:rPr>
          <w:rStyle w:val="normaltextrun"/>
          <w:sz w:val="20"/>
          <w:szCs w:val="20"/>
        </w:rPr>
        <w:t xml:space="preserve">, </w:t>
      </w:r>
      <w:r w:rsidR="004318F7" w:rsidRPr="005319EA">
        <w:rPr>
          <w:rFonts w:eastAsia="Calibri"/>
          <w:sz w:val="20"/>
          <w:szCs w:val="20"/>
        </w:rPr>
        <w:t xml:space="preserve">para. </w:t>
      </w:r>
      <w:r w:rsidR="007B1B0B" w:rsidRPr="005319EA">
        <w:rPr>
          <w:rStyle w:val="normaltextrun"/>
          <w:sz w:val="20"/>
          <w:szCs w:val="20"/>
          <w:lang w:val="it-IT"/>
        </w:rPr>
        <w:t xml:space="preserve">3 </w:t>
      </w:r>
      <w:r w:rsidRPr="005319EA">
        <w:rPr>
          <w:rStyle w:val="normaltextrun"/>
          <w:sz w:val="20"/>
          <w:szCs w:val="20"/>
          <w:lang w:val="it-IT"/>
        </w:rPr>
        <w:t>(Apr. 19, 2021); Genovese v. Malta,</w:t>
      </w:r>
      <w:r w:rsidRPr="005319EA">
        <w:rPr>
          <w:rStyle w:val="normaltextrun"/>
          <w:i/>
          <w:iCs/>
          <w:sz w:val="20"/>
          <w:szCs w:val="20"/>
          <w:lang w:val="it-IT"/>
        </w:rPr>
        <w:t xml:space="preserve"> </w:t>
      </w:r>
      <w:r w:rsidR="00090E46" w:rsidRPr="005319EA">
        <w:rPr>
          <w:rStyle w:val="normaltextrun"/>
          <w:sz w:val="20"/>
          <w:szCs w:val="20"/>
          <w:lang w:val="it-IT"/>
        </w:rPr>
        <w:t>App.</w:t>
      </w:r>
      <w:r w:rsidRPr="005319EA">
        <w:rPr>
          <w:rStyle w:val="normaltextrun"/>
          <w:sz w:val="20"/>
          <w:szCs w:val="20"/>
          <w:lang w:val="it-IT"/>
        </w:rPr>
        <w:t xml:space="preserve"> No. 53124/09,</w:t>
      </w:r>
      <w:r w:rsidR="00090E46" w:rsidRPr="005319EA">
        <w:rPr>
          <w:rStyle w:val="normaltextrun"/>
          <w:sz w:val="20"/>
          <w:szCs w:val="20"/>
          <w:lang w:val="it-IT"/>
        </w:rPr>
        <w:t xml:space="preserve"> ECtHR,</w:t>
      </w:r>
      <w:r w:rsidRPr="005319EA">
        <w:rPr>
          <w:rStyle w:val="normaltextrun"/>
          <w:sz w:val="20"/>
          <w:szCs w:val="20"/>
          <w:lang w:val="it-IT"/>
        </w:rPr>
        <w:t xml:space="preserve"> </w:t>
      </w:r>
      <w:r w:rsidR="004318F7" w:rsidRPr="005319EA">
        <w:rPr>
          <w:rFonts w:eastAsia="Calibri"/>
          <w:sz w:val="20"/>
          <w:szCs w:val="20"/>
          <w:lang w:val="it-IT"/>
        </w:rPr>
        <w:t xml:space="preserve">para. </w:t>
      </w:r>
      <w:r w:rsidR="007B1B0B" w:rsidRPr="005319EA">
        <w:rPr>
          <w:rStyle w:val="normaltextrun"/>
          <w:sz w:val="20"/>
          <w:szCs w:val="20"/>
          <w:lang w:val="it-IT"/>
        </w:rPr>
        <w:t>30</w:t>
      </w:r>
      <w:r w:rsidRPr="005319EA">
        <w:rPr>
          <w:rStyle w:val="normaltextrun"/>
          <w:sz w:val="20"/>
          <w:szCs w:val="20"/>
          <w:lang w:val="it-IT"/>
        </w:rPr>
        <w:t xml:space="preserve"> (2011); Karassev v. Finland, </w:t>
      </w:r>
      <w:r w:rsidR="007B1B0B" w:rsidRPr="005319EA">
        <w:rPr>
          <w:rStyle w:val="normaltextrun"/>
          <w:sz w:val="20"/>
          <w:szCs w:val="20"/>
          <w:lang w:val="it-IT"/>
        </w:rPr>
        <w:t>App.</w:t>
      </w:r>
      <w:r w:rsidRPr="005319EA">
        <w:rPr>
          <w:rStyle w:val="normaltextrun"/>
          <w:sz w:val="20"/>
          <w:szCs w:val="20"/>
          <w:lang w:val="it-IT"/>
        </w:rPr>
        <w:t xml:space="preserve"> No. 31414/96,</w:t>
      </w:r>
      <w:r w:rsidR="00090E46" w:rsidRPr="005319EA">
        <w:rPr>
          <w:rStyle w:val="normaltextrun"/>
          <w:sz w:val="20"/>
          <w:szCs w:val="20"/>
          <w:lang w:val="it-IT"/>
        </w:rPr>
        <w:t xml:space="preserve"> ECtHR,</w:t>
      </w:r>
      <w:r w:rsidRPr="005319EA">
        <w:rPr>
          <w:rStyle w:val="normaltextrun"/>
          <w:sz w:val="20"/>
          <w:szCs w:val="20"/>
          <w:lang w:val="it-IT"/>
        </w:rPr>
        <w:t xml:space="preserve"> </w:t>
      </w:r>
      <w:r w:rsidR="004318F7" w:rsidRPr="005319EA">
        <w:rPr>
          <w:rFonts w:eastAsia="Calibri"/>
          <w:sz w:val="20"/>
          <w:szCs w:val="20"/>
          <w:lang w:val="it-IT"/>
        </w:rPr>
        <w:t xml:space="preserve">para. </w:t>
      </w:r>
      <w:r w:rsidRPr="005319EA">
        <w:rPr>
          <w:rStyle w:val="normaltextrun"/>
          <w:sz w:val="20"/>
          <w:szCs w:val="20"/>
        </w:rPr>
        <w:t>5 (1999).</w:t>
      </w:r>
      <w:r w:rsidRPr="005319EA">
        <w:rPr>
          <w:rStyle w:val="eop"/>
          <w:sz w:val="20"/>
          <w:szCs w:val="20"/>
        </w:rPr>
        <w:t> </w:t>
      </w:r>
    </w:p>
  </w:footnote>
  <w:footnote w:id="160">
    <w:p w14:paraId="434F2D96" w14:textId="65B339BF" w:rsidR="001F3A4F" w:rsidRPr="005319EA" w:rsidRDefault="001F3A4F" w:rsidP="001C756C">
      <w:pPr>
        <w:pStyle w:val="FootnoteText"/>
        <w:jc w:val="both"/>
      </w:pPr>
      <w:r w:rsidRPr="005319EA">
        <w:rPr>
          <w:rStyle w:val="FootnoteReference"/>
        </w:rPr>
        <w:footnoteRef/>
      </w:r>
      <w:r w:rsidRPr="005319EA">
        <w:t xml:space="preserve"> </w:t>
      </w:r>
      <w:r w:rsidR="007B1B0B" w:rsidRPr="005319EA">
        <w:t xml:space="preserve">Clarifications, </w:t>
      </w:r>
      <w:r w:rsidR="004318F7" w:rsidRPr="005319EA">
        <w:rPr>
          <w:rFonts w:eastAsia="Calibri"/>
        </w:rPr>
        <w:t xml:space="preserve">para. </w:t>
      </w:r>
      <w:r w:rsidRPr="005319EA">
        <w:t>8</w:t>
      </w:r>
      <w:r w:rsidR="00CF1FC4" w:rsidRPr="005319EA">
        <w:t>.</w:t>
      </w:r>
    </w:p>
  </w:footnote>
  <w:footnote w:id="161">
    <w:p w14:paraId="4F94BCD7" w14:textId="27BB44A2" w:rsidR="001F3A4F" w:rsidRPr="005319EA" w:rsidRDefault="001F3A4F" w:rsidP="001C756C">
      <w:pPr>
        <w:pStyle w:val="FootnoteText"/>
        <w:jc w:val="both"/>
      </w:pPr>
      <w:r w:rsidRPr="005319EA">
        <w:rPr>
          <w:rStyle w:val="FootnoteReference"/>
        </w:rPr>
        <w:footnoteRef/>
      </w:r>
      <w:r w:rsidRPr="005319EA">
        <w:t xml:space="preserve"> Compromis</w:t>
      </w:r>
      <w:r w:rsidR="004318F7" w:rsidRPr="005319EA">
        <w:t>,</w:t>
      </w:r>
      <w:r w:rsidR="004318F7" w:rsidRPr="005319EA">
        <w:rPr>
          <w:rFonts w:eastAsia="Calibri"/>
        </w:rPr>
        <w:t xml:space="preserve"> para.</w:t>
      </w:r>
      <w:r w:rsidRPr="005319EA">
        <w:t xml:space="preserve"> 43(1)</w:t>
      </w:r>
      <w:r w:rsidR="00CF1FC4" w:rsidRPr="005319EA">
        <w:t>.</w:t>
      </w:r>
    </w:p>
  </w:footnote>
  <w:footnote w:id="162">
    <w:p w14:paraId="181D6CC8" w14:textId="359D9EFC" w:rsidR="001F3A4F" w:rsidRPr="005319EA" w:rsidRDefault="001F3A4F" w:rsidP="001C756C">
      <w:pPr>
        <w:pStyle w:val="FootnoteText"/>
        <w:jc w:val="both"/>
      </w:pPr>
      <w:r w:rsidRPr="005319EA">
        <w:rPr>
          <w:rStyle w:val="FootnoteReference"/>
        </w:rPr>
        <w:footnoteRef/>
      </w:r>
      <w:r w:rsidRPr="005319EA">
        <w:t xml:space="preserve"> </w:t>
      </w:r>
      <w:r w:rsidR="00EE76AA" w:rsidRPr="005319EA">
        <w:rPr>
          <w:i/>
          <w:iCs/>
        </w:rPr>
        <w:t>Id.</w:t>
      </w:r>
    </w:p>
  </w:footnote>
  <w:footnote w:id="163">
    <w:p w14:paraId="3BE304FB" w14:textId="7ABD211F"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Supra</w:t>
      </w:r>
      <w:r w:rsidRPr="005319EA">
        <w:t xml:space="preserve"> II</w:t>
      </w:r>
      <w:r w:rsidR="00701CFD" w:rsidRPr="005319EA">
        <w:t>(</w:t>
      </w:r>
      <w:r w:rsidRPr="005319EA">
        <w:t>B</w:t>
      </w:r>
      <w:r w:rsidR="00701CFD" w:rsidRPr="005319EA">
        <w:t>)(</w:t>
      </w:r>
      <w:r w:rsidRPr="005319EA">
        <w:t>1</w:t>
      </w:r>
      <w:r w:rsidR="00701CFD" w:rsidRPr="005319EA">
        <w:t>)</w:t>
      </w:r>
      <w:r w:rsidRPr="005319EA">
        <w:t xml:space="preserve">, </w:t>
      </w:r>
      <w:r w:rsidRPr="005319EA">
        <w:rPr>
          <w:i/>
          <w:iCs/>
        </w:rPr>
        <w:t>See also</w:t>
      </w:r>
      <w:r w:rsidRPr="005319EA">
        <w:t xml:space="preserve">, </w:t>
      </w:r>
      <w:bookmarkStart w:id="82" w:name="_Hlk155875168"/>
      <w:r w:rsidR="00090E46" w:rsidRPr="005319EA">
        <w:rPr>
          <w:rStyle w:val="normaltextrun"/>
        </w:rPr>
        <w:t>UN Secretary-General</w:t>
      </w:r>
      <w:r w:rsidRPr="005319EA">
        <w:rPr>
          <w:rStyle w:val="normaltextrun"/>
        </w:rPr>
        <w:t xml:space="preserve">, Human </w:t>
      </w:r>
      <w:r w:rsidR="001F54AD" w:rsidRPr="005319EA">
        <w:rPr>
          <w:rStyle w:val="normaltextrun"/>
        </w:rPr>
        <w:t>R</w:t>
      </w:r>
      <w:r w:rsidRPr="005319EA">
        <w:rPr>
          <w:rStyle w:val="normaltextrun"/>
        </w:rPr>
        <w:t xml:space="preserve">ights and </w:t>
      </w:r>
      <w:r w:rsidR="001F54AD" w:rsidRPr="005319EA">
        <w:rPr>
          <w:rStyle w:val="normaltextrun"/>
        </w:rPr>
        <w:t>A</w:t>
      </w:r>
      <w:r w:rsidRPr="005319EA">
        <w:rPr>
          <w:rStyle w:val="normaltextrun"/>
        </w:rPr>
        <w:t xml:space="preserve">rbitrary </w:t>
      </w:r>
      <w:r w:rsidR="001F54AD" w:rsidRPr="005319EA">
        <w:rPr>
          <w:rStyle w:val="normaltextrun"/>
        </w:rPr>
        <w:t>D</w:t>
      </w:r>
      <w:r w:rsidRPr="005319EA">
        <w:rPr>
          <w:rStyle w:val="normaltextrun"/>
        </w:rPr>
        <w:t xml:space="preserve">eprivation of </w:t>
      </w:r>
      <w:r w:rsidR="001F54AD" w:rsidRPr="005319EA">
        <w:rPr>
          <w:rStyle w:val="normaltextrun"/>
        </w:rPr>
        <w:t>N</w:t>
      </w:r>
      <w:r w:rsidRPr="005319EA">
        <w:rPr>
          <w:rStyle w:val="normaltextrun"/>
        </w:rPr>
        <w:t xml:space="preserve">ationality, </w:t>
      </w:r>
      <w:r w:rsidR="00090E46" w:rsidRPr="005319EA">
        <w:rPr>
          <w:rStyle w:val="normaltextrun"/>
        </w:rPr>
        <w:t xml:space="preserve">UN Doc. </w:t>
      </w:r>
      <w:r w:rsidRPr="005319EA">
        <w:rPr>
          <w:rStyle w:val="normaltextrun"/>
        </w:rPr>
        <w:t>A/HRC/25/28</w:t>
      </w:r>
      <w:r w:rsidR="007C4308" w:rsidRPr="005319EA">
        <w:rPr>
          <w:rStyle w:val="normaltextrun"/>
        </w:rPr>
        <w:t>,</w:t>
      </w:r>
      <w:r w:rsidR="001F54AD" w:rsidRPr="005319EA">
        <w:rPr>
          <w:rStyle w:val="normaltextrun"/>
        </w:rPr>
        <w:t xml:space="preserve"> </w:t>
      </w:r>
      <w:r w:rsidR="004318F7" w:rsidRPr="005319EA">
        <w:rPr>
          <w:rFonts w:eastAsia="Calibri"/>
        </w:rPr>
        <w:t xml:space="preserve">para. </w:t>
      </w:r>
      <w:r w:rsidR="001F54AD" w:rsidRPr="005319EA">
        <w:rPr>
          <w:rStyle w:val="normaltextrun"/>
        </w:rPr>
        <w:t>4</w:t>
      </w:r>
      <w:r w:rsidRPr="005319EA">
        <w:rPr>
          <w:rStyle w:val="normaltextrun"/>
        </w:rPr>
        <w:t xml:space="preserve"> (Dec. 19, 2013</w:t>
      </w:r>
      <w:r w:rsidR="001F54AD" w:rsidRPr="005319EA">
        <w:rPr>
          <w:rStyle w:val="normaltextrun"/>
        </w:rPr>
        <w:t>).</w:t>
      </w:r>
      <w:bookmarkEnd w:id="82"/>
    </w:p>
  </w:footnote>
  <w:footnote w:id="164">
    <w:p w14:paraId="0F42E03C" w14:textId="5644B213" w:rsidR="001F3A4F" w:rsidRPr="005319EA" w:rsidRDefault="001F3A4F" w:rsidP="001C756C">
      <w:pPr>
        <w:pStyle w:val="FootnoteText"/>
        <w:jc w:val="both"/>
      </w:pPr>
      <w:r w:rsidRPr="005319EA">
        <w:rPr>
          <w:rStyle w:val="FootnoteReference"/>
        </w:rPr>
        <w:footnoteRef/>
      </w:r>
      <w:r w:rsidRPr="005319EA">
        <w:t xml:space="preserve"> Clarifications</w:t>
      </w:r>
      <w:r w:rsidR="001F54AD" w:rsidRPr="005319EA">
        <w:t>,</w:t>
      </w:r>
      <w:r w:rsidRPr="005319EA">
        <w:t xml:space="preserve"> </w:t>
      </w:r>
      <w:r w:rsidR="004318F7" w:rsidRPr="005319EA">
        <w:rPr>
          <w:rFonts w:eastAsia="Calibri"/>
        </w:rPr>
        <w:t xml:space="preserve">para. </w:t>
      </w:r>
      <w:r w:rsidRPr="005319EA">
        <w:t>2</w:t>
      </w:r>
      <w:r w:rsidR="00CF1FC4" w:rsidRPr="005319EA">
        <w:t>.</w:t>
      </w:r>
    </w:p>
  </w:footnote>
  <w:footnote w:id="165">
    <w:p w14:paraId="13A1297A" w14:textId="247057B9" w:rsidR="001F3A4F" w:rsidRPr="005319EA" w:rsidRDefault="001F3A4F" w:rsidP="001C756C">
      <w:pPr>
        <w:pStyle w:val="FootnoteText"/>
        <w:jc w:val="both"/>
      </w:pPr>
      <w:r w:rsidRPr="005319EA">
        <w:rPr>
          <w:rStyle w:val="FootnoteReference"/>
        </w:rPr>
        <w:footnoteRef/>
      </w:r>
      <w:r w:rsidRPr="005319EA">
        <w:t xml:space="preserve"> Compromis</w:t>
      </w:r>
      <w:r w:rsidR="00C749E3" w:rsidRPr="005319EA">
        <w:t>,</w:t>
      </w:r>
      <w:r w:rsidRPr="005319EA">
        <w:t xml:space="preserve"> </w:t>
      </w:r>
      <w:r w:rsidR="004318F7" w:rsidRPr="005319EA">
        <w:rPr>
          <w:rFonts w:eastAsia="Calibri"/>
        </w:rPr>
        <w:t xml:space="preserve">para. </w:t>
      </w:r>
      <w:r w:rsidRPr="005319EA">
        <w:t>13</w:t>
      </w:r>
      <w:r w:rsidR="00CF1FC4" w:rsidRPr="005319EA">
        <w:t>.</w:t>
      </w:r>
    </w:p>
  </w:footnote>
  <w:footnote w:id="166">
    <w:p w14:paraId="28C0F255" w14:textId="5446A02E" w:rsidR="001F3A4F" w:rsidRPr="005319EA" w:rsidRDefault="001F3A4F" w:rsidP="001C756C">
      <w:pPr>
        <w:pBdr>
          <w:top w:val="nil"/>
          <w:left w:val="nil"/>
          <w:bottom w:val="nil"/>
          <w:right w:val="nil"/>
          <w:between w:val="nil"/>
        </w:pBdr>
        <w:spacing w:before="0" w:after="0"/>
        <w:jc w:val="both"/>
        <w:rPr>
          <w:sz w:val="20"/>
          <w:szCs w:val="20"/>
        </w:rPr>
      </w:pPr>
      <w:r w:rsidRPr="005319EA">
        <w:rPr>
          <w:rStyle w:val="FootnoteReference"/>
          <w:sz w:val="20"/>
          <w:szCs w:val="20"/>
        </w:rPr>
        <w:footnoteRef/>
      </w:r>
      <w:r w:rsidRPr="005319EA">
        <w:rPr>
          <w:sz w:val="20"/>
          <w:szCs w:val="20"/>
        </w:rPr>
        <w:t xml:space="preserve"> </w:t>
      </w:r>
      <w:bookmarkStart w:id="83" w:name="_Hlk155876152"/>
      <w:r w:rsidR="007B1B0B" w:rsidRPr="005319EA">
        <w:rPr>
          <w:i/>
          <w:iCs/>
          <w:sz w:val="20"/>
          <w:szCs w:val="20"/>
        </w:rPr>
        <w:t xml:space="preserve">See </w:t>
      </w:r>
      <w:r w:rsidR="007B1B0B" w:rsidRPr="005319EA">
        <w:rPr>
          <w:sz w:val="20"/>
          <w:szCs w:val="20"/>
        </w:rPr>
        <w:t>Slivenko v. Latvia</w:t>
      </w:r>
      <w:r w:rsidR="007B1B0B" w:rsidRPr="005319EA">
        <w:rPr>
          <w:i/>
          <w:iCs/>
          <w:sz w:val="20"/>
          <w:szCs w:val="20"/>
        </w:rPr>
        <w:t xml:space="preserve">, </w:t>
      </w:r>
      <w:r w:rsidR="007B1B0B" w:rsidRPr="005319EA">
        <w:rPr>
          <w:sz w:val="20"/>
          <w:szCs w:val="20"/>
        </w:rPr>
        <w:t>App. No. 48321/99</w:t>
      </w:r>
      <w:r w:rsidR="007B1B0B" w:rsidRPr="005319EA">
        <w:rPr>
          <w:i/>
          <w:iCs/>
          <w:sz w:val="20"/>
          <w:szCs w:val="20"/>
        </w:rPr>
        <w:t>,</w:t>
      </w:r>
      <w:r w:rsidR="007B1B0B" w:rsidRPr="005319EA">
        <w:rPr>
          <w:sz w:val="20"/>
          <w:szCs w:val="20"/>
        </w:rPr>
        <w:t xml:space="preserve"> ECtHR, </w:t>
      </w:r>
      <w:r w:rsidR="004318F7" w:rsidRPr="005319EA">
        <w:rPr>
          <w:rFonts w:eastAsia="Calibri"/>
          <w:sz w:val="20"/>
          <w:szCs w:val="20"/>
        </w:rPr>
        <w:t xml:space="preserve">para. </w:t>
      </w:r>
      <w:r w:rsidR="007B1B0B" w:rsidRPr="005319EA">
        <w:rPr>
          <w:sz w:val="20"/>
          <w:szCs w:val="20"/>
        </w:rPr>
        <w:t xml:space="preserve">98 (2002); Karassev v. Finland, Application No. 31414/96, </w:t>
      </w:r>
      <w:r w:rsidR="00090E46" w:rsidRPr="005319EA">
        <w:rPr>
          <w:sz w:val="20"/>
          <w:szCs w:val="20"/>
        </w:rPr>
        <w:t xml:space="preserve">ECtHR, </w:t>
      </w:r>
      <w:r w:rsidR="004318F7" w:rsidRPr="005319EA">
        <w:rPr>
          <w:rFonts w:eastAsia="Calibri"/>
          <w:sz w:val="20"/>
          <w:szCs w:val="20"/>
        </w:rPr>
        <w:t xml:space="preserve">para. </w:t>
      </w:r>
      <w:r w:rsidR="007B1B0B" w:rsidRPr="005319EA">
        <w:rPr>
          <w:sz w:val="20"/>
          <w:szCs w:val="20"/>
        </w:rPr>
        <w:t xml:space="preserve">10 (1999). </w:t>
      </w:r>
      <w:r w:rsidR="007B1B0B" w:rsidRPr="005319EA">
        <w:rPr>
          <w:i/>
          <w:iCs/>
          <w:sz w:val="20"/>
          <w:szCs w:val="20"/>
        </w:rPr>
        <w:t xml:space="preserve">See also </w:t>
      </w:r>
      <w:r w:rsidR="007B1B0B" w:rsidRPr="005319EA">
        <w:rPr>
          <w:sz w:val="20"/>
          <w:szCs w:val="20"/>
        </w:rPr>
        <w:t xml:space="preserve">UNHCR, Expert Meeting, Interpreting the 1961 Statelessness Convention and Avoiding Statelessness resulting from Loss and Deprivation of Nationality, Summary Conclusion, </w:t>
      </w:r>
      <w:r w:rsidR="004318F7" w:rsidRPr="005319EA">
        <w:rPr>
          <w:rFonts w:eastAsia="Calibri"/>
          <w:sz w:val="20"/>
          <w:szCs w:val="20"/>
        </w:rPr>
        <w:t xml:space="preserve">paras. </w:t>
      </w:r>
      <w:r w:rsidR="007B1B0B" w:rsidRPr="005319EA">
        <w:rPr>
          <w:sz w:val="20"/>
          <w:szCs w:val="20"/>
        </w:rPr>
        <w:t>21-22 (2013)</w:t>
      </w:r>
      <w:r w:rsidRPr="005319EA">
        <w:rPr>
          <w:sz w:val="20"/>
          <w:szCs w:val="20"/>
        </w:rPr>
        <w:t>.</w:t>
      </w:r>
      <w:bookmarkEnd w:id="83"/>
    </w:p>
  </w:footnote>
  <w:footnote w:id="167">
    <w:p w14:paraId="0D1D6586" w14:textId="04E21F5D" w:rsidR="001F3A4F" w:rsidRPr="005319EA" w:rsidRDefault="001F3A4F" w:rsidP="001C756C">
      <w:pPr>
        <w:pStyle w:val="FootnoteText"/>
        <w:jc w:val="both"/>
      </w:pPr>
      <w:r w:rsidRPr="005319EA">
        <w:rPr>
          <w:rStyle w:val="FootnoteReference"/>
        </w:rPr>
        <w:footnoteRef/>
      </w:r>
      <w:r w:rsidRPr="005319EA">
        <w:t xml:space="preserve"> Compromis</w:t>
      </w:r>
      <w:r w:rsidR="00C749E3" w:rsidRPr="005319EA">
        <w:t xml:space="preserve">, </w:t>
      </w:r>
      <w:r w:rsidR="004318F7" w:rsidRPr="005319EA">
        <w:rPr>
          <w:rFonts w:eastAsia="Calibri"/>
        </w:rPr>
        <w:t xml:space="preserve">para. </w:t>
      </w:r>
      <w:r w:rsidRPr="005319EA">
        <w:t>47</w:t>
      </w:r>
      <w:r w:rsidR="00CF1FC4" w:rsidRPr="005319EA">
        <w:t>.</w:t>
      </w:r>
    </w:p>
  </w:footnote>
  <w:footnote w:id="168">
    <w:p w14:paraId="3BCC7376" w14:textId="447FD853" w:rsidR="001F3A4F" w:rsidRPr="005319EA" w:rsidRDefault="001F3A4F" w:rsidP="001C756C">
      <w:pPr>
        <w:pStyle w:val="FootnoteText"/>
        <w:jc w:val="both"/>
      </w:pPr>
      <w:r w:rsidRPr="005319EA">
        <w:rPr>
          <w:rStyle w:val="FootnoteReference"/>
        </w:rPr>
        <w:footnoteRef/>
      </w:r>
      <w:r w:rsidRPr="005319EA">
        <w:t xml:space="preserve"> UN Charter</w:t>
      </w:r>
      <w:r w:rsidR="00C749E3" w:rsidRPr="005319EA">
        <w:t>,</w:t>
      </w:r>
      <w:r w:rsidRPr="005319EA">
        <w:t xml:space="preserve"> art. 27(3).</w:t>
      </w:r>
    </w:p>
  </w:footnote>
  <w:footnote w:id="169">
    <w:p w14:paraId="2D764F09" w14:textId="3CBDA539" w:rsidR="001F3A4F" w:rsidRPr="005319EA" w:rsidRDefault="001F3A4F" w:rsidP="001C756C">
      <w:pPr>
        <w:spacing w:before="0" w:after="0"/>
        <w:jc w:val="both"/>
        <w:rPr>
          <w:sz w:val="20"/>
          <w:szCs w:val="20"/>
        </w:rPr>
      </w:pPr>
      <w:r w:rsidRPr="005319EA">
        <w:rPr>
          <w:rStyle w:val="FootnoteReference"/>
          <w:sz w:val="20"/>
          <w:szCs w:val="20"/>
        </w:rPr>
        <w:footnoteRef/>
      </w:r>
      <w:r w:rsidRPr="005319EA">
        <w:rPr>
          <w:sz w:val="20"/>
          <w:szCs w:val="20"/>
        </w:rPr>
        <w:t xml:space="preserve"> </w:t>
      </w:r>
      <w:r w:rsidR="0073220A" w:rsidRPr="005319EA">
        <w:rPr>
          <w:sz w:val="20"/>
          <w:szCs w:val="20"/>
        </w:rPr>
        <w:t xml:space="preserve">Namibia Advisory Opinion, </w:t>
      </w:r>
      <w:r w:rsidR="0073220A" w:rsidRPr="005319EA">
        <w:rPr>
          <w:i/>
          <w:iCs/>
          <w:sz w:val="20"/>
          <w:szCs w:val="20"/>
        </w:rPr>
        <w:t>supra</w:t>
      </w:r>
      <w:r w:rsidR="0073220A" w:rsidRPr="005319EA">
        <w:rPr>
          <w:sz w:val="20"/>
          <w:szCs w:val="20"/>
        </w:rPr>
        <w:t xml:space="preserve"> </w:t>
      </w:r>
      <w:r w:rsidR="00E10E56" w:rsidRPr="005319EA">
        <w:rPr>
          <w:sz w:val="20"/>
          <w:szCs w:val="20"/>
        </w:rPr>
        <w:t>38,</w:t>
      </w:r>
      <w:r w:rsidR="00E54B20" w:rsidRPr="005319EA">
        <w:rPr>
          <w:sz w:val="20"/>
          <w:szCs w:val="20"/>
        </w:rPr>
        <w:t xml:space="preserve"> </w:t>
      </w:r>
      <w:r w:rsidR="00544578" w:rsidRPr="005319EA">
        <w:rPr>
          <w:sz w:val="20"/>
          <w:szCs w:val="20"/>
        </w:rPr>
        <w:t xml:space="preserve">at </w:t>
      </w:r>
      <w:r w:rsidR="00E54B20" w:rsidRPr="005319EA">
        <w:rPr>
          <w:sz w:val="20"/>
          <w:szCs w:val="20"/>
        </w:rPr>
        <w:t>¶</w:t>
      </w:r>
      <w:r w:rsidR="004318F7" w:rsidRPr="005319EA">
        <w:rPr>
          <w:rFonts w:eastAsia="Calibri"/>
          <w:sz w:val="20"/>
          <w:szCs w:val="20"/>
        </w:rPr>
        <w:t xml:space="preserve"> </w:t>
      </w:r>
      <w:r w:rsidRPr="005319EA">
        <w:rPr>
          <w:sz w:val="20"/>
          <w:szCs w:val="20"/>
        </w:rPr>
        <w:t>25.</w:t>
      </w:r>
    </w:p>
  </w:footnote>
  <w:footnote w:id="170">
    <w:p w14:paraId="2EC2C597" w14:textId="71D9ED60" w:rsidR="001F3A4F" w:rsidRPr="005319EA" w:rsidRDefault="001F3A4F" w:rsidP="001C756C">
      <w:pPr>
        <w:pStyle w:val="FootnoteText"/>
        <w:jc w:val="both"/>
      </w:pPr>
      <w:r w:rsidRPr="005319EA">
        <w:rPr>
          <w:rStyle w:val="FootnoteReference"/>
        </w:rPr>
        <w:footnoteRef/>
      </w:r>
      <w:r w:rsidRPr="005319EA">
        <w:t xml:space="preserve"> Compromis</w:t>
      </w:r>
      <w:r w:rsidR="00C749E3" w:rsidRPr="005319EA">
        <w:t xml:space="preserve">, </w:t>
      </w:r>
      <w:r w:rsidR="004318F7" w:rsidRPr="005319EA">
        <w:rPr>
          <w:rFonts w:eastAsia="Calibri"/>
        </w:rPr>
        <w:t xml:space="preserve">para. </w:t>
      </w:r>
      <w:r w:rsidRPr="005319EA">
        <w:t>39</w:t>
      </w:r>
      <w:r w:rsidR="00CF1FC4" w:rsidRPr="005319EA">
        <w:t>.</w:t>
      </w:r>
    </w:p>
  </w:footnote>
  <w:footnote w:id="171">
    <w:p w14:paraId="012309FA" w14:textId="2E6A2B1B" w:rsidR="001F3A4F" w:rsidRPr="005319EA" w:rsidRDefault="001F3A4F" w:rsidP="001C756C">
      <w:pPr>
        <w:spacing w:before="0" w:after="0"/>
        <w:jc w:val="both"/>
        <w:rPr>
          <w:sz w:val="20"/>
          <w:szCs w:val="20"/>
        </w:rPr>
      </w:pPr>
      <w:r w:rsidRPr="005319EA">
        <w:rPr>
          <w:rStyle w:val="FootnoteReference"/>
          <w:sz w:val="20"/>
          <w:szCs w:val="20"/>
        </w:rPr>
        <w:footnoteRef/>
      </w:r>
      <w:r w:rsidRPr="005319EA">
        <w:rPr>
          <w:sz w:val="20"/>
          <w:szCs w:val="20"/>
        </w:rPr>
        <w:t xml:space="preserve"> </w:t>
      </w:r>
      <w:r w:rsidR="0073220A" w:rsidRPr="005319EA">
        <w:rPr>
          <w:sz w:val="20"/>
          <w:szCs w:val="20"/>
        </w:rPr>
        <w:t xml:space="preserve">Namibia Advisory Opinion, </w:t>
      </w:r>
      <w:r w:rsidR="0073220A" w:rsidRPr="005319EA">
        <w:rPr>
          <w:i/>
          <w:iCs/>
          <w:sz w:val="20"/>
          <w:szCs w:val="20"/>
        </w:rPr>
        <w:t>supra</w:t>
      </w:r>
      <w:r w:rsidR="0073220A" w:rsidRPr="005319EA">
        <w:rPr>
          <w:b/>
          <w:bCs/>
          <w:i/>
          <w:iCs/>
          <w:sz w:val="20"/>
          <w:szCs w:val="20"/>
        </w:rPr>
        <w:t xml:space="preserve"> </w:t>
      </w:r>
      <w:r w:rsidR="0073220A" w:rsidRPr="005319EA">
        <w:rPr>
          <w:sz w:val="20"/>
          <w:szCs w:val="20"/>
        </w:rPr>
        <w:t xml:space="preserve">note </w:t>
      </w:r>
      <w:r w:rsidR="00E10E56" w:rsidRPr="005319EA">
        <w:rPr>
          <w:sz w:val="20"/>
          <w:szCs w:val="20"/>
        </w:rPr>
        <w:t>38,</w:t>
      </w:r>
      <w:r w:rsidR="00544578" w:rsidRPr="005319EA">
        <w:rPr>
          <w:sz w:val="20"/>
          <w:szCs w:val="20"/>
        </w:rPr>
        <w:t xml:space="preserve"> at</w:t>
      </w:r>
      <w:r w:rsidR="00E10E56" w:rsidRPr="005319EA">
        <w:rPr>
          <w:sz w:val="20"/>
          <w:szCs w:val="20"/>
        </w:rPr>
        <w:t xml:space="preserve"> </w:t>
      </w:r>
      <w:r w:rsidR="00E54B20" w:rsidRPr="005319EA">
        <w:rPr>
          <w:sz w:val="20"/>
          <w:szCs w:val="20"/>
        </w:rPr>
        <w:t>¶¶</w:t>
      </w:r>
      <w:r w:rsidR="004318F7" w:rsidRPr="005319EA">
        <w:rPr>
          <w:rFonts w:eastAsia="Calibri"/>
          <w:sz w:val="20"/>
          <w:szCs w:val="20"/>
        </w:rPr>
        <w:t xml:space="preserve"> </w:t>
      </w:r>
      <w:r w:rsidRPr="005319EA">
        <w:rPr>
          <w:sz w:val="20"/>
          <w:szCs w:val="20"/>
        </w:rPr>
        <w:t>52-53</w:t>
      </w:r>
      <w:r w:rsidR="0073220A" w:rsidRPr="005319EA">
        <w:rPr>
          <w:sz w:val="20"/>
          <w:szCs w:val="20"/>
        </w:rPr>
        <w:t>.</w:t>
      </w:r>
    </w:p>
  </w:footnote>
  <w:footnote w:id="172">
    <w:p w14:paraId="38426050" w14:textId="63DF889D" w:rsidR="001F3A4F" w:rsidRPr="005319EA" w:rsidRDefault="001F3A4F" w:rsidP="001C756C">
      <w:pPr>
        <w:pStyle w:val="FootnoteText"/>
        <w:jc w:val="both"/>
      </w:pPr>
      <w:r w:rsidRPr="005319EA">
        <w:rPr>
          <w:rStyle w:val="FootnoteReference"/>
        </w:rPr>
        <w:footnoteRef/>
      </w:r>
      <w:r w:rsidRPr="005319EA">
        <w:t xml:space="preserve"> UN Charter</w:t>
      </w:r>
      <w:r w:rsidR="00C749E3" w:rsidRPr="005319EA">
        <w:t>,</w:t>
      </w:r>
      <w:r w:rsidRPr="005319EA">
        <w:t xml:space="preserve"> art. 2(7)</w:t>
      </w:r>
      <w:r w:rsidR="00C749E3" w:rsidRPr="005319EA">
        <w:t>.</w:t>
      </w:r>
    </w:p>
  </w:footnote>
  <w:footnote w:id="173">
    <w:p w14:paraId="6575A225" w14:textId="1188E979" w:rsidR="001F3A4F" w:rsidRPr="005319EA" w:rsidRDefault="001F3A4F" w:rsidP="001C756C">
      <w:pPr>
        <w:pStyle w:val="FootnoteText"/>
        <w:jc w:val="both"/>
      </w:pPr>
      <w:r w:rsidRPr="005319EA">
        <w:rPr>
          <w:rStyle w:val="FootnoteReference"/>
        </w:rPr>
        <w:footnoteRef/>
      </w:r>
      <w:r w:rsidRPr="005319EA">
        <w:t xml:space="preserve"> UN Charter</w:t>
      </w:r>
      <w:r w:rsidR="00C749E3" w:rsidRPr="005319EA">
        <w:t>,</w:t>
      </w:r>
      <w:r w:rsidRPr="005319EA">
        <w:t xml:space="preserve"> art. 2(7)</w:t>
      </w:r>
      <w:r w:rsidR="00C749E3" w:rsidRPr="005319EA">
        <w:t>.</w:t>
      </w:r>
    </w:p>
  </w:footnote>
  <w:footnote w:id="174">
    <w:p w14:paraId="6CDA5CE0" w14:textId="4C7172CA" w:rsidR="001F3A4F" w:rsidRPr="005319EA" w:rsidRDefault="001F3A4F" w:rsidP="001C756C">
      <w:pPr>
        <w:pStyle w:val="FootnoteText"/>
        <w:jc w:val="both"/>
      </w:pPr>
      <w:r w:rsidRPr="005319EA">
        <w:rPr>
          <w:rStyle w:val="FootnoteReference"/>
        </w:rPr>
        <w:footnoteRef/>
      </w:r>
      <w:r w:rsidRPr="005319EA">
        <w:t xml:space="preserve"> UN Charter</w:t>
      </w:r>
      <w:r w:rsidR="00C749E3" w:rsidRPr="005319EA">
        <w:t>,</w:t>
      </w:r>
      <w:r w:rsidRPr="005319EA">
        <w:t xml:space="preserve"> art. 2(7)</w:t>
      </w:r>
      <w:r w:rsidR="00C749E3" w:rsidRPr="005319EA">
        <w:t xml:space="preserve">. </w:t>
      </w:r>
      <w:r w:rsidR="00C749E3" w:rsidRPr="005319EA">
        <w:rPr>
          <w:i/>
          <w:iCs/>
        </w:rPr>
        <w:t xml:space="preserve">See also </w:t>
      </w:r>
      <w:r w:rsidR="00C749E3" w:rsidRPr="005319EA">
        <w:t xml:space="preserve">Mohammad Alipour, </w:t>
      </w:r>
      <w:r w:rsidRPr="005319EA">
        <w:rPr>
          <w:i/>
          <w:iCs/>
        </w:rPr>
        <w:t xml:space="preserve">The </w:t>
      </w:r>
      <w:r w:rsidR="00C749E3" w:rsidRPr="005319EA">
        <w:rPr>
          <w:i/>
          <w:iCs/>
        </w:rPr>
        <w:t>C</w:t>
      </w:r>
      <w:r w:rsidRPr="005319EA">
        <w:rPr>
          <w:i/>
          <w:iCs/>
        </w:rPr>
        <w:t xml:space="preserve">ompetence of the Security Council </w:t>
      </w:r>
      <w:r w:rsidR="00C749E3" w:rsidRPr="005319EA">
        <w:rPr>
          <w:i/>
          <w:iCs/>
        </w:rPr>
        <w:t>O</w:t>
      </w:r>
      <w:r w:rsidRPr="005319EA">
        <w:rPr>
          <w:i/>
          <w:iCs/>
        </w:rPr>
        <w:t xml:space="preserve">ver </w:t>
      </w:r>
      <w:r w:rsidR="00C749E3" w:rsidRPr="005319EA">
        <w:rPr>
          <w:i/>
          <w:iCs/>
        </w:rPr>
        <w:t>S</w:t>
      </w:r>
      <w:r w:rsidRPr="005319EA">
        <w:rPr>
          <w:i/>
          <w:iCs/>
        </w:rPr>
        <w:t xml:space="preserve">ituations or </w:t>
      </w:r>
      <w:r w:rsidR="00C749E3" w:rsidRPr="005319EA">
        <w:rPr>
          <w:i/>
          <w:iCs/>
        </w:rPr>
        <w:t>D</w:t>
      </w:r>
      <w:r w:rsidRPr="005319EA">
        <w:rPr>
          <w:i/>
          <w:iCs/>
        </w:rPr>
        <w:t xml:space="preserve">isputes </w:t>
      </w:r>
      <w:r w:rsidR="00C749E3" w:rsidRPr="005319EA">
        <w:rPr>
          <w:i/>
          <w:iCs/>
        </w:rPr>
        <w:t>A</w:t>
      </w:r>
      <w:r w:rsidRPr="005319EA">
        <w:rPr>
          <w:i/>
          <w:iCs/>
        </w:rPr>
        <w:t xml:space="preserve">rising from </w:t>
      </w:r>
      <w:r w:rsidR="00C749E3" w:rsidRPr="005319EA">
        <w:rPr>
          <w:i/>
          <w:iCs/>
        </w:rPr>
        <w:t>H</w:t>
      </w:r>
      <w:r w:rsidRPr="005319EA">
        <w:rPr>
          <w:i/>
          <w:iCs/>
        </w:rPr>
        <w:t xml:space="preserve">uman </w:t>
      </w:r>
      <w:r w:rsidR="00C749E3" w:rsidRPr="005319EA">
        <w:rPr>
          <w:i/>
          <w:iCs/>
        </w:rPr>
        <w:t>R</w:t>
      </w:r>
      <w:r w:rsidRPr="005319EA">
        <w:rPr>
          <w:i/>
          <w:iCs/>
        </w:rPr>
        <w:t xml:space="preserve">ights </w:t>
      </w:r>
      <w:r w:rsidR="00C749E3" w:rsidRPr="005319EA">
        <w:rPr>
          <w:i/>
          <w:iCs/>
        </w:rPr>
        <w:t>V</w:t>
      </w:r>
      <w:r w:rsidRPr="005319EA">
        <w:rPr>
          <w:i/>
          <w:iCs/>
        </w:rPr>
        <w:t xml:space="preserve">iolations by a </w:t>
      </w:r>
      <w:r w:rsidR="00C749E3" w:rsidRPr="005319EA">
        <w:rPr>
          <w:i/>
          <w:iCs/>
        </w:rPr>
        <w:t>S</w:t>
      </w:r>
      <w:r w:rsidRPr="005319EA">
        <w:rPr>
          <w:i/>
          <w:iCs/>
        </w:rPr>
        <w:t xml:space="preserve">tate </w:t>
      </w:r>
      <w:r w:rsidR="00C749E3" w:rsidRPr="005319EA">
        <w:rPr>
          <w:i/>
          <w:iCs/>
        </w:rPr>
        <w:t>U</w:t>
      </w:r>
      <w:r w:rsidRPr="005319EA">
        <w:rPr>
          <w:i/>
          <w:iCs/>
        </w:rPr>
        <w:t>nder Chapter VI of the United Nations Charter</w:t>
      </w:r>
      <w:r w:rsidRPr="005319EA">
        <w:t>,</w:t>
      </w:r>
      <w:r w:rsidR="00C749E3" w:rsidRPr="005319EA">
        <w:t xml:space="preserve"> </w:t>
      </w:r>
      <w:r w:rsidRPr="005319EA">
        <w:rPr>
          <w:smallCaps/>
        </w:rPr>
        <w:t xml:space="preserve">Hungarian </w:t>
      </w:r>
      <w:r w:rsidR="00C749E3" w:rsidRPr="005319EA">
        <w:rPr>
          <w:smallCaps/>
        </w:rPr>
        <w:t>J.</w:t>
      </w:r>
      <w:r w:rsidRPr="005319EA">
        <w:rPr>
          <w:smallCaps/>
        </w:rPr>
        <w:t xml:space="preserve"> Legal Studies</w:t>
      </w:r>
      <w:r w:rsidRPr="005319EA">
        <w:t xml:space="preserve"> </w:t>
      </w:r>
      <w:r w:rsidR="00C749E3" w:rsidRPr="005319EA">
        <w:t>1, 9</w:t>
      </w:r>
      <w:r w:rsidRPr="005319EA">
        <w:t xml:space="preserve"> </w:t>
      </w:r>
      <w:r w:rsidR="00C749E3" w:rsidRPr="005319EA">
        <w:t>(</w:t>
      </w:r>
      <w:r w:rsidRPr="005319EA">
        <w:t>2023</w:t>
      </w:r>
      <w:r w:rsidR="00C749E3" w:rsidRPr="005319EA">
        <w:t>).</w:t>
      </w:r>
    </w:p>
  </w:footnote>
  <w:footnote w:id="175">
    <w:p w14:paraId="1029EBBF" w14:textId="77777777" w:rsidR="001F3A4F" w:rsidRPr="005319EA" w:rsidRDefault="001F3A4F" w:rsidP="001C756C">
      <w:pPr>
        <w:pStyle w:val="FootnoteText"/>
        <w:jc w:val="both"/>
      </w:pPr>
      <w:r w:rsidRPr="005319EA">
        <w:rPr>
          <w:rStyle w:val="FootnoteReference"/>
        </w:rPr>
        <w:footnoteRef/>
      </w:r>
      <w:r w:rsidRPr="005319EA">
        <w:t xml:space="preserve"> D. R. Gilmour, </w:t>
      </w:r>
      <w:r w:rsidRPr="005319EA">
        <w:rPr>
          <w:i/>
          <w:iCs/>
        </w:rPr>
        <w:t>The Meaning of ‘Intervene’ within Article 2 (7) of the United Nations Charter, An Historical Perspective</w:t>
      </w:r>
      <w:r w:rsidRPr="005319EA">
        <w:t xml:space="preserve">, 16 </w:t>
      </w:r>
      <w:r w:rsidRPr="005319EA">
        <w:rPr>
          <w:smallCaps/>
        </w:rPr>
        <w:t>Int'l &amp; Comp. L.Q</w:t>
      </w:r>
      <w:r w:rsidRPr="005319EA">
        <w:t>., 346–49 (1967).</w:t>
      </w:r>
    </w:p>
  </w:footnote>
  <w:footnote w:id="176">
    <w:p w14:paraId="3345C74B" w14:textId="1D17CA9B" w:rsidR="001F3A4F" w:rsidRPr="005319EA" w:rsidRDefault="001F3A4F" w:rsidP="001C756C">
      <w:pPr>
        <w:spacing w:before="0" w:after="0"/>
        <w:jc w:val="both"/>
        <w:rPr>
          <w:sz w:val="20"/>
          <w:szCs w:val="20"/>
        </w:rPr>
      </w:pPr>
      <w:r w:rsidRPr="005319EA">
        <w:rPr>
          <w:rStyle w:val="FootnoteReference"/>
          <w:sz w:val="20"/>
          <w:szCs w:val="20"/>
        </w:rPr>
        <w:footnoteRef/>
      </w:r>
      <w:r w:rsidRPr="005319EA">
        <w:rPr>
          <w:sz w:val="20"/>
          <w:szCs w:val="20"/>
        </w:rPr>
        <w:t xml:space="preserve"> </w:t>
      </w:r>
      <w:r w:rsidR="0073220A" w:rsidRPr="005319EA">
        <w:rPr>
          <w:sz w:val="20"/>
          <w:szCs w:val="20"/>
        </w:rPr>
        <w:t xml:space="preserve">Namibia Advisory Opinion, </w:t>
      </w:r>
      <w:r w:rsidR="0073220A" w:rsidRPr="005319EA">
        <w:rPr>
          <w:i/>
          <w:iCs/>
          <w:sz w:val="20"/>
          <w:szCs w:val="20"/>
        </w:rPr>
        <w:t xml:space="preserve">supra </w:t>
      </w:r>
      <w:r w:rsidR="0073220A" w:rsidRPr="005319EA">
        <w:rPr>
          <w:sz w:val="20"/>
          <w:szCs w:val="20"/>
        </w:rPr>
        <w:t>note</w:t>
      </w:r>
      <w:r w:rsidR="00CE3BB9" w:rsidRPr="005319EA">
        <w:rPr>
          <w:sz w:val="20"/>
          <w:szCs w:val="20"/>
        </w:rPr>
        <w:t xml:space="preserve"> 38</w:t>
      </w:r>
      <w:r w:rsidR="0073220A" w:rsidRPr="005319EA">
        <w:rPr>
          <w:sz w:val="20"/>
          <w:szCs w:val="20"/>
        </w:rPr>
        <w:t xml:space="preserve">, </w:t>
      </w:r>
      <w:r w:rsidR="00544578" w:rsidRPr="005319EA">
        <w:rPr>
          <w:sz w:val="20"/>
          <w:szCs w:val="20"/>
        </w:rPr>
        <w:t xml:space="preserve">at </w:t>
      </w:r>
      <w:r w:rsidR="00E54B20" w:rsidRPr="005319EA">
        <w:rPr>
          <w:sz w:val="20"/>
          <w:szCs w:val="20"/>
        </w:rPr>
        <w:t xml:space="preserve">¶ </w:t>
      </w:r>
      <w:r w:rsidRPr="005319EA">
        <w:rPr>
          <w:sz w:val="20"/>
          <w:szCs w:val="20"/>
        </w:rPr>
        <w:t>114.</w:t>
      </w:r>
    </w:p>
  </w:footnote>
  <w:footnote w:id="177">
    <w:p w14:paraId="16FB57F9" w14:textId="06F23031" w:rsidR="001F3A4F" w:rsidRPr="005319EA" w:rsidRDefault="001F3A4F" w:rsidP="001C756C">
      <w:pPr>
        <w:spacing w:before="0" w:after="0"/>
        <w:jc w:val="both"/>
        <w:rPr>
          <w:sz w:val="20"/>
          <w:szCs w:val="20"/>
        </w:rPr>
      </w:pPr>
      <w:r w:rsidRPr="005319EA">
        <w:rPr>
          <w:rStyle w:val="FootnoteReference"/>
          <w:sz w:val="20"/>
          <w:szCs w:val="20"/>
        </w:rPr>
        <w:footnoteRef/>
      </w:r>
      <w:r w:rsidRPr="005319EA">
        <w:rPr>
          <w:sz w:val="20"/>
          <w:szCs w:val="20"/>
        </w:rPr>
        <w:t xml:space="preserve"> </w:t>
      </w:r>
      <w:r w:rsidR="0073220A" w:rsidRPr="005319EA">
        <w:rPr>
          <w:i/>
          <w:iCs/>
          <w:sz w:val="20"/>
          <w:szCs w:val="20"/>
        </w:rPr>
        <w:t>Id</w:t>
      </w:r>
      <w:r w:rsidRPr="005319EA">
        <w:rPr>
          <w:sz w:val="20"/>
          <w:szCs w:val="20"/>
        </w:rPr>
        <w:t>.</w:t>
      </w:r>
      <w:r w:rsidR="0073220A" w:rsidRPr="005319EA">
        <w:rPr>
          <w:sz w:val="20"/>
          <w:szCs w:val="20"/>
        </w:rPr>
        <w:t xml:space="preserve"> at </w:t>
      </w:r>
      <w:r w:rsidR="00AD7FA4" w:rsidRPr="005319EA">
        <w:rPr>
          <w:sz w:val="20"/>
          <w:szCs w:val="20"/>
        </w:rPr>
        <w:t xml:space="preserve">¶ </w:t>
      </w:r>
      <w:r w:rsidR="0073220A" w:rsidRPr="005319EA">
        <w:rPr>
          <w:sz w:val="20"/>
          <w:szCs w:val="20"/>
        </w:rPr>
        <w:t>116.</w:t>
      </w:r>
    </w:p>
  </w:footnote>
  <w:footnote w:id="178">
    <w:p w14:paraId="436AA920" w14:textId="41B4D9A0" w:rsidR="001F3A4F" w:rsidRPr="005319EA" w:rsidRDefault="001F3A4F" w:rsidP="001C756C">
      <w:pPr>
        <w:pStyle w:val="FootnoteText"/>
        <w:jc w:val="both"/>
      </w:pPr>
      <w:r w:rsidRPr="005319EA">
        <w:rPr>
          <w:rStyle w:val="FootnoteReference"/>
        </w:rPr>
        <w:footnoteRef/>
      </w:r>
      <w:r w:rsidRPr="005319EA">
        <w:t xml:space="preserve"> </w:t>
      </w:r>
      <w:r w:rsidR="0073220A" w:rsidRPr="005319EA">
        <w:rPr>
          <w:i/>
          <w:iCs/>
        </w:rPr>
        <w:t>Id.</w:t>
      </w:r>
    </w:p>
  </w:footnote>
  <w:footnote w:id="179">
    <w:p w14:paraId="6DE6F6E8" w14:textId="06F58739" w:rsidR="001F3A4F" w:rsidRPr="005319EA" w:rsidRDefault="001F3A4F" w:rsidP="001C756C">
      <w:pPr>
        <w:pStyle w:val="FootnoteText"/>
        <w:jc w:val="both"/>
      </w:pPr>
      <w:r w:rsidRPr="005319EA">
        <w:rPr>
          <w:rStyle w:val="FootnoteReference"/>
        </w:rPr>
        <w:footnoteRef/>
      </w:r>
      <w:r w:rsidRPr="005319EA">
        <w:t xml:space="preserve"> </w:t>
      </w:r>
      <w:r w:rsidR="0073220A" w:rsidRPr="005319EA">
        <w:t xml:space="preserve">Compromis, </w:t>
      </w:r>
      <w:r w:rsidRPr="005319EA">
        <w:t>Annex A</w:t>
      </w:r>
      <w:r w:rsidR="0073220A" w:rsidRPr="005319EA">
        <w:t>,</w:t>
      </w:r>
      <w:r w:rsidRPr="005319EA">
        <w:t xml:space="preserve"> </w:t>
      </w:r>
      <w:r w:rsidR="009525F3" w:rsidRPr="005319EA">
        <w:t>pmbl</w:t>
      </w:r>
      <w:r w:rsidR="0073220A" w:rsidRPr="005319EA">
        <w:t>.</w:t>
      </w:r>
      <w:r w:rsidRPr="005319EA">
        <w:t xml:space="preserve"> </w:t>
      </w:r>
      <w:r w:rsidRPr="005319EA">
        <w:rPr>
          <w:i/>
          <w:iCs/>
        </w:rPr>
        <w:t>See also</w:t>
      </w:r>
      <w:r w:rsidRPr="005319EA">
        <w:t xml:space="preserve"> Compromis</w:t>
      </w:r>
      <w:r w:rsidR="004318F7" w:rsidRPr="005319EA">
        <w:t>,</w:t>
      </w:r>
      <w:r w:rsidR="004318F7" w:rsidRPr="005319EA">
        <w:rPr>
          <w:rFonts w:eastAsia="Calibri"/>
        </w:rPr>
        <w:t xml:space="preserve"> para. </w:t>
      </w:r>
      <w:r w:rsidRPr="005319EA">
        <w:t>39</w:t>
      </w:r>
      <w:r w:rsidR="0073220A" w:rsidRPr="005319EA">
        <w:t>.</w:t>
      </w:r>
    </w:p>
  </w:footnote>
  <w:footnote w:id="180">
    <w:p w14:paraId="509B0AA8" w14:textId="50747DBA" w:rsidR="001F3A4F" w:rsidRPr="005319EA" w:rsidRDefault="001F3A4F" w:rsidP="001C756C">
      <w:pPr>
        <w:pStyle w:val="FootnoteText"/>
        <w:jc w:val="both"/>
      </w:pPr>
      <w:r w:rsidRPr="005319EA">
        <w:rPr>
          <w:rStyle w:val="FootnoteReference"/>
        </w:rPr>
        <w:footnoteRef/>
      </w:r>
      <w:r w:rsidRPr="005319EA">
        <w:t xml:space="preserve"> UN Charter</w:t>
      </w:r>
      <w:r w:rsidR="0073220A" w:rsidRPr="005319EA">
        <w:t>,</w:t>
      </w:r>
      <w:r w:rsidRPr="005319EA">
        <w:t xml:space="preserve"> art. 34</w:t>
      </w:r>
      <w:r w:rsidR="00CF1FC4" w:rsidRPr="005319EA">
        <w:t>.</w:t>
      </w:r>
    </w:p>
  </w:footnote>
  <w:footnote w:id="181">
    <w:p w14:paraId="66F4A9EB" w14:textId="08DAE094" w:rsidR="001F3A4F" w:rsidRPr="005319EA" w:rsidRDefault="001F3A4F" w:rsidP="001C756C">
      <w:pPr>
        <w:pStyle w:val="FootnoteText"/>
        <w:jc w:val="both"/>
      </w:pPr>
      <w:r w:rsidRPr="005319EA">
        <w:rPr>
          <w:rStyle w:val="FootnoteReference"/>
        </w:rPr>
        <w:footnoteRef/>
      </w:r>
      <w:r w:rsidRPr="005319EA">
        <w:t xml:space="preserve"> UN Charter</w:t>
      </w:r>
      <w:r w:rsidR="0073220A" w:rsidRPr="005319EA">
        <w:t>,</w:t>
      </w:r>
      <w:r w:rsidRPr="005319EA">
        <w:t xml:space="preserve"> art. 25; </w:t>
      </w:r>
      <w:r w:rsidR="0073220A" w:rsidRPr="005319EA">
        <w:t xml:space="preserve">Namibia Advisory Opinion, </w:t>
      </w:r>
      <w:r w:rsidR="0073220A" w:rsidRPr="005319EA">
        <w:rPr>
          <w:i/>
          <w:iCs/>
        </w:rPr>
        <w:t xml:space="preserve">supra </w:t>
      </w:r>
      <w:r w:rsidR="0073220A" w:rsidRPr="005319EA">
        <w:t>note</w:t>
      </w:r>
      <w:r w:rsidR="004318F7" w:rsidRPr="005319EA">
        <w:t xml:space="preserve"> </w:t>
      </w:r>
      <w:r w:rsidR="0008152C" w:rsidRPr="005319EA">
        <w:t>38,</w:t>
      </w:r>
      <w:r w:rsidR="00315254" w:rsidRPr="005319EA">
        <w:t xml:space="preserve"> at ¶</w:t>
      </w:r>
      <w:r w:rsidR="004318F7" w:rsidRPr="005319EA">
        <w:rPr>
          <w:rFonts w:eastAsia="Calibri"/>
        </w:rPr>
        <w:t xml:space="preserve"> </w:t>
      </w:r>
      <w:r w:rsidR="0073220A" w:rsidRPr="005319EA">
        <w:t>116.</w:t>
      </w:r>
    </w:p>
  </w:footnote>
  <w:footnote w:id="182">
    <w:p w14:paraId="532782DF" w14:textId="7494C3CF" w:rsidR="001F3A4F" w:rsidRPr="005319EA" w:rsidRDefault="001F3A4F" w:rsidP="001C756C">
      <w:pPr>
        <w:pStyle w:val="FootnoteText"/>
        <w:jc w:val="both"/>
      </w:pPr>
      <w:r w:rsidRPr="005319EA">
        <w:rPr>
          <w:rStyle w:val="FootnoteReference"/>
        </w:rPr>
        <w:footnoteRef/>
      </w:r>
      <w:r w:rsidRPr="005319EA">
        <w:t xml:space="preserve"> </w:t>
      </w:r>
      <w:r w:rsidR="0073220A" w:rsidRPr="005319EA">
        <w:t xml:space="preserve">3 </w:t>
      </w:r>
      <w:r w:rsidR="0097476A" w:rsidRPr="005319EA">
        <w:t xml:space="preserve">UN, </w:t>
      </w:r>
      <w:r w:rsidR="0073220A" w:rsidRPr="005319EA">
        <w:rPr>
          <w:i/>
          <w:iCs/>
        </w:rPr>
        <w:t xml:space="preserve">Article 34 </w:t>
      </w:r>
      <w:r w:rsidR="0073220A" w:rsidRPr="005319EA">
        <w:t xml:space="preserve">in </w:t>
      </w:r>
      <w:r w:rsidRPr="005319EA">
        <w:rPr>
          <w:smallCaps/>
        </w:rPr>
        <w:t>Repertory of Practice of United Nations Organs, Supplements No. 10</w:t>
      </w:r>
      <w:r w:rsidRPr="005319EA">
        <w:t xml:space="preserve"> (2000-2009)</w:t>
      </w:r>
      <w:r w:rsidR="0073220A" w:rsidRPr="005319EA">
        <w:t xml:space="preserve"> </w:t>
      </w:r>
      <w:r w:rsidR="004318F7" w:rsidRPr="005319EA">
        <w:rPr>
          <w:rFonts w:eastAsia="Calibri"/>
        </w:rPr>
        <w:t xml:space="preserve">para. </w:t>
      </w:r>
      <w:r w:rsidRPr="005319EA">
        <w:t>5</w:t>
      </w:r>
      <w:r w:rsidR="0073220A" w:rsidRPr="005319EA">
        <w:t xml:space="preserve"> (forthcoming)</w:t>
      </w:r>
      <w:r w:rsidRPr="005319EA">
        <w:t xml:space="preserve">; </w:t>
      </w:r>
      <w:r w:rsidRPr="005319EA">
        <w:rPr>
          <w:i/>
          <w:iCs/>
        </w:rPr>
        <w:t>See also</w:t>
      </w:r>
      <w:r w:rsidRPr="005319EA">
        <w:t xml:space="preserve"> </w:t>
      </w:r>
      <w:r w:rsidR="0073220A" w:rsidRPr="005319EA">
        <w:t>G.A. Res.</w:t>
      </w:r>
      <w:r w:rsidRPr="005319EA">
        <w:t xml:space="preserve"> 46/59 </w:t>
      </w:r>
      <w:r w:rsidR="0073220A" w:rsidRPr="005319EA">
        <w:t xml:space="preserve">at </w:t>
      </w:r>
      <w:r w:rsidR="004318F7" w:rsidRPr="005319EA">
        <w:rPr>
          <w:rFonts w:eastAsia="Calibri"/>
        </w:rPr>
        <w:t xml:space="preserve">para. </w:t>
      </w:r>
      <w:r w:rsidR="0073220A" w:rsidRPr="005319EA">
        <w:t>19 (</w:t>
      </w:r>
      <w:r w:rsidRPr="005319EA">
        <w:t>Dec</w:t>
      </w:r>
      <w:r w:rsidR="0073220A" w:rsidRPr="005319EA">
        <w:t>. 9,</w:t>
      </w:r>
      <w:r w:rsidRPr="005319EA">
        <w:t xml:space="preserve"> 1991</w:t>
      </w:r>
      <w:r w:rsidR="0073220A" w:rsidRPr="005319EA">
        <w:t>)</w:t>
      </w:r>
      <w:r w:rsidRPr="005319EA">
        <w:t>.</w:t>
      </w:r>
    </w:p>
  </w:footnote>
  <w:footnote w:id="183">
    <w:p w14:paraId="4EDC22CB" w14:textId="20081A2B" w:rsidR="001F3A4F" w:rsidRPr="005319EA" w:rsidRDefault="001F3A4F" w:rsidP="001C756C">
      <w:pPr>
        <w:pStyle w:val="FootnoteText"/>
        <w:jc w:val="both"/>
      </w:pPr>
      <w:r w:rsidRPr="005319EA">
        <w:rPr>
          <w:rStyle w:val="FootnoteReference"/>
        </w:rPr>
        <w:footnoteRef/>
      </w:r>
      <w:r w:rsidRPr="005319EA">
        <w:t xml:space="preserve"> Compromis</w:t>
      </w:r>
      <w:r w:rsidR="0097476A" w:rsidRPr="005319EA">
        <w:t xml:space="preserve">, </w:t>
      </w:r>
      <w:r w:rsidR="004318F7" w:rsidRPr="005319EA">
        <w:rPr>
          <w:rFonts w:eastAsia="Calibri"/>
        </w:rPr>
        <w:t xml:space="preserve">para. </w:t>
      </w:r>
      <w:r w:rsidRPr="005319EA">
        <w:t>52</w:t>
      </w:r>
      <w:r w:rsidR="00CF1FC4" w:rsidRPr="005319EA">
        <w:t>.</w:t>
      </w:r>
    </w:p>
  </w:footnote>
  <w:footnote w:id="184">
    <w:p w14:paraId="6E2FACEB" w14:textId="71E0B60A"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Supra</w:t>
      </w:r>
      <w:r w:rsidR="0025096F" w:rsidRPr="005319EA">
        <w:rPr>
          <w:i/>
          <w:iCs/>
        </w:rPr>
        <w:t xml:space="preserve"> </w:t>
      </w:r>
      <w:r w:rsidR="0025096F" w:rsidRPr="005319EA">
        <w:t>II(A)(2)</w:t>
      </w:r>
      <w:r w:rsidR="00CF1FC4" w:rsidRPr="005319EA">
        <w:t>.</w:t>
      </w:r>
    </w:p>
  </w:footnote>
  <w:footnote w:id="185">
    <w:p w14:paraId="3609B825" w14:textId="0E27B15C" w:rsidR="001F3A4F" w:rsidRPr="005319EA" w:rsidRDefault="001F3A4F" w:rsidP="001C756C">
      <w:pPr>
        <w:pStyle w:val="FootnoteText"/>
        <w:jc w:val="both"/>
      </w:pPr>
      <w:r w:rsidRPr="005319EA">
        <w:rPr>
          <w:rStyle w:val="FootnoteReference"/>
        </w:rPr>
        <w:footnoteRef/>
      </w:r>
      <w:r w:rsidRPr="005319EA">
        <w:t xml:space="preserve"> </w:t>
      </w:r>
      <w:r w:rsidR="0025096F" w:rsidRPr="005319EA">
        <w:rPr>
          <w:i/>
          <w:iCs/>
        </w:rPr>
        <w:t>Id.</w:t>
      </w:r>
    </w:p>
  </w:footnote>
  <w:footnote w:id="186">
    <w:p w14:paraId="3C13FCAD" w14:textId="22E7B670" w:rsidR="00F27FF8" w:rsidRPr="005319EA" w:rsidRDefault="00F27FF8" w:rsidP="001C756C">
      <w:pPr>
        <w:pStyle w:val="FootnoteText"/>
        <w:jc w:val="both"/>
      </w:pPr>
      <w:r w:rsidRPr="005319EA">
        <w:rPr>
          <w:rStyle w:val="FootnoteReference"/>
        </w:rPr>
        <w:footnoteRef/>
      </w:r>
      <w:r w:rsidRPr="005319EA">
        <w:t xml:space="preserve"> </w:t>
      </w:r>
      <w:bookmarkStart w:id="97" w:name="_Hlk155895116"/>
      <w:r w:rsidRPr="005319EA">
        <w:t xml:space="preserve">Convention on the Privileges and Immunities of the United Nations, art. </w:t>
      </w:r>
      <w:r w:rsidR="000921A2" w:rsidRPr="005319EA">
        <w:t>VII</w:t>
      </w:r>
      <w:r w:rsidRPr="005319EA">
        <w:t>,</w:t>
      </w:r>
      <w:r w:rsidR="000921A2" w:rsidRPr="005319EA">
        <w:t xml:space="preserve"> sec. 26,</w:t>
      </w:r>
      <w:r w:rsidRPr="005319EA">
        <w:t xml:space="preserve"> </w:t>
      </w:r>
      <w:r w:rsidR="000921A2" w:rsidRPr="005319EA">
        <w:t>Feb.</w:t>
      </w:r>
      <w:r w:rsidRPr="005319EA">
        <w:t xml:space="preserve"> 13, 1946, 1 U</w:t>
      </w:r>
      <w:r w:rsidR="000921A2" w:rsidRPr="005319EA">
        <w:t>.</w:t>
      </w:r>
      <w:r w:rsidRPr="005319EA">
        <w:t>N</w:t>
      </w:r>
      <w:r w:rsidR="000921A2" w:rsidRPr="005319EA">
        <w:t>.</w:t>
      </w:r>
      <w:r w:rsidRPr="005319EA">
        <w:t>T</w:t>
      </w:r>
      <w:r w:rsidR="000921A2" w:rsidRPr="005319EA">
        <w:t>.</w:t>
      </w:r>
      <w:r w:rsidRPr="005319EA">
        <w:t>S</w:t>
      </w:r>
      <w:r w:rsidR="000921A2" w:rsidRPr="005319EA">
        <w:t>.</w:t>
      </w:r>
      <w:r w:rsidRPr="005319EA">
        <w:t xml:space="preserve"> 15</w:t>
      </w:r>
      <w:r w:rsidR="000921A2" w:rsidRPr="005319EA">
        <w:t>.</w:t>
      </w:r>
      <w:bookmarkEnd w:id="97"/>
    </w:p>
  </w:footnote>
  <w:footnote w:id="187">
    <w:p w14:paraId="2DEA3830" w14:textId="4EE39099" w:rsidR="001F3A4F" w:rsidRPr="005319EA" w:rsidRDefault="001F3A4F" w:rsidP="001C756C">
      <w:pPr>
        <w:pStyle w:val="FootnoteText"/>
        <w:jc w:val="both"/>
      </w:pPr>
      <w:r w:rsidRPr="005319EA">
        <w:rPr>
          <w:rStyle w:val="FootnoteReference"/>
        </w:rPr>
        <w:footnoteRef/>
      </w:r>
      <w:r w:rsidRPr="005319EA">
        <w:t xml:space="preserve"> Applicability of Article VI, Section 22, of the Convention on the Privileges and Immunities of the United Nations, </w:t>
      </w:r>
      <w:r w:rsidR="0097476A" w:rsidRPr="005319EA">
        <w:t>A</w:t>
      </w:r>
      <w:r w:rsidRPr="005319EA">
        <w:t xml:space="preserve">dvisory </w:t>
      </w:r>
      <w:r w:rsidR="0097476A" w:rsidRPr="005319EA">
        <w:t>O</w:t>
      </w:r>
      <w:r w:rsidRPr="005319EA">
        <w:t>pinion, 1989 I.C.J. Rep. 177</w:t>
      </w:r>
      <w:r w:rsidR="00090E46" w:rsidRPr="005319EA">
        <w:t>,</w:t>
      </w:r>
      <w:r w:rsidRPr="005319EA">
        <w:t xml:space="preserve"> </w:t>
      </w:r>
      <w:r w:rsidR="00D33334" w:rsidRPr="005319EA">
        <w:t>¶</w:t>
      </w:r>
      <w:r w:rsidR="004318F7" w:rsidRPr="005319EA">
        <w:rPr>
          <w:rFonts w:eastAsia="Calibri"/>
        </w:rPr>
        <w:t xml:space="preserve"> </w:t>
      </w:r>
      <w:r w:rsidRPr="005319EA">
        <w:t>50 (Dec. 15).</w:t>
      </w:r>
    </w:p>
  </w:footnote>
  <w:footnote w:id="188">
    <w:p w14:paraId="0D7A4DA0" w14:textId="68C51E12"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w:t>
      </w:r>
      <w:r w:rsidR="0097476A" w:rsidRPr="005319EA">
        <w:rPr>
          <w:lang w:val="it-IT"/>
        </w:rPr>
        <w:t xml:space="preserve">Compromis, </w:t>
      </w:r>
      <w:r w:rsidRPr="005319EA">
        <w:rPr>
          <w:lang w:val="it-IT"/>
        </w:rPr>
        <w:t>Annex A.(1)(b).</w:t>
      </w:r>
    </w:p>
  </w:footnote>
  <w:footnote w:id="189">
    <w:p w14:paraId="2800B1D7" w14:textId="215C00DB"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97476A" w:rsidRPr="005319EA">
        <w:rPr>
          <w:lang w:val="it-IT"/>
        </w:rPr>
        <w:t xml:space="preserve">, </w:t>
      </w:r>
      <w:r w:rsidR="004318F7" w:rsidRPr="005319EA">
        <w:rPr>
          <w:rFonts w:eastAsia="Calibri"/>
          <w:lang w:val="it-IT"/>
        </w:rPr>
        <w:t xml:space="preserve">para. </w:t>
      </w:r>
      <w:r w:rsidRPr="005319EA">
        <w:rPr>
          <w:lang w:val="it-IT"/>
        </w:rPr>
        <w:t>52</w:t>
      </w:r>
      <w:r w:rsidR="0097476A" w:rsidRPr="005319EA">
        <w:rPr>
          <w:lang w:val="it-IT"/>
        </w:rPr>
        <w:t>.</w:t>
      </w:r>
    </w:p>
  </w:footnote>
  <w:footnote w:id="190">
    <w:p w14:paraId="3DB36038" w14:textId="5C75959A" w:rsidR="001F3A4F" w:rsidRPr="005319EA" w:rsidRDefault="001F3A4F" w:rsidP="001C756C">
      <w:pPr>
        <w:pStyle w:val="FootnoteText"/>
        <w:jc w:val="both"/>
      </w:pPr>
      <w:r w:rsidRPr="005319EA">
        <w:rPr>
          <w:rStyle w:val="FootnoteReference"/>
        </w:rPr>
        <w:footnoteRef/>
      </w:r>
      <w:r w:rsidRPr="005319EA">
        <w:rPr>
          <w:lang w:val="it-IT"/>
        </w:rPr>
        <w:t xml:space="preserve"> Compromis</w:t>
      </w:r>
      <w:r w:rsidR="0097476A" w:rsidRPr="005319EA">
        <w:rPr>
          <w:lang w:val="it-IT"/>
        </w:rPr>
        <w:t xml:space="preserve">, </w:t>
      </w:r>
      <w:r w:rsidR="004318F7" w:rsidRPr="005319EA">
        <w:rPr>
          <w:rFonts w:eastAsia="Calibri"/>
          <w:lang w:val="it-IT"/>
        </w:rPr>
        <w:t xml:space="preserve">para. </w:t>
      </w:r>
      <w:r w:rsidRPr="005319EA">
        <w:t>33</w:t>
      </w:r>
      <w:r w:rsidR="0097476A" w:rsidRPr="005319EA">
        <w:t>.</w:t>
      </w:r>
    </w:p>
  </w:footnote>
  <w:footnote w:id="191">
    <w:p w14:paraId="257F1964" w14:textId="685E5B6F" w:rsidR="001F3A4F" w:rsidRPr="005319EA" w:rsidRDefault="001F3A4F" w:rsidP="001C756C">
      <w:pPr>
        <w:pStyle w:val="FootnoteText"/>
        <w:jc w:val="both"/>
      </w:pPr>
      <w:r w:rsidRPr="005319EA">
        <w:rPr>
          <w:rStyle w:val="FootnoteReference"/>
        </w:rPr>
        <w:footnoteRef/>
      </w:r>
      <w:r w:rsidRPr="005319EA">
        <w:t xml:space="preserve"> </w:t>
      </w:r>
      <w:r w:rsidR="007A75C7" w:rsidRPr="005319EA">
        <w:rPr>
          <w:smallCaps/>
        </w:rPr>
        <w:t>Stanford Crim. Justice Ctr</w:t>
      </w:r>
      <w:r w:rsidR="007A75C7" w:rsidRPr="005319EA">
        <w:t xml:space="preserve">, </w:t>
      </w:r>
      <w:r w:rsidRPr="005319EA">
        <w:rPr>
          <w:smallCaps/>
        </w:rPr>
        <w:t>Virtual Justice? A National Study Analyzing the Transition to Remote Criminal Court</w:t>
      </w:r>
      <w:r w:rsidRPr="005319EA">
        <w:t xml:space="preserve"> </w:t>
      </w:r>
      <w:r w:rsidR="007A75C7" w:rsidRPr="005319EA">
        <w:t>6-8 (</w:t>
      </w:r>
      <w:r w:rsidRPr="005319EA">
        <w:t>2021</w:t>
      </w:r>
      <w:r w:rsidR="007A75C7" w:rsidRPr="005319EA">
        <w:t xml:space="preserve">). </w:t>
      </w:r>
      <w:r w:rsidR="007A75C7" w:rsidRPr="005319EA">
        <w:rPr>
          <w:i/>
          <w:iCs/>
        </w:rPr>
        <w:t>See also</w:t>
      </w:r>
      <w:r w:rsidRPr="005319EA">
        <w:t xml:space="preserve"> </w:t>
      </w:r>
      <w:r w:rsidR="007A75C7" w:rsidRPr="005319EA">
        <w:t xml:space="preserve">Anne </w:t>
      </w:r>
      <w:r w:rsidRPr="005319EA">
        <w:t xml:space="preserve">Sanders, </w:t>
      </w:r>
      <w:r w:rsidRPr="005319EA">
        <w:rPr>
          <w:i/>
          <w:iCs/>
        </w:rPr>
        <w:t>Video-Hearings in Europe Before, During and After the COVID-19 Pandemic</w:t>
      </w:r>
      <w:r w:rsidR="007A75C7" w:rsidRPr="005319EA">
        <w:t>,</w:t>
      </w:r>
      <w:r w:rsidRPr="005319EA">
        <w:t xml:space="preserve"> </w:t>
      </w:r>
      <w:r w:rsidR="007A75C7" w:rsidRPr="005319EA">
        <w:t xml:space="preserve">12 </w:t>
      </w:r>
      <w:r w:rsidR="007A75C7" w:rsidRPr="005319EA">
        <w:rPr>
          <w:smallCaps/>
        </w:rPr>
        <w:t>Int’l J.</w:t>
      </w:r>
      <w:r w:rsidRPr="005319EA">
        <w:rPr>
          <w:smallCaps/>
        </w:rPr>
        <w:t xml:space="preserve"> Court </w:t>
      </w:r>
      <w:r w:rsidR="007A75C7" w:rsidRPr="005319EA">
        <w:rPr>
          <w:smallCaps/>
        </w:rPr>
        <w:t>Admin</w:t>
      </w:r>
      <w:r w:rsidR="007A75C7" w:rsidRPr="005319EA">
        <w:t>.</w:t>
      </w:r>
      <w:r w:rsidRPr="005319EA">
        <w:t xml:space="preserve"> </w:t>
      </w:r>
      <w:r w:rsidR="0097476A" w:rsidRPr="005319EA">
        <w:t xml:space="preserve">1, </w:t>
      </w:r>
      <w:r w:rsidRPr="005319EA">
        <w:t>3</w:t>
      </w:r>
      <w:r w:rsidR="0097476A" w:rsidRPr="005319EA">
        <w:t>-7</w:t>
      </w:r>
      <w:r w:rsidR="007A75C7" w:rsidRPr="005319EA">
        <w:t xml:space="preserve"> (2020)</w:t>
      </w:r>
      <w:r w:rsidR="0097476A" w:rsidRPr="005319EA">
        <w:t>.</w:t>
      </w:r>
    </w:p>
  </w:footnote>
  <w:footnote w:id="192">
    <w:p w14:paraId="17FDCB07" w14:textId="358F1438" w:rsidR="001F3A4F" w:rsidRPr="005319EA" w:rsidRDefault="001F3A4F" w:rsidP="001C756C">
      <w:pPr>
        <w:pStyle w:val="FootnoteText"/>
        <w:jc w:val="both"/>
      </w:pPr>
      <w:r w:rsidRPr="005319EA">
        <w:rPr>
          <w:rStyle w:val="FootnoteReference"/>
        </w:rPr>
        <w:footnoteRef/>
      </w:r>
      <w:r w:rsidRPr="005319EA">
        <w:t xml:space="preserve"> </w:t>
      </w:r>
      <w:r w:rsidR="007A75C7" w:rsidRPr="005319EA">
        <w:t>G20 Anti-Corruption Working Group, G20 Denial of Entry Experts Network Inaugural Meeting, Chairman’s Summary</w:t>
      </w:r>
      <w:r w:rsidR="007A75C7" w:rsidRPr="005319EA">
        <w:rPr>
          <w:i/>
          <w:iCs/>
        </w:rPr>
        <w:t xml:space="preserve"> </w:t>
      </w:r>
      <w:r w:rsidR="007A75C7" w:rsidRPr="005319EA">
        <w:t>(Oct. 14, 2015).</w:t>
      </w:r>
    </w:p>
  </w:footnote>
  <w:footnote w:id="193">
    <w:p w14:paraId="7E6279C5" w14:textId="47A1EA35"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Supra</w:t>
      </w:r>
      <w:r w:rsidR="00911D44" w:rsidRPr="005319EA">
        <w:t xml:space="preserve"> II(B)(3)(a)</w:t>
      </w:r>
      <w:r w:rsidR="00D6270D" w:rsidRPr="005319EA">
        <w:t>.</w:t>
      </w:r>
    </w:p>
  </w:footnote>
  <w:footnote w:id="194">
    <w:p w14:paraId="22E67D8B" w14:textId="3D57AA59" w:rsidR="001F3A4F" w:rsidRPr="005319EA" w:rsidRDefault="001F3A4F" w:rsidP="001C756C">
      <w:pPr>
        <w:pStyle w:val="FootnoteText"/>
        <w:jc w:val="both"/>
      </w:pPr>
      <w:r w:rsidRPr="005319EA">
        <w:rPr>
          <w:rStyle w:val="FootnoteReference"/>
        </w:rPr>
        <w:footnoteRef/>
      </w:r>
      <w:r w:rsidRPr="005319EA">
        <w:t xml:space="preserve"> </w:t>
      </w:r>
      <w:r w:rsidR="00FB2571" w:rsidRPr="005319EA">
        <w:t xml:space="preserve">Vienna Convention on Diplomatic Relations, </w:t>
      </w:r>
      <w:r w:rsidR="0056203F" w:rsidRPr="005319EA">
        <w:t xml:space="preserve">art. 1(b), </w:t>
      </w:r>
      <w:r w:rsidR="00FB2571" w:rsidRPr="005319EA">
        <w:t>Apr. 18, 1961, 500 U.N.T.S. 95</w:t>
      </w:r>
      <w:r w:rsidR="0056203F" w:rsidRPr="005319EA">
        <w:t>.</w:t>
      </w:r>
    </w:p>
  </w:footnote>
  <w:footnote w:id="195">
    <w:p w14:paraId="7F6B0473" w14:textId="459956EF" w:rsidR="001F3A4F" w:rsidRPr="005319EA" w:rsidRDefault="001F3A4F" w:rsidP="001C756C">
      <w:pPr>
        <w:pBdr>
          <w:top w:val="nil"/>
          <w:left w:val="nil"/>
          <w:bottom w:val="nil"/>
          <w:right w:val="nil"/>
          <w:between w:val="nil"/>
        </w:pBdr>
        <w:spacing w:before="0" w:after="0"/>
        <w:jc w:val="both"/>
        <w:rPr>
          <w:sz w:val="20"/>
          <w:szCs w:val="20"/>
        </w:rPr>
      </w:pPr>
      <w:r w:rsidRPr="005319EA">
        <w:rPr>
          <w:sz w:val="20"/>
          <w:szCs w:val="20"/>
          <w:vertAlign w:val="superscript"/>
        </w:rPr>
        <w:footnoteRef/>
      </w:r>
      <w:r w:rsidRPr="005319EA">
        <w:rPr>
          <w:sz w:val="20"/>
          <w:szCs w:val="20"/>
        </w:rPr>
        <w:t xml:space="preserve"> United States Diplomatic and Consular Staff in Tehran (</w:t>
      </w:r>
      <w:r w:rsidR="00A77FB5" w:rsidRPr="005319EA">
        <w:rPr>
          <w:sz w:val="20"/>
          <w:szCs w:val="20"/>
        </w:rPr>
        <w:t>U.S.</w:t>
      </w:r>
      <w:r w:rsidRPr="005319EA">
        <w:rPr>
          <w:sz w:val="20"/>
          <w:szCs w:val="20"/>
        </w:rPr>
        <w:t xml:space="preserve"> v. Iran)</w:t>
      </w:r>
      <w:r w:rsidR="00A77FB5" w:rsidRPr="005319EA">
        <w:rPr>
          <w:sz w:val="20"/>
          <w:szCs w:val="20"/>
        </w:rPr>
        <w:t>, Judgment</w:t>
      </w:r>
      <w:r w:rsidRPr="005319EA">
        <w:rPr>
          <w:sz w:val="20"/>
          <w:szCs w:val="20"/>
        </w:rPr>
        <w:t xml:space="preserve">, </w:t>
      </w:r>
      <w:r w:rsidR="00A77FB5" w:rsidRPr="005319EA">
        <w:rPr>
          <w:sz w:val="20"/>
          <w:szCs w:val="20"/>
        </w:rPr>
        <w:t xml:space="preserve">1980 I.C.J. Rep. 3, </w:t>
      </w:r>
      <w:r w:rsidR="004318F7" w:rsidRPr="005319EA">
        <w:rPr>
          <w:rFonts w:eastAsia="Calibri"/>
          <w:sz w:val="20"/>
          <w:szCs w:val="20"/>
        </w:rPr>
        <w:t xml:space="preserve">para. </w:t>
      </w:r>
      <w:r w:rsidR="00A77FB5" w:rsidRPr="005319EA">
        <w:rPr>
          <w:sz w:val="20"/>
          <w:szCs w:val="20"/>
        </w:rPr>
        <w:t>77</w:t>
      </w:r>
      <w:r w:rsidRPr="005319EA">
        <w:rPr>
          <w:sz w:val="20"/>
          <w:szCs w:val="20"/>
        </w:rPr>
        <w:t xml:space="preserve"> </w:t>
      </w:r>
      <w:r w:rsidR="00A77FB5" w:rsidRPr="005319EA">
        <w:rPr>
          <w:sz w:val="20"/>
          <w:szCs w:val="20"/>
        </w:rPr>
        <w:t>(May 12).</w:t>
      </w:r>
    </w:p>
  </w:footnote>
  <w:footnote w:id="196">
    <w:p w14:paraId="4796B081" w14:textId="26D04486" w:rsidR="001F3A4F" w:rsidRPr="005319EA" w:rsidRDefault="001F3A4F" w:rsidP="001C756C">
      <w:pPr>
        <w:pBdr>
          <w:top w:val="nil"/>
          <w:left w:val="nil"/>
          <w:bottom w:val="nil"/>
          <w:right w:val="nil"/>
          <w:between w:val="nil"/>
        </w:pBdr>
        <w:spacing w:before="0" w:after="0"/>
        <w:jc w:val="both"/>
        <w:rPr>
          <w:sz w:val="20"/>
          <w:szCs w:val="20"/>
        </w:rPr>
      </w:pPr>
      <w:r w:rsidRPr="005319EA">
        <w:rPr>
          <w:sz w:val="20"/>
          <w:szCs w:val="20"/>
          <w:vertAlign w:val="superscript"/>
        </w:rPr>
        <w:footnoteRef/>
      </w:r>
      <w:r w:rsidRPr="005319EA">
        <w:rPr>
          <w:sz w:val="20"/>
          <w:szCs w:val="20"/>
        </w:rPr>
        <w:t xml:space="preserve"> S.S. </w:t>
      </w:r>
      <w:r w:rsidR="00347C17" w:rsidRPr="005319EA">
        <w:rPr>
          <w:sz w:val="20"/>
          <w:szCs w:val="20"/>
        </w:rPr>
        <w:t>“</w:t>
      </w:r>
      <w:r w:rsidRPr="005319EA">
        <w:rPr>
          <w:sz w:val="20"/>
          <w:szCs w:val="20"/>
        </w:rPr>
        <w:t>Lotus</w:t>
      </w:r>
      <w:r w:rsidR="00347C17" w:rsidRPr="005319EA">
        <w:rPr>
          <w:sz w:val="20"/>
          <w:szCs w:val="20"/>
        </w:rPr>
        <w:t>”</w:t>
      </w:r>
      <w:r w:rsidRPr="005319EA">
        <w:rPr>
          <w:sz w:val="20"/>
          <w:szCs w:val="20"/>
        </w:rPr>
        <w:t xml:space="preserve"> (Fr. v. Turk.), Judgment, 1927 P.C.I.J. (ser. A) No. 10</w:t>
      </w:r>
      <w:r w:rsidR="00347C17" w:rsidRPr="005319EA">
        <w:rPr>
          <w:sz w:val="20"/>
          <w:szCs w:val="20"/>
        </w:rPr>
        <w:t xml:space="preserve"> at</w:t>
      </w:r>
      <w:r w:rsidR="00533F0B" w:rsidRPr="005319EA">
        <w:rPr>
          <w:sz w:val="20"/>
          <w:szCs w:val="20"/>
        </w:rPr>
        <w:t xml:space="preserve"> </w:t>
      </w:r>
      <w:r w:rsidR="007440C2" w:rsidRPr="005319EA">
        <w:rPr>
          <w:sz w:val="20"/>
          <w:szCs w:val="20"/>
        </w:rPr>
        <w:t>para.</w:t>
      </w:r>
      <w:r w:rsidR="00533F0B" w:rsidRPr="005319EA">
        <w:rPr>
          <w:sz w:val="20"/>
          <w:szCs w:val="20"/>
        </w:rPr>
        <w:t xml:space="preserve"> 19</w:t>
      </w:r>
      <w:r w:rsidRPr="005319EA">
        <w:rPr>
          <w:sz w:val="20"/>
          <w:szCs w:val="20"/>
        </w:rPr>
        <w:t xml:space="preserve"> (Sept. 7)</w:t>
      </w:r>
      <w:r w:rsidR="00347C17" w:rsidRPr="005319EA">
        <w:rPr>
          <w:sz w:val="20"/>
          <w:szCs w:val="20"/>
        </w:rPr>
        <w:t xml:space="preserve">. </w:t>
      </w:r>
      <w:r w:rsidR="00347C17" w:rsidRPr="005319EA">
        <w:rPr>
          <w:i/>
          <w:iCs/>
          <w:sz w:val="20"/>
          <w:szCs w:val="20"/>
        </w:rPr>
        <w:t>See also</w:t>
      </w:r>
      <w:r w:rsidRPr="005319EA">
        <w:rPr>
          <w:sz w:val="20"/>
          <w:szCs w:val="20"/>
        </w:rPr>
        <w:t xml:space="preserve"> </w:t>
      </w:r>
      <w:r w:rsidR="000921A2" w:rsidRPr="005319EA">
        <w:rPr>
          <w:sz w:val="20"/>
          <w:szCs w:val="20"/>
        </w:rPr>
        <w:t>N</w:t>
      </w:r>
      <w:r w:rsidRPr="005319EA">
        <w:rPr>
          <w:sz w:val="20"/>
          <w:szCs w:val="20"/>
        </w:rPr>
        <w:t>uclear Weapons Advisory Opinion,</w:t>
      </w:r>
      <w:r w:rsidR="00347C17" w:rsidRPr="005319EA">
        <w:rPr>
          <w:sz w:val="20"/>
          <w:szCs w:val="20"/>
        </w:rPr>
        <w:t xml:space="preserve"> </w:t>
      </w:r>
      <w:r w:rsidR="000921A2" w:rsidRPr="005319EA">
        <w:rPr>
          <w:i/>
          <w:iCs/>
          <w:sz w:val="20"/>
          <w:szCs w:val="20"/>
        </w:rPr>
        <w:t xml:space="preserve">supra </w:t>
      </w:r>
      <w:r w:rsidR="000921A2" w:rsidRPr="005319EA">
        <w:rPr>
          <w:sz w:val="20"/>
          <w:szCs w:val="20"/>
        </w:rPr>
        <w:t xml:space="preserve">note </w:t>
      </w:r>
      <w:r w:rsidR="00E10E56" w:rsidRPr="005319EA">
        <w:rPr>
          <w:sz w:val="20"/>
          <w:szCs w:val="20"/>
        </w:rPr>
        <w:t xml:space="preserve">40, </w:t>
      </w:r>
      <w:r w:rsidR="00315254" w:rsidRPr="005319EA">
        <w:rPr>
          <w:sz w:val="20"/>
          <w:szCs w:val="20"/>
        </w:rPr>
        <w:t xml:space="preserve">at </w:t>
      </w:r>
      <w:r w:rsidR="00AD7FA4" w:rsidRPr="005319EA">
        <w:rPr>
          <w:sz w:val="20"/>
          <w:szCs w:val="20"/>
        </w:rPr>
        <w:t>¶</w:t>
      </w:r>
      <w:r w:rsidR="004318F7" w:rsidRPr="005319EA">
        <w:rPr>
          <w:rFonts w:eastAsia="Calibri"/>
          <w:sz w:val="20"/>
          <w:szCs w:val="20"/>
        </w:rPr>
        <w:t xml:space="preserve"> </w:t>
      </w:r>
      <w:r w:rsidR="00347C17" w:rsidRPr="005319EA">
        <w:rPr>
          <w:sz w:val="20"/>
          <w:szCs w:val="20"/>
        </w:rPr>
        <w:t>20;</w:t>
      </w:r>
      <w:r w:rsidRPr="005319EA">
        <w:rPr>
          <w:sz w:val="20"/>
          <w:szCs w:val="20"/>
        </w:rPr>
        <w:t xml:space="preserve"> Accordance with International Law of the Unilateral Declaration of Independence in Respect of Kosovo, Advisory Opinion, 2010 I</w:t>
      </w:r>
      <w:r w:rsidR="00347C17" w:rsidRPr="005319EA">
        <w:rPr>
          <w:sz w:val="20"/>
          <w:szCs w:val="20"/>
        </w:rPr>
        <w:t>.</w:t>
      </w:r>
      <w:r w:rsidRPr="005319EA">
        <w:rPr>
          <w:sz w:val="20"/>
          <w:szCs w:val="20"/>
        </w:rPr>
        <w:t>C</w:t>
      </w:r>
      <w:r w:rsidR="00347C17" w:rsidRPr="005319EA">
        <w:rPr>
          <w:sz w:val="20"/>
          <w:szCs w:val="20"/>
        </w:rPr>
        <w:t>.</w:t>
      </w:r>
      <w:r w:rsidRPr="005319EA">
        <w:rPr>
          <w:sz w:val="20"/>
          <w:szCs w:val="20"/>
        </w:rPr>
        <w:t>J</w:t>
      </w:r>
      <w:r w:rsidR="00347C17" w:rsidRPr="005319EA">
        <w:rPr>
          <w:sz w:val="20"/>
          <w:szCs w:val="20"/>
        </w:rPr>
        <w:t>.</w:t>
      </w:r>
      <w:r w:rsidRPr="005319EA">
        <w:rPr>
          <w:sz w:val="20"/>
          <w:szCs w:val="20"/>
        </w:rPr>
        <w:t xml:space="preserve"> Reports</w:t>
      </w:r>
      <w:r w:rsidR="00347C17" w:rsidRPr="005319EA">
        <w:rPr>
          <w:sz w:val="20"/>
          <w:szCs w:val="20"/>
        </w:rPr>
        <w:t xml:space="preserve"> 403, </w:t>
      </w:r>
      <w:r w:rsidR="004318F7" w:rsidRPr="005319EA">
        <w:rPr>
          <w:rFonts w:eastAsia="Calibri"/>
          <w:sz w:val="20"/>
          <w:szCs w:val="20"/>
        </w:rPr>
        <w:t xml:space="preserve">para. </w:t>
      </w:r>
      <w:r w:rsidR="00347C17" w:rsidRPr="005319EA">
        <w:rPr>
          <w:sz w:val="20"/>
          <w:szCs w:val="20"/>
        </w:rPr>
        <w:t xml:space="preserve">79 </w:t>
      </w:r>
      <w:r w:rsidRPr="005319EA">
        <w:rPr>
          <w:sz w:val="20"/>
          <w:szCs w:val="20"/>
        </w:rPr>
        <w:t>(</w:t>
      </w:r>
      <w:r w:rsidR="00347C17" w:rsidRPr="005319EA">
        <w:rPr>
          <w:sz w:val="20"/>
          <w:szCs w:val="20"/>
        </w:rPr>
        <w:t>July 22</w:t>
      </w:r>
      <w:r w:rsidRPr="005319EA">
        <w:rPr>
          <w:sz w:val="20"/>
          <w:szCs w:val="20"/>
        </w:rPr>
        <w:t>).</w:t>
      </w:r>
    </w:p>
  </w:footnote>
  <w:footnote w:id="197">
    <w:p w14:paraId="7AFE20F2" w14:textId="67426EFA" w:rsidR="001F3A4F" w:rsidRPr="005319EA" w:rsidRDefault="001F3A4F" w:rsidP="001C756C">
      <w:pPr>
        <w:pStyle w:val="FootnoteText"/>
        <w:jc w:val="both"/>
      </w:pPr>
      <w:r w:rsidRPr="005319EA">
        <w:rPr>
          <w:rStyle w:val="FootnoteReference"/>
        </w:rPr>
        <w:footnoteRef/>
      </w:r>
      <w:r w:rsidRPr="005319EA">
        <w:t xml:space="preserve"> </w:t>
      </w:r>
      <w:r w:rsidR="00347C17" w:rsidRPr="005319EA">
        <w:t>Press Release, UNHRC, Myanmar Refuses Access to UN Special Rapporteur (Dec. 20 2017)</w:t>
      </w:r>
      <w:r w:rsidRPr="005319EA">
        <w:t>;</w:t>
      </w:r>
      <w:r w:rsidR="00347C17" w:rsidRPr="005319EA">
        <w:t xml:space="preserve"> </w:t>
      </w:r>
      <w:r w:rsidRPr="005319EA">
        <w:rPr>
          <w:i/>
          <w:iCs/>
        </w:rPr>
        <w:t>Adam Entous</w:t>
      </w:r>
      <w:r w:rsidRPr="005319EA">
        <w:t xml:space="preserve">, Israel </w:t>
      </w:r>
      <w:r w:rsidR="00347C17" w:rsidRPr="005319EA">
        <w:t>D</w:t>
      </w:r>
      <w:r w:rsidRPr="005319EA">
        <w:t xml:space="preserve">enies </w:t>
      </w:r>
      <w:r w:rsidR="00347C17" w:rsidRPr="005319EA">
        <w:t>E</w:t>
      </w:r>
      <w:r w:rsidRPr="005319EA">
        <w:t xml:space="preserve">ntry to U.N. </w:t>
      </w:r>
      <w:r w:rsidR="00347C17" w:rsidRPr="005319EA">
        <w:t>R</w:t>
      </w:r>
      <w:r w:rsidRPr="005319EA">
        <w:t xml:space="preserve">ights </w:t>
      </w:r>
      <w:r w:rsidR="00347C17" w:rsidRPr="005319EA">
        <w:t>I</w:t>
      </w:r>
      <w:r w:rsidRPr="005319EA">
        <w:t xml:space="preserve">nvestigator, </w:t>
      </w:r>
      <w:r w:rsidR="00347C17" w:rsidRPr="005319EA">
        <w:rPr>
          <w:smallCaps/>
        </w:rPr>
        <w:t>Reuters</w:t>
      </w:r>
      <w:r w:rsidR="00347C17" w:rsidRPr="005319EA">
        <w:t xml:space="preserve"> (Dec. 15, 2008), https://www.reuters.com/article/us-palestinians-israel-un-sb-idUSTRE4BE33A20081215/ </w:t>
      </w:r>
      <w:r w:rsidRPr="005319EA">
        <w:t>;</w:t>
      </w:r>
      <w:r w:rsidR="00AF3BAB" w:rsidRPr="005319EA">
        <w:rPr>
          <w:i/>
          <w:iCs/>
        </w:rPr>
        <w:t xml:space="preserve"> UN Expert 'Denied Zimbabwe Entry' 2009</w:t>
      </w:r>
      <w:r w:rsidR="00AF3BAB" w:rsidRPr="005319EA">
        <w:t>, BBC (Oct. 29, 2009), http://news.bbc.co.uk/2/hi/africa/8329984.stm;</w:t>
      </w:r>
      <w:r w:rsidRPr="005319EA">
        <w:t xml:space="preserve"> </w:t>
      </w:r>
      <w:r w:rsidR="00AF3BAB" w:rsidRPr="005319EA">
        <w:t xml:space="preserve">Dechlan Brennan, </w:t>
      </w:r>
      <w:r w:rsidRPr="005319EA">
        <w:rPr>
          <w:i/>
          <w:iCs/>
        </w:rPr>
        <w:t>2 State Governments in Australia Block UN Visits to Prisons</w:t>
      </w:r>
      <w:r w:rsidR="00AF3BAB" w:rsidRPr="005319EA">
        <w:t xml:space="preserve">, </w:t>
      </w:r>
      <w:r w:rsidRPr="005319EA">
        <w:rPr>
          <w:smallCaps/>
        </w:rPr>
        <w:t>The Diplomat</w:t>
      </w:r>
      <w:r w:rsidR="00AF3BAB" w:rsidRPr="005319EA">
        <w:t xml:space="preserve"> (Nov. 19, 2022), </w:t>
      </w:r>
      <w:r w:rsidR="00347C17" w:rsidRPr="005319EA">
        <w:t>https://thediplomat.com/2022/11/2-state-governments-in-australia-block-un-visits-to-prisons</w:t>
      </w:r>
      <w:r w:rsidRPr="005319EA">
        <w:t xml:space="preserve">; </w:t>
      </w:r>
      <w:r w:rsidR="00AF3BAB" w:rsidRPr="005319EA">
        <w:t xml:space="preserve">Mike Ives, </w:t>
      </w:r>
      <w:r w:rsidR="00AF3BAB" w:rsidRPr="005319EA">
        <w:rPr>
          <w:i/>
          <w:iCs/>
        </w:rPr>
        <w:t>Myanmar Vows to Block U.N. Investigators From Entering</w:t>
      </w:r>
      <w:r w:rsidR="00AF3BAB" w:rsidRPr="005319EA">
        <w:t xml:space="preserve">, </w:t>
      </w:r>
      <w:r w:rsidR="00AF3BAB" w:rsidRPr="005319EA">
        <w:rPr>
          <w:smallCaps/>
        </w:rPr>
        <w:t xml:space="preserve">N.Y. Times </w:t>
      </w:r>
      <w:r w:rsidR="00AF3BAB" w:rsidRPr="005319EA">
        <w:t>(June 30, 2017), https://www.nytimes.com/2017/06/30/world/asia/myanmar-united-nations-rohingya.html.</w:t>
      </w:r>
    </w:p>
  </w:footnote>
  <w:footnote w:id="198">
    <w:p w14:paraId="0242ED30" w14:textId="6F0A27D6" w:rsidR="001F3A4F" w:rsidRPr="005319EA" w:rsidRDefault="001F3A4F" w:rsidP="001C756C">
      <w:pPr>
        <w:pStyle w:val="FootnoteText"/>
        <w:jc w:val="both"/>
      </w:pPr>
      <w:r w:rsidRPr="005319EA">
        <w:rPr>
          <w:rStyle w:val="FootnoteReference"/>
        </w:rPr>
        <w:footnoteRef/>
      </w:r>
      <w:r w:rsidRPr="005319EA">
        <w:t xml:space="preserve"> </w:t>
      </w:r>
      <w:r w:rsidRPr="005319EA">
        <w:rPr>
          <w:i/>
          <w:iCs/>
        </w:rPr>
        <w:t>Supra</w:t>
      </w:r>
      <w:r w:rsidRPr="005319EA">
        <w:t xml:space="preserve"> II</w:t>
      </w:r>
      <w:r w:rsidR="00967910" w:rsidRPr="005319EA">
        <w:t>(</w:t>
      </w:r>
      <w:r w:rsidRPr="005319EA">
        <w:t>A</w:t>
      </w:r>
      <w:r w:rsidR="00967910" w:rsidRPr="005319EA">
        <w:t>)(</w:t>
      </w:r>
      <w:r w:rsidRPr="005319EA">
        <w:t>1</w:t>
      </w:r>
      <w:r w:rsidR="00967910" w:rsidRPr="005319EA">
        <w:t>).</w:t>
      </w:r>
      <w:r w:rsidRPr="005319EA">
        <w:t xml:space="preserve"> </w:t>
      </w:r>
      <w:r w:rsidRPr="005319EA">
        <w:rPr>
          <w:i/>
          <w:iCs/>
        </w:rPr>
        <w:t>See also</w:t>
      </w:r>
      <w:r w:rsidRPr="005319EA">
        <w:t xml:space="preserve"> </w:t>
      </w:r>
      <w:r w:rsidR="00AF3BAB" w:rsidRPr="005319EA">
        <w:rPr>
          <w:rStyle w:val="normaltextrun"/>
          <w:shd w:val="clear" w:color="auto" w:fill="FFFFFF"/>
        </w:rPr>
        <w:t>Military and Paramilitary Activities</w:t>
      </w:r>
      <w:r w:rsidR="00921CAE" w:rsidRPr="005319EA">
        <w:rPr>
          <w:rStyle w:val="normaltextrun"/>
          <w:shd w:val="clear" w:color="auto" w:fill="FFFFFF"/>
        </w:rPr>
        <w:t xml:space="preserve">, </w:t>
      </w:r>
      <w:r w:rsidR="00921CAE" w:rsidRPr="005319EA">
        <w:rPr>
          <w:rStyle w:val="normaltextrun"/>
          <w:i/>
          <w:iCs/>
          <w:shd w:val="clear" w:color="auto" w:fill="FFFFFF"/>
        </w:rPr>
        <w:t>supra</w:t>
      </w:r>
      <w:r w:rsidR="00E10E56" w:rsidRPr="005319EA">
        <w:rPr>
          <w:rStyle w:val="normaltextrun"/>
          <w:shd w:val="clear" w:color="auto" w:fill="FFFFFF"/>
        </w:rPr>
        <w:t xml:space="preserve"> note 47</w:t>
      </w:r>
      <w:r w:rsidR="00921CAE" w:rsidRPr="005319EA">
        <w:rPr>
          <w:rStyle w:val="normaltextrun"/>
          <w:shd w:val="clear" w:color="auto" w:fill="FFFFFF"/>
        </w:rPr>
        <w:t xml:space="preserve">, </w:t>
      </w:r>
      <w:r w:rsidR="00971AB7" w:rsidRPr="005319EA">
        <w:t>¶</w:t>
      </w:r>
      <w:r w:rsidR="004318F7" w:rsidRPr="005319EA">
        <w:rPr>
          <w:rFonts w:eastAsia="Calibri"/>
        </w:rPr>
        <w:t xml:space="preserve"> </w:t>
      </w:r>
      <w:r w:rsidR="00921CAE" w:rsidRPr="005319EA">
        <w:rPr>
          <w:rStyle w:val="normaltextrun"/>
          <w:shd w:val="clear" w:color="auto" w:fill="FFFFFF"/>
        </w:rPr>
        <w:t>276</w:t>
      </w:r>
      <w:r w:rsidRPr="005319EA">
        <w:rPr>
          <w:rStyle w:val="normaltextrun"/>
          <w:shd w:val="clear" w:color="auto" w:fill="FFFFFF"/>
        </w:rPr>
        <w:t xml:space="preserve">. See also </w:t>
      </w:r>
      <w:r w:rsidR="00AF3BAB" w:rsidRPr="005319EA">
        <w:rPr>
          <w:rStyle w:val="normaltextrun"/>
          <w:shd w:val="clear" w:color="auto" w:fill="FFFFFF"/>
        </w:rPr>
        <w:t xml:space="preserve">Armed Activities on the Territory of the Congo (Dem. Rep. Congo v. Uganda), Judgment (Merits) 2005 I.C.J. Rep. 168, </w:t>
      </w:r>
      <w:r w:rsidR="004318F7" w:rsidRPr="005319EA">
        <w:rPr>
          <w:rFonts w:eastAsia="Calibri"/>
        </w:rPr>
        <w:t xml:space="preserve">para. </w:t>
      </w:r>
      <w:r w:rsidR="00AF3BAB" w:rsidRPr="005319EA">
        <w:rPr>
          <w:rStyle w:val="normaltextrun"/>
          <w:shd w:val="clear" w:color="auto" w:fill="FFFFFF"/>
        </w:rPr>
        <w:t xml:space="preserve">164 </w:t>
      </w:r>
      <w:r w:rsidRPr="005319EA">
        <w:rPr>
          <w:rStyle w:val="normaltextrun"/>
        </w:rPr>
        <w:t>(</w:t>
      </w:r>
      <w:r w:rsidR="00AF3BAB" w:rsidRPr="005319EA">
        <w:rPr>
          <w:rStyle w:val="normaltextrun"/>
        </w:rPr>
        <w:t>Dec. 19</w:t>
      </w:r>
      <w:r w:rsidRPr="005319EA">
        <w:rPr>
          <w:rStyle w:val="normaltextrun"/>
        </w:rPr>
        <w:t>)</w:t>
      </w:r>
      <w:r w:rsidR="00AF3BAB" w:rsidRPr="005319EA">
        <w:rPr>
          <w:rStyle w:val="normaltextrun"/>
        </w:rPr>
        <w:t>.</w:t>
      </w:r>
    </w:p>
  </w:footnote>
  <w:footnote w:id="199">
    <w:p w14:paraId="5C91F4EC" w14:textId="7486B63D" w:rsidR="001F3A4F" w:rsidRPr="005319EA" w:rsidRDefault="001F3A4F" w:rsidP="001C756C">
      <w:pPr>
        <w:pStyle w:val="FootnoteText"/>
        <w:jc w:val="both"/>
      </w:pPr>
      <w:r w:rsidRPr="005319EA">
        <w:rPr>
          <w:rStyle w:val="FootnoteReference"/>
        </w:rPr>
        <w:footnoteRef/>
      </w:r>
      <w:r w:rsidRPr="005319EA">
        <w:t xml:space="preserve"> </w:t>
      </w:r>
      <w:r w:rsidR="00AF3BAB" w:rsidRPr="005319EA">
        <w:rPr>
          <w:rStyle w:val="normaltextrun"/>
          <w:shd w:val="clear" w:color="auto" w:fill="FFFFFF"/>
        </w:rPr>
        <w:t xml:space="preserve">Military and Paramilitary Activities, </w:t>
      </w:r>
      <w:r w:rsidR="00AF3BAB" w:rsidRPr="005319EA">
        <w:rPr>
          <w:rStyle w:val="normaltextrun"/>
          <w:i/>
          <w:iCs/>
          <w:shd w:val="clear" w:color="auto" w:fill="FFFFFF"/>
        </w:rPr>
        <w:t xml:space="preserve">supra </w:t>
      </w:r>
      <w:r w:rsidR="00AF3BAB" w:rsidRPr="005319EA">
        <w:rPr>
          <w:rStyle w:val="normaltextrun"/>
          <w:shd w:val="clear" w:color="auto" w:fill="FFFFFF"/>
        </w:rPr>
        <w:t xml:space="preserve">note </w:t>
      </w:r>
      <w:r w:rsidR="00921CAE" w:rsidRPr="005319EA">
        <w:rPr>
          <w:rStyle w:val="normaltextrun"/>
          <w:shd w:val="clear" w:color="auto" w:fill="FFFFFF"/>
        </w:rPr>
        <w:t>47,</w:t>
      </w:r>
      <w:r w:rsidR="00AF3BAB" w:rsidRPr="005319EA">
        <w:rPr>
          <w:rStyle w:val="normaltextrun"/>
          <w:shd w:val="clear" w:color="auto" w:fill="FFFFFF"/>
        </w:rPr>
        <w:t xml:space="preserve"> </w:t>
      </w:r>
      <w:r w:rsidR="00971AB7" w:rsidRPr="005319EA">
        <w:t xml:space="preserve">¶¶ </w:t>
      </w:r>
      <w:r w:rsidRPr="005319EA">
        <w:rPr>
          <w:rStyle w:val="normaltextrun"/>
          <w:shd w:val="clear" w:color="auto" w:fill="FFFFFF"/>
        </w:rPr>
        <w:t>202, 205</w:t>
      </w:r>
      <w:r w:rsidR="00AF3BAB" w:rsidRPr="005319EA">
        <w:rPr>
          <w:rStyle w:val="normaltextrun"/>
          <w:shd w:val="clear" w:color="auto" w:fill="FFFFFF"/>
        </w:rPr>
        <w:t>.</w:t>
      </w:r>
    </w:p>
  </w:footnote>
  <w:footnote w:id="200">
    <w:p w14:paraId="666DDB33" w14:textId="1F053997" w:rsidR="001F3A4F" w:rsidRPr="005319EA" w:rsidRDefault="001F3A4F" w:rsidP="001C756C">
      <w:pPr>
        <w:pStyle w:val="FootnoteText"/>
        <w:jc w:val="both"/>
      </w:pPr>
      <w:r w:rsidRPr="005319EA">
        <w:rPr>
          <w:rStyle w:val="FootnoteReference"/>
        </w:rPr>
        <w:footnoteRef/>
      </w:r>
      <w:r w:rsidRPr="005319EA">
        <w:t xml:space="preserve"> </w:t>
      </w:r>
      <w:r w:rsidR="00967910" w:rsidRPr="005319EA">
        <w:rPr>
          <w:rStyle w:val="normaltextrun"/>
          <w:i/>
          <w:iCs/>
          <w:shd w:val="clear" w:color="auto" w:fill="FFFFFF"/>
        </w:rPr>
        <w:t>Id</w:t>
      </w:r>
      <w:r w:rsidR="00967910" w:rsidRPr="005319EA">
        <w:rPr>
          <w:rStyle w:val="normaltextrun"/>
          <w:shd w:val="clear" w:color="auto" w:fill="FFFFFF"/>
        </w:rPr>
        <w:t xml:space="preserve">. at </w:t>
      </w:r>
      <w:r w:rsidRPr="005319EA">
        <w:rPr>
          <w:rStyle w:val="normaltextrun"/>
          <w:shd w:val="clear" w:color="auto" w:fill="FFFFFF"/>
        </w:rPr>
        <w:t>242</w:t>
      </w:r>
      <w:r w:rsidR="00967910" w:rsidRPr="005319EA">
        <w:rPr>
          <w:rStyle w:val="normaltextrun"/>
          <w:shd w:val="clear" w:color="auto" w:fill="FFFFFF"/>
        </w:rPr>
        <w:t>.</w:t>
      </w:r>
    </w:p>
  </w:footnote>
  <w:footnote w:id="201">
    <w:p w14:paraId="1F7F1FBA" w14:textId="0B2F0C8F" w:rsidR="001F3A4F" w:rsidRPr="005319EA" w:rsidRDefault="001F3A4F" w:rsidP="001C756C">
      <w:pPr>
        <w:pStyle w:val="FootnoteText"/>
        <w:jc w:val="both"/>
      </w:pPr>
      <w:r w:rsidRPr="005319EA">
        <w:rPr>
          <w:rStyle w:val="FootnoteReference"/>
        </w:rPr>
        <w:footnoteRef/>
      </w:r>
      <w:r w:rsidRPr="005319EA">
        <w:t xml:space="preserve"> Compromis</w:t>
      </w:r>
      <w:r w:rsidR="004318F7" w:rsidRPr="005319EA">
        <w:t>,</w:t>
      </w:r>
      <w:r w:rsidR="004318F7" w:rsidRPr="005319EA">
        <w:rPr>
          <w:rFonts w:eastAsia="Calibri"/>
        </w:rPr>
        <w:t xml:space="preserve"> paras. </w:t>
      </w:r>
      <w:r w:rsidRPr="005319EA">
        <w:t>50, 59</w:t>
      </w:r>
      <w:r w:rsidR="00D33334" w:rsidRPr="005319EA">
        <w:t>.</w:t>
      </w:r>
    </w:p>
  </w:footnote>
  <w:footnote w:id="202">
    <w:p w14:paraId="6AF0E122" w14:textId="27018EA9" w:rsidR="001F3A4F" w:rsidRPr="005319EA" w:rsidRDefault="001F3A4F" w:rsidP="001C756C">
      <w:pPr>
        <w:pStyle w:val="FootnoteText"/>
        <w:jc w:val="both"/>
      </w:pPr>
      <w:r w:rsidRPr="005319EA">
        <w:rPr>
          <w:rStyle w:val="FootnoteReference"/>
        </w:rPr>
        <w:footnoteRef/>
      </w:r>
      <w:r w:rsidRPr="005319EA">
        <w:t xml:space="preserve"> Compromis</w:t>
      </w:r>
      <w:r w:rsidR="004318F7" w:rsidRPr="005319EA">
        <w:t>,</w:t>
      </w:r>
      <w:r w:rsidR="004318F7" w:rsidRPr="005319EA">
        <w:rPr>
          <w:rFonts w:eastAsia="Calibri"/>
        </w:rPr>
        <w:t xml:space="preserve"> para. </w:t>
      </w:r>
      <w:r w:rsidRPr="005319EA">
        <w:t>59</w:t>
      </w:r>
      <w:r w:rsidR="00D33334" w:rsidRPr="005319EA">
        <w:t>.</w:t>
      </w:r>
    </w:p>
  </w:footnote>
  <w:footnote w:id="203">
    <w:p w14:paraId="35F9C8E4" w14:textId="01CAB287" w:rsidR="001F3A4F" w:rsidRPr="005319EA" w:rsidRDefault="001F3A4F" w:rsidP="001C756C">
      <w:pPr>
        <w:pStyle w:val="FootnoteText"/>
        <w:jc w:val="both"/>
      </w:pPr>
      <w:r w:rsidRPr="005319EA">
        <w:rPr>
          <w:rStyle w:val="FootnoteReference"/>
        </w:rPr>
        <w:footnoteRef/>
      </w:r>
      <w:r w:rsidRPr="005319EA">
        <w:t xml:space="preserve"> Compromis</w:t>
      </w:r>
      <w:r w:rsidR="004318F7" w:rsidRPr="005319EA">
        <w:t>,</w:t>
      </w:r>
      <w:r w:rsidR="004318F7" w:rsidRPr="005319EA">
        <w:rPr>
          <w:rFonts w:eastAsia="Calibri"/>
        </w:rPr>
        <w:t xml:space="preserve"> paras. </w:t>
      </w:r>
      <w:r w:rsidRPr="005319EA">
        <w:t>35,</w:t>
      </w:r>
      <w:r w:rsidR="00E10E56" w:rsidRPr="005319EA">
        <w:t xml:space="preserve"> </w:t>
      </w:r>
      <w:r w:rsidRPr="005319EA">
        <w:t>49</w:t>
      </w:r>
      <w:r w:rsidR="00D33334" w:rsidRPr="005319EA">
        <w:t>.</w:t>
      </w:r>
    </w:p>
  </w:footnote>
  <w:footnote w:id="204">
    <w:p w14:paraId="4A9CB01D" w14:textId="582FA34F" w:rsidR="001F3A4F" w:rsidRPr="005319EA" w:rsidRDefault="001F3A4F" w:rsidP="001C756C">
      <w:pPr>
        <w:pStyle w:val="FootnoteText"/>
        <w:jc w:val="both"/>
      </w:pPr>
      <w:r w:rsidRPr="005319EA">
        <w:rPr>
          <w:rStyle w:val="FootnoteReference"/>
        </w:rPr>
        <w:footnoteRef/>
      </w:r>
      <w:r w:rsidRPr="005319EA">
        <w:t xml:space="preserve"> Compromis</w:t>
      </w:r>
      <w:r w:rsidR="004318F7" w:rsidRPr="005319EA">
        <w:t>,</w:t>
      </w:r>
      <w:r w:rsidR="004318F7" w:rsidRPr="005319EA">
        <w:rPr>
          <w:rFonts w:eastAsia="Calibri"/>
        </w:rPr>
        <w:t xml:space="preserve"> paras. </w:t>
      </w:r>
      <w:r w:rsidRPr="005319EA">
        <w:t>35, 49</w:t>
      </w:r>
      <w:r w:rsidR="00D33334" w:rsidRPr="005319EA">
        <w:t>.</w:t>
      </w:r>
    </w:p>
  </w:footnote>
  <w:footnote w:id="205">
    <w:p w14:paraId="781D27D7" w14:textId="041B5A5C" w:rsidR="001F3A4F" w:rsidRPr="005319EA" w:rsidRDefault="001F3A4F" w:rsidP="001C756C">
      <w:pPr>
        <w:pStyle w:val="FootnoteText"/>
        <w:jc w:val="both"/>
        <w:rPr>
          <w:lang w:val="it-IT"/>
        </w:rPr>
      </w:pPr>
      <w:r w:rsidRPr="005319EA">
        <w:rPr>
          <w:rStyle w:val="FootnoteReference"/>
        </w:rPr>
        <w:footnoteRef/>
      </w:r>
      <w:r w:rsidRPr="005319EA">
        <w:t xml:space="preserve"> </w:t>
      </w:r>
      <w:r w:rsidR="00967910" w:rsidRPr="005319EA">
        <w:t xml:space="preserve">Press Release, UNSC, Security Council Rejects Text to Investigate Complaint Concerning Non-Compliance of Biological Weapons Convention by Ukraine, United States, </w:t>
      </w:r>
      <w:r w:rsidR="009525F3" w:rsidRPr="005319EA">
        <w:t xml:space="preserve">UN Doc. </w:t>
      </w:r>
      <w:r w:rsidR="00967910" w:rsidRPr="005319EA">
        <w:rPr>
          <w:lang w:val="it-IT"/>
        </w:rPr>
        <w:t>SC/15095 (Nov. 2, 2022)</w:t>
      </w:r>
      <w:r w:rsidRPr="005319EA">
        <w:rPr>
          <w:lang w:val="it-IT"/>
        </w:rPr>
        <w:t>.</w:t>
      </w:r>
    </w:p>
  </w:footnote>
  <w:footnote w:id="206">
    <w:p w14:paraId="118E651C" w14:textId="3698E55E"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4318F7" w:rsidRPr="005319EA">
        <w:rPr>
          <w:lang w:val="it-IT"/>
        </w:rPr>
        <w:t>,</w:t>
      </w:r>
      <w:r w:rsidR="004318F7" w:rsidRPr="005319EA">
        <w:rPr>
          <w:rFonts w:eastAsia="Calibri"/>
          <w:lang w:val="it-IT"/>
        </w:rPr>
        <w:t xml:space="preserve"> para. </w:t>
      </w:r>
      <w:r w:rsidRPr="005319EA">
        <w:rPr>
          <w:lang w:val="it-IT"/>
        </w:rPr>
        <w:t>39</w:t>
      </w:r>
      <w:r w:rsidR="00D33334" w:rsidRPr="005319EA">
        <w:rPr>
          <w:lang w:val="it-IT"/>
        </w:rPr>
        <w:t>.</w:t>
      </w:r>
    </w:p>
  </w:footnote>
  <w:footnote w:id="207">
    <w:p w14:paraId="1EC99C58" w14:textId="6DFF3AEF"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Compromis</w:t>
      </w:r>
      <w:r w:rsidR="004318F7" w:rsidRPr="005319EA">
        <w:rPr>
          <w:lang w:val="it-IT"/>
        </w:rPr>
        <w:t>,</w:t>
      </w:r>
      <w:r w:rsidR="004318F7" w:rsidRPr="005319EA">
        <w:rPr>
          <w:rFonts w:eastAsia="Calibri"/>
          <w:lang w:val="it-IT"/>
        </w:rPr>
        <w:t xml:space="preserve"> paras. </w:t>
      </w:r>
      <w:r w:rsidRPr="005319EA">
        <w:rPr>
          <w:lang w:val="it-IT"/>
        </w:rPr>
        <w:t xml:space="preserve">3,4, 36, 50, 59; Annex A. </w:t>
      </w:r>
      <w:r w:rsidR="000921A2" w:rsidRPr="005319EA">
        <w:rPr>
          <w:lang w:val="it-IT"/>
        </w:rPr>
        <w:t>pmbl.</w:t>
      </w:r>
    </w:p>
  </w:footnote>
  <w:footnote w:id="208">
    <w:p w14:paraId="377FA626" w14:textId="4908EFB6" w:rsidR="001F3A4F" w:rsidRPr="005319EA" w:rsidRDefault="001F3A4F" w:rsidP="001C756C">
      <w:pPr>
        <w:pStyle w:val="FootnoteText"/>
        <w:jc w:val="both"/>
        <w:rPr>
          <w:lang w:val="it-IT"/>
        </w:rPr>
      </w:pPr>
      <w:r w:rsidRPr="005319EA">
        <w:rPr>
          <w:rStyle w:val="FootnoteReference"/>
        </w:rPr>
        <w:footnoteRef/>
      </w:r>
      <w:r w:rsidRPr="005319EA">
        <w:rPr>
          <w:lang w:val="it-IT"/>
        </w:rPr>
        <w:t xml:space="preserve"> </w:t>
      </w:r>
      <w:r w:rsidR="00E10E56" w:rsidRPr="005319EA">
        <w:rPr>
          <w:i/>
          <w:iCs/>
          <w:lang w:val="it-IT"/>
        </w:rPr>
        <w:t>S</w:t>
      </w:r>
      <w:r w:rsidRPr="005319EA">
        <w:rPr>
          <w:i/>
          <w:iCs/>
          <w:lang w:val="it-IT"/>
        </w:rPr>
        <w:t>upra</w:t>
      </w:r>
      <w:r w:rsidR="00E10E56" w:rsidRPr="005319EA">
        <w:rPr>
          <w:i/>
          <w:iCs/>
          <w:lang w:val="it-IT"/>
        </w:rPr>
        <w:t xml:space="preserve"> </w:t>
      </w:r>
      <w:r w:rsidR="00E10E56" w:rsidRPr="005319EA">
        <w:rPr>
          <w:lang w:val="it-IT"/>
        </w:rPr>
        <w:t>II(B)(3)(a).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811"/>
    <w:multiLevelType w:val="hybridMultilevel"/>
    <w:tmpl w:val="E0A22612"/>
    <w:lvl w:ilvl="0" w:tplc="2CFE8B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94F5B"/>
    <w:multiLevelType w:val="hybridMultilevel"/>
    <w:tmpl w:val="AE1E6496"/>
    <w:lvl w:ilvl="0" w:tplc="21481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874367"/>
    <w:multiLevelType w:val="hybridMultilevel"/>
    <w:tmpl w:val="E33876A4"/>
    <w:lvl w:ilvl="0" w:tplc="081091B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934F3"/>
    <w:multiLevelType w:val="hybridMultilevel"/>
    <w:tmpl w:val="DD50DE38"/>
    <w:lvl w:ilvl="0" w:tplc="3DF6911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E1726D"/>
    <w:multiLevelType w:val="hybridMultilevel"/>
    <w:tmpl w:val="F320DCFC"/>
    <w:lvl w:ilvl="0" w:tplc="5CCC6B6C">
      <w:start w:val="1"/>
      <w:numFmt w:val="upperLetter"/>
      <w:pStyle w:val="TOC2"/>
      <w:lvlText w:val="%1."/>
      <w:lvlJc w:val="left"/>
      <w:pPr>
        <w:ind w:left="1440" w:hanging="360"/>
      </w:pPr>
      <w:rPr>
        <w:rFonts w:eastAsia="Times New Roman" w:hint="default"/>
        <w:color w:val="auto"/>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B81FF6"/>
    <w:multiLevelType w:val="multilevel"/>
    <w:tmpl w:val="D11E1EAA"/>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bCs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B8676D"/>
    <w:multiLevelType w:val="multilevel"/>
    <w:tmpl w:val="3B16130C"/>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val="0"/>
      </w:rPr>
    </w:lvl>
    <w:lvl w:ilvl="3">
      <w:start w:val="1"/>
      <w:numFmt w:val="lowerLetter"/>
      <w:pStyle w:val="Heading4"/>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3508ED"/>
    <w:multiLevelType w:val="multilevel"/>
    <w:tmpl w:val="D204597A"/>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pStyle w:val="Heading3"/>
      <w:lvlText w:val="%3."/>
      <w:lvlJc w:val="right"/>
      <w:pPr>
        <w:ind w:left="2160" w:hanging="180"/>
      </w:pPr>
      <w:rPr>
        <w:rFonts w:ascii="Times New Roman" w:eastAsia="Times New Roman" w:hAnsi="Times New Roman" w:cs="Times New Roman"/>
        <w:b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4A1E8C"/>
    <w:multiLevelType w:val="multilevel"/>
    <w:tmpl w:val="B400156E"/>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bCs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FE5E3F"/>
    <w:multiLevelType w:val="hybridMultilevel"/>
    <w:tmpl w:val="16CA8BD6"/>
    <w:lvl w:ilvl="0" w:tplc="80526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6E0427"/>
    <w:multiLevelType w:val="hybridMultilevel"/>
    <w:tmpl w:val="F6526CCC"/>
    <w:lvl w:ilvl="0" w:tplc="1FA8B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B25085"/>
    <w:multiLevelType w:val="multilevel"/>
    <w:tmpl w:val="D69809C8"/>
    <w:lvl w:ilvl="0">
      <w:start w:val="1"/>
      <w:numFmt w:val="upperRoman"/>
      <w:lvlText w:val="%1."/>
      <w:lvlJc w:val="righ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212F9"/>
    <w:multiLevelType w:val="multilevel"/>
    <w:tmpl w:val="61820CCC"/>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bCs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5F776B"/>
    <w:multiLevelType w:val="hybridMultilevel"/>
    <w:tmpl w:val="15F23864"/>
    <w:lvl w:ilvl="0" w:tplc="3AF05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F505FF"/>
    <w:multiLevelType w:val="hybridMultilevel"/>
    <w:tmpl w:val="EDBCCDEA"/>
    <w:lvl w:ilvl="0" w:tplc="E702D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FD579E"/>
    <w:multiLevelType w:val="multilevel"/>
    <w:tmpl w:val="D69809C8"/>
    <w:lvl w:ilvl="0">
      <w:start w:val="1"/>
      <w:numFmt w:val="upperRoman"/>
      <w:lvlText w:val="%1."/>
      <w:lvlJc w:val="righ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B5202"/>
    <w:multiLevelType w:val="hybridMultilevel"/>
    <w:tmpl w:val="E2C89588"/>
    <w:lvl w:ilvl="0" w:tplc="426ED5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F142D"/>
    <w:multiLevelType w:val="hybridMultilevel"/>
    <w:tmpl w:val="B4F013A4"/>
    <w:lvl w:ilvl="0" w:tplc="496E8EE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361CC4"/>
    <w:multiLevelType w:val="hybridMultilevel"/>
    <w:tmpl w:val="A45E23AE"/>
    <w:lvl w:ilvl="0" w:tplc="F9BAE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512A03"/>
    <w:multiLevelType w:val="hybridMultilevel"/>
    <w:tmpl w:val="56A4587A"/>
    <w:lvl w:ilvl="0" w:tplc="99666732">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1E3D10"/>
    <w:multiLevelType w:val="multilevel"/>
    <w:tmpl w:val="224891CE"/>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FA4DA1"/>
    <w:multiLevelType w:val="multilevel"/>
    <w:tmpl w:val="179E572E"/>
    <w:lvl w:ilvl="0">
      <w:start w:val="1"/>
      <w:numFmt w:val="upperRoman"/>
      <w:lvlText w:val="%1."/>
      <w:lvlJc w:val="right"/>
      <w:pPr>
        <w:ind w:left="72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Times New Roman" w:hAnsi="Times New Roman" w:cs="Times New Roman"/>
        <w:b/>
        <w:bCs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Roman"/>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775721">
    <w:abstractNumId w:val="8"/>
  </w:num>
  <w:num w:numId="2" w16cid:durableId="303782285">
    <w:abstractNumId w:val="8"/>
    <w:lvlOverride w:ilvl="0">
      <w:startOverride w:val="1"/>
    </w:lvlOverride>
    <w:lvlOverride w:ilvl="1">
      <w:startOverride w:val="1"/>
    </w:lvlOverride>
    <w:lvlOverride w:ilvl="2">
      <w:startOverride w:val="3"/>
    </w:lvlOverride>
  </w:num>
  <w:num w:numId="3" w16cid:durableId="1886022342">
    <w:abstractNumId w:val="12"/>
  </w:num>
  <w:num w:numId="4" w16cid:durableId="1484816226">
    <w:abstractNumId w:val="20"/>
  </w:num>
  <w:num w:numId="5" w16cid:durableId="775291084">
    <w:abstractNumId w:val="7"/>
  </w:num>
  <w:num w:numId="6" w16cid:durableId="173812297">
    <w:abstractNumId w:val="6"/>
  </w:num>
  <w:num w:numId="7" w16cid:durableId="1497694397">
    <w:abstractNumId w:val="5"/>
  </w:num>
  <w:num w:numId="8" w16cid:durableId="202350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957359">
    <w:abstractNumId w:val="21"/>
  </w:num>
  <w:num w:numId="10" w16cid:durableId="2115204154">
    <w:abstractNumId w:val="2"/>
  </w:num>
  <w:num w:numId="11" w16cid:durableId="966164427">
    <w:abstractNumId w:val="11"/>
  </w:num>
  <w:num w:numId="12" w16cid:durableId="1120685533">
    <w:abstractNumId w:val="15"/>
  </w:num>
  <w:num w:numId="13" w16cid:durableId="1697611578">
    <w:abstractNumId w:val="16"/>
  </w:num>
  <w:num w:numId="14" w16cid:durableId="722338369">
    <w:abstractNumId w:val="3"/>
  </w:num>
  <w:num w:numId="15" w16cid:durableId="1507286735">
    <w:abstractNumId w:val="18"/>
  </w:num>
  <w:num w:numId="16" w16cid:durableId="811022423">
    <w:abstractNumId w:val="10"/>
  </w:num>
  <w:num w:numId="17" w16cid:durableId="1997294430">
    <w:abstractNumId w:val="0"/>
  </w:num>
  <w:num w:numId="18" w16cid:durableId="394865362">
    <w:abstractNumId w:val="19"/>
  </w:num>
  <w:num w:numId="19" w16cid:durableId="898633074">
    <w:abstractNumId w:val="1"/>
  </w:num>
  <w:num w:numId="20" w16cid:durableId="683287004">
    <w:abstractNumId w:val="17"/>
  </w:num>
  <w:num w:numId="21" w16cid:durableId="1972247254">
    <w:abstractNumId w:val="9"/>
  </w:num>
  <w:num w:numId="22" w16cid:durableId="1573466952">
    <w:abstractNumId w:val="4"/>
  </w:num>
  <w:num w:numId="23" w16cid:durableId="857353983">
    <w:abstractNumId w:val="13"/>
  </w:num>
  <w:num w:numId="24" w16cid:durableId="48936534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xMDAztTQ0Mzc3MTNX0lEKTi0uzszPAykwqQUAix/BtiwAAAA="/>
  </w:docVars>
  <w:rsids>
    <w:rsidRoot w:val="00CA4105"/>
    <w:rsid w:val="00001DF0"/>
    <w:rsid w:val="00003E72"/>
    <w:rsid w:val="000053CF"/>
    <w:rsid w:val="00013C43"/>
    <w:rsid w:val="00014C3D"/>
    <w:rsid w:val="00015F86"/>
    <w:rsid w:val="00020879"/>
    <w:rsid w:val="0002384C"/>
    <w:rsid w:val="0002474C"/>
    <w:rsid w:val="0002655B"/>
    <w:rsid w:val="000270DA"/>
    <w:rsid w:val="0003344F"/>
    <w:rsid w:val="000336B9"/>
    <w:rsid w:val="0003384A"/>
    <w:rsid w:val="00033D1F"/>
    <w:rsid w:val="00035615"/>
    <w:rsid w:val="000379FB"/>
    <w:rsid w:val="00040FE2"/>
    <w:rsid w:val="00041583"/>
    <w:rsid w:val="00041954"/>
    <w:rsid w:val="00042BC2"/>
    <w:rsid w:val="0004335D"/>
    <w:rsid w:val="000457C8"/>
    <w:rsid w:val="000464F3"/>
    <w:rsid w:val="000470ED"/>
    <w:rsid w:val="00047358"/>
    <w:rsid w:val="00047E80"/>
    <w:rsid w:val="00051917"/>
    <w:rsid w:val="00051C23"/>
    <w:rsid w:val="00051CA5"/>
    <w:rsid w:val="00055009"/>
    <w:rsid w:val="00057451"/>
    <w:rsid w:val="000602E2"/>
    <w:rsid w:val="00062F71"/>
    <w:rsid w:val="00070E62"/>
    <w:rsid w:val="0008152C"/>
    <w:rsid w:val="00081E30"/>
    <w:rsid w:val="00082253"/>
    <w:rsid w:val="00083423"/>
    <w:rsid w:val="0008355B"/>
    <w:rsid w:val="00084702"/>
    <w:rsid w:val="00085711"/>
    <w:rsid w:val="00086667"/>
    <w:rsid w:val="00087612"/>
    <w:rsid w:val="00090371"/>
    <w:rsid w:val="00090E46"/>
    <w:rsid w:val="00092061"/>
    <w:rsid w:val="000921A2"/>
    <w:rsid w:val="00095F54"/>
    <w:rsid w:val="0009692C"/>
    <w:rsid w:val="00097B9B"/>
    <w:rsid w:val="000A30FD"/>
    <w:rsid w:val="000A3D60"/>
    <w:rsid w:val="000A41F6"/>
    <w:rsid w:val="000A5BF7"/>
    <w:rsid w:val="000A648E"/>
    <w:rsid w:val="000A6747"/>
    <w:rsid w:val="000B19BA"/>
    <w:rsid w:val="000B3248"/>
    <w:rsid w:val="000B3F53"/>
    <w:rsid w:val="000B5A8E"/>
    <w:rsid w:val="000B5D34"/>
    <w:rsid w:val="000B61A0"/>
    <w:rsid w:val="000B6201"/>
    <w:rsid w:val="000C2FB2"/>
    <w:rsid w:val="000C46FD"/>
    <w:rsid w:val="000C719C"/>
    <w:rsid w:val="000D047B"/>
    <w:rsid w:val="000D3B4F"/>
    <w:rsid w:val="000D5F65"/>
    <w:rsid w:val="000D7751"/>
    <w:rsid w:val="000E0C6E"/>
    <w:rsid w:val="000E102A"/>
    <w:rsid w:val="000E1A8F"/>
    <w:rsid w:val="000E1CC1"/>
    <w:rsid w:val="000E2DB3"/>
    <w:rsid w:val="000E2FF8"/>
    <w:rsid w:val="000E30C2"/>
    <w:rsid w:val="000E5005"/>
    <w:rsid w:val="000E52BB"/>
    <w:rsid w:val="000E5558"/>
    <w:rsid w:val="000E7E07"/>
    <w:rsid w:val="000E7FFA"/>
    <w:rsid w:val="000F2DE5"/>
    <w:rsid w:val="000F2EF9"/>
    <w:rsid w:val="000F40D8"/>
    <w:rsid w:val="000F40F2"/>
    <w:rsid w:val="000F46C6"/>
    <w:rsid w:val="000F5004"/>
    <w:rsid w:val="000F5875"/>
    <w:rsid w:val="000F6D97"/>
    <w:rsid w:val="00100C81"/>
    <w:rsid w:val="0010421C"/>
    <w:rsid w:val="00110956"/>
    <w:rsid w:val="00110C78"/>
    <w:rsid w:val="001118B0"/>
    <w:rsid w:val="00112755"/>
    <w:rsid w:val="001132F4"/>
    <w:rsid w:val="001148FE"/>
    <w:rsid w:val="0011790D"/>
    <w:rsid w:val="00121A57"/>
    <w:rsid w:val="00121B5C"/>
    <w:rsid w:val="00122EC8"/>
    <w:rsid w:val="0012372A"/>
    <w:rsid w:val="00124C0C"/>
    <w:rsid w:val="00126C1A"/>
    <w:rsid w:val="00130629"/>
    <w:rsid w:val="00134363"/>
    <w:rsid w:val="00135C9B"/>
    <w:rsid w:val="0013676E"/>
    <w:rsid w:val="0014000C"/>
    <w:rsid w:val="00140FB5"/>
    <w:rsid w:val="00141013"/>
    <w:rsid w:val="001413AF"/>
    <w:rsid w:val="0014197F"/>
    <w:rsid w:val="00142817"/>
    <w:rsid w:val="00142DAC"/>
    <w:rsid w:val="0014364E"/>
    <w:rsid w:val="00151AEB"/>
    <w:rsid w:val="00153B1D"/>
    <w:rsid w:val="00156A66"/>
    <w:rsid w:val="00160D65"/>
    <w:rsid w:val="00162617"/>
    <w:rsid w:val="00165F2B"/>
    <w:rsid w:val="00170384"/>
    <w:rsid w:val="00170480"/>
    <w:rsid w:val="001704B6"/>
    <w:rsid w:val="00170E99"/>
    <w:rsid w:val="00173063"/>
    <w:rsid w:val="00183673"/>
    <w:rsid w:val="001847AA"/>
    <w:rsid w:val="00184827"/>
    <w:rsid w:val="0018492E"/>
    <w:rsid w:val="001927DF"/>
    <w:rsid w:val="001937F6"/>
    <w:rsid w:val="0019481C"/>
    <w:rsid w:val="00197CD0"/>
    <w:rsid w:val="001A24AA"/>
    <w:rsid w:val="001A2E2A"/>
    <w:rsid w:val="001A3480"/>
    <w:rsid w:val="001A48AA"/>
    <w:rsid w:val="001A5297"/>
    <w:rsid w:val="001B05AC"/>
    <w:rsid w:val="001B0BD5"/>
    <w:rsid w:val="001B197D"/>
    <w:rsid w:val="001B308C"/>
    <w:rsid w:val="001B4AE4"/>
    <w:rsid w:val="001B54AE"/>
    <w:rsid w:val="001B5A4A"/>
    <w:rsid w:val="001B7AAB"/>
    <w:rsid w:val="001C022D"/>
    <w:rsid w:val="001C18B7"/>
    <w:rsid w:val="001C236C"/>
    <w:rsid w:val="001C2817"/>
    <w:rsid w:val="001C5691"/>
    <w:rsid w:val="001C7317"/>
    <w:rsid w:val="001C756C"/>
    <w:rsid w:val="001C7E9F"/>
    <w:rsid w:val="001D2C5B"/>
    <w:rsid w:val="001D2FA3"/>
    <w:rsid w:val="001D5289"/>
    <w:rsid w:val="001D616C"/>
    <w:rsid w:val="001D7E79"/>
    <w:rsid w:val="001E257B"/>
    <w:rsid w:val="001E29F1"/>
    <w:rsid w:val="001E4C45"/>
    <w:rsid w:val="001E7D9D"/>
    <w:rsid w:val="001F1D0C"/>
    <w:rsid w:val="001F3302"/>
    <w:rsid w:val="001F35F3"/>
    <w:rsid w:val="001F3A4F"/>
    <w:rsid w:val="001F3BF1"/>
    <w:rsid w:val="001F54AD"/>
    <w:rsid w:val="001F7690"/>
    <w:rsid w:val="00200E43"/>
    <w:rsid w:val="0020186D"/>
    <w:rsid w:val="00202C56"/>
    <w:rsid w:val="002030FE"/>
    <w:rsid w:val="002033D6"/>
    <w:rsid w:val="00203462"/>
    <w:rsid w:val="00204552"/>
    <w:rsid w:val="00205B14"/>
    <w:rsid w:val="00207CFA"/>
    <w:rsid w:val="0021242A"/>
    <w:rsid w:val="002131A7"/>
    <w:rsid w:val="00215639"/>
    <w:rsid w:val="00216C8A"/>
    <w:rsid w:val="00216FEC"/>
    <w:rsid w:val="0021752E"/>
    <w:rsid w:val="002243A5"/>
    <w:rsid w:val="002259E5"/>
    <w:rsid w:val="00225F69"/>
    <w:rsid w:val="00225F7D"/>
    <w:rsid w:val="0022631B"/>
    <w:rsid w:val="0022668A"/>
    <w:rsid w:val="00226FFC"/>
    <w:rsid w:val="0023241B"/>
    <w:rsid w:val="00232944"/>
    <w:rsid w:val="0023456B"/>
    <w:rsid w:val="00236414"/>
    <w:rsid w:val="002366FE"/>
    <w:rsid w:val="00236972"/>
    <w:rsid w:val="00240900"/>
    <w:rsid w:val="00240971"/>
    <w:rsid w:val="002425FB"/>
    <w:rsid w:val="002447FE"/>
    <w:rsid w:val="00245677"/>
    <w:rsid w:val="002456BF"/>
    <w:rsid w:val="002461CD"/>
    <w:rsid w:val="002464B3"/>
    <w:rsid w:val="002478B8"/>
    <w:rsid w:val="002503ED"/>
    <w:rsid w:val="0025096F"/>
    <w:rsid w:val="00252F02"/>
    <w:rsid w:val="00252FE6"/>
    <w:rsid w:val="0025555D"/>
    <w:rsid w:val="00257B8C"/>
    <w:rsid w:val="00262352"/>
    <w:rsid w:val="00265BA9"/>
    <w:rsid w:val="00266373"/>
    <w:rsid w:val="002710D2"/>
    <w:rsid w:val="00272AB6"/>
    <w:rsid w:val="00272F5C"/>
    <w:rsid w:val="00275CE2"/>
    <w:rsid w:val="00276FD5"/>
    <w:rsid w:val="0028750D"/>
    <w:rsid w:val="0029005F"/>
    <w:rsid w:val="00290581"/>
    <w:rsid w:val="00290737"/>
    <w:rsid w:val="00291FAE"/>
    <w:rsid w:val="00292869"/>
    <w:rsid w:val="002928A3"/>
    <w:rsid w:val="00293B4C"/>
    <w:rsid w:val="00294781"/>
    <w:rsid w:val="00294DDF"/>
    <w:rsid w:val="00294DF3"/>
    <w:rsid w:val="002966A3"/>
    <w:rsid w:val="002973D8"/>
    <w:rsid w:val="002A210B"/>
    <w:rsid w:val="002A2498"/>
    <w:rsid w:val="002A249D"/>
    <w:rsid w:val="002A6647"/>
    <w:rsid w:val="002A76F2"/>
    <w:rsid w:val="002B0954"/>
    <w:rsid w:val="002B0E91"/>
    <w:rsid w:val="002B0F2F"/>
    <w:rsid w:val="002B1A73"/>
    <w:rsid w:val="002B300A"/>
    <w:rsid w:val="002B3B54"/>
    <w:rsid w:val="002B3F55"/>
    <w:rsid w:val="002B4E7C"/>
    <w:rsid w:val="002B5289"/>
    <w:rsid w:val="002C143F"/>
    <w:rsid w:val="002C1BBA"/>
    <w:rsid w:val="002C611F"/>
    <w:rsid w:val="002C680E"/>
    <w:rsid w:val="002C6A09"/>
    <w:rsid w:val="002D06EC"/>
    <w:rsid w:val="002D13C2"/>
    <w:rsid w:val="002D1635"/>
    <w:rsid w:val="002D2EE3"/>
    <w:rsid w:val="002D401D"/>
    <w:rsid w:val="002D436E"/>
    <w:rsid w:val="002E071A"/>
    <w:rsid w:val="002E13B6"/>
    <w:rsid w:val="002E1A83"/>
    <w:rsid w:val="002E5BF4"/>
    <w:rsid w:val="002E6463"/>
    <w:rsid w:val="002E6B90"/>
    <w:rsid w:val="002F4E01"/>
    <w:rsid w:val="002F5A85"/>
    <w:rsid w:val="002F6170"/>
    <w:rsid w:val="003008E7"/>
    <w:rsid w:val="00300DA3"/>
    <w:rsid w:val="003011EA"/>
    <w:rsid w:val="00301F60"/>
    <w:rsid w:val="00302F92"/>
    <w:rsid w:val="00305792"/>
    <w:rsid w:val="00306862"/>
    <w:rsid w:val="003073D2"/>
    <w:rsid w:val="0031286A"/>
    <w:rsid w:val="00312B8A"/>
    <w:rsid w:val="00315254"/>
    <w:rsid w:val="003169F9"/>
    <w:rsid w:val="00316F5B"/>
    <w:rsid w:val="0031764D"/>
    <w:rsid w:val="00321A60"/>
    <w:rsid w:val="0032680C"/>
    <w:rsid w:val="0033085D"/>
    <w:rsid w:val="00330BCF"/>
    <w:rsid w:val="0033192A"/>
    <w:rsid w:val="003345F0"/>
    <w:rsid w:val="00335CFA"/>
    <w:rsid w:val="00335E19"/>
    <w:rsid w:val="00337FCC"/>
    <w:rsid w:val="00343E51"/>
    <w:rsid w:val="0034468E"/>
    <w:rsid w:val="00345795"/>
    <w:rsid w:val="00347C17"/>
    <w:rsid w:val="00355E4A"/>
    <w:rsid w:val="0035708B"/>
    <w:rsid w:val="003572DD"/>
    <w:rsid w:val="00357A56"/>
    <w:rsid w:val="00362861"/>
    <w:rsid w:val="0036332F"/>
    <w:rsid w:val="0036414B"/>
    <w:rsid w:val="003644D6"/>
    <w:rsid w:val="00364E20"/>
    <w:rsid w:val="00364F58"/>
    <w:rsid w:val="00365E52"/>
    <w:rsid w:val="003668D6"/>
    <w:rsid w:val="003676BC"/>
    <w:rsid w:val="00370685"/>
    <w:rsid w:val="00372438"/>
    <w:rsid w:val="00372587"/>
    <w:rsid w:val="003736A2"/>
    <w:rsid w:val="00376364"/>
    <w:rsid w:val="0037764B"/>
    <w:rsid w:val="0038721E"/>
    <w:rsid w:val="00391704"/>
    <w:rsid w:val="003921B0"/>
    <w:rsid w:val="00392550"/>
    <w:rsid w:val="003936B2"/>
    <w:rsid w:val="00396040"/>
    <w:rsid w:val="003961AB"/>
    <w:rsid w:val="00397DA3"/>
    <w:rsid w:val="003A08C7"/>
    <w:rsid w:val="003A1FF0"/>
    <w:rsid w:val="003A4EE7"/>
    <w:rsid w:val="003A51F0"/>
    <w:rsid w:val="003A67BB"/>
    <w:rsid w:val="003B0B51"/>
    <w:rsid w:val="003B1C72"/>
    <w:rsid w:val="003B2512"/>
    <w:rsid w:val="003B5608"/>
    <w:rsid w:val="003C0405"/>
    <w:rsid w:val="003C3975"/>
    <w:rsid w:val="003C4171"/>
    <w:rsid w:val="003C6176"/>
    <w:rsid w:val="003C6F4C"/>
    <w:rsid w:val="003C7664"/>
    <w:rsid w:val="003D0126"/>
    <w:rsid w:val="003D1774"/>
    <w:rsid w:val="003D1EDE"/>
    <w:rsid w:val="003D25E9"/>
    <w:rsid w:val="003D412D"/>
    <w:rsid w:val="003D5C64"/>
    <w:rsid w:val="003E049D"/>
    <w:rsid w:val="003E065B"/>
    <w:rsid w:val="003E1FAD"/>
    <w:rsid w:val="003E2746"/>
    <w:rsid w:val="003E2A85"/>
    <w:rsid w:val="003F0EC0"/>
    <w:rsid w:val="003F2192"/>
    <w:rsid w:val="003F4009"/>
    <w:rsid w:val="003F4932"/>
    <w:rsid w:val="003F5280"/>
    <w:rsid w:val="003F5DA1"/>
    <w:rsid w:val="004026F8"/>
    <w:rsid w:val="004029A8"/>
    <w:rsid w:val="004032D7"/>
    <w:rsid w:val="004046ED"/>
    <w:rsid w:val="00405388"/>
    <w:rsid w:val="00407011"/>
    <w:rsid w:val="00410B1C"/>
    <w:rsid w:val="004115E9"/>
    <w:rsid w:val="0041190F"/>
    <w:rsid w:val="00414C40"/>
    <w:rsid w:val="00415EB0"/>
    <w:rsid w:val="004169BA"/>
    <w:rsid w:val="00420D35"/>
    <w:rsid w:val="00423905"/>
    <w:rsid w:val="00427380"/>
    <w:rsid w:val="004318F7"/>
    <w:rsid w:val="004327A5"/>
    <w:rsid w:val="004332D6"/>
    <w:rsid w:val="004341D7"/>
    <w:rsid w:val="00434E97"/>
    <w:rsid w:val="00437572"/>
    <w:rsid w:val="00443758"/>
    <w:rsid w:val="004446C7"/>
    <w:rsid w:val="00447201"/>
    <w:rsid w:val="00447D46"/>
    <w:rsid w:val="00451520"/>
    <w:rsid w:val="00451FCA"/>
    <w:rsid w:val="0045218F"/>
    <w:rsid w:val="004524AA"/>
    <w:rsid w:val="004527A7"/>
    <w:rsid w:val="004527FE"/>
    <w:rsid w:val="00452C8E"/>
    <w:rsid w:val="00460ECE"/>
    <w:rsid w:val="00461780"/>
    <w:rsid w:val="004617F8"/>
    <w:rsid w:val="00467CBF"/>
    <w:rsid w:val="004709B2"/>
    <w:rsid w:val="0047351E"/>
    <w:rsid w:val="0047480D"/>
    <w:rsid w:val="004754CD"/>
    <w:rsid w:val="0047679E"/>
    <w:rsid w:val="004807EA"/>
    <w:rsid w:val="004818BB"/>
    <w:rsid w:val="00483098"/>
    <w:rsid w:val="004863CD"/>
    <w:rsid w:val="00490822"/>
    <w:rsid w:val="00492EDE"/>
    <w:rsid w:val="004948D7"/>
    <w:rsid w:val="00496516"/>
    <w:rsid w:val="004A2454"/>
    <w:rsid w:val="004A2C41"/>
    <w:rsid w:val="004A6102"/>
    <w:rsid w:val="004A6AF0"/>
    <w:rsid w:val="004B15CF"/>
    <w:rsid w:val="004B1D77"/>
    <w:rsid w:val="004B3265"/>
    <w:rsid w:val="004B41E0"/>
    <w:rsid w:val="004B4734"/>
    <w:rsid w:val="004B5F1A"/>
    <w:rsid w:val="004B7C69"/>
    <w:rsid w:val="004C18BC"/>
    <w:rsid w:val="004C3570"/>
    <w:rsid w:val="004C5DED"/>
    <w:rsid w:val="004C6B21"/>
    <w:rsid w:val="004C743B"/>
    <w:rsid w:val="004C756B"/>
    <w:rsid w:val="004D0E3B"/>
    <w:rsid w:val="004D18F0"/>
    <w:rsid w:val="004D23BA"/>
    <w:rsid w:val="004D2DA9"/>
    <w:rsid w:val="004D2F0A"/>
    <w:rsid w:val="004D4F04"/>
    <w:rsid w:val="004D6A14"/>
    <w:rsid w:val="004D72BF"/>
    <w:rsid w:val="004D74AA"/>
    <w:rsid w:val="004D76AF"/>
    <w:rsid w:val="004D7AC0"/>
    <w:rsid w:val="004D7B87"/>
    <w:rsid w:val="004E199E"/>
    <w:rsid w:val="004E1EE9"/>
    <w:rsid w:val="004E4852"/>
    <w:rsid w:val="004F0955"/>
    <w:rsid w:val="004F0C07"/>
    <w:rsid w:val="004F2CCB"/>
    <w:rsid w:val="004F4E67"/>
    <w:rsid w:val="004F5E9F"/>
    <w:rsid w:val="004F6C80"/>
    <w:rsid w:val="004F764C"/>
    <w:rsid w:val="00500AFB"/>
    <w:rsid w:val="00502399"/>
    <w:rsid w:val="0050249B"/>
    <w:rsid w:val="00502F18"/>
    <w:rsid w:val="00502FCE"/>
    <w:rsid w:val="00503693"/>
    <w:rsid w:val="005056DA"/>
    <w:rsid w:val="00505932"/>
    <w:rsid w:val="0050671F"/>
    <w:rsid w:val="00511351"/>
    <w:rsid w:val="00512B46"/>
    <w:rsid w:val="0051329A"/>
    <w:rsid w:val="005159D3"/>
    <w:rsid w:val="00515EA5"/>
    <w:rsid w:val="005168A6"/>
    <w:rsid w:val="00516F87"/>
    <w:rsid w:val="00520558"/>
    <w:rsid w:val="00520AC8"/>
    <w:rsid w:val="005217F8"/>
    <w:rsid w:val="00522D16"/>
    <w:rsid w:val="00523606"/>
    <w:rsid w:val="005319EA"/>
    <w:rsid w:val="00532678"/>
    <w:rsid w:val="00533DFD"/>
    <w:rsid w:val="00533F0B"/>
    <w:rsid w:val="0053516C"/>
    <w:rsid w:val="00535CB0"/>
    <w:rsid w:val="00536443"/>
    <w:rsid w:val="00536FA2"/>
    <w:rsid w:val="00537D1E"/>
    <w:rsid w:val="00540CF7"/>
    <w:rsid w:val="00544578"/>
    <w:rsid w:val="00547DE1"/>
    <w:rsid w:val="00550464"/>
    <w:rsid w:val="0055060E"/>
    <w:rsid w:val="00550755"/>
    <w:rsid w:val="00551FBF"/>
    <w:rsid w:val="0055200C"/>
    <w:rsid w:val="00552217"/>
    <w:rsid w:val="00552AE1"/>
    <w:rsid w:val="0055353E"/>
    <w:rsid w:val="00554A34"/>
    <w:rsid w:val="005576F7"/>
    <w:rsid w:val="00560822"/>
    <w:rsid w:val="0056203F"/>
    <w:rsid w:val="00571965"/>
    <w:rsid w:val="005721E3"/>
    <w:rsid w:val="0057245B"/>
    <w:rsid w:val="00572BB9"/>
    <w:rsid w:val="00572D32"/>
    <w:rsid w:val="005772A1"/>
    <w:rsid w:val="00581D97"/>
    <w:rsid w:val="00583459"/>
    <w:rsid w:val="00587479"/>
    <w:rsid w:val="005906F0"/>
    <w:rsid w:val="005915FB"/>
    <w:rsid w:val="00591D09"/>
    <w:rsid w:val="00593AEE"/>
    <w:rsid w:val="00593C82"/>
    <w:rsid w:val="005952A9"/>
    <w:rsid w:val="0059533E"/>
    <w:rsid w:val="00595658"/>
    <w:rsid w:val="005959D5"/>
    <w:rsid w:val="005A05C6"/>
    <w:rsid w:val="005A09C5"/>
    <w:rsid w:val="005A0ADC"/>
    <w:rsid w:val="005A1939"/>
    <w:rsid w:val="005A2513"/>
    <w:rsid w:val="005A37C3"/>
    <w:rsid w:val="005A39C3"/>
    <w:rsid w:val="005A3A3E"/>
    <w:rsid w:val="005A4D17"/>
    <w:rsid w:val="005A5A03"/>
    <w:rsid w:val="005A5DBF"/>
    <w:rsid w:val="005A76FC"/>
    <w:rsid w:val="005B01D0"/>
    <w:rsid w:val="005B09FE"/>
    <w:rsid w:val="005B206D"/>
    <w:rsid w:val="005B35A3"/>
    <w:rsid w:val="005B37DC"/>
    <w:rsid w:val="005B4D0B"/>
    <w:rsid w:val="005B7C1A"/>
    <w:rsid w:val="005C0127"/>
    <w:rsid w:val="005C05D9"/>
    <w:rsid w:val="005C14AD"/>
    <w:rsid w:val="005C1FC4"/>
    <w:rsid w:val="005C291A"/>
    <w:rsid w:val="005C418E"/>
    <w:rsid w:val="005C6034"/>
    <w:rsid w:val="005D040B"/>
    <w:rsid w:val="005D0B59"/>
    <w:rsid w:val="005D1FFF"/>
    <w:rsid w:val="005D22EA"/>
    <w:rsid w:val="005D34C0"/>
    <w:rsid w:val="005D4C2E"/>
    <w:rsid w:val="005E03AA"/>
    <w:rsid w:val="005E0CFB"/>
    <w:rsid w:val="005E3C6E"/>
    <w:rsid w:val="005E423B"/>
    <w:rsid w:val="005E5746"/>
    <w:rsid w:val="005F5EF1"/>
    <w:rsid w:val="005F703D"/>
    <w:rsid w:val="0060147B"/>
    <w:rsid w:val="00602D27"/>
    <w:rsid w:val="00604324"/>
    <w:rsid w:val="006069DB"/>
    <w:rsid w:val="00607841"/>
    <w:rsid w:val="00607E1C"/>
    <w:rsid w:val="006108EB"/>
    <w:rsid w:val="00610DC1"/>
    <w:rsid w:val="00611CA5"/>
    <w:rsid w:val="006134FB"/>
    <w:rsid w:val="00613EB2"/>
    <w:rsid w:val="006162BB"/>
    <w:rsid w:val="00616321"/>
    <w:rsid w:val="006179A1"/>
    <w:rsid w:val="00617FA7"/>
    <w:rsid w:val="00620278"/>
    <w:rsid w:val="00622033"/>
    <w:rsid w:val="00623497"/>
    <w:rsid w:val="00626D37"/>
    <w:rsid w:val="00627257"/>
    <w:rsid w:val="00627276"/>
    <w:rsid w:val="00627EA4"/>
    <w:rsid w:val="00634822"/>
    <w:rsid w:val="00636D82"/>
    <w:rsid w:val="0063784F"/>
    <w:rsid w:val="006404CC"/>
    <w:rsid w:val="00642580"/>
    <w:rsid w:val="0065087F"/>
    <w:rsid w:val="0065276F"/>
    <w:rsid w:val="006537A3"/>
    <w:rsid w:val="006537CF"/>
    <w:rsid w:val="00655147"/>
    <w:rsid w:val="006552B0"/>
    <w:rsid w:val="006561CC"/>
    <w:rsid w:val="006572B1"/>
    <w:rsid w:val="006573C8"/>
    <w:rsid w:val="00660520"/>
    <w:rsid w:val="0066203F"/>
    <w:rsid w:val="00662763"/>
    <w:rsid w:val="00664E02"/>
    <w:rsid w:val="00666D68"/>
    <w:rsid w:val="0066759C"/>
    <w:rsid w:val="00667F8F"/>
    <w:rsid w:val="00671DAD"/>
    <w:rsid w:val="00673E03"/>
    <w:rsid w:val="00674270"/>
    <w:rsid w:val="0067592E"/>
    <w:rsid w:val="00676EBC"/>
    <w:rsid w:val="00680178"/>
    <w:rsid w:val="0068034A"/>
    <w:rsid w:val="0068163F"/>
    <w:rsid w:val="00681D78"/>
    <w:rsid w:val="00682CD6"/>
    <w:rsid w:val="0068357B"/>
    <w:rsid w:val="00684275"/>
    <w:rsid w:val="00687A3A"/>
    <w:rsid w:val="0069160B"/>
    <w:rsid w:val="00691E4C"/>
    <w:rsid w:val="0069219B"/>
    <w:rsid w:val="006922B4"/>
    <w:rsid w:val="0069231B"/>
    <w:rsid w:val="00692B2E"/>
    <w:rsid w:val="00694A52"/>
    <w:rsid w:val="006A1849"/>
    <w:rsid w:val="006A2BCA"/>
    <w:rsid w:val="006A347D"/>
    <w:rsid w:val="006A4AB2"/>
    <w:rsid w:val="006A5324"/>
    <w:rsid w:val="006A62CA"/>
    <w:rsid w:val="006A7CED"/>
    <w:rsid w:val="006B085A"/>
    <w:rsid w:val="006B134B"/>
    <w:rsid w:val="006B3750"/>
    <w:rsid w:val="006B4649"/>
    <w:rsid w:val="006B4782"/>
    <w:rsid w:val="006B4B63"/>
    <w:rsid w:val="006B56B7"/>
    <w:rsid w:val="006B73FF"/>
    <w:rsid w:val="006C05C1"/>
    <w:rsid w:val="006C2FA3"/>
    <w:rsid w:val="006C30AF"/>
    <w:rsid w:val="006C31BA"/>
    <w:rsid w:val="006C361A"/>
    <w:rsid w:val="006C4112"/>
    <w:rsid w:val="006C61FE"/>
    <w:rsid w:val="006C68B2"/>
    <w:rsid w:val="006C7598"/>
    <w:rsid w:val="006D0490"/>
    <w:rsid w:val="006D4DA0"/>
    <w:rsid w:val="006D4E28"/>
    <w:rsid w:val="006D568E"/>
    <w:rsid w:val="006D5B87"/>
    <w:rsid w:val="006D777A"/>
    <w:rsid w:val="006E0033"/>
    <w:rsid w:val="006E283D"/>
    <w:rsid w:val="006E37C1"/>
    <w:rsid w:val="006E6FF0"/>
    <w:rsid w:val="006E7271"/>
    <w:rsid w:val="006F0FFA"/>
    <w:rsid w:val="006F49E3"/>
    <w:rsid w:val="006F6535"/>
    <w:rsid w:val="00701561"/>
    <w:rsid w:val="00701CFD"/>
    <w:rsid w:val="007022C6"/>
    <w:rsid w:val="00704684"/>
    <w:rsid w:val="00704FF5"/>
    <w:rsid w:val="007052DA"/>
    <w:rsid w:val="0070537B"/>
    <w:rsid w:val="007068E0"/>
    <w:rsid w:val="007120AE"/>
    <w:rsid w:val="007149F6"/>
    <w:rsid w:val="00714CC1"/>
    <w:rsid w:val="00714E9E"/>
    <w:rsid w:val="00716E90"/>
    <w:rsid w:val="00720E4E"/>
    <w:rsid w:val="007213D3"/>
    <w:rsid w:val="00726948"/>
    <w:rsid w:val="0072704D"/>
    <w:rsid w:val="007307D6"/>
    <w:rsid w:val="00730C28"/>
    <w:rsid w:val="00730E54"/>
    <w:rsid w:val="00731300"/>
    <w:rsid w:val="0073220A"/>
    <w:rsid w:val="00732368"/>
    <w:rsid w:val="007359F9"/>
    <w:rsid w:val="007369ED"/>
    <w:rsid w:val="00736CF0"/>
    <w:rsid w:val="007416D5"/>
    <w:rsid w:val="00743254"/>
    <w:rsid w:val="0074362D"/>
    <w:rsid w:val="007440C2"/>
    <w:rsid w:val="00746BC0"/>
    <w:rsid w:val="007479C6"/>
    <w:rsid w:val="00750D64"/>
    <w:rsid w:val="007549B0"/>
    <w:rsid w:val="007554F8"/>
    <w:rsid w:val="00760D56"/>
    <w:rsid w:val="007637B2"/>
    <w:rsid w:val="00763DF1"/>
    <w:rsid w:val="00763FEB"/>
    <w:rsid w:val="0076629E"/>
    <w:rsid w:val="00766990"/>
    <w:rsid w:val="00770C5D"/>
    <w:rsid w:val="007756EA"/>
    <w:rsid w:val="00775C44"/>
    <w:rsid w:val="00775E8F"/>
    <w:rsid w:val="0077600D"/>
    <w:rsid w:val="0077607C"/>
    <w:rsid w:val="00776D9E"/>
    <w:rsid w:val="00780CDF"/>
    <w:rsid w:val="00781108"/>
    <w:rsid w:val="00781207"/>
    <w:rsid w:val="00783A7C"/>
    <w:rsid w:val="007860CC"/>
    <w:rsid w:val="00786D20"/>
    <w:rsid w:val="00787B8C"/>
    <w:rsid w:val="007924C0"/>
    <w:rsid w:val="007931C0"/>
    <w:rsid w:val="0079467F"/>
    <w:rsid w:val="00794F70"/>
    <w:rsid w:val="00796FCC"/>
    <w:rsid w:val="007A0305"/>
    <w:rsid w:val="007A2DAA"/>
    <w:rsid w:val="007A4382"/>
    <w:rsid w:val="007A6F8E"/>
    <w:rsid w:val="007A75C7"/>
    <w:rsid w:val="007B1B0B"/>
    <w:rsid w:val="007B1B4F"/>
    <w:rsid w:val="007B1D23"/>
    <w:rsid w:val="007B3611"/>
    <w:rsid w:val="007B39FF"/>
    <w:rsid w:val="007C4308"/>
    <w:rsid w:val="007C5F5B"/>
    <w:rsid w:val="007C6D37"/>
    <w:rsid w:val="007C6DC5"/>
    <w:rsid w:val="007D1A08"/>
    <w:rsid w:val="007D1CAA"/>
    <w:rsid w:val="007E19A4"/>
    <w:rsid w:val="007E242A"/>
    <w:rsid w:val="007E39BB"/>
    <w:rsid w:val="007E3A2A"/>
    <w:rsid w:val="007E3D72"/>
    <w:rsid w:val="007E45AF"/>
    <w:rsid w:val="007E5754"/>
    <w:rsid w:val="007E6EBF"/>
    <w:rsid w:val="007F2899"/>
    <w:rsid w:val="007F5202"/>
    <w:rsid w:val="008016B2"/>
    <w:rsid w:val="008020F8"/>
    <w:rsid w:val="00802C61"/>
    <w:rsid w:val="008035B7"/>
    <w:rsid w:val="0080370E"/>
    <w:rsid w:val="00803CCC"/>
    <w:rsid w:val="008053BE"/>
    <w:rsid w:val="008062A3"/>
    <w:rsid w:val="00807679"/>
    <w:rsid w:val="0081329C"/>
    <w:rsid w:val="00815958"/>
    <w:rsid w:val="00815C9B"/>
    <w:rsid w:val="00816530"/>
    <w:rsid w:val="0082282A"/>
    <w:rsid w:val="0082308E"/>
    <w:rsid w:val="00824903"/>
    <w:rsid w:val="00824B26"/>
    <w:rsid w:val="00827042"/>
    <w:rsid w:val="00830D26"/>
    <w:rsid w:val="00833769"/>
    <w:rsid w:val="00834D7C"/>
    <w:rsid w:val="00836828"/>
    <w:rsid w:val="008411E7"/>
    <w:rsid w:val="008445EF"/>
    <w:rsid w:val="0084637A"/>
    <w:rsid w:val="0084696B"/>
    <w:rsid w:val="0085479C"/>
    <w:rsid w:val="00857C23"/>
    <w:rsid w:val="00860586"/>
    <w:rsid w:val="008608AC"/>
    <w:rsid w:val="00862053"/>
    <w:rsid w:val="0086317D"/>
    <w:rsid w:val="008644B4"/>
    <w:rsid w:val="00865EA8"/>
    <w:rsid w:val="0086660E"/>
    <w:rsid w:val="008706BA"/>
    <w:rsid w:val="00872551"/>
    <w:rsid w:val="008738CB"/>
    <w:rsid w:val="00873C0B"/>
    <w:rsid w:val="008750BE"/>
    <w:rsid w:val="00876B07"/>
    <w:rsid w:val="00881E1A"/>
    <w:rsid w:val="00883685"/>
    <w:rsid w:val="00883C4F"/>
    <w:rsid w:val="00890252"/>
    <w:rsid w:val="008914CA"/>
    <w:rsid w:val="00891B94"/>
    <w:rsid w:val="00892113"/>
    <w:rsid w:val="00892367"/>
    <w:rsid w:val="008924FD"/>
    <w:rsid w:val="008945EE"/>
    <w:rsid w:val="00895817"/>
    <w:rsid w:val="008A22AF"/>
    <w:rsid w:val="008A2522"/>
    <w:rsid w:val="008A3CB7"/>
    <w:rsid w:val="008A42FC"/>
    <w:rsid w:val="008A4A7B"/>
    <w:rsid w:val="008A7F27"/>
    <w:rsid w:val="008B0666"/>
    <w:rsid w:val="008B19C1"/>
    <w:rsid w:val="008B1FEC"/>
    <w:rsid w:val="008B211F"/>
    <w:rsid w:val="008B5E25"/>
    <w:rsid w:val="008B70A0"/>
    <w:rsid w:val="008B7550"/>
    <w:rsid w:val="008B7DC8"/>
    <w:rsid w:val="008C56FA"/>
    <w:rsid w:val="008C6148"/>
    <w:rsid w:val="008C628D"/>
    <w:rsid w:val="008D170F"/>
    <w:rsid w:val="008D1F58"/>
    <w:rsid w:val="008D777F"/>
    <w:rsid w:val="008D78A3"/>
    <w:rsid w:val="008E2B58"/>
    <w:rsid w:val="008E2F2D"/>
    <w:rsid w:val="008E310D"/>
    <w:rsid w:val="008E3F80"/>
    <w:rsid w:val="008E6E28"/>
    <w:rsid w:val="008E7757"/>
    <w:rsid w:val="008F20C7"/>
    <w:rsid w:val="008F26A4"/>
    <w:rsid w:val="008F3DB1"/>
    <w:rsid w:val="008F5345"/>
    <w:rsid w:val="008F796F"/>
    <w:rsid w:val="009013D7"/>
    <w:rsid w:val="009018B5"/>
    <w:rsid w:val="00901B7C"/>
    <w:rsid w:val="009109A8"/>
    <w:rsid w:val="0091177B"/>
    <w:rsid w:val="00911D44"/>
    <w:rsid w:val="009127A9"/>
    <w:rsid w:val="0091336E"/>
    <w:rsid w:val="00915A1C"/>
    <w:rsid w:val="00915B94"/>
    <w:rsid w:val="00921CAE"/>
    <w:rsid w:val="009236EF"/>
    <w:rsid w:val="00925708"/>
    <w:rsid w:val="00926666"/>
    <w:rsid w:val="00926D81"/>
    <w:rsid w:val="00927E8C"/>
    <w:rsid w:val="0093325A"/>
    <w:rsid w:val="009333EF"/>
    <w:rsid w:val="0093597A"/>
    <w:rsid w:val="00937277"/>
    <w:rsid w:val="00937F43"/>
    <w:rsid w:val="009414A7"/>
    <w:rsid w:val="00941CFC"/>
    <w:rsid w:val="00943884"/>
    <w:rsid w:val="0094526E"/>
    <w:rsid w:val="00945AA9"/>
    <w:rsid w:val="0094756B"/>
    <w:rsid w:val="00947607"/>
    <w:rsid w:val="00951387"/>
    <w:rsid w:val="009525F3"/>
    <w:rsid w:val="009560EF"/>
    <w:rsid w:val="00956950"/>
    <w:rsid w:val="00956C64"/>
    <w:rsid w:val="00960D52"/>
    <w:rsid w:val="00961A69"/>
    <w:rsid w:val="00962533"/>
    <w:rsid w:val="009625D5"/>
    <w:rsid w:val="009648B6"/>
    <w:rsid w:val="0096504F"/>
    <w:rsid w:val="0096769D"/>
    <w:rsid w:val="00967910"/>
    <w:rsid w:val="00967B40"/>
    <w:rsid w:val="00970E6D"/>
    <w:rsid w:val="00970F7B"/>
    <w:rsid w:val="00971AB7"/>
    <w:rsid w:val="00971B3F"/>
    <w:rsid w:val="00971E63"/>
    <w:rsid w:val="0097476A"/>
    <w:rsid w:val="00977187"/>
    <w:rsid w:val="00977312"/>
    <w:rsid w:val="00977DF5"/>
    <w:rsid w:val="00982B2F"/>
    <w:rsid w:val="009837F1"/>
    <w:rsid w:val="00984851"/>
    <w:rsid w:val="00984C47"/>
    <w:rsid w:val="00984D30"/>
    <w:rsid w:val="0098566C"/>
    <w:rsid w:val="00986F85"/>
    <w:rsid w:val="00987AA6"/>
    <w:rsid w:val="009902A8"/>
    <w:rsid w:val="0099088D"/>
    <w:rsid w:val="00991A64"/>
    <w:rsid w:val="009925E0"/>
    <w:rsid w:val="00992EE5"/>
    <w:rsid w:val="009938F3"/>
    <w:rsid w:val="00994E7F"/>
    <w:rsid w:val="00996B1C"/>
    <w:rsid w:val="009A2A9D"/>
    <w:rsid w:val="009A355A"/>
    <w:rsid w:val="009A5384"/>
    <w:rsid w:val="009A54C7"/>
    <w:rsid w:val="009A57F7"/>
    <w:rsid w:val="009A69C0"/>
    <w:rsid w:val="009B089D"/>
    <w:rsid w:val="009B0A0F"/>
    <w:rsid w:val="009B25CE"/>
    <w:rsid w:val="009B464B"/>
    <w:rsid w:val="009B4E10"/>
    <w:rsid w:val="009C31CC"/>
    <w:rsid w:val="009C4193"/>
    <w:rsid w:val="009C6B3C"/>
    <w:rsid w:val="009D024F"/>
    <w:rsid w:val="009D0E09"/>
    <w:rsid w:val="009D125F"/>
    <w:rsid w:val="009D3911"/>
    <w:rsid w:val="009D3BBD"/>
    <w:rsid w:val="009D3CD6"/>
    <w:rsid w:val="009D4EE8"/>
    <w:rsid w:val="009D7693"/>
    <w:rsid w:val="009E2BEB"/>
    <w:rsid w:val="009E4179"/>
    <w:rsid w:val="009E62CA"/>
    <w:rsid w:val="009E69C4"/>
    <w:rsid w:val="009E6B20"/>
    <w:rsid w:val="009E7304"/>
    <w:rsid w:val="009F12A2"/>
    <w:rsid w:val="009F15D6"/>
    <w:rsid w:val="009F1EA4"/>
    <w:rsid w:val="009F314F"/>
    <w:rsid w:val="009F4972"/>
    <w:rsid w:val="009F4E63"/>
    <w:rsid w:val="009F7B4E"/>
    <w:rsid w:val="00A023D1"/>
    <w:rsid w:val="00A02694"/>
    <w:rsid w:val="00A02919"/>
    <w:rsid w:val="00A05D96"/>
    <w:rsid w:val="00A11F51"/>
    <w:rsid w:val="00A127FE"/>
    <w:rsid w:val="00A12F12"/>
    <w:rsid w:val="00A160BE"/>
    <w:rsid w:val="00A2003C"/>
    <w:rsid w:val="00A20D54"/>
    <w:rsid w:val="00A272E8"/>
    <w:rsid w:val="00A3056F"/>
    <w:rsid w:val="00A306CC"/>
    <w:rsid w:val="00A4008E"/>
    <w:rsid w:val="00A408DE"/>
    <w:rsid w:val="00A41F39"/>
    <w:rsid w:val="00A426B4"/>
    <w:rsid w:val="00A426D7"/>
    <w:rsid w:val="00A46C7B"/>
    <w:rsid w:val="00A52F0C"/>
    <w:rsid w:val="00A534C3"/>
    <w:rsid w:val="00A560CD"/>
    <w:rsid w:val="00A60285"/>
    <w:rsid w:val="00A61C33"/>
    <w:rsid w:val="00A6257C"/>
    <w:rsid w:val="00A628B3"/>
    <w:rsid w:val="00A63311"/>
    <w:rsid w:val="00A63826"/>
    <w:rsid w:val="00A63A8D"/>
    <w:rsid w:val="00A70F67"/>
    <w:rsid w:val="00A718E5"/>
    <w:rsid w:val="00A7213B"/>
    <w:rsid w:val="00A747DD"/>
    <w:rsid w:val="00A74A4C"/>
    <w:rsid w:val="00A74FBE"/>
    <w:rsid w:val="00A755EE"/>
    <w:rsid w:val="00A77FB5"/>
    <w:rsid w:val="00A80013"/>
    <w:rsid w:val="00A82246"/>
    <w:rsid w:val="00A82358"/>
    <w:rsid w:val="00A849D3"/>
    <w:rsid w:val="00A859B3"/>
    <w:rsid w:val="00A87955"/>
    <w:rsid w:val="00A902C2"/>
    <w:rsid w:val="00A90B56"/>
    <w:rsid w:val="00A949FD"/>
    <w:rsid w:val="00A9516A"/>
    <w:rsid w:val="00AA59D3"/>
    <w:rsid w:val="00AB0726"/>
    <w:rsid w:val="00AB0E6C"/>
    <w:rsid w:val="00AB20D9"/>
    <w:rsid w:val="00AB2535"/>
    <w:rsid w:val="00AB268E"/>
    <w:rsid w:val="00AB34B4"/>
    <w:rsid w:val="00AB3A5C"/>
    <w:rsid w:val="00AB472A"/>
    <w:rsid w:val="00AB54CB"/>
    <w:rsid w:val="00AB5AAB"/>
    <w:rsid w:val="00AB5B51"/>
    <w:rsid w:val="00AB6490"/>
    <w:rsid w:val="00AC1D19"/>
    <w:rsid w:val="00AD0720"/>
    <w:rsid w:val="00AD3073"/>
    <w:rsid w:val="00AD3447"/>
    <w:rsid w:val="00AD4AE0"/>
    <w:rsid w:val="00AD4B4C"/>
    <w:rsid w:val="00AD504E"/>
    <w:rsid w:val="00AD7FA4"/>
    <w:rsid w:val="00AE0109"/>
    <w:rsid w:val="00AE2F76"/>
    <w:rsid w:val="00AE344A"/>
    <w:rsid w:val="00AE381C"/>
    <w:rsid w:val="00AE4BAC"/>
    <w:rsid w:val="00AE4FA2"/>
    <w:rsid w:val="00AE6097"/>
    <w:rsid w:val="00AE6F18"/>
    <w:rsid w:val="00AF003D"/>
    <w:rsid w:val="00AF0E55"/>
    <w:rsid w:val="00AF3BAB"/>
    <w:rsid w:val="00AF5137"/>
    <w:rsid w:val="00AF583F"/>
    <w:rsid w:val="00AF595C"/>
    <w:rsid w:val="00B007F5"/>
    <w:rsid w:val="00B02232"/>
    <w:rsid w:val="00B02737"/>
    <w:rsid w:val="00B054B9"/>
    <w:rsid w:val="00B1175B"/>
    <w:rsid w:val="00B1216D"/>
    <w:rsid w:val="00B13DF6"/>
    <w:rsid w:val="00B15EF2"/>
    <w:rsid w:val="00B16B9C"/>
    <w:rsid w:val="00B17198"/>
    <w:rsid w:val="00B21ADE"/>
    <w:rsid w:val="00B32CE9"/>
    <w:rsid w:val="00B341F6"/>
    <w:rsid w:val="00B40FD2"/>
    <w:rsid w:val="00B429CF"/>
    <w:rsid w:val="00B46199"/>
    <w:rsid w:val="00B465E2"/>
    <w:rsid w:val="00B47754"/>
    <w:rsid w:val="00B47E13"/>
    <w:rsid w:val="00B47E7B"/>
    <w:rsid w:val="00B54436"/>
    <w:rsid w:val="00B55D20"/>
    <w:rsid w:val="00B57C9D"/>
    <w:rsid w:val="00B63324"/>
    <w:rsid w:val="00B65EA6"/>
    <w:rsid w:val="00B704BD"/>
    <w:rsid w:val="00B708EF"/>
    <w:rsid w:val="00B708FA"/>
    <w:rsid w:val="00B728B1"/>
    <w:rsid w:val="00B72EEF"/>
    <w:rsid w:val="00B73C04"/>
    <w:rsid w:val="00B80E36"/>
    <w:rsid w:val="00B813FF"/>
    <w:rsid w:val="00B829F4"/>
    <w:rsid w:val="00B83110"/>
    <w:rsid w:val="00B83DE4"/>
    <w:rsid w:val="00B85E39"/>
    <w:rsid w:val="00B937B8"/>
    <w:rsid w:val="00B93CEA"/>
    <w:rsid w:val="00B9636B"/>
    <w:rsid w:val="00B96420"/>
    <w:rsid w:val="00B97552"/>
    <w:rsid w:val="00BA275E"/>
    <w:rsid w:val="00BA3613"/>
    <w:rsid w:val="00BA51A1"/>
    <w:rsid w:val="00BB11E2"/>
    <w:rsid w:val="00BB2655"/>
    <w:rsid w:val="00BB5631"/>
    <w:rsid w:val="00BB6075"/>
    <w:rsid w:val="00BC01F9"/>
    <w:rsid w:val="00BC120B"/>
    <w:rsid w:val="00BC410E"/>
    <w:rsid w:val="00BC7499"/>
    <w:rsid w:val="00BD056B"/>
    <w:rsid w:val="00BE0ED0"/>
    <w:rsid w:val="00BE123B"/>
    <w:rsid w:val="00BE5845"/>
    <w:rsid w:val="00BE5F0F"/>
    <w:rsid w:val="00BE6C35"/>
    <w:rsid w:val="00BE7867"/>
    <w:rsid w:val="00BF294C"/>
    <w:rsid w:val="00BF4729"/>
    <w:rsid w:val="00C010EA"/>
    <w:rsid w:val="00C027C8"/>
    <w:rsid w:val="00C03CB5"/>
    <w:rsid w:val="00C0539E"/>
    <w:rsid w:val="00C05B14"/>
    <w:rsid w:val="00C05C27"/>
    <w:rsid w:val="00C06721"/>
    <w:rsid w:val="00C11238"/>
    <w:rsid w:val="00C12066"/>
    <w:rsid w:val="00C1288D"/>
    <w:rsid w:val="00C14221"/>
    <w:rsid w:val="00C148C5"/>
    <w:rsid w:val="00C15A2F"/>
    <w:rsid w:val="00C16FA1"/>
    <w:rsid w:val="00C20AE6"/>
    <w:rsid w:val="00C220D9"/>
    <w:rsid w:val="00C229E7"/>
    <w:rsid w:val="00C27CF4"/>
    <w:rsid w:val="00C33128"/>
    <w:rsid w:val="00C3330C"/>
    <w:rsid w:val="00C343E1"/>
    <w:rsid w:val="00C362C2"/>
    <w:rsid w:val="00C40855"/>
    <w:rsid w:val="00C40938"/>
    <w:rsid w:val="00C41A89"/>
    <w:rsid w:val="00C42D92"/>
    <w:rsid w:val="00C42F6F"/>
    <w:rsid w:val="00C44A70"/>
    <w:rsid w:val="00C459BF"/>
    <w:rsid w:val="00C5087E"/>
    <w:rsid w:val="00C56792"/>
    <w:rsid w:val="00C62D4F"/>
    <w:rsid w:val="00C647EB"/>
    <w:rsid w:val="00C65A47"/>
    <w:rsid w:val="00C65AC2"/>
    <w:rsid w:val="00C67599"/>
    <w:rsid w:val="00C7042E"/>
    <w:rsid w:val="00C735FE"/>
    <w:rsid w:val="00C749E3"/>
    <w:rsid w:val="00C76477"/>
    <w:rsid w:val="00C767E4"/>
    <w:rsid w:val="00C777D7"/>
    <w:rsid w:val="00C77E65"/>
    <w:rsid w:val="00C84F7A"/>
    <w:rsid w:val="00C86626"/>
    <w:rsid w:val="00C90ABB"/>
    <w:rsid w:val="00C90DA6"/>
    <w:rsid w:val="00C91D63"/>
    <w:rsid w:val="00C97F33"/>
    <w:rsid w:val="00C97FA4"/>
    <w:rsid w:val="00CA07DC"/>
    <w:rsid w:val="00CA09AF"/>
    <w:rsid w:val="00CA1508"/>
    <w:rsid w:val="00CA29E2"/>
    <w:rsid w:val="00CA2C3B"/>
    <w:rsid w:val="00CA3109"/>
    <w:rsid w:val="00CA3B94"/>
    <w:rsid w:val="00CA4105"/>
    <w:rsid w:val="00CA4915"/>
    <w:rsid w:val="00CA4956"/>
    <w:rsid w:val="00CA583A"/>
    <w:rsid w:val="00CB008F"/>
    <w:rsid w:val="00CB0247"/>
    <w:rsid w:val="00CB0C0B"/>
    <w:rsid w:val="00CB1C34"/>
    <w:rsid w:val="00CB2D37"/>
    <w:rsid w:val="00CB3EC3"/>
    <w:rsid w:val="00CB40AE"/>
    <w:rsid w:val="00CB7C63"/>
    <w:rsid w:val="00CC3211"/>
    <w:rsid w:val="00CC4212"/>
    <w:rsid w:val="00CC50D3"/>
    <w:rsid w:val="00CC5E75"/>
    <w:rsid w:val="00CC61AE"/>
    <w:rsid w:val="00CC6848"/>
    <w:rsid w:val="00CD6446"/>
    <w:rsid w:val="00CD71DB"/>
    <w:rsid w:val="00CE1921"/>
    <w:rsid w:val="00CE2025"/>
    <w:rsid w:val="00CE20F1"/>
    <w:rsid w:val="00CE3512"/>
    <w:rsid w:val="00CE3BB9"/>
    <w:rsid w:val="00CE4C74"/>
    <w:rsid w:val="00CE4E09"/>
    <w:rsid w:val="00CF1370"/>
    <w:rsid w:val="00CF1F30"/>
    <w:rsid w:val="00CF1FC4"/>
    <w:rsid w:val="00CF27C5"/>
    <w:rsid w:val="00CF3F78"/>
    <w:rsid w:val="00CF4818"/>
    <w:rsid w:val="00CF4ECC"/>
    <w:rsid w:val="00CF52F1"/>
    <w:rsid w:val="00CF52FB"/>
    <w:rsid w:val="00CF7E9A"/>
    <w:rsid w:val="00D0380F"/>
    <w:rsid w:val="00D06444"/>
    <w:rsid w:val="00D121A0"/>
    <w:rsid w:val="00D12F88"/>
    <w:rsid w:val="00D163B4"/>
    <w:rsid w:val="00D20BF1"/>
    <w:rsid w:val="00D219B3"/>
    <w:rsid w:val="00D22034"/>
    <w:rsid w:val="00D22D85"/>
    <w:rsid w:val="00D23149"/>
    <w:rsid w:val="00D245F8"/>
    <w:rsid w:val="00D25238"/>
    <w:rsid w:val="00D32177"/>
    <w:rsid w:val="00D32777"/>
    <w:rsid w:val="00D33334"/>
    <w:rsid w:val="00D348FF"/>
    <w:rsid w:val="00D400D4"/>
    <w:rsid w:val="00D40D03"/>
    <w:rsid w:val="00D4211B"/>
    <w:rsid w:val="00D52452"/>
    <w:rsid w:val="00D611EC"/>
    <w:rsid w:val="00D61932"/>
    <w:rsid w:val="00D625F4"/>
    <w:rsid w:val="00D6270D"/>
    <w:rsid w:val="00D638FB"/>
    <w:rsid w:val="00D64D88"/>
    <w:rsid w:val="00D65550"/>
    <w:rsid w:val="00D6755C"/>
    <w:rsid w:val="00D67777"/>
    <w:rsid w:val="00D70874"/>
    <w:rsid w:val="00D70B6F"/>
    <w:rsid w:val="00D70F1E"/>
    <w:rsid w:val="00D71385"/>
    <w:rsid w:val="00D71C9B"/>
    <w:rsid w:val="00D73282"/>
    <w:rsid w:val="00D76256"/>
    <w:rsid w:val="00D765FD"/>
    <w:rsid w:val="00D77AD8"/>
    <w:rsid w:val="00D806EF"/>
    <w:rsid w:val="00D808A1"/>
    <w:rsid w:val="00D8131E"/>
    <w:rsid w:val="00D82822"/>
    <w:rsid w:val="00D829B5"/>
    <w:rsid w:val="00D8586C"/>
    <w:rsid w:val="00D86187"/>
    <w:rsid w:val="00D86DBB"/>
    <w:rsid w:val="00D86E67"/>
    <w:rsid w:val="00D8795A"/>
    <w:rsid w:val="00D87A6D"/>
    <w:rsid w:val="00D915AA"/>
    <w:rsid w:val="00D91FDD"/>
    <w:rsid w:val="00D93BDC"/>
    <w:rsid w:val="00DA07B0"/>
    <w:rsid w:val="00DA0DF9"/>
    <w:rsid w:val="00DA1FC6"/>
    <w:rsid w:val="00DA29BD"/>
    <w:rsid w:val="00DB3433"/>
    <w:rsid w:val="00DB365C"/>
    <w:rsid w:val="00DB41B7"/>
    <w:rsid w:val="00DB5614"/>
    <w:rsid w:val="00DB5F02"/>
    <w:rsid w:val="00DB6F86"/>
    <w:rsid w:val="00DB77A1"/>
    <w:rsid w:val="00DC2698"/>
    <w:rsid w:val="00DC4368"/>
    <w:rsid w:val="00DC71B0"/>
    <w:rsid w:val="00DD0293"/>
    <w:rsid w:val="00DD1968"/>
    <w:rsid w:val="00DD302F"/>
    <w:rsid w:val="00DD3539"/>
    <w:rsid w:val="00DD3F7E"/>
    <w:rsid w:val="00DD42DD"/>
    <w:rsid w:val="00DD4CEE"/>
    <w:rsid w:val="00DD4E45"/>
    <w:rsid w:val="00DD6AAA"/>
    <w:rsid w:val="00DE1AE8"/>
    <w:rsid w:val="00DE1F2D"/>
    <w:rsid w:val="00DE3BCC"/>
    <w:rsid w:val="00DE3DED"/>
    <w:rsid w:val="00DE54E9"/>
    <w:rsid w:val="00DE6D78"/>
    <w:rsid w:val="00DE724D"/>
    <w:rsid w:val="00DE7412"/>
    <w:rsid w:val="00DF07AA"/>
    <w:rsid w:val="00DF32BB"/>
    <w:rsid w:val="00DF3348"/>
    <w:rsid w:val="00DF6102"/>
    <w:rsid w:val="00DF7A26"/>
    <w:rsid w:val="00E02527"/>
    <w:rsid w:val="00E0294F"/>
    <w:rsid w:val="00E04115"/>
    <w:rsid w:val="00E05D4F"/>
    <w:rsid w:val="00E06E27"/>
    <w:rsid w:val="00E06FA1"/>
    <w:rsid w:val="00E07333"/>
    <w:rsid w:val="00E106EA"/>
    <w:rsid w:val="00E10E56"/>
    <w:rsid w:val="00E1197C"/>
    <w:rsid w:val="00E12801"/>
    <w:rsid w:val="00E12FA9"/>
    <w:rsid w:val="00E14374"/>
    <w:rsid w:val="00E15F96"/>
    <w:rsid w:val="00E20771"/>
    <w:rsid w:val="00E21048"/>
    <w:rsid w:val="00E22499"/>
    <w:rsid w:val="00E232AE"/>
    <w:rsid w:val="00E2351D"/>
    <w:rsid w:val="00E24C61"/>
    <w:rsid w:val="00E26C8F"/>
    <w:rsid w:val="00E26CA9"/>
    <w:rsid w:val="00E310DE"/>
    <w:rsid w:val="00E319F9"/>
    <w:rsid w:val="00E31E36"/>
    <w:rsid w:val="00E33673"/>
    <w:rsid w:val="00E364EF"/>
    <w:rsid w:val="00E37F1C"/>
    <w:rsid w:val="00E40B66"/>
    <w:rsid w:val="00E4353E"/>
    <w:rsid w:val="00E45469"/>
    <w:rsid w:val="00E50420"/>
    <w:rsid w:val="00E507D2"/>
    <w:rsid w:val="00E5329F"/>
    <w:rsid w:val="00E53364"/>
    <w:rsid w:val="00E54B20"/>
    <w:rsid w:val="00E55D13"/>
    <w:rsid w:val="00E56B85"/>
    <w:rsid w:val="00E60094"/>
    <w:rsid w:val="00E60172"/>
    <w:rsid w:val="00E6171C"/>
    <w:rsid w:val="00E67B15"/>
    <w:rsid w:val="00E70965"/>
    <w:rsid w:val="00E7199D"/>
    <w:rsid w:val="00E75258"/>
    <w:rsid w:val="00E76555"/>
    <w:rsid w:val="00E76B14"/>
    <w:rsid w:val="00E8048C"/>
    <w:rsid w:val="00E80A15"/>
    <w:rsid w:val="00E81079"/>
    <w:rsid w:val="00E823BB"/>
    <w:rsid w:val="00E85250"/>
    <w:rsid w:val="00E85343"/>
    <w:rsid w:val="00E85792"/>
    <w:rsid w:val="00E8695B"/>
    <w:rsid w:val="00E87066"/>
    <w:rsid w:val="00E90131"/>
    <w:rsid w:val="00E90CB1"/>
    <w:rsid w:val="00E930DC"/>
    <w:rsid w:val="00E94248"/>
    <w:rsid w:val="00E95B64"/>
    <w:rsid w:val="00E96BDE"/>
    <w:rsid w:val="00E97774"/>
    <w:rsid w:val="00E9797A"/>
    <w:rsid w:val="00EA1C0F"/>
    <w:rsid w:val="00EA3478"/>
    <w:rsid w:val="00EA3B4D"/>
    <w:rsid w:val="00EA3E20"/>
    <w:rsid w:val="00EA3F9D"/>
    <w:rsid w:val="00EB0438"/>
    <w:rsid w:val="00EB08D5"/>
    <w:rsid w:val="00EB09A5"/>
    <w:rsid w:val="00EB16D2"/>
    <w:rsid w:val="00EB17B7"/>
    <w:rsid w:val="00EB2365"/>
    <w:rsid w:val="00EB2460"/>
    <w:rsid w:val="00EB26C1"/>
    <w:rsid w:val="00EB2C9A"/>
    <w:rsid w:val="00EB3C3B"/>
    <w:rsid w:val="00EB42A6"/>
    <w:rsid w:val="00EB4C72"/>
    <w:rsid w:val="00EB7382"/>
    <w:rsid w:val="00EC0C21"/>
    <w:rsid w:val="00EC2A46"/>
    <w:rsid w:val="00EC2C57"/>
    <w:rsid w:val="00EC6146"/>
    <w:rsid w:val="00ED0FBD"/>
    <w:rsid w:val="00ED622B"/>
    <w:rsid w:val="00ED63E9"/>
    <w:rsid w:val="00ED7F33"/>
    <w:rsid w:val="00EE30E1"/>
    <w:rsid w:val="00EE3F86"/>
    <w:rsid w:val="00EE446C"/>
    <w:rsid w:val="00EE48F7"/>
    <w:rsid w:val="00EE615E"/>
    <w:rsid w:val="00EE76AA"/>
    <w:rsid w:val="00EF1273"/>
    <w:rsid w:val="00EF1F82"/>
    <w:rsid w:val="00EF5CDE"/>
    <w:rsid w:val="00EF69DD"/>
    <w:rsid w:val="00F02B61"/>
    <w:rsid w:val="00F031E6"/>
    <w:rsid w:val="00F03311"/>
    <w:rsid w:val="00F03881"/>
    <w:rsid w:val="00F03BFC"/>
    <w:rsid w:val="00F03DCA"/>
    <w:rsid w:val="00F04978"/>
    <w:rsid w:val="00F06D91"/>
    <w:rsid w:val="00F24B92"/>
    <w:rsid w:val="00F268F1"/>
    <w:rsid w:val="00F27FF8"/>
    <w:rsid w:val="00F302B4"/>
    <w:rsid w:val="00F30476"/>
    <w:rsid w:val="00F32731"/>
    <w:rsid w:val="00F32E0C"/>
    <w:rsid w:val="00F34D9E"/>
    <w:rsid w:val="00F34F13"/>
    <w:rsid w:val="00F4189B"/>
    <w:rsid w:val="00F430EC"/>
    <w:rsid w:val="00F43D9A"/>
    <w:rsid w:val="00F46860"/>
    <w:rsid w:val="00F46DBB"/>
    <w:rsid w:val="00F47B47"/>
    <w:rsid w:val="00F50423"/>
    <w:rsid w:val="00F515BD"/>
    <w:rsid w:val="00F543FB"/>
    <w:rsid w:val="00F54DCF"/>
    <w:rsid w:val="00F564FA"/>
    <w:rsid w:val="00F577AF"/>
    <w:rsid w:val="00F62F6E"/>
    <w:rsid w:val="00F63433"/>
    <w:rsid w:val="00F70194"/>
    <w:rsid w:val="00F730C9"/>
    <w:rsid w:val="00F763DF"/>
    <w:rsid w:val="00F77716"/>
    <w:rsid w:val="00F779C1"/>
    <w:rsid w:val="00F77F3B"/>
    <w:rsid w:val="00F80041"/>
    <w:rsid w:val="00F80986"/>
    <w:rsid w:val="00F81700"/>
    <w:rsid w:val="00F81D81"/>
    <w:rsid w:val="00F821BE"/>
    <w:rsid w:val="00F83889"/>
    <w:rsid w:val="00F83EC8"/>
    <w:rsid w:val="00F84A03"/>
    <w:rsid w:val="00F84A90"/>
    <w:rsid w:val="00F87498"/>
    <w:rsid w:val="00F93E07"/>
    <w:rsid w:val="00FA1511"/>
    <w:rsid w:val="00FA21DD"/>
    <w:rsid w:val="00FA4F90"/>
    <w:rsid w:val="00FA52C6"/>
    <w:rsid w:val="00FA6336"/>
    <w:rsid w:val="00FB192A"/>
    <w:rsid w:val="00FB21B0"/>
    <w:rsid w:val="00FB2571"/>
    <w:rsid w:val="00FB295F"/>
    <w:rsid w:val="00FC40C6"/>
    <w:rsid w:val="00FC5D33"/>
    <w:rsid w:val="00FD0F02"/>
    <w:rsid w:val="00FD58B4"/>
    <w:rsid w:val="00FE18E2"/>
    <w:rsid w:val="00FE1920"/>
    <w:rsid w:val="00FE1C02"/>
    <w:rsid w:val="00FE2709"/>
    <w:rsid w:val="00FE3B4D"/>
    <w:rsid w:val="00FE58F5"/>
    <w:rsid w:val="00FE6721"/>
    <w:rsid w:val="00FE7DDC"/>
    <w:rsid w:val="00FF0165"/>
    <w:rsid w:val="00FF0C7E"/>
    <w:rsid w:val="00FF2A3D"/>
    <w:rsid w:val="00FF3F27"/>
    <w:rsid w:val="00FF68B7"/>
    <w:rsid w:val="00FF7C6D"/>
    <w:rsid w:val="00FF7DDB"/>
    <w:rsid w:val="028D9276"/>
    <w:rsid w:val="0511CF73"/>
    <w:rsid w:val="062D6565"/>
    <w:rsid w:val="077FF944"/>
    <w:rsid w:val="07B260B1"/>
    <w:rsid w:val="08D4FCB1"/>
    <w:rsid w:val="098026C2"/>
    <w:rsid w:val="09932D83"/>
    <w:rsid w:val="09A2F11F"/>
    <w:rsid w:val="0ABA6103"/>
    <w:rsid w:val="0CE3FBB8"/>
    <w:rsid w:val="0DED64D0"/>
    <w:rsid w:val="0DF8F94E"/>
    <w:rsid w:val="0FE7C500"/>
    <w:rsid w:val="1002741D"/>
    <w:rsid w:val="101B9C7A"/>
    <w:rsid w:val="106B427B"/>
    <w:rsid w:val="10F3BDD5"/>
    <w:rsid w:val="11FD727B"/>
    <w:rsid w:val="138CC643"/>
    <w:rsid w:val="14B16129"/>
    <w:rsid w:val="1519DAE0"/>
    <w:rsid w:val="1748C462"/>
    <w:rsid w:val="17E901EB"/>
    <w:rsid w:val="18514E01"/>
    <w:rsid w:val="186408DF"/>
    <w:rsid w:val="18DFF40C"/>
    <w:rsid w:val="19355F24"/>
    <w:rsid w:val="19727EC1"/>
    <w:rsid w:val="1A76B8B3"/>
    <w:rsid w:val="1A8A0D7F"/>
    <w:rsid w:val="1B394C48"/>
    <w:rsid w:val="1E89A1A7"/>
    <w:rsid w:val="1EBC6629"/>
    <w:rsid w:val="21198505"/>
    <w:rsid w:val="263CBC59"/>
    <w:rsid w:val="2765EE7B"/>
    <w:rsid w:val="277B9C5E"/>
    <w:rsid w:val="284F2B32"/>
    <w:rsid w:val="28B2FFF4"/>
    <w:rsid w:val="2978E50F"/>
    <w:rsid w:val="29C767B3"/>
    <w:rsid w:val="2A74F39E"/>
    <w:rsid w:val="2A8386A1"/>
    <w:rsid w:val="2ABF1B22"/>
    <w:rsid w:val="2B568531"/>
    <w:rsid w:val="2C5AEB83"/>
    <w:rsid w:val="2CD6F589"/>
    <w:rsid w:val="2D53F74D"/>
    <w:rsid w:val="2DA39216"/>
    <w:rsid w:val="3114AA95"/>
    <w:rsid w:val="3166093A"/>
    <w:rsid w:val="31F205BF"/>
    <w:rsid w:val="32AB60BB"/>
    <w:rsid w:val="3320F8EA"/>
    <w:rsid w:val="336EAEC1"/>
    <w:rsid w:val="3395F02B"/>
    <w:rsid w:val="344CD50B"/>
    <w:rsid w:val="35933DEF"/>
    <w:rsid w:val="380E30DA"/>
    <w:rsid w:val="386A888E"/>
    <w:rsid w:val="3A168546"/>
    <w:rsid w:val="3A82CBCC"/>
    <w:rsid w:val="3A9DBDCE"/>
    <w:rsid w:val="3AE3A1FC"/>
    <w:rsid w:val="3C53F674"/>
    <w:rsid w:val="3CEEB987"/>
    <w:rsid w:val="3D28B534"/>
    <w:rsid w:val="3E3002FF"/>
    <w:rsid w:val="3FB2AB03"/>
    <w:rsid w:val="3FE6F554"/>
    <w:rsid w:val="41334599"/>
    <w:rsid w:val="41516F7B"/>
    <w:rsid w:val="41C4FA65"/>
    <w:rsid w:val="424C1D56"/>
    <w:rsid w:val="436CA19A"/>
    <w:rsid w:val="445DB127"/>
    <w:rsid w:val="455DE9B3"/>
    <w:rsid w:val="45B80CDA"/>
    <w:rsid w:val="46BA0713"/>
    <w:rsid w:val="46E6AE27"/>
    <w:rsid w:val="47265ACC"/>
    <w:rsid w:val="47ABEB9F"/>
    <w:rsid w:val="47FF4F40"/>
    <w:rsid w:val="489EE66B"/>
    <w:rsid w:val="48DE355C"/>
    <w:rsid w:val="496320A9"/>
    <w:rsid w:val="4A1D797D"/>
    <w:rsid w:val="4A1E4EE9"/>
    <w:rsid w:val="4ABFF36A"/>
    <w:rsid w:val="4B63E2EC"/>
    <w:rsid w:val="4B7C72D6"/>
    <w:rsid w:val="4C157BD1"/>
    <w:rsid w:val="4C9C6B55"/>
    <w:rsid w:val="4D31A8FD"/>
    <w:rsid w:val="4D63776F"/>
    <w:rsid w:val="4D997A41"/>
    <w:rsid w:val="4DC82185"/>
    <w:rsid w:val="4E7CBDB5"/>
    <w:rsid w:val="4E814AAD"/>
    <w:rsid w:val="4E83EE13"/>
    <w:rsid w:val="4EBE2A0D"/>
    <w:rsid w:val="4ECD795E"/>
    <w:rsid w:val="4FD6D314"/>
    <w:rsid w:val="5131CE24"/>
    <w:rsid w:val="518D47F5"/>
    <w:rsid w:val="51BE55D2"/>
    <w:rsid w:val="529E5525"/>
    <w:rsid w:val="5366E732"/>
    <w:rsid w:val="53F43282"/>
    <w:rsid w:val="54447F59"/>
    <w:rsid w:val="54EA8477"/>
    <w:rsid w:val="54F19CD5"/>
    <w:rsid w:val="553B9785"/>
    <w:rsid w:val="559002E3"/>
    <w:rsid w:val="55ABF85F"/>
    <w:rsid w:val="56BF62E6"/>
    <w:rsid w:val="577EE718"/>
    <w:rsid w:val="57A2D21B"/>
    <w:rsid w:val="59D9EDED"/>
    <w:rsid w:val="59E82707"/>
    <w:rsid w:val="5A037475"/>
    <w:rsid w:val="5A4A4BA9"/>
    <w:rsid w:val="5A897136"/>
    <w:rsid w:val="5AD81F6B"/>
    <w:rsid w:val="5C5781FA"/>
    <w:rsid w:val="5C5EC52D"/>
    <w:rsid w:val="5C9616FE"/>
    <w:rsid w:val="5CE9A3B2"/>
    <w:rsid w:val="5D365487"/>
    <w:rsid w:val="5D521079"/>
    <w:rsid w:val="5D7400FB"/>
    <w:rsid w:val="5D81EC6B"/>
    <w:rsid w:val="5DD5794B"/>
    <w:rsid w:val="5F028701"/>
    <w:rsid w:val="5F4BD92F"/>
    <w:rsid w:val="5F55C56D"/>
    <w:rsid w:val="5FBE6A36"/>
    <w:rsid w:val="607A0E92"/>
    <w:rsid w:val="6084BC7B"/>
    <w:rsid w:val="60EF2C53"/>
    <w:rsid w:val="618C965A"/>
    <w:rsid w:val="61AD5020"/>
    <w:rsid w:val="640DE221"/>
    <w:rsid w:val="642B9272"/>
    <w:rsid w:val="653964A1"/>
    <w:rsid w:val="6565EA83"/>
    <w:rsid w:val="65A0CE78"/>
    <w:rsid w:val="6616783C"/>
    <w:rsid w:val="66F41063"/>
    <w:rsid w:val="67DFFBA0"/>
    <w:rsid w:val="696FF11A"/>
    <w:rsid w:val="6986AF7E"/>
    <w:rsid w:val="6A182431"/>
    <w:rsid w:val="6A1CBAAA"/>
    <w:rsid w:val="6B318872"/>
    <w:rsid w:val="6B9F6211"/>
    <w:rsid w:val="6C054CD5"/>
    <w:rsid w:val="6CC8B191"/>
    <w:rsid w:val="6D49F8BC"/>
    <w:rsid w:val="6E2DD17D"/>
    <w:rsid w:val="6E47F788"/>
    <w:rsid w:val="6E825306"/>
    <w:rsid w:val="6F6E2873"/>
    <w:rsid w:val="6FF16DFB"/>
    <w:rsid w:val="6FF3CBAA"/>
    <w:rsid w:val="70D79E7D"/>
    <w:rsid w:val="71680BED"/>
    <w:rsid w:val="71AA0745"/>
    <w:rsid w:val="71C373EA"/>
    <w:rsid w:val="71C5DE1B"/>
    <w:rsid w:val="7354F9E0"/>
    <w:rsid w:val="7355C429"/>
    <w:rsid w:val="742A5BCA"/>
    <w:rsid w:val="7535792F"/>
    <w:rsid w:val="76B35BD6"/>
    <w:rsid w:val="77887259"/>
    <w:rsid w:val="79CC9ED6"/>
    <w:rsid w:val="7A23E2B4"/>
    <w:rsid w:val="7A3E4499"/>
    <w:rsid w:val="7AE0371C"/>
    <w:rsid w:val="7BF1A8C5"/>
    <w:rsid w:val="7C36C7ED"/>
    <w:rsid w:val="7CB66665"/>
    <w:rsid w:val="7D81C35D"/>
    <w:rsid w:val="7DF06962"/>
    <w:rsid w:val="7E9A2661"/>
    <w:rsid w:val="7F8C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7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before="240" w:after="240" w:line="360" w:lineRule="auto"/>
      <w:ind w:left="720" w:hanging="360"/>
      <w:outlineLvl w:val="0"/>
    </w:pPr>
    <w:rPr>
      <w:smallCaps/>
    </w:rPr>
  </w:style>
  <w:style w:type="paragraph" w:styleId="Heading2">
    <w:name w:val="heading 2"/>
    <w:basedOn w:val="Normal"/>
    <w:next w:val="Normal"/>
    <w:uiPriority w:val="9"/>
    <w:unhideWhenUsed/>
    <w:qFormat/>
    <w:pPr>
      <w:shd w:val="clear" w:color="auto" w:fill="FFFFFF"/>
      <w:spacing w:before="240" w:after="240"/>
      <w:ind w:left="1440" w:hanging="360"/>
      <w:outlineLvl w:val="1"/>
    </w:pPr>
  </w:style>
  <w:style w:type="paragraph" w:styleId="Heading3">
    <w:name w:val="heading 3"/>
    <w:basedOn w:val="Normal"/>
    <w:next w:val="Normal"/>
    <w:uiPriority w:val="9"/>
    <w:unhideWhenUsed/>
    <w:qFormat/>
    <w:rsid w:val="0022631B"/>
    <w:pPr>
      <w:numPr>
        <w:ilvl w:val="2"/>
        <w:numId w:val="5"/>
      </w:numPr>
      <w:shd w:val="clear" w:color="auto" w:fill="FFFFFF"/>
      <w:spacing w:before="280" w:after="280" w:line="360" w:lineRule="auto"/>
      <w:jc w:val="both"/>
      <w:outlineLvl w:val="2"/>
    </w:pPr>
    <w:rPr>
      <w:b/>
      <w:bCs/>
    </w:rPr>
  </w:style>
  <w:style w:type="paragraph" w:styleId="Heading4">
    <w:name w:val="heading 4"/>
    <w:basedOn w:val="Heading3"/>
    <w:next w:val="Normal"/>
    <w:uiPriority w:val="9"/>
    <w:unhideWhenUsed/>
    <w:qFormat/>
    <w:rsid w:val="0022631B"/>
    <w:pPr>
      <w:numPr>
        <w:ilvl w:val="3"/>
        <w:numId w:val="6"/>
      </w:numPr>
      <w:outlineLvl w:val="3"/>
    </w:pPr>
  </w:style>
  <w:style w:type="paragraph" w:styleId="Heading5">
    <w:name w:val="heading 5"/>
    <w:basedOn w:val="Normal"/>
    <w:next w:val="Normal"/>
    <w:uiPriority w:val="9"/>
    <w:semiHidden/>
    <w:unhideWhenUsed/>
    <w:qFormat/>
    <w:pPr>
      <w:shd w:val="clear" w:color="auto" w:fill="FFFFFF"/>
      <w:spacing w:before="240" w:after="240"/>
      <w:ind w:left="3600" w:hanging="360"/>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A54C7"/>
    <w:pPr>
      <w:ind w:left="720"/>
      <w:contextualSpacing/>
    </w:pPr>
  </w:style>
  <w:style w:type="paragraph" w:styleId="FootnoteText">
    <w:name w:val="footnote text"/>
    <w:basedOn w:val="Normal"/>
    <w:link w:val="FootnoteTextChar"/>
    <w:uiPriority w:val="99"/>
    <w:unhideWhenUsed/>
    <w:rsid w:val="007416D5"/>
    <w:pPr>
      <w:spacing w:before="0" w:after="0"/>
    </w:pPr>
    <w:rPr>
      <w:sz w:val="20"/>
      <w:szCs w:val="20"/>
    </w:rPr>
  </w:style>
  <w:style w:type="character" w:customStyle="1" w:styleId="FootnoteTextChar">
    <w:name w:val="Footnote Text Char"/>
    <w:basedOn w:val="DefaultParagraphFont"/>
    <w:link w:val="FootnoteText"/>
    <w:uiPriority w:val="99"/>
    <w:rsid w:val="007416D5"/>
    <w:rPr>
      <w:sz w:val="20"/>
      <w:szCs w:val="20"/>
    </w:rPr>
  </w:style>
  <w:style w:type="character" w:styleId="FootnoteReference">
    <w:name w:val="footnote reference"/>
    <w:basedOn w:val="DefaultParagraphFont"/>
    <w:uiPriority w:val="99"/>
    <w:semiHidden/>
    <w:unhideWhenUsed/>
    <w:rsid w:val="007416D5"/>
    <w:rPr>
      <w:vertAlign w:val="superscript"/>
    </w:rPr>
  </w:style>
  <w:style w:type="paragraph" w:styleId="NormalWeb">
    <w:name w:val="Normal (Web)"/>
    <w:basedOn w:val="Normal"/>
    <w:uiPriority w:val="99"/>
    <w:unhideWhenUsed/>
    <w:rsid w:val="001F769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8492E"/>
    <w:rPr>
      <w:b/>
      <w:bCs/>
    </w:rPr>
  </w:style>
  <w:style w:type="character" w:customStyle="1" w:styleId="CommentSubjectChar">
    <w:name w:val="Comment Subject Char"/>
    <w:basedOn w:val="CommentTextChar"/>
    <w:link w:val="CommentSubject"/>
    <w:uiPriority w:val="99"/>
    <w:semiHidden/>
    <w:rsid w:val="0018492E"/>
    <w:rPr>
      <w:b/>
      <w:bCs/>
      <w:sz w:val="20"/>
      <w:szCs w:val="20"/>
    </w:rPr>
  </w:style>
  <w:style w:type="paragraph" w:customStyle="1" w:styleId="paragraph">
    <w:name w:val="paragraph"/>
    <w:basedOn w:val="Normal"/>
    <w:rsid w:val="000D3B4F"/>
    <w:pPr>
      <w:spacing w:before="100" w:beforeAutospacing="1" w:after="100" w:afterAutospacing="1"/>
    </w:pPr>
  </w:style>
  <w:style w:type="character" w:customStyle="1" w:styleId="normaltextrun">
    <w:name w:val="normaltextrun"/>
    <w:basedOn w:val="DefaultParagraphFont"/>
    <w:rsid w:val="000D3B4F"/>
  </w:style>
  <w:style w:type="character" w:customStyle="1" w:styleId="findhit">
    <w:name w:val="findhit"/>
    <w:basedOn w:val="DefaultParagraphFont"/>
    <w:rsid w:val="000D3B4F"/>
  </w:style>
  <w:style w:type="character" w:customStyle="1" w:styleId="superscript">
    <w:name w:val="superscript"/>
    <w:basedOn w:val="DefaultParagraphFont"/>
    <w:rsid w:val="000D3B4F"/>
  </w:style>
  <w:style w:type="character" w:customStyle="1" w:styleId="eop">
    <w:name w:val="eop"/>
    <w:basedOn w:val="DefaultParagraphFont"/>
    <w:rsid w:val="000D3B4F"/>
  </w:style>
  <w:style w:type="character" w:styleId="Hyperlink">
    <w:name w:val="Hyperlink"/>
    <w:basedOn w:val="DefaultParagraphFont"/>
    <w:uiPriority w:val="99"/>
    <w:unhideWhenUsed/>
    <w:rsid w:val="006573C8"/>
    <w:rPr>
      <w:color w:val="0000FF" w:themeColor="hyperlink"/>
      <w:u w:val="single"/>
    </w:rPr>
  </w:style>
  <w:style w:type="character" w:styleId="UnresolvedMention">
    <w:name w:val="Unresolved Mention"/>
    <w:basedOn w:val="DefaultParagraphFont"/>
    <w:uiPriority w:val="99"/>
    <w:semiHidden/>
    <w:unhideWhenUsed/>
    <w:rsid w:val="006573C8"/>
    <w:rPr>
      <w:color w:val="605E5C"/>
      <w:shd w:val="clear" w:color="auto" w:fill="E1DFDD"/>
    </w:rPr>
  </w:style>
  <w:style w:type="paragraph" w:customStyle="1" w:styleId="pf0">
    <w:name w:val="pf0"/>
    <w:basedOn w:val="Normal"/>
    <w:rsid w:val="00EB2365"/>
    <w:pPr>
      <w:spacing w:before="100" w:beforeAutospacing="1" w:after="100" w:afterAutospacing="1"/>
    </w:pPr>
  </w:style>
  <w:style w:type="character" w:customStyle="1" w:styleId="cf01">
    <w:name w:val="cf01"/>
    <w:basedOn w:val="DefaultParagraphFont"/>
    <w:rsid w:val="00EB2365"/>
    <w:rPr>
      <w:rFonts w:ascii="Segoe UI" w:hAnsi="Segoe UI" w:cs="Segoe UI" w:hint="default"/>
      <w:sz w:val="18"/>
      <w:szCs w:val="18"/>
    </w:rPr>
  </w:style>
  <w:style w:type="character" w:customStyle="1" w:styleId="scxw78018071">
    <w:name w:val="scxw78018071"/>
    <w:basedOn w:val="DefaultParagraphFont"/>
    <w:rsid w:val="00CC61AE"/>
  </w:style>
  <w:style w:type="paragraph" w:styleId="TOC1">
    <w:name w:val="toc 1"/>
    <w:basedOn w:val="Normal"/>
    <w:next w:val="Normal"/>
    <w:autoRedefine/>
    <w:uiPriority w:val="39"/>
    <w:unhideWhenUsed/>
    <w:rsid w:val="00B47E7B"/>
    <w:pPr>
      <w:tabs>
        <w:tab w:val="left" w:pos="720"/>
        <w:tab w:val="right" w:leader="dot" w:pos="9350"/>
      </w:tabs>
      <w:spacing w:after="100"/>
      <w:ind w:left="720"/>
    </w:pPr>
    <w:rPr>
      <w:noProof/>
    </w:rPr>
  </w:style>
  <w:style w:type="paragraph" w:styleId="TOC2">
    <w:name w:val="toc 2"/>
    <w:basedOn w:val="Normal"/>
    <w:next w:val="Normal"/>
    <w:autoRedefine/>
    <w:uiPriority w:val="39"/>
    <w:unhideWhenUsed/>
    <w:rsid w:val="00A82246"/>
    <w:pPr>
      <w:numPr>
        <w:numId w:val="22"/>
      </w:numPr>
      <w:tabs>
        <w:tab w:val="right" w:leader="dot" w:pos="9350"/>
      </w:tabs>
      <w:spacing w:before="160" w:after="160"/>
      <w:ind w:left="1800" w:hanging="720"/>
    </w:pPr>
  </w:style>
  <w:style w:type="paragraph" w:styleId="TOC3">
    <w:name w:val="toc 3"/>
    <w:basedOn w:val="Normal"/>
    <w:next w:val="Normal"/>
    <w:autoRedefine/>
    <w:uiPriority w:val="39"/>
    <w:unhideWhenUsed/>
    <w:rsid w:val="0022631B"/>
    <w:pPr>
      <w:spacing w:after="100"/>
      <w:ind w:left="480"/>
    </w:pPr>
  </w:style>
  <w:style w:type="paragraph" w:styleId="TOC4">
    <w:name w:val="toc 4"/>
    <w:basedOn w:val="Normal"/>
    <w:next w:val="Normal"/>
    <w:autoRedefine/>
    <w:uiPriority w:val="39"/>
    <w:unhideWhenUsed/>
    <w:rsid w:val="0022631B"/>
    <w:pPr>
      <w:spacing w:after="100"/>
      <w:ind w:left="720"/>
    </w:pPr>
  </w:style>
  <w:style w:type="character" w:styleId="FollowedHyperlink">
    <w:name w:val="FollowedHyperlink"/>
    <w:basedOn w:val="DefaultParagraphFont"/>
    <w:uiPriority w:val="99"/>
    <w:semiHidden/>
    <w:unhideWhenUsed/>
    <w:rsid w:val="00816530"/>
    <w:rPr>
      <w:color w:val="800080" w:themeColor="followedHyperlink"/>
      <w:u w:val="single"/>
    </w:rPr>
  </w:style>
  <w:style w:type="paragraph" w:styleId="Revision">
    <w:name w:val="Revision"/>
    <w:hidden/>
    <w:uiPriority w:val="99"/>
    <w:semiHidden/>
    <w:rsid w:val="00081E30"/>
    <w:pPr>
      <w:spacing w:before="0" w:after="0"/>
    </w:pPr>
  </w:style>
  <w:style w:type="paragraph" w:styleId="Header">
    <w:name w:val="header"/>
    <w:basedOn w:val="Normal"/>
    <w:link w:val="HeaderChar"/>
    <w:uiPriority w:val="99"/>
    <w:unhideWhenUsed/>
    <w:rsid w:val="00F63433"/>
    <w:pPr>
      <w:tabs>
        <w:tab w:val="center" w:pos="4680"/>
        <w:tab w:val="right" w:pos="9360"/>
      </w:tabs>
      <w:spacing w:before="0" w:after="0"/>
    </w:pPr>
  </w:style>
  <w:style w:type="character" w:customStyle="1" w:styleId="HeaderChar">
    <w:name w:val="Header Char"/>
    <w:basedOn w:val="DefaultParagraphFont"/>
    <w:link w:val="Header"/>
    <w:uiPriority w:val="99"/>
    <w:rsid w:val="00F63433"/>
  </w:style>
  <w:style w:type="paragraph" w:styleId="Footer">
    <w:name w:val="footer"/>
    <w:basedOn w:val="Normal"/>
    <w:link w:val="FooterChar"/>
    <w:uiPriority w:val="99"/>
    <w:unhideWhenUsed/>
    <w:rsid w:val="00F63433"/>
    <w:pPr>
      <w:tabs>
        <w:tab w:val="center" w:pos="4680"/>
        <w:tab w:val="right" w:pos="9360"/>
      </w:tabs>
      <w:spacing w:before="0" w:after="0"/>
    </w:pPr>
  </w:style>
  <w:style w:type="character" w:customStyle="1" w:styleId="FooterChar">
    <w:name w:val="Footer Char"/>
    <w:basedOn w:val="DefaultParagraphFont"/>
    <w:link w:val="Footer"/>
    <w:uiPriority w:val="99"/>
    <w:rsid w:val="00F63433"/>
  </w:style>
  <w:style w:type="character" w:styleId="Emphasis">
    <w:name w:val="Emphasis"/>
    <w:basedOn w:val="DefaultParagraphFont"/>
    <w:uiPriority w:val="20"/>
    <w:qFormat/>
    <w:rsid w:val="000B3248"/>
    <w:rPr>
      <w:i/>
      <w:iCs/>
    </w:rPr>
  </w:style>
  <w:style w:type="paragraph" w:styleId="TOCHeading">
    <w:name w:val="TOC Heading"/>
    <w:basedOn w:val="Heading1"/>
    <w:next w:val="Normal"/>
    <w:uiPriority w:val="39"/>
    <w:unhideWhenUsed/>
    <w:qFormat/>
    <w:rsid w:val="007E5754"/>
    <w:pPr>
      <w:keepNext/>
      <w:keepLines/>
      <w:shd w:val="clear" w:color="auto" w:fill="auto"/>
      <w:spacing w:after="0" w:line="259" w:lineRule="auto"/>
      <w:ind w:left="0" w:firstLine="0"/>
      <w:outlineLvl w:val="9"/>
    </w:pPr>
    <w:rPr>
      <w:rFonts w:asciiTheme="majorHAnsi" w:eastAsiaTheme="majorEastAsia" w:hAnsiTheme="majorHAnsi" w:cstheme="majorBidi"/>
      <w:small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463">
      <w:bodyDiv w:val="1"/>
      <w:marLeft w:val="0"/>
      <w:marRight w:val="0"/>
      <w:marTop w:val="0"/>
      <w:marBottom w:val="0"/>
      <w:divBdr>
        <w:top w:val="none" w:sz="0" w:space="0" w:color="auto"/>
        <w:left w:val="none" w:sz="0" w:space="0" w:color="auto"/>
        <w:bottom w:val="none" w:sz="0" w:space="0" w:color="auto"/>
        <w:right w:val="none" w:sz="0" w:space="0" w:color="auto"/>
      </w:divBdr>
    </w:div>
    <w:div w:id="185603617">
      <w:bodyDiv w:val="1"/>
      <w:marLeft w:val="0"/>
      <w:marRight w:val="0"/>
      <w:marTop w:val="0"/>
      <w:marBottom w:val="0"/>
      <w:divBdr>
        <w:top w:val="none" w:sz="0" w:space="0" w:color="auto"/>
        <w:left w:val="none" w:sz="0" w:space="0" w:color="auto"/>
        <w:bottom w:val="none" w:sz="0" w:space="0" w:color="auto"/>
        <w:right w:val="none" w:sz="0" w:space="0" w:color="auto"/>
      </w:divBdr>
    </w:div>
    <w:div w:id="253782483">
      <w:bodyDiv w:val="1"/>
      <w:marLeft w:val="0"/>
      <w:marRight w:val="0"/>
      <w:marTop w:val="0"/>
      <w:marBottom w:val="0"/>
      <w:divBdr>
        <w:top w:val="none" w:sz="0" w:space="0" w:color="auto"/>
        <w:left w:val="none" w:sz="0" w:space="0" w:color="auto"/>
        <w:bottom w:val="none" w:sz="0" w:space="0" w:color="auto"/>
        <w:right w:val="none" w:sz="0" w:space="0" w:color="auto"/>
      </w:divBdr>
    </w:div>
    <w:div w:id="300161010">
      <w:bodyDiv w:val="1"/>
      <w:marLeft w:val="0"/>
      <w:marRight w:val="0"/>
      <w:marTop w:val="0"/>
      <w:marBottom w:val="0"/>
      <w:divBdr>
        <w:top w:val="none" w:sz="0" w:space="0" w:color="auto"/>
        <w:left w:val="none" w:sz="0" w:space="0" w:color="auto"/>
        <w:bottom w:val="none" w:sz="0" w:space="0" w:color="auto"/>
        <w:right w:val="none" w:sz="0" w:space="0" w:color="auto"/>
      </w:divBdr>
    </w:div>
    <w:div w:id="309290974">
      <w:bodyDiv w:val="1"/>
      <w:marLeft w:val="0"/>
      <w:marRight w:val="0"/>
      <w:marTop w:val="0"/>
      <w:marBottom w:val="0"/>
      <w:divBdr>
        <w:top w:val="none" w:sz="0" w:space="0" w:color="auto"/>
        <w:left w:val="none" w:sz="0" w:space="0" w:color="auto"/>
        <w:bottom w:val="none" w:sz="0" w:space="0" w:color="auto"/>
        <w:right w:val="none" w:sz="0" w:space="0" w:color="auto"/>
      </w:divBdr>
      <w:divsChild>
        <w:div w:id="1104035151">
          <w:marLeft w:val="0"/>
          <w:marRight w:val="0"/>
          <w:marTop w:val="0"/>
          <w:marBottom w:val="0"/>
          <w:divBdr>
            <w:top w:val="none" w:sz="0" w:space="0" w:color="auto"/>
            <w:left w:val="none" w:sz="0" w:space="0" w:color="auto"/>
            <w:bottom w:val="none" w:sz="0" w:space="0" w:color="auto"/>
            <w:right w:val="none" w:sz="0" w:space="0" w:color="auto"/>
          </w:divBdr>
          <w:divsChild>
            <w:div w:id="1179127316">
              <w:marLeft w:val="0"/>
              <w:marRight w:val="0"/>
              <w:marTop w:val="0"/>
              <w:marBottom w:val="0"/>
              <w:divBdr>
                <w:top w:val="none" w:sz="0" w:space="0" w:color="auto"/>
                <w:left w:val="none" w:sz="0" w:space="0" w:color="auto"/>
                <w:bottom w:val="none" w:sz="0" w:space="0" w:color="auto"/>
                <w:right w:val="none" w:sz="0" w:space="0" w:color="auto"/>
              </w:divBdr>
            </w:div>
            <w:div w:id="8182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059">
      <w:bodyDiv w:val="1"/>
      <w:marLeft w:val="0"/>
      <w:marRight w:val="0"/>
      <w:marTop w:val="0"/>
      <w:marBottom w:val="0"/>
      <w:divBdr>
        <w:top w:val="none" w:sz="0" w:space="0" w:color="auto"/>
        <w:left w:val="none" w:sz="0" w:space="0" w:color="auto"/>
        <w:bottom w:val="none" w:sz="0" w:space="0" w:color="auto"/>
        <w:right w:val="none" w:sz="0" w:space="0" w:color="auto"/>
      </w:divBdr>
    </w:div>
    <w:div w:id="383021173">
      <w:bodyDiv w:val="1"/>
      <w:marLeft w:val="0"/>
      <w:marRight w:val="0"/>
      <w:marTop w:val="0"/>
      <w:marBottom w:val="0"/>
      <w:divBdr>
        <w:top w:val="none" w:sz="0" w:space="0" w:color="auto"/>
        <w:left w:val="none" w:sz="0" w:space="0" w:color="auto"/>
        <w:bottom w:val="none" w:sz="0" w:space="0" w:color="auto"/>
        <w:right w:val="none" w:sz="0" w:space="0" w:color="auto"/>
      </w:divBdr>
    </w:div>
    <w:div w:id="559637808">
      <w:bodyDiv w:val="1"/>
      <w:marLeft w:val="0"/>
      <w:marRight w:val="0"/>
      <w:marTop w:val="0"/>
      <w:marBottom w:val="0"/>
      <w:divBdr>
        <w:top w:val="none" w:sz="0" w:space="0" w:color="auto"/>
        <w:left w:val="none" w:sz="0" w:space="0" w:color="auto"/>
        <w:bottom w:val="none" w:sz="0" w:space="0" w:color="auto"/>
        <w:right w:val="none" w:sz="0" w:space="0" w:color="auto"/>
      </w:divBdr>
    </w:div>
    <w:div w:id="604994439">
      <w:bodyDiv w:val="1"/>
      <w:marLeft w:val="0"/>
      <w:marRight w:val="0"/>
      <w:marTop w:val="0"/>
      <w:marBottom w:val="0"/>
      <w:divBdr>
        <w:top w:val="none" w:sz="0" w:space="0" w:color="auto"/>
        <w:left w:val="none" w:sz="0" w:space="0" w:color="auto"/>
        <w:bottom w:val="none" w:sz="0" w:space="0" w:color="auto"/>
        <w:right w:val="none" w:sz="0" w:space="0" w:color="auto"/>
      </w:divBdr>
    </w:div>
    <w:div w:id="634412579">
      <w:bodyDiv w:val="1"/>
      <w:marLeft w:val="0"/>
      <w:marRight w:val="0"/>
      <w:marTop w:val="0"/>
      <w:marBottom w:val="0"/>
      <w:divBdr>
        <w:top w:val="none" w:sz="0" w:space="0" w:color="auto"/>
        <w:left w:val="none" w:sz="0" w:space="0" w:color="auto"/>
        <w:bottom w:val="none" w:sz="0" w:space="0" w:color="auto"/>
        <w:right w:val="none" w:sz="0" w:space="0" w:color="auto"/>
      </w:divBdr>
    </w:div>
    <w:div w:id="697049352">
      <w:bodyDiv w:val="1"/>
      <w:marLeft w:val="0"/>
      <w:marRight w:val="0"/>
      <w:marTop w:val="0"/>
      <w:marBottom w:val="0"/>
      <w:divBdr>
        <w:top w:val="none" w:sz="0" w:space="0" w:color="auto"/>
        <w:left w:val="none" w:sz="0" w:space="0" w:color="auto"/>
        <w:bottom w:val="none" w:sz="0" w:space="0" w:color="auto"/>
        <w:right w:val="none" w:sz="0" w:space="0" w:color="auto"/>
      </w:divBdr>
      <w:divsChild>
        <w:div w:id="1807354030">
          <w:marLeft w:val="0"/>
          <w:marRight w:val="0"/>
          <w:marTop w:val="0"/>
          <w:marBottom w:val="0"/>
          <w:divBdr>
            <w:top w:val="none" w:sz="0" w:space="0" w:color="auto"/>
            <w:left w:val="none" w:sz="0" w:space="0" w:color="auto"/>
            <w:bottom w:val="none" w:sz="0" w:space="0" w:color="auto"/>
            <w:right w:val="none" w:sz="0" w:space="0" w:color="auto"/>
          </w:divBdr>
        </w:div>
        <w:div w:id="1983658376">
          <w:marLeft w:val="0"/>
          <w:marRight w:val="0"/>
          <w:marTop w:val="0"/>
          <w:marBottom w:val="0"/>
          <w:divBdr>
            <w:top w:val="none" w:sz="0" w:space="0" w:color="auto"/>
            <w:left w:val="none" w:sz="0" w:space="0" w:color="auto"/>
            <w:bottom w:val="none" w:sz="0" w:space="0" w:color="auto"/>
            <w:right w:val="none" w:sz="0" w:space="0" w:color="auto"/>
          </w:divBdr>
        </w:div>
        <w:div w:id="1021735438">
          <w:marLeft w:val="0"/>
          <w:marRight w:val="0"/>
          <w:marTop w:val="0"/>
          <w:marBottom w:val="0"/>
          <w:divBdr>
            <w:top w:val="none" w:sz="0" w:space="0" w:color="auto"/>
            <w:left w:val="none" w:sz="0" w:space="0" w:color="auto"/>
            <w:bottom w:val="none" w:sz="0" w:space="0" w:color="auto"/>
            <w:right w:val="none" w:sz="0" w:space="0" w:color="auto"/>
          </w:divBdr>
        </w:div>
      </w:divsChild>
    </w:div>
    <w:div w:id="714701976">
      <w:bodyDiv w:val="1"/>
      <w:marLeft w:val="0"/>
      <w:marRight w:val="0"/>
      <w:marTop w:val="0"/>
      <w:marBottom w:val="0"/>
      <w:divBdr>
        <w:top w:val="none" w:sz="0" w:space="0" w:color="auto"/>
        <w:left w:val="none" w:sz="0" w:space="0" w:color="auto"/>
        <w:bottom w:val="none" w:sz="0" w:space="0" w:color="auto"/>
        <w:right w:val="none" w:sz="0" w:space="0" w:color="auto"/>
      </w:divBdr>
    </w:div>
    <w:div w:id="768085641">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825046922">
      <w:bodyDiv w:val="1"/>
      <w:marLeft w:val="0"/>
      <w:marRight w:val="0"/>
      <w:marTop w:val="0"/>
      <w:marBottom w:val="0"/>
      <w:divBdr>
        <w:top w:val="none" w:sz="0" w:space="0" w:color="auto"/>
        <w:left w:val="none" w:sz="0" w:space="0" w:color="auto"/>
        <w:bottom w:val="none" w:sz="0" w:space="0" w:color="auto"/>
        <w:right w:val="none" w:sz="0" w:space="0" w:color="auto"/>
      </w:divBdr>
    </w:div>
    <w:div w:id="948509746">
      <w:bodyDiv w:val="1"/>
      <w:marLeft w:val="0"/>
      <w:marRight w:val="0"/>
      <w:marTop w:val="0"/>
      <w:marBottom w:val="0"/>
      <w:divBdr>
        <w:top w:val="none" w:sz="0" w:space="0" w:color="auto"/>
        <w:left w:val="none" w:sz="0" w:space="0" w:color="auto"/>
        <w:bottom w:val="none" w:sz="0" w:space="0" w:color="auto"/>
        <w:right w:val="none" w:sz="0" w:space="0" w:color="auto"/>
      </w:divBdr>
    </w:div>
    <w:div w:id="955061933">
      <w:bodyDiv w:val="1"/>
      <w:marLeft w:val="0"/>
      <w:marRight w:val="0"/>
      <w:marTop w:val="0"/>
      <w:marBottom w:val="0"/>
      <w:divBdr>
        <w:top w:val="none" w:sz="0" w:space="0" w:color="auto"/>
        <w:left w:val="none" w:sz="0" w:space="0" w:color="auto"/>
        <w:bottom w:val="none" w:sz="0" w:space="0" w:color="auto"/>
        <w:right w:val="none" w:sz="0" w:space="0" w:color="auto"/>
      </w:divBdr>
      <w:divsChild>
        <w:div w:id="1816877841">
          <w:marLeft w:val="0"/>
          <w:marRight w:val="0"/>
          <w:marTop w:val="0"/>
          <w:marBottom w:val="0"/>
          <w:divBdr>
            <w:top w:val="none" w:sz="0" w:space="0" w:color="auto"/>
            <w:left w:val="none" w:sz="0" w:space="0" w:color="auto"/>
            <w:bottom w:val="none" w:sz="0" w:space="0" w:color="auto"/>
            <w:right w:val="none" w:sz="0" w:space="0" w:color="auto"/>
          </w:divBdr>
          <w:divsChild>
            <w:div w:id="1373841110">
              <w:marLeft w:val="0"/>
              <w:marRight w:val="0"/>
              <w:marTop w:val="0"/>
              <w:marBottom w:val="0"/>
              <w:divBdr>
                <w:top w:val="none" w:sz="0" w:space="0" w:color="auto"/>
                <w:left w:val="none" w:sz="0" w:space="0" w:color="auto"/>
                <w:bottom w:val="none" w:sz="0" w:space="0" w:color="auto"/>
                <w:right w:val="none" w:sz="0" w:space="0" w:color="auto"/>
              </w:divBdr>
            </w:div>
            <w:div w:id="200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419">
      <w:bodyDiv w:val="1"/>
      <w:marLeft w:val="0"/>
      <w:marRight w:val="0"/>
      <w:marTop w:val="0"/>
      <w:marBottom w:val="0"/>
      <w:divBdr>
        <w:top w:val="none" w:sz="0" w:space="0" w:color="auto"/>
        <w:left w:val="none" w:sz="0" w:space="0" w:color="auto"/>
        <w:bottom w:val="none" w:sz="0" w:space="0" w:color="auto"/>
        <w:right w:val="none" w:sz="0" w:space="0" w:color="auto"/>
      </w:divBdr>
      <w:divsChild>
        <w:div w:id="397097819">
          <w:marLeft w:val="0"/>
          <w:marRight w:val="0"/>
          <w:marTop w:val="0"/>
          <w:marBottom w:val="0"/>
          <w:divBdr>
            <w:top w:val="none" w:sz="0" w:space="0" w:color="auto"/>
            <w:left w:val="none" w:sz="0" w:space="0" w:color="auto"/>
            <w:bottom w:val="none" w:sz="0" w:space="0" w:color="auto"/>
            <w:right w:val="none" w:sz="0" w:space="0" w:color="auto"/>
          </w:divBdr>
        </w:div>
      </w:divsChild>
    </w:div>
    <w:div w:id="982389041">
      <w:bodyDiv w:val="1"/>
      <w:marLeft w:val="0"/>
      <w:marRight w:val="0"/>
      <w:marTop w:val="0"/>
      <w:marBottom w:val="0"/>
      <w:divBdr>
        <w:top w:val="none" w:sz="0" w:space="0" w:color="auto"/>
        <w:left w:val="none" w:sz="0" w:space="0" w:color="auto"/>
        <w:bottom w:val="none" w:sz="0" w:space="0" w:color="auto"/>
        <w:right w:val="none" w:sz="0" w:space="0" w:color="auto"/>
      </w:divBdr>
      <w:divsChild>
        <w:div w:id="1453596228">
          <w:marLeft w:val="0"/>
          <w:marRight w:val="0"/>
          <w:marTop w:val="0"/>
          <w:marBottom w:val="0"/>
          <w:divBdr>
            <w:top w:val="none" w:sz="0" w:space="0" w:color="auto"/>
            <w:left w:val="none" w:sz="0" w:space="0" w:color="auto"/>
            <w:bottom w:val="none" w:sz="0" w:space="0" w:color="auto"/>
            <w:right w:val="none" w:sz="0" w:space="0" w:color="auto"/>
          </w:divBdr>
          <w:divsChild>
            <w:div w:id="981227336">
              <w:marLeft w:val="0"/>
              <w:marRight w:val="0"/>
              <w:marTop w:val="0"/>
              <w:marBottom w:val="0"/>
              <w:divBdr>
                <w:top w:val="none" w:sz="0" w:space="0" w:color="auto"/>
                <w:left w:val="none" w:sz="0" w:space="0" w:color="auto"/>
                <w:bottom w:val="none" w:sz="0" w:space="0" w:color="auto"/>
                <w:right w:val="none" w:sz="0" w:space="0" w:color="auto"/>
              </w:divBdr>
            </w:div>
            <w:div w:id="2068213326">
              <w:marLeft w:val="0"/>
              <w:marRight w:val="0"/>
              <w:marTop w:val="0"/>
              <w:marBottom w:val="0"/>
              <w:divBdr>
                <w:top w:val="none" w:sz="0" w:space="0" w:color="auto"/>
                <w:left w:val="none" w:sz="0" w:space="0" w:color="auto"/>
                <w:bottom w:val="none" w:sz="0" w:space="0" w:color="auto"/>
                <w:right w:val="none" w:sz="0" w:space="0" w:color="auto"/>
              </w:divBdr>
            </w:div>
            <w:div w:id="1530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618">
      <w:bodyDiv w:val="1"/>
      <w:marLeft w:val="0"/>
      <w:marRight w:val="0"/>
      <w:marTop w:val="0"/>
      <w:marBottom w:val="0"/>
      <w:divBdr>
        <w:top w:val="none" w:sz="0" w:space="0" w:color="auto"/>
        <w:left w:val="none" w:sz="0" w:space="0" w:color="auto"/>
        <w:bottom w:val="none" w:sz="0" w:space="0" w:color="auto"/>
        <w:right w:val="none" w:sz="0" w:space="0" w:color="auto"/>
      </w:divBdr>
      <w:divsChild>
        <w:div w:id="669410913">
          <w:marLeft w:val="0"/>
          <w:marRight w:val="0"/>
          <w:marTop w:val="0"/>
          <w:marBottom w:val="0"/>
          <w:divBdr>
            <w:top w:val="none" w:sz="0" w:space="0" w:color="auto"/>
            <w:left w:val="none" w:sz="0" w:space="0" w:color="auto"/>
            <w:bottom w:val="none" w:sz="0" w:space="0" w:color="auto"/>
            <w:right w:val="none" w:sz="0" w:space="0" w:color="auto"/>
          </w:divBdr>
        </w:div>
      </w:divsChild>
    </w:div>
    <w:div w:id="1078089261">
      <w:bodyDiv w:val="1"/>
      <w:marLeft w:val="0"/>
      <w:marRight w:val="0"/>
      <w:marTop w:val="0"/>
      <w:marBottom w:val="0"/>
      <w:divBdr>
        <w:top w:val="none" w:sz="0" w:space="0" w:color="auto"/>
        <w:left w:val="none" w:sz="0" w:space="0" w:color="auto"/>
        <w:bottom w:val="none" w:sz="0" w:space="0" w:color="auto"/>
        <w:right w:val="none" w:sz="0" w:space="0" w:color="auto"/>
      </w:divBdr>
    </w:div>
    <w:div w:id="1111363790">
      <w:bodyDiv w:val="1"/>
      <w:marLeft w:val="0"/>
      <w:marRight w:val="0"/>
      <w:marTop w:val="0"/>
      <w:marBottom w:val="0"/>
      <w:divBdr>
        <w:top w:val="none" w:sz="0" w:space="0" w:color="auto"/>
        <w:left w:val="none" w:sz="0" w:space="0" w:color="auto"/>
        <w:bottom w:val="none" w:sz="0" w:space="0" w:color="auto"/>
        <w:right w:val="none" w:sz="0" w:space="0" w:color="auto"/>
      </w:divBdr>
    </w:div>
    <w:div w:id="1414165182">
      <w:bodyDiv w:val="1"/>
      <w:marLeft w:val="0"/>
      <w:marRight w:val="0"/>
      <w:marTop w:val="0"/>
      <w:marBottom w:val="0"/>
      <w:divBdr>
        <w:top w:val="none" w:sz="0" w:space="0" w:color="auto"/>
        <w:left w:val="none" w:sz="0" w:space="0" w:color="auto"/>
        <w:bottom w:val="none" w:sz="0" w:space="0" w:color="auto"/>
        <w:right w:val="none" w:sz="0" w:space="0" w:color="auto"/>
      </w:divBdr>
    </w:div>
    <w:div w:id="1496728178">
      <w:bodyDiv w:val="1"/>
      <w:marLeft w:val="0"/>
      <w:marRight w:val="0"/>
      <w:marTop w:val="0"/>
      <w:marBottom w:val="0"/>
      <w:divBdr>
        <w:top w:val="none" w:sz="0" w:space="0" w:color="auto"/>
        <w:left w:val="none" w:sz="0" w:space="0" w:color="auto"/>
        <w:bottom w:val="none" w:sz="0" w:space="0" w:color="auto"/>
        <w:right w:val="none" w:sz="0" w:space="0" w:color="auto"/>
      </w:divBdr>
    </w:div>
    <w:div w:id="1639219037">
      <w:bodyDiv w:val="1"/>
      <w:marLeft w:val="0"/>
      <w:marRight w:val="0"/>
      <w:marTop w:val="0"/>
      <w:marBottom w:val="0"/>
      <w:divBdr>
        <w:top w:val="none" w:sz="0" w:space="0" w:color="auto"/>
        <w:left w:val="none" w:sz="0" w:space="0" w:color="auto"/>
        <w:bottom w:val="none" w:sz="0" w:space="0" w:color="auto"/>
        <w:right w:val="none" w:sz="0" w:space="0" w:color="auto"/>
      </w:divBdr>
      <w:divsChild>
        <w:div w:id="59599682">
          <w:marLeft w:val="0"/>
          <w:marRight w:val="0"/>
          <w:marTop w:val="0"/>
          <w:marBottom w:val="0"/>
          <w:divBdr>
            <w:top w:val="none" w:sz="0" w:space="0" w:color="auto"/>
            <w:left w:val="none" w:sz="0" w:space="0" w:color="auto"/>
            <w:bottom w:val="none" w:sz="0" w:space="0" w:color="auto"/>
            <w:right w:val="none" w:sz="0" w:space="0" w:color="auto"/>
          </w:divBdr>
        </w:div>
        <w:div w:id="1625771419">
          <w:marLeft w:val="0"/>
          <w:marRight w:val="0"/>
          <w:marTop w:val="0"/>
          <w:marBottom w:val="0"/>
          <w:divBdr>
            <w:top w:val="none" w:sz="0" w:space="0" w:color="auto"/>
            <w:left w:val="none" w:sz="0" w:space="0" w:color="auto"/>
            <w:bottom w:val="none" w:sz="0" w:space="0" w:color="auto"/>
            <w:right w:val="none" w:sz="0" w:space="0" w:color="auto"/>
          </w:divBdr>
        </w:div>
        <w:div w:id="1338919443">
          <w:marLeft w:val="0"/>
          <w:marRight w:val="0"/>
          <w:marTop w:val="0"/>
          <w:marBottom w:val="0"/>
          <w:divBdr>
            <w:top w:val="none" w:sz="0" w:space="0" w:color="auto"/>
            <w:left w:val="none" w:sz="0" w:space="0" w:color="auto"/>
            <w:bottom w:val="none" w:sz="0" w:space="0" w:color="auto"/>
            <w:right w:val="none" w:sz="0" w:space="0" w:color="auto"/>
          </w:divBdr>
        </w:div>
      </w:divsChild>
    </w:div>
    <w:div w:id="1687251353">
      <w:bodyDiv w:val="1"/>
      <w:marLeft w:val="0"/>
      <w:marRight w:val="0"/>
      <w:marTop w:val="0"/>
      <w:marBottom w:val="0"/>
      <w:divBdr>
        <w:top w:val="none" w:sz="0" w:space="0" w:color="auto"/>
        <w:left w:val="none" w:sz="0" w:space="0" w:color="auto"/>
        <w:bottom w:val="none" w:sz="0" w:space="0" w:color="auto"/>
        <w:right w:val="none" w:sz="0" w:space="0" w:color="auto"/>
      </w:divBdr>
    </w:div>
    <w:div w:id="1697121755">
      <w:bodyDiv w:val="1"/>
      <w:marLeft w:val="0"/>
      <w:marRight w:val="0"/>
      <w:marTop w:val="0"/>
      <w:marBottom w:val="0"/>
      <w:divBdr>
        <w:top w:val="none" w:sz="0" w:space="0" w:color="auto"/>
        <w:left w:val="none" w:sz="0" w:space="0" w:color="auto"/>
        <w:bottom w:val="none" w:sz="0" w:space="0" w:color="auto"/>
        <w:right w:val="none" w:sz="0" w:space="0" w:color="auto"/>
      </w:divBdr>
    </w:div>
    <w:div w:id="1699698271">
      <w:bodyDiv w:val="1"/>
      <w:marLeft w:val="0"/>
      <w:marRight w:val="0"/>
      <w:marTop w:val="0"/>
      <w:marBottom w:val="0"/>
      <w:divBdr>
        <w:top w:val="none" w:sz="0" w:space="0" w:color="auto"/>
        <w:left w:val="none" w:sz="0" w:space="0" w:color="auto"/>
        <w:bottom w:val="none" w:sz="0" w:space="0" w:color="auto"/>
        <w:right w:val="none" w:sz="0" w:space="0" w:color="auto"/>
      </w:divBdr>
    </w:div>
    <w:div w:id="1831408190">
      <w:bodyDiv w:val="1"/>
      <w:marLeft w:val="0"/>
      <w:marRight w:val="0"/>
      <w:marTop w:val="0"/>
      <w:marBottom w:val="0"/>
      <w:divBdr>
        <w:top w:val="none" w:sz="0" w:space="0" w:color="auto"/>
        <w:left w:val="none" w:sz="0" w:space="0" w:color="auto"/>
        <w:bottom w:val="none" w:sz="0" w:space="0" w:color="auto"/>
        <w:right w:val="none" w:sz="0" w:space="0" w:color="auto"/>
      </w:divBdr>
      <w:divsChild>
        <w:div w:id="1826240262">
          <w:marLeft w:val="0"/>
          <w:marRight w:val="0"/>
          <w:marTop w:val="0"/>
          <w:marBottom w:val="0"/>
          <w:divBdr>
            <w:top w:val="none" w:sz="0" w:space="0" w:color="auto"/>
            <w:left w:val="none" w:sz="0" w:space="0" w:color="auto"/>
            <w:bottom w:val="none" w:sz="0" w:space="0" w:color="auto"/>
            <w:right w:val="none" w:sz="0" w:space="0" w:color="auto"/>
          </w:divBdr>
          <w:divsChild>
            <w:div w:id="659895229">
              <w:marLeft w:val="0"/>
              <w:marRight w:val="0"/>
              <w:marTop w:val="0"/>
              <w:marBottom w:val="0"/>
              <w:divBdr>
                <w:top w:val="none" w:sz="0" w:space="0" w:color="auto"/>
                <w:left w:val="none" w:sz="0" w:space="0" w:color="auto"/>
                <w:bottom w:val="none" w:sz="0" w:space="0" w:color="auto"/>
                <w:right w:val="none" w:sz="0" w:space="0" w:color="auto"/>
              </w:divBdr>
            </w:div>
            <w:div w:id="2075395600">
              <w:marLeft w:val="0"/>
              <w:marRight w:val="0"/>
              <w:marTop w:val="0"/>
              <w:marBottom w:val="0"/>
              <w:divBdr>
                <w:top w:val="none" w:sz="0" w:space="0" w:color="auto"/>
                <w:left w:val="none" w:sz="0" w:space="0" w:color="auto"/>
                <w:bottom w:val="none" w:sz="0" w:space="0" w:color="auto"/>
                <w:right w:val="none" w:sz="0" w:space="0" w:color="auto"/>
              </w:divBdr>
            </w:div>
            <w:div w:id="437995205">
              <w:marLeft w:val="0"/>
              <w:marRight w:val="0"/>
              <w:marTop w:val="0"/>
              <w:marBottom w:val="0"/>
              <w:divBdr>
                <w:top w:val="none" w:sz="0" w:space="0" w:color="auto"/>
                <w:left w:val="none" w:sz="0" w:space="0" w:color="auto"/>
                <w:bottom w:val="none" w:sz="0" w:space="0" w:color="auto"/>
                <w:right w:val="none" w:sz="0" w:space="0" w:color="auto"/>
              </w:divBdr>
            </w:div>
            <w:div w:id="558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739">
      <w:bodyDiv w:val="1"/>
      <w:marLeft w:val="0"/>
      <w:marRight w:val="0"/>
      <w:marTop w:val="0"/>
      <w:marBottom w:val="0"/>
      <w:divBdr>
        <w:top w:val="none" w:sz="0" w:space="0" w:color="auto"/>
        <w:left w:val="none" w:sz="0" w:space="0" w:color="auto"/>
        <w:bottom w:val="none" w:sz="0" w:space="0" w:color="auto"/>
        <w:right w:val="none" w:sz="0" w:space="0" w:color="auto"/>
      </w:divBdr>
    </w:div>
    <w:div w:id="1940797909">
      <w:bodyDiv w:val="1"/>
      <w:marLeft w:val="0"/>
      <w:marRight w:val="0"/>
      <w:marTop w:val="0"/>
      <w:marBottom w:val="0"/>
      <w:divBdr>
        <w:top w:val="none" w:sz="0" w:space="0" w:color="auto"/>
        <w:left w:val="none" w:sz="0" w:space="0" w:color="auto"/>
        <w:bottom w:val="none" w:sz="0" w:space="0" w:color="auto"/>
        <w:right w:val="none" w:sz="0" w:space="0" w:color="auto"/>
      </w:divBdr>
    </w:div>
    <w:div w:id="2012951111">
      <w:bodyDiv w:val="1"/>
      <w:marLeft w:val="0"/>
      <w:marRight w:val="0"/>
      <w:marTop w:val="0"/>
      <w:marBottom w:val="0"/>
      <w:divBdr>
        <w:top w:val="none" w:sz="0" w:space="0" w:color="auto"/>
        <w:left w:val="none" w:sz="0" w:space="0" w:color="auto"/>
        <w:bottom w:val="none" w:sz="0" w:space="0" w:color="auto"/>
        <w:right w:val="none" w:sz="0" w:space="0" w:color="auto"/>
      </w:divBdr>
      <w:divsChild>
        <w:div w:id="1385985986">
          <w:marLeft w:val="0"/>
          <w:marRight w:val="0"/>
          <w:marTop w:val="0"/>
          <w:marBottom w:val="0"/>
          <w:divBdr>
            <w:top w:val="none" w:sz="0" w:space="0" w:color="auto"/>
            <w:left w:val="none" w:sz="0" w:space="0" w:color="auto"/>
            <w:bottom w:val="none" w:sz="0" w:space="0" w:color="auto"/>
            <w:right w:val="none" w:sz="0" w:space="0" w:color="auto"/>
          </w:divBdr>
        </w:div>
      </w:divsChild>
    </w:div>
    <w:div w:id="203437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0BBC65CA4634DAD925D5C313403CD" ma:contentTypeVersion="13" ma:contentTypeDescription="Create a new document." ma:contentTypeScope="" ma:versionID="822758b8ad8c3a9def9d6c7b9bba2987">
  <xsd:schema xmlns:xsd="http://www.w3.org/2001/XMLSchema" xmlns:xs="http://www.w3.org/2001/XMLSchema" xmlns:p="http://schemas.microsoft.com/office/2006/metadata/properties" xmlns:ns3="3a8074fb-57c6-4e14-a7d4-24fef65228fd" xmlns:ns4="9359f5f4-82f9-4c9f-ac7c-f27bf6cdca5a" targetNamespace="http://schemas.microsoft.com/office/2006/metadata/properties" ma:root="true" ma:fieldsID="fc11884ca46e6a7763df67c82310a39f" ns3:_="" ns4:_="">
    <xsd:import namespace="3a8074fb-57c6-4e14-a7d4-24fef65228fd"/>
    <xsd:import namespace="9359f5f4-82f9-4c9f-ac7c-f27bf6cdca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74fb-57c6-4e14-a7d4-24fef6522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9f5f4-82f9-4c9f-ac7c-f27bf6cdca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a8074fb-57c6-4e14-a7d4-24fef65228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2E06E-B739-4DBD-AAAF-162F5F9F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74fb-57c6-4e14-a7d4-24fef65228fd"/>
    <ds:schemaRef ds:uri="9359f5f4-82f9-4c9f-ac7c-f27bf6cd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93278-616A-425E-8B67-A13F84E8A277}">
  <ds:schemaRefs>
    <ds:schemaRef ds:uri="http://schemas.openxmlformats.org/officeDocument/2006/bibliography"/>
  </ds:schemaRefs>
</ds:datastoreItem>
</file>

<file path=customXml/itemProps3.xml><?xml version="1.0" encoding="utf-8"?>
<ds:datastoreItem xmlns:ds="http://schemas.openxmlformats.org/officeDocument/2006/customXml" ds:itemID="{312209D6-7876-4FCF-9CC5-D32C46699568}">
  <ds:schemaRefs>
    <ds:schemaRef ds:uri="http://schemas.microsoft.com/office/2006/metadata/properties"/>
    <ds:schemaRef ds:uri="http://schemas.microsoft.com/office/infopath/2007/PartnerControls"/>
    <ds:schemaRef ds:uri="3a8074fb-57c6-4e14-a7d4-24fef65228fd"/>
  </ds:schemaRefs>
</ds:datastoreItem>
</file>

<file path=customXml/itemProps4.xml><?xml version="1.0" encoding="utf-8"?>
<ds:datastoreItem xmlns:ds="http://schemas.openxmlformats.org/officeDocument/2006/customXml" ds:itemID="{835ACBBA-4734-4A0B-A9E4-7893BD373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10844</Words>
  <Characters>61594</Characters>
  <Application>Microsoft Office Word</Application>
  <DocSecurity>0</DocSecurity>
  <Lines>962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2024-01-12T18:09:00Z</dcterms:created>
  <dcterms:modified xsi:type="dcterms:W3CDTF">2024-01-12T22:56:00Z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0x0101005700BBC65CA4634DAD925D5C313403CD</vt:lpwstr>
  </property>
</Properties>
</file>