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0C731" w14:textId="06DFA17D" w:rsidR="005A62A6" w:rsidRPr="00847B84" w:rsidRDefault="005A62A6" w:rsidP="005A62A6">
      <w:pPr>
        <w:spacing w:after="0" w:line="240" w:lineRule="auto"/>
        <w:jc w:val="right"/>
        <w:rPr>
          <w:b/>
          <w:smallCaps/>
        </w:rPr>
      </w:pPr>
      <w:r w:rsidRPr="00847B84">
        <w:rPr>
          <w:b/>
          <w:smallCaps/>
        </w:rPr>
        <w:t>357</w:t>
      </w:r>
      <w:r w:rsidR="00DE0400" w:rsidRPr="00847B84">
        <w:rPr>
          <w:b/>
          <w:smallCaps/>
        </w:rPr>
        <w:t>R</w:t>
      </w:r>
    </w:p>
    <w:p w14:paraId="019660C5" w14:textId="77777777" w:rsidR="005A62A6" w:rsidRPr="00847B84" w:rsidRDefault="005A62A6" w:rsidP="005A62A6">
      <w:pPr>
        <w:spacing w:after="0" w:line="240" w:lineRule="auto"/>
        <w:jc w:val="center"/>
        <w:rPr>
          <w:b/>
          <w:caps/>
          <w:u w:val="single"/>
        </w:rPr>
      </w:pPr>
    </w:p>
    <w:p w14:paraId="010B215D" w14:textId="77777777" w:rsidR="005A62A6" w:rsidRPr="00847B84" w:rsidRDefault="005A62A6" w:rsidP="005A62A6">
      <w:pPr>
        <w:spacing w:after="0" w:line="240" w:lineRule="auto"/>
        <w:jc w:val="center"/>
        <w:rPr>
          <w:b/>
          <w:caps/>
          <w:u w:val="single"/>
        </w:rPr>
      </w:pPr>
    </w:p>
    <w:p w14:paraId="230BA9D0" w14:textId="77777777" w:rsidR="005A62A6" w:rsidRPr="00847B84" w:rsidRDefault="005A62A6" w:rsidP="005A62A6">
      <w:pPr>
        <w:spacing w:after="0" w:line="240" w:lineRule="auto"/>
        <w:jc w:val="center"/>
        <w:rPr>
          <w:b/>
          <w:caps/>
          <w:u w:val="single"/>
        </w:rPr>
      </w:pPr>
      <w:r w:rsidRPr="00847B84">
        <w:rPr>
          <w:b/>
          <w:caps/>
          <w:u w:val="single"/>
        </w:rPr>
        <w:t>International Court of Justice</w:t>
      </w:r>
    </w:p>
    <w:p w14:paraId="117E6488" w14:textId="77777777" w:rsidR="005A62A6" w:rsidRPr="00847B84" w:rsidRDefault="005A62A6" w:rsidP="005A62A6">
      <w:pPr>
        <w:spacing w:after="0" w:line="240" w:lineRule="auto"/>
        <w:jc w:val="center"/>
        <w:rPr>
          <w:caps/>
        </w:rPr>
      </w:pPr>
    </w:p>
    <w:p w14:paraId="38E36DB7" w14:textId="77777777" w:rsidR="005A62A6" w:rsidRPr="00847B84" w:rsidRDefault="005A62A6" w:rsidP="005A62A6">
      <w:pPr>
        <w:spacing w:after="0" w:line="240" w:lineRule="auto"/>
        <w:jc w:val="center"/>
        <w:rPr>
          <w:caps/>
        </w:rPr>
      </w:pPr>
    </w:p>
    <w:p w14:paraId="07F4DF70" w14:textId="77777777" w:rsidR="005A62A6" w:rsidRPr="00847B84" w:rsidRDefault="005A62A6" w:rsidP="005A62A6">
      <w:pPr>
        <w:spacing w:after="0" w:line="240" w:lineRule="auto"/>
        <w:jc w:val="center"/>
        <w:rPr>
          <w:caps/>
        </w:rPr>
      </w:pPr>
      <w:r w:rsidRPr="00847B84">
        <w:rPr>
          <w:caps/>
        </w:rPr>
        <w:t>The peace palace</w:t>
      </w:r>
    </w:p>
    <w:p w14:paraId="582C6E4E" w14:textId="77777777" w:rsidR="005A62A6" w:rsidRPr="00847B84" w:rsidRDefault="005A62A6" w:rsidP="005A62A6">
      <w:pPr>
        <w:spacing w:after="0" w:line="240" w:lineRule="auto"/>
        <w:jc w:val="center"/>
        <w:rPr>
          <w:caps/>
        </w:rPr>
      </w:pPr>
      <w:r w:rsidRPr="00847B84">
        <w:rPr>
          <w:caps/>
        </w:rPr>
        <w:t>The Hague, the Netherlands</w:t>
      </w:r>
    </w:p>
    <w:p w14:paraId="3B907D07" w14:textId="77777777" w:rsidR="005A62A6" w:rsidRPr="00847B84" w:rsidRDefault="005A62A6" w:rsidP="005A62A6">
      <w:pPr>
        <w:spacing w:after="0" w:line="240" w:lineRule="auto"/>
        <w:rPr>
          <w:caps/>
        </w:rPr>
      </w:pPr>
    </w:p>
    <w:p w14:paraId="31195574" w14:textId="77777777" w:rsidR="005A62A6" w:rsidRPr="00847B84" w:rsidRDefault="005A62A6" w:rsidP="005A62A6">
      <w:pPr>
        <w:spacing w:after="0" w:line="240" w:lineRule="auto"/>
        <w:jc w:val="center"/>
        <w:rPr>
          <w:caps/>
        </w:rPr>
      </w:pPr>
    </w:p>
    <w:p w14:paraId="33F009CD" w14:textId="77777777" w:rsidR="005A62A6" w:rsidRPr="00847B84" w:rsidRDefault="005A62A6" w:rsidP="005A62A6">
      <w:pPr>
        <w:spacing w:after="0" w:line="240" w:lineRule="auto"/>
        <w:jc w:val="center"/>
      </w:pPr>
      <w:r w:rsidRPr="00847B84">
        <w:rPr>
          <w:noProof/>
        </w:rPr>
        <w:drawing>
          <wp:inline distT="0" distB="0" distL="0" distR="0" wp14:anchorId="365B2847" wp14:editId="62250867">
            <wp:extent cx="1927975" cy="1711570"/>
            <wp:effectExtent l="0" t="0" r="2540" b="317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3388" cy="1716376"/>
                    </a:xfrm>
                    <a:prstGeom prst="rect">
                      <a:avLst/>
                    </a:prstGeom>
                  </pic:spPr>
                </pic:pic>
              </a:graphicData>
            </a:graphic>
          </wp:inline>
        </w:drawing>
      </w:r>
    </w:p>
    <w:p w14:paraId="1AB4BBF7" w14:textId="77777777" w:rsidR="005A62A6" w:rsidRPr="00847B84" w:rsidRDefault="005A62A6" w:rsidP="005A62A6">
      <w:pPr>
        <w:spacing w:after="0" w:line="240" w:lineRule="auto"/>
        <w:jc w:val="center"/>
        <w:rPr>
          <w:caps/>
        </w:rPr>
      </w:pPr>
    </w:p>
    <w:p w14:paraId="229BB8F1" w14:textId="77777777" w:rsidR="005A62A6" w:rsidRPr="00847B84" w:rsidRDefault="005A62A6" w:rsidP="005A62A6">
      <w:pPr>
        <w:spacing w:after="0" w:line="240" w:lineRule="auto"/>
        <w:jc w:val="center"/>
        <w:rPr>
          <w:caps/>
        </w:rPr>
      </w:pPr>
    </w:p>
    <w:p w14:paraId="4B12B098" w14:textId="77777777" w:rsidR="005A62A6" w:rsidRPr="00847B84" w:rsidRDefault="005A62A6" w:rsidP="005A62A6">
      <w:pPr>
        <w:spacing w:after="0" w:line="240" w:lineRule="auto"/>
        <w:rPr>
          <w:caps/>
        </w:rPr>
      </w:pPr>
    </w:p>
    <w:p w14:paraId="270D9628" w14:textId="77777777" w:rsidR="005A62A6" w:rsidRPr="00847B84" w:rsidRDefault="005A62A6" w:rsidP="005A62A6">
      <w:pPr>
        <w:spacing w:after="0" w:line="240" w:lineRule="auto"/>
        <w:jc w:val="center"/>
        <w:rPr>
          <w:caps/>
        </w:rPr>
      </w:pPr>
      <w:r w:rsidRPr="00847B84">
        <w:rPr>
          <w:caps/>
        </w:rPr>
        <w:t>The 2024 Philip C. Jessup International Law</w:t>
      </w:r>
    </w:p>
    <w:p w14:paraId="4F463554" w14:textId="77777777" w:rsidR="005A62A6" w:rsidRPr="00847B84" w:rsidRDefault="005A62A6" w:rsidP="005A62A6">
      <w:pPr>
        <w:spacing w:after="0" w:line="240" w:lineRule="auto"/>
        <w:jc w:val="center"/>
        <w:rPr>
          <w:caps/>
        </w:rPr>
      </w:pPr>
      <w:r w:rsidRPr="00847B84">
        <w:rPr>
          <w:caps/>
        </w:rPr>
        <w:t>Moot Court Competition</w:t>
      </w:r>
    </w:p>
    <w:p w14:paraId="5378A537" w14:textId="77777777" w:rsidR="005A62A6" w:rsidRPr="00847B84" w:rsidRDefault="005A62A6" w:rsidP="005A62A6">
      <w:pPr>
        <w:spacing w:after="0" w:line="240" w:lineRule="auto"/>
        <w:jc w:val="center"/>
        <w:rPr>
          <w:caps/>
        </w:rPr>
      </w:pPr>
    </w:p>
    <w:p w14:paraId="566716AE" w14:textId="77777777" w:rsidR="005A62A6" w:rsidRPr="00847B84" w:rsidRDefault="005A62A6" w:rsidP="005A62A6">
      <w:pPr>
        <w:spacing w:after="0" w:line="240" w:lineRule="auto"/>
        <w:jc w:val="center"/>
        <w:rPr>
          <w:caps/>
        </w:rPr>
      </w:pPr>
    </w:p>
    <w:p w14:paraId="4BDDFA09" w14:textId="77777777" w:rsidR="005A62A6" w:rsidRPr="00847B84" w:rsidRDefault="005A62A6" w:rsidP="005A62A6">
      <w:pPr>
        <w:spacing w:after="0" w:line="240" w:lineRule="auto"/>
        <w:jc w:val="center"/>
        <w:rPr>
          <w:caps/>
        </w:rPr>
      </w:pPr>
    </w:p>
    <w:p w14:paraId="1DCE0988" w14:textId="77777777" w:rsidR="005A62A6" w:rsidRPr="00847B84" w:rsidRDefault="005A62A6" w:rsidP="005A62A6">
      <w:pPr>
        <w:spacing w:after="0" w:line="240" w:lineRule="auto"/>
        <w:jc w:val="center"/>
        <w:rPr>
          <w:caps/>
        </w:rPr>
      </w:pPr>
    </w:p>
    <w:p w14:paraId="04506D38" w14:textId="77777777" w:rsidR="005A62A6" w:rsidRPr="00847B84" w:rsidRDefault="005A62A6" w:rsidP="005A62A6">
      <w:pPr>
        <w:spacing w:after="0" w:line="240" w:lineRule="auto"/>
        <w:jc w:val="center"/>
        <w:rPr>
          <w:b/>
          <w:caps/>
        </w:rPr>
      </w:pPr>
      <w:r w:rsidRPr="00847B84">
        <w:rPr>
          <w:b/>
          <w:caps/>
        </w:rPr>
        <w:t>case concerning THE STERREN FORTY</w:t>
      </w:r>
    </w:p>
    <w:p w14:paraId="1C7AA369" w14:textId="77777777" w:rsidR="005A62A6" w:rsidRPr="00847B84" w:rsidRDefault="005A62A6" w:rsidP="005A62A6">
      <w:pPr>
        <w:spacing w:after="0" w:line="240" w:lineRule="auto"/>
        <w:jc w:val="center"/>
        <w:rPr>
          <w:b/>
          <w:caps/>
        </w:rPr>
      </w:pPr>
    </w:p>
    <w:p w14:paraId="27DBB11D" w14:textId="77777777" w:rsidR="005A62A6" w:rsidRPr="00847B84" w:rsidRDefault="005A62A6" w:rsidP="005A62A6">
      <w:pPr>
        <w:spacing w:after="0" w:line="240" w:lineRule="auto"/>
        <w:jc w:val="center"/>
        <w:rPr>
          <w:b/>
          <w:caps/>
        </w:rPr>
      </w:pPr>
    </w:p>
    <w:p w14:paraId="32266154" w14:textId="77777777" w:rsidR="005A62A6" w:rsidRPr="00847B84" w:rsidRDefault="005A62A6" w:rsidP="005A62A6">
      <w:pPr>
        <w:spacing w:after="0" w:line="240" w:lineRule="auto"/>
        <w:jc w:val="center"/>
        <w:rPr>
          <w:b/>
          <w:caps/>
        </w:rPr>
      </w:pPr>
    </w:p>
    <w:p w14:paraId="0570AB69" w14:textId="77777777" w:rsidR="005A62A6" w:rsidRPr="00847B84" w:rsidRDefault="005A62A6" w:rsidP="005A62A6">
      <w:pPr>
        <w:spacing w:after="0" w:line="240" w:lineRule="auto"/>
        <w:jc w:val="center"/>
        <w:rPr>
          <w:caps/>
        </w:rPr>
      </w:pPr>
    </w:p>
    <w:p w14:paraId="4E6C9118" w14:textId="77777777" w:rsidR="005A62A6" w:rsidRPr="00847B84" w:rsidRDefault="005A62A6" w:rsidP="005A62A6">
      <w:pPr>
        <w:spacing w:after="0" w:line="240" w:lineRule="auto"/>
        <w:jc w:val="center"/>
        <w:rPr>
          <w:b/>
          <w:caps/>
        </w:rPr>
      </w:pPr>
      <w:r w:rsidRPr="00847B84">
        <w:rPr>
          <w:b/>
          <w:caps/>
        </w:rPr>
        <w:t>THE REPUBLIC OF ANTRANO</w:t>
      </w:r>
    </w:p>
    <w:p w14:paraId="3607172B" w14:textId="77777777" w:rsidR="005A62A6" w:rsidRPr="00847B84" w:rsidRDefault="005A62A6" w:rsidP="005A62A6">
      <w:pPr>
        <w:spacing w:after="0" w:line="240" w:lineRule="auto"/>
        <w:jc w:val="center"/>
        <w:rPr>
          <w:caps/>
        </w:rPr>
      </w:pPr>
      <w:r w:rsidRPr="00847B84">
        <w:rPr>
          <w:caps/>
        </w:rPr>
        <w:t>(</w:t>
      </w:r>
      <w:r w:rsidRPr="00847B84">
        <w:rPr>
          <w:smallCaps/>
        </w:rPr>
        <w:t>applicant</w:t>
      </w:r>
      <w:r w:rsidRPr="00847B84">
        <w:rPr>
          <w:caps/>
        </w:rPr>
        <w:t>)</w:t>
      </w:r>
    </w:p>
    <w:p w14:paraId="4910911B" w14:textId="77777777" w:rsidR="005A62A6" w:rsidRPr="00847B84" w:rsidRDefault="005A62A6" w:rsidP="005A62A6">
      <w:pPr>
        <w:spacing w:after="0" w:line="240" w:lineRule="auto"/>
        <w:jc w:val="center"/>
        <w:rPr>
          <w:caps/>
        </w:rPr>
      </w:pPr>
    </w:p>
    <w:p w14:paraId="1B9B9366" w14:textId="77777777" w:rsidR="005A62A6" w:rsidRPr="00847B84" w:rsidRDefault="005A62A6" w:rsidP="005A62A6">
      <w:pPr>
        <w:spacing w:after="0" w:line="240" w:lineRule="auto"/>
        <w:jc w:val="center"/>
        <w:rPr>
          <w:caps/>
        </w:rPr>
      </w:pPr>
      <w:r w:rsidRPr="00847B84">
        <w:t>v</w:t>
      </w:r>
      <w:r w:rsidRPr="00847B84">
        <w:rPr>
          <w:caps/>
        </w:rPr>
        <w:t>.</w:t>
      </w:r>
    </w:p>
    <w:p w14:paraId="3A727AAF" w14:textId="77777777" w:rsidR="005A62A6" w:rsidRPr="00847B84" w:rsidRDefault="005A62A6" w:rsidP="005A62A6">
      <w:pPr>
        <w:spacing w:after="0" w:line="240" w:lineRule="auto"/>
        <w:jc w:val="center"/>
        <w:rPr>
          <w:caps/>
        </w:rPr>
      </w:pPr>
    </w:p>
    <w:p w14:paraId="54D9621E" w14:textId="77777777" w:rsidR="005A62A6" w:rsidRPr="00847B84" w:rsidRDefault="005A62A6" w:rsidP="005A62A6">
      <w:pPr>
        <w:spacing w:after="0" w:line="240" w:lineRule="auto"/>
        <w:jc w:val="center"/>
        <w:rPr>
          <w:b/>
          <w:caps/>
        </w:rPr>
      </w:pPr>
      <w:r w:rsidRPr="00847B84">
        <w:rPr>
          <w:b/>
          <w:caps/>
        </w:rPr>
        <w:t>tHE KINGDOM OF REMISIA</w:t>
      </w:r>
    </w:p>
    <w:p w14:paraId="3295EADF" w14:textId="77777777" w:rsidR="005A62A6" w:rsidRPr="00847B84" w:rsidRDefault="005A62A6" w:rsidP="005A62A6">
      <w:pPr>
        <w:spacing w:after="0" w:line="240" w:lineRule="auto"/>
        <w:jc w:val="center"/>
        <w:rPr>
          <w:b/>
          <w:caps/>
        </w:rPr>
      </w:pPr>
      <w:r w:rsidRPr="00847B84">
        <w:rPr>
          <w:bCs/>
          <w:caps/>
        </w:rPr>
        <w:t>(</w:t>
      </w:r>
      <w:r w:rsidRPr="00847B84">
        <w:rPr>
          <w:smallCaps/>
        </w:rPr>
        <w:t>respondent</w:t>
      </w:r>
      <w:r w:rsidRPr="00847B84">
        <w:rPr>
          <w:bCs/>
          <w:caps/>
        </w:rPr>
        <w:t>)</w:t>
      </w:r>
    </w:p>
    <w:p w14:paraId="3C603BE9" w14:textId="77777777" w:rsidR="005A62A6" w:rsidRPr="00847B84" w:rsidRDefault="005A62A6" w:rsidP="005A62A6">
      <w:pPr>
        <w:spacing w:after="0" w:line="240" w:lineRule="auto"/>
        <w:jc w:val="center"/>
        <w:rPr>
          <w:b/>
          <w:caps/>
        </w:rPr>
      </w:pPr>
    </w:p>
    <w:p w14:paraId="52E73DBF" w14:textId="77777777" w:rsidR="005A62A6" w:rsidRPr="00847B84" w:rsidRDefault="005A62A6" w:rsidP="005A62A6">
      <w:pPr>
        <w:spacing w:after="0" w:line="240" w:lineRule="auto"/>
        <w:jc w:val="center"/>
        <w:rPr>
          <w:b/>
          <w:caps/>
        </w:rPr>
      </w:pPr>
      <w:r w:rsidRPr="00847B84">
        <w:rPr>
          <w:b/>
          <w:caps/>
        </w:rPr>
        <w:t>----------------------------------</w:t>
      </w:r>
    </w:p>
    <w:p w14:paraId="0C38BC01" w14:textId="6583A140" w:rsidR="005A62A6" w:rsidRPr="00847B84" w:rsidRDefault="005A62A6" w:rsidP="005A62A6">
      <w:pPr>
        <w:spacing w:after="0" w:line="240" w:lineRule="auto"/>
        <w:jc w:val="center"/>
        <w:rPr>
          <w:b/>
          <w:caps/>
        </w:rPr>
      </w:pPr>
      <w:r w:rsidRPr="00847B84">
        <w:rPr>
          <w:b/>
          <w:caps/>
        </w:rPr>
        <w:t xml:space="preserve">Memorial for </w:t>
      </w:r>
      <w:r w:rsidR="00DE0400" w:rsidRPr="00847B84">
        <w:rPr>
          <w:b/>
          <w:caps/>
        </w:rPr>
        <w:t>RESPONDENT</w:t>
      </w:r>
    </w:p>
    <w:p w14:paraId="77913040" w14:textId="77777777" w:rsidR="005A62A6" w:rsidRPr="00847B84" w:rsidRDefault="005A62A6" w:rsidP="005A62A6">
      <w:pPr>
        <w:spacing w:after="0" w:line="240" w:lineRule="auto"/>
        <w:jc w:val="center"/>
        <w:rPr>
          <w:b/>
          <w:caps/>
        </w:rPr>
      </w:pPr>
      <w:r w:rsidRPr="00847B84">
        <w:rPr>
          <w:b/>
          <w:caps/>
        </w:rPr>
        <w:t>----------------------------------</w:t>
      </w:r>
    </w:p>
    <w:p w14:paraId="17F508CE" w14:textId="77777777" w:rsidR="005A62A6" w:rsidRPr="00847B84" w:rsidRDefault="005A62A6" w:rsidP="005A62A6">
      <w:pPr>
        <w:spacing w:after="0" w:line="240" w:lineRule="auto"/>
        <w:jc w:val="center"/>
        <w:rPr>
          <w:caps/>
        </w:rPr>
        <w:sectPr w:rsidR="005A62A6" w:rsidRPr="00847B84" w:rsidSect="00F729F7">
          <w:pgSz w:w="12240" w:h="15840"/>
          <w:pgMar w:top="1440" w:right="1440" w:bottom="1440" w:left="1440" w:header="720" w:footer="720" w:gutter="0"/>
          <w:pgNumType w:fmt="lowerRoman"/>
          <w:cols w:space="720"/>
          <w:docGrid w:linePitch="360"/>
        </w:sectPr>
      </w:pPr>
      <w:r w:rsidRPr="00847B84">
        <w:rPr>
          <w:caps/>
        </w:rPr>
        <w:t>2024</w:t>
      </w:r>
    </w:p>
    <w:p w14:paraId="2E5F7C90" w14:textId="77777777" w:rsidR="005A62A6" w:rsidRPr="00847B84" w:rsidRDefault="005A62A6" w:rsidP="005A62A6">
      <w:pPr>
        <w:pStyle w:val="Heading1"/>
      </w:pPr>
      <w:bookmarkStart w:id="0" w:name="_Toc92907293"/>
      <w:bookmarkStart w:id="1" w:name="_Toc92947721"/>
      <w:bookmarkStart w:id="2" w:name="_Toc92949296"/>
      <w:bookmarkStart w:id="3" w:name="_Toc156019699"/>
      <w:r w:rsidRPr="00847B84">
        <w:lastRenderedPageBreak/>
        <w:t>TABLE OF CONTENTS</w:t>
      </w:r>
      <w:bookmarkEnd w:id="0"/>
      <w:bookmarkEnd w:id="1"/>
      <w:bookmarkEnd w:id="2"/>
      <w:bookmarkEnd w:id="3"/>
    </w:p>
    <w:p w14:paraId="2D59AEA5" w14:textId="3AC36B27"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r w:rsidRPr="00847B84">
        <w:fldChar w:fldCharType="begin"/>
      </w:r>
      <w:r w:rsidRPr="00847B84">
        <w:instrText xml:space="preserve"> TOC \o "1-5" \h \z \u </w:instrText>
      </w:r>
      <w:r w:rsidRPr="00847B84">
        <w:fldChar w:fldCharType="separate"/>
      </w:r>
      <w:hyperlink w:anchor="_Toc156019700" w:history="1">
        <w:r w:rsidRPr="00847B84">
          <w:rPr>
            <w:rStyle w:val="Hyperlink"/>
            <w:noProof/>
          </w:rPr>
          <w:t>INDEX OF AUTHORITIES</w:t>
        </w:r>
        <w:r w:rsidRPr="00847B84">
          <w:rPr>
            <w:noProof/>
            <w:webHidden/>
          </w:rPr>
          <w:tab/>
        </w:r>
        <w:r w:rsidRPr="00847B84">
          <w:rPr>
            <w:noProof/>
            <w:webHidden/>
          </w:rPr>
          <w:fldChar w:fldCharType="begin"/>
        </w:r>
        <w:r w:rsidRPr="00847B84">
          <w:rPr>
            <w:noProof/>
            <w:webHidden/>
          </w:rPr>
          <w:instrText xml:space="preserve"> PAGEREF _Toc156019700 \h </w:instrText>
        </w:r>
        <w:r w:rsidRPr="00847B84">
          <w:rPr>
            <w:noProof/>
            <w:webHidden/>
          </w:rPr>
        </w:r>
        <w:r w:rsidRPr="00847B84">
          <w:rPr>
            <w:noProof/>
            <w:webHidden/>
          </w:rPr>
          <w:fldChar w:fldCharType="separate"/>
        </w:r>
        <w:r w:rsidRPr="00847B84">
          <w:rPr>
            <w:noProof/>
            <w:webHidden/>
          </w:rPr>
          <w:t>iv</w:t>
        </w:r>
        <w:r w:rsidRPr="00847B84">
          <w:rPr>
            <w:noProof/>
            <w:webHidden/>
          </w:rPr>
          <w:fldChar w:fldCharType="end"/>
        </w:r>
      </w:hyperlink>
    </w:p>
    <w:p w14:paraId="648DCAAD" w14:textId="1C3146B7"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hyperlink w:anchor="_Toc156019701" w:history="1">
        <w:r w:rsidRPr="00847B84">
          <w:rPr>
            <w:rStyle w:val="Hyperlink"/>
            <w:noProof/>
          </w:rPr>
          <w:t>STATEMENT OF JURISDICTION</w:t>
        </w:r>
        <w:r w:rsidRPr="00847B84">
          <w:rPr>
            <w:noProof/>
            <w:webHidden/>
          </w:rPr>
          <w:tab/>
        </w:r>
        <w:r w:rsidRPr="00847B84">
          <w:rPr>
            <w:noProof/>
            <w:webHidden/>
          </w:rPr>
          <w:fldChar w:fldCharType="begin"/>
        </w:r>
        <w:r w:rsidRPr="00847B84">
          <w:rPr>
            <w:noProof/>
            <w:webHidden/>
          </w:rPr>
          <w:instrText xml:space="preserve"> PAGEREF _Toc156019701 \h </w:instrText>
        </w:r>
        <w:r w:rsidRPr="00847B84">
          <w:rPr>
            <w:noProof/>
            <w:webHidden/>
          </w:rPr>
        </w:r>
        <w:r w:rsidRPr="00847B84">
          <w:rPr>
            <w:noProof/>
            <w:webHidden/>
          </w:rPr>
          <w:fldChar w:fldCharType="separate"/>
        </w:r>
        <w:r w:rsidRPr="00847B84">
          <w:rPr>
            <w:noProof/>
            <w:webHidden/>
          </w:rPr>
          <w:t>xxiv</w:t>
        </w:r>
        <w:r w:rsidRPr="00847B84">
          <w:rPr>
            <w:noProof/>
            <w:webHidden/>
          </w:rPr>
          <w:fldChar w:fldCharType="end"/>
        </w:r>
      </w:hyperlink>
    </w:p>
    <w:p w14:paraId="2EA54DC7" w14:textId="6D261E91"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hyperlink w:anchor="_Toc156019702" w:history="1">
        <w:r w:rsidRPr="00847B84">
          <w:rPr>
            <w:rStyle w:val="Hyperlink"/>
            <w:noProof/>
          </w:rPr>
          <w:t>QUESTIONS PRESENTED</w:t>
        </w:r>
        <w:r w:rsidRPr="00847B84">
          <w:rPr>
            <w:noProof/>
            <w:webHidden/>
          </w:rPr>
          <w:tab/>
        </w:r>
        <w:r w:rsidRPr="00847B84">
          <w:rPr>
            <w:noProof/>
            <w:webHidden/>
          </w:rPr>
          <w:fldChar w:fldCharType="begin"/>
        </w:r>
        <w:r w:rsidRPr="00847B84">
          <w:rPr>
            <w:noProof/>
            <w:webHidden/>
          </w:rPr>
          <w:instrText xml:space="preserve"> PAGEREF _Toc156019702 \h </w:instrText>
        </w:r>
        <w:r w:rsidRPr="00847B84">
          <w:rPr>
            <w:noProof/>
            <w:webHidden/>
          </w:rPr>
        </w:r>
        <w:r w:rsidRPr="00847B84">
          <w:rPr>
            <w:noProof/>
            <w:webHidden/>
          </w:rPr>
          <w:fldChar w:fldCharType="separate"/>
        </w:r>
        <w:r w:rsidRPr="00847B84">
          <w:rPr>
            <w:noProof/>
            <w:webHidden/>
          </w:rPr>
          <w:t>xxv</w:t>
        </w:r>
        <w:r w:rsidRPr="00847B84">
          <w:rPr>
            <w:noProof/>
            <w:webHidden/>
          </w:rPr>
          <w:fldChar w:fldCharType="end"/>
        </w:r>
      </w:hyperlink>
    </w:p>
    <w:p w14:paraId="16A59999" w14:textId="4E901DFC"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hyperlink w:anchor="_Toc156019703" w:history="1">
        <w:r w:rsidRPr="00847B84">
          <w:rPr>
            <w:rStyle w:val="Hyperlink"/>
            <w:noProof/>
          </w:rPr>
          <w:t>STATEMENT OF FACTS</w:t>
        </w:r>
        <w:r w:rsidRPr="00847B84">
          <w:rPr>
            <w:noProof/>
            <w:webHidden/>
          </w:rPr>
          <w:tab/>
        </w:r>
        <w:r w:rsidRPr="00847B84">
          <w:rPr>
            <w:noProof/>
            <w:webHidden/>
          </w:rPr>
          <w:fldChar w:fldCharType="begin"/>
        </w:r>
        <w:r w:rsidRPr="00847B84">
          <w:rPr>
            <w:noProof/>
            <w:webHidden/>
          </w:rPr>
          <w:instrText xml:space="preserve"> PAGEREF _Toc156019703 \h </w:instrText>
        </w:r>
        <w:r w:rsidRPr="00847B84">
          <w:rPr>
            <w:noProof/>
            <w:webHidden/>
          </w:rPr>
        </w:r>
        <w:r w:rsidRPr="00847B84">
          <w:rPr>
            <w:noProof/>
            <w:webHidden/>
          </w:rPr>
          <w:fldChar w:fldCharType="separate"/>
        </w:r>
        <w:r w:rsidRPr="00847B84">
          <w:rPr>
            <w:noProof/>
            <w:webHidden/>
          </w:rPr>
          <w:t>xxvi</w:t>
        </w:r>
        <w:r w:rsidRPr="00847B84">
          <w:rPr>
            <w:noProof/>
            <w:webHidden/>
          </w:rPr>
          <w:fldChar w:fldCharType="end"/>
        </w:r>
      </w:hyperlink>
    </w:p>
    <w:p w14:paraId="6A022EF0" w14:textId="00CD5C8C"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hyperlink w:anchor="_Toc156019704" w:history="1">
        <w:r w:rsidRPr="00847B84">
          <w:rPr>
            <w:rStyle w:val="Hyperlink"/>
            <w:noProof/>
          </w:rPr>
          <w:t>SUMMARY OF PLEADINGS</w:t>
        </w:r>
        <w:r w:rsidRPr="00847B84">
          <w:rPr>
            <w:noProof/>
            <w:webHidden/>
          </w:rPr>
          <w:tab/>
        </w:r>
        <w:r w:rsidRPr="00847B84">
          <w:rPr>
            <w:noProof/>
            <w:webHidden/>
          </w:rPr>
          <w:fldChar w:fldCharType="begin"/>
        </w:r>
        <w:r w:rsidRPr="00847B84">
          <w:rPr>
            <w:noProof/>
            <w:webHidden/>
          </w:rPr>
          <w:instrText xml:space="preserve"> PAGEREF _Toc156019704 \h </w:instrText>
        </w:r>
        <w:r w:rsidRPr="00847B84">
          <w:rPr>
            <w:noProof/>
            <w:webHidden/>
          </w:rPr>
        </w:r>
        <w:r w:rsidRPr="00847B84">
          <w:rPr>
            <w:noProof/>
            <w:webHidden/>
          </w:rPr>
          <w:fldChar w:fldCharType="separate"/>
        </w:r>
        <w:r w:rsidRPr="00847B84">
          <w:rPr>
            <w:noProof/>
            <w:webHidden/>
          </w:rPr>
          <w:t>xxx</w:t>
        </w:r>
        <w:r w:rsidRPr="00847B84">
          <w:rPr>
            <w:noProof/>
            <w:webHidden/>
          </w:rPr>
          <w:fldChar w:fldCharType="end"/>
        </w:r>
      </w:hyperlink>
    </w:p>
    <w:p w14:paraId="70CF9B68" w14:textId="12E88F81"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hyperlink w:anchor="_Toc156019705" w:history="1">
        <w:r w:rsidRPr="00847B84">
          <w:rPr>
            <w:rStyle w:val="Hyperlink"/>
            <w:noProof/>
          </w:rPr>
          <w:t>PLEADINGS</w:t>
        </w:r>
        <w:r w:rsidRPr="00847B84">
          <w:rPr>
            <w:noProof/>
            <w:webHidden/>
          </w:rPr>
          <w:tab/>
        </w:r>
        <w:r w:rsidRPr="00847B84">
          <w:rPr>
            <w:noProof/>
            <w:webHidden/>
          </w:rPr>
          <w:fldChar w:fldCharType="begin"/>
        </w:r>
        <w:r w:rsidRPr="00847B84">
          <w:rPr>
            <w:noProof/>
            <w:webHidden/>
          </w:rPr>
          <w:instrText xml:space="preserve"> PAGEREF _Toc156019705 \h </w:instrText>
        </w:r>
        <w:r w:rsidRPr="00847B84">
          <w:rPr>
            <w:noProof/>
            <w:webHidden/>
          </w:rPr>
        </w:r>
        <w:r w:rsidRPr="00847B84">
          <w:rPr>
            <w:noProof/>
            <w:webHidden/>
          </w:rPr>
          <w:fldChar w:fldCharType="separate"/>
        </w:r>
        <w:r w:rsidRPr="00847B84">
          <w:rPr>
            <w:noProof/>
            <w:webHidden/>
          </w:rPr>
          <w:t>1</w:t>
        </w:r>
        <w:r w:rsidRPr="00847B84">
          <w:rPr>
            <w:noProof/>
            <w:webHidden/>
          </w:rPr>
          <w:fldChar w:fldCharType="end"/>
        </w:r>
      </w:hyperlink>
    </w:p>
    <w:p w14:paraId="6789C609" w14:textId="01718221" w:rsidR="00DB7E72" w:rsidRPr="00847B84" w:rsidRDefault="00DB7E72" w:rsidP="006848BD">
      <w:pPr>
        <w:pStyle w:val="TOC2"/>
        <w:tabs>
          <w:tab w:val="right" w:leader="dot" w:pos="9350"/>
        </w:tabs>
        <w:rPr>
          <w:rFonts w:eastAsiaTheme="minorEastAsia"/>
          <w:b w:val="0"/>
          <w:bCs w:val="0"/>
          <w:caps w:val="0"/>
          <w:noProof/>
          <w:kern w:val="2"/>
          <w:szCs w:val="24"/>
          <w14:ligatures w14:val="standardContextual"/>
        </w:rPr>
      </w:pPr>
      <w:hyperlink w:anchor="_Toc156019706" w:history="1">
        <w:r w:rsidRPr="00847B84">
          <w:rPr>
            <w:rStyle w:val="Hyperlink"/>
            <w:noProof/>
            <w:szCs w:val="24"/>
          </w:rPr>
          <w:t>I.</w:t>
        </w:r>
        <w:r w:rsidRPr="00847B84">
          <w:rPr>
            <w:rFonts w:eastAsiaTheme="minorEastAsia"/>
            <w:b w:val="0"/>
            <w:bCs w:val="0"/>
            <w:caps w:val="0"/>
            <w:noProof/>
            <w:kern w:val="2"/>
            <w:szCs w:val="24"/>
            <w14:ligatures w14:val="standardContextual"/>
          </w:rPr>
          <w:tab/>
        </w:r>
        <w:r w:rsidRPr="00847B84">
          <w:rPr>
            <w:rStyle w:val="Hyperlink"/>
            <w:noProof/>
            <w:szCs w:val="24"/>
          </w:rPr>
          <w:t>Antrano lacks standing to bring the matter of the deprivation of nationality of the “Sterren Forty” to this Court.</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_Toc156019706 \h </w:instrText>
        </w:r>
        <w:r w:rsidRPr="00847B84">
          <w:rPr>
            <w:noProof/>
            <w:webHidden/>
            <w:szCs w:val="24"/>
          </w:rPr>
        </w:r>
        <w:r w:rsidRPr="00847B84">
          <w:rPr>
            <w:noProof/>
            <w:webHidden/>
            <w:szCs w:val="24"/>
          </w:rPr>
          <w:fldChar w:fldCharType="separate"/>
        </w:r>
        <w:r w:rsidRPr="00847B84">
          <w:rPr>
            <w:noProof/>
            <w:webHidden/>
            <w:szCs w:val="24"/>
          </w:rPr>
          <w:t>1</w:t>
        </w:r>
        <w:r w:rsidRPr="00847B84">
          <w:rPr>
            <w:noProof/>
            <w:webHidden/>
            <w:szCs w:val="24"/>
          </w:rPr>
          <w:fldChar w:fldCharType="end"/>
        </w:r>
      </w:hyperlink>
    </w:p>
    <w:p w14:paraId="2B7F3EA2" w14:textId="49A60ACF"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07" w:history="1">
        <w:r w:rsidRPr="00847B84">
          <w:rPr>
            <w:rStyle w:val="Hyperlink"/>
            <w:rFonts w:ascii="Times New Roman" w:hAnsi="Times New Roman"/>
            <w:noProof/>
            <w:szCs w:val="24"/>
          </w:rPr>
          <w:t>A.</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rPr>
          <w:t>Antrano is not a directly injured State.</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_Toc156019707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w:t>
        </w:r>
        <w:r w:rsidRPr="00847B84">
          <w:rPr>
            <w:rFonts w:ascii="Times New Roman" w:hAnsi="Times New Roman"/>
            <w:noProof/>
            <w:webHidden/>
            <w:szCs w:val="24"/>
          </w:rPr>
          <w:fldChar w:fldCharType="end"/>
        </w:r>
      </w:hyperlink>
    </w:p>
    <w:p w14:paraId="4B928DE4" w14:textId="7E1900F0"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08" w:history="1">
        <w:r w:rsidRPr="00847B84">
          <w:rPr>
            <w:rStyle w:val="Hyperlink"/>
            <w:noProof/>
            <w:szCs w:val="24"/>
            <w:lang w:val="en-US"/>
          </w:rPr>
          <w:t>1.</w:t>
        </w:r>
        <w:r w:rsidRPr="00847B84">
          <w:rPr>
            <w:rFonts w:eastAsiaTheme="minorEastAsia"/>
            <w:b w:val="0"/>
            <w:noProof/>
            <w:kern w:val="2"/>
            <w:szCs w:val="24"/>
            <w14:ligatures w14:val="standardContextual"/>
          </w:rPr>
          <w:tab/>
        </w:r>
        <w:r w:rsidRPr="00847B84">
          <w:rPr>
            <w:rStyle w:val="Hyperlink"/>
            <w:noProof/>
            <w:szCs w:val="24"/>
            <w:lang w:val="en-US"/>
          </w:rPr>
          <w:t xml:space="preserve">Antrano is not a directly injured State under Article 42(a) of the Articles on the Responsibility of </w:t>
        </w:r>
        <w:r w:rsidRPr="00847B84">
          <w:rPr>
            <w:rStyle w:val="Hyperlink"/>
            <w:noProof/>
            <w:szCs w:val="24"/>
          </w:rPr>
          <w:t>States</w:t>
        </w:r>
        <w:r w:rsidRPr="00847B84">
          <w:rPr>
            <w:rStyle w:val="Hyperlink"/>
            <w:noProof/>
            <w:szCs w:val="24"/>
            <w:lang w:val="en-US"/>
          </w:rPr>
          <w:t xml:space="preserve"> for </w:t>
        </w:r>
        <w:r w:rsidRPr="00847B84">
          <w:rPr>
            <w:rStyle w:val="Hyperlink"/>
            <w:noProof/>
            <w:szCs w:val="24"/>
          </w:rPr>
          <w:t>Internationally</w:t>
        </w:r>
        <w:r w:rsidRPr="00847B84">
          <w:rPr>
            <w:rStyle w:val="Hyperlink"/>
            <w:noProof/>
            <w:szCs w:val="24"/>
            <w:lang w:val="en-US"/>
          </w:rPr>
          <w:t xml:space="preserve"> Wrongful Acts [“ARSIWA”].</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_Toc156019708 \h </w:instrText>
        </w:r>
        <w:r w:rsidRPr="00847B84">
          <w:rPr>
            <w:noProof/>
            <w:webHidden/>
            <w:szCs w:val="24"/>
          </w:rPr>
        </w:r>
        <w:r w:rsidRPr="00847B84">
          <w:rPr>
            <w:noProof/>
            <w:webHidden/>
            <w:szCs w:val="24"/>
          </w:rPr>
          <w:fldChar w:fldCharType="separate"/>
        </w:r>
        <w:r w:rsidRPr="00847B84">
          <w:rPr>
            <w:noProof/>
            <w:webHidden/>
            <w:szCs w:val="24"/>
          </w:rPr>
          <w:t>1</w:t>
        </w:r>
        <w:r w:rsidRPr="00847B84">
          <w:rPr>
            <w:noProof/>
            <w:webHidden/>
            <w:szCs w:val="24"/>
          </w:rPr>
          <w:fldChar w:fldCharType="end"/>
        </w:r>
      </w:hyperlink>
    </w:p>
    <w:p w14:paraId="505A30C7" w14:textId="0BDCEBB9"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09" w:history="1">
        <w:r w:rsidRPr="00847B84">
          <w:rPr>
            <w:rStyle w:val="Hyperlink"/>
            <w:noProof/>
            <w:szCs w:val="24"/>
          </w:rPr>
          <w:t>2.</w:t>
        </w:r>
        <w:r w:rsidRPr="00847B84">
          <w:rPr>
            <w:rFonts w:eastAsiaTheme="minorEastAsia"/>
            <w:b w:val="0"/>
            <w:noProof/>
            <w:kern w:val="2"/>
            <w:szCs w:val="24"/>
            <w14:ligatures w14:val="standardContextual"/>
          </w:rPr>
          <w:tab/>
        </w:r>
        <w:r w:rsidRPr="00847B84">
          <w:rPr>
            <w:rStyle w:val="Hyperlink"/>
            <w:noProof/>
            <w:szCs w:val="24"/>
          </w:rPr>
          <w:t>Antrano is not an injured State under Article 42(b)(i) of ARSIWA.</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_Toc156019709 \h </w:instrText>
        </w:r>
        <w:r w:rsidRPr="00847B84">
          <w:rPr>
            <w:noProof/>
            <w:webHidden/>
            <w:szCs w:val="24"/>
          </w:rPr>
        </w:r>
        <w:r w:rsidRPr="00847B84">
          <w:rPr>
            <w:noProof/>
            <w:webHidden/>
            <w:szCs w:val="24"/>
          </w:rPr>
          <w:fldChar w:fldCharType="separate"/>
        </w:r>
        <w:r w:rsidRPr="00847B84">
          <w:rPr>
            <w:noProof/>
            <w:webHidden/>
            <w:szCs w:val="24"/>
          </w:rPr>
          <w:t>1</w:t>
        </w:r>
        <w:r w:rsidRPr="00847B84">
          <w:rPr>
            <w:noProof/>
            <w:webHidden/>
            <w:szCs w:val="24"/>
          </w:rPr>
          <w:fldChar w:fldCharType="end"/>
        </w:r>
      </w:hyperlink>
    </w:p>
    <w:p w14:paraId="2F0E310A" w14:textId="262C4A95"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10" w:history="1">
        <w:r w:rsidRPr="00847B84">
          <w:rPr>
            <w:rStyle w:val="Hyperlink"/>
            <w:rFonts w:ascii="Times New Roman" w:hAnsi="Times New Roman"/>
            <w:noProof/>
            <w:szCs w:val="24"/>
            <w:lang w:val="en-US"/>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 xml:space="preserve">Antrano’s claims under the </w:t>
        </w:r>
        <w:r w:rsidRPr="00847B84">
          <w:rPr>
            <w:rStyle w:val="Hyperlink"/>
            <w:rFonts w:ascii="Times New Roman" w:hAnsi="Times New Roman"/>
            <w:noProof/>
            <w:szCs w:val="24"/>
          </w:rPr>
          <w:t>Convention</w:t>
        </w:r>
        <w:r w:rsidRPr="00847B84">
          <w:rPr>
            <w:rStyle w:val="Hyperlink"/>
            <w:rFonts w:ascii="Times New Roman" w:hAnsi="Times New Roman"/>
            <w:noProof/>
            <w:szCs w:val="24"/>
            <w:lang w:val="en-US"/>
          </w:rPr>
          <w:t xml:space="preserve"> on the Reduction of Statelessness [“CRS”] and the International Covenant on Civil and Political Rights [“ICCPR”] do not involve obligations </w:t>
        </w:r>
        <w:r w:rsidRPr="00847B84">
          <w:rPr>
            <w:rStyle w:val="Hyperlink"/>
            <w:rFonts w:ascii="Times New Roman" w:hAnsi="Times New Roman"/>
            <w:i/>
            <w:noProof/>
            <w:szCs w:val="24"/>
            <w:lang w:val="en-US"/>
          </w:rPr>
          <w:t>erga omnes partes.</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_Toc156019710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w:t>
        </w:r>
        <w:r w:rsidRPr="00847B84">
          <w:rPr>
            <w:rFonts w:ascii="Times New Roman" w:hAnsi="Times New Roman"/>
            <w:noProof/>
            <w:webHidden/>
            <w:szCs w:val="24"/>
          </w:rPr>
          <w:fldChar w:fldCharType="end"/>
        </w:r>
      </w:hyperlink>
    </w:p>
    <w:p w14:paraId="4E7C11F1" w14:textId="0C90B91B"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11" w:history="1">
        <w:r w:rsidRPr="00847B84">
          <w:rPr>
            <w:rStyle w:val="Hyperlink"/>
            <w:rFonts w:ascii="Times New Roman" w:hAnsi="Times New Roman"/>
            <w:noProof/>
            <w:szCs w:val="24"/>
            <w:lang w:val="en-US"/>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The right to nationality and the right not to be arbitrarily deprived thereof</w:t>
        </w:r>
        <w:r w:rsidRPr="00847B84">
          <w:rPr>
            <w:rStyle w:val="Hyperlink"/>
            <w:rFonts w:ascii="Times New Roman" w:hAnsi="Times New Roman"/>
            <w:i/>
            <w:noProof/>
            <w:szCs w:val="24"/>
          </w:rPr>
          <w:t xml:space="preserve"> </w:t>
        </w:r>
        <w:r w:rsidRPr="00847B84">
          <w:rPr>
            <w:rStyle w:val="Hyperlink"/>
            <w:rFonts w:ascii="Times New Roman" w:hAnsi="Times New Roman"/>
            <w:noProof/>
            <w:szCs w:val="24"/>
          </w:rPr>
          <w:t xml:space="preserve">are not obligations </w:t>
        </w:r>
        <w:r w:rsidRPr="00847B84">
          <w:rPr>
            <w:rStyle w:val="Hyperlink"/>
            <w:rFonts w:ascii="Times New Roman" w:hAnsi="Times New Roman"/>
            <w:i/>
            <w:noProof/>
            <w:szCs w:val="24"/>
          </w:rPr>
          <w:t>erga omnes.</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_Toc156019711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3</w:t>
        </w:r>
        <w:r w:rsidRPr="00847B84">
          <w:rPr>
            <w:rFonts w:ascii="Times New Roman" w:hAnsi="Times New Roman"/>
            <w:noProof/>
            <w:webHidden/>
            <w:szCs w:val="24"/>
          </w:rPr>
          <w:fldChar w:fldCharType="end"/>
        </w:r>
      </w:hyperlink>
    </w:p>
    <w:p w14:paraId="08C92511" w14:textId="7D6166B9"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12" w:history="1">
        <w:r w:rsidRPr="00847B84">
          <w:rPr>
            <w:rStyle w:val="Hyperlink"/>
            <w:rFonts w:ascii="Times New Roman" w:hAnsi="Times New Roman"/>
            <w:noProof/>
            <w:szCs w:val="24"/>
            <w:lang w:val="en-US"/>
          </w:rPr>
          <w:t>c.</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Antrano is not a specially affected State.</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_Toc156019712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4</w:t>
        </w:r>
        <w:r w:rsidRPr="00847B84">
          <w:rPr>
            <w:rFonts w:ascii="Times New Roman" w:hAnsi="Times New Roman"/>
            <w:noProof/>
            <w:webHidden/>
            <w:szCs w:val="24"/>
          </w:rPr>
          <w:fldChar w:fldCharType="end"/>
        </w:r>
      </w:hyperlink>
    </w:p>
    <w:p w14:paraId="279FC0D6" w14:textId="6FF083EB"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13" w:history="1">
        <w:r w:rsidRPr="00847B84">
          <w:rPr>
            <w:rStyle w:val="Hyperlink"/>
            <w:rFonts w:ascii="Times New Roman" w:hAnsi="Times New Roman"/>
            <w:noProof/>
            <w:szCs w:val="24"/>
            <w:lang w:val="en-US"/>
          </w:rPr>
          <w:t>B.</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lang w:val="en-US"/>
          </w:rPr>
          <w:t xml:space="preserve">Antrano has no right to institute actio popularis against Remisia for breaches of obligations erga omnes or erga </w:t>
        </w:r>
        <w:r w:rsidRPr="00847B84">
          <w:rPr>
            <w:rStyle w:val="Hyperlink"/>
            <w:rFonts w:ascii="Times New Roman" w:hAnsi="Times New Roman"/>
            <w:noProof/>
            <w:szCs w:val="24"/>
          </w:rPr>
          <w:t>omnes</w:t>
        </w:r>
        <w:r w:rsidRPr="00847B84">
          <w:rPr>
            <w:rStyle w:val="Hyperlink"/>
            <w:rFonts w:ascii="Times New Roman" w:hAnsi="Times New Roman"/>
            <w:noProof/>
            <w:szCs w:val="24"/>
            <w:lang w:val="en-US"/>
          </w:rPr>
          <w:t xml:space="preserve"> partes.</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_Toc156019713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4</w:t>
        </w:r>
        <w:r w:rsidRPr="00847B84">
          <w:rPr>
            <w:rFonts w:ascii="Times New Roman" w:hAnsi="Times New Roman"/>
            <w:noProof/>
            <w:webHidden/>
            <w:szCs w:val="24"/>
          </w:rPr>
          <w:fldChar w:fldCharType="end"/>
        </w:r>
      </w:hyperlink>
    </w:p>
    <w:p w14:paraId="36B5AC68" w14:textId="093D333C"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14" w:history="1">
        <w:r w:rsidRPr="00847B84">
          <w:rPr>
            <w:rStyle w:val="Hyperlink"/>
            <w:noProof/>
            <w:szCs w:val="24"/>
            <w:lang w:val="en-US"/>
          </w:rPr>
          <w:t>1.</w:t>
        </w:r>
        <w:r w:rsidRPr="00847B84">
          <w:rPr>
            <w:rFonts w:eastAsiaTheme="minorEastAsia"/>
            <w:b w:val="0"/>
            <w:noProof/>
            <w:kern w:val="2"/>
            <w:szCs w:val="24"/>
            <w14:ligatures w14:val="standardContextual"/>
          </w:rPr>
          <w:tab/>
        </w:r>
        <w:r w:rsidRPr="00847B84">
          <w:rPr>
            <w:rStyle w:val="Hyperlink"/>
            <w:noProof/>
            <w:szCs w:val="24"/>
            <w:lang w:val="en-US"/>
          </w:rPr>
          <w:t>Actio popularis has no basis in international law.</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_Toc156019714 \h </w:instrText>
        </w:r>
        <w:r w:rsidRPr="00847B84">
          <w:rPr>
            <w:noProof/>
            <w:webHidden/>
            <w:szCs w:val="24"/>
          </w:rPr>
        </w:r>
        <w:r w:rsidRPr="00847B84">
          <w:rPr>
            <w:noProof/>
            <w:webHidden/>
            <w:szCs w:val="24"/>
          </w:rPr>
          <w:fldChar w:fldCharType="separate"/>
        </w:r>
        <w:r w:rsidRPr="00847B84">
          <w:rPr>
            <w:noProof/>
            <w:webHidden/>
            <w:szCs w:val="24"/>
          </w:rPr>
          <w:t>4</w:t>
        </w:r>
        <w:r w:rsidRPr="00847B84">
          <w:rPr>
            <w:noProof/>
            <w:webHidden/>
            <w:szCs w:val="24"/>
          </w:rPr>
          <w:fldChar w:fldCharType="end"/>
        </w:r>
      </w:hyperlink>
    </w:p>
    <w:p w14:paraId="72A3E360" w14:textId="4971DAA4"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15" w:history="1">
        <w:r w:rsidRPr="00847B84">
          <w:rPr>
            <w:rStyle w:val="Hyperlink"/>
            <w:rFonts w:ascii="Times New Roman" w:hAnsi="Times New Roman"/>
            <w:noProof/>
            <w:szCs w:val="24"/>
            <w:lang w:val="en-US"/>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i/>
            <w:noProof/>
            <w:szCs w:val="24"/>
            <w:lang w:val="en-US"/>
          </w:rPr>
          <w:t>Actio popularis</w:t>
        </w:r>
        <w:r w:rsidRPr="00847B84">
          <w:rPr>
            <w:rStyle w:val="Hyperlink"/>
            <w:rFonts w:ascii="Times New Roman" w:hAnsi="Times New Roman"/>
            <w:noProof/>
            <w:szCs w:val="24"/>
            <w:lang w:val="en-US"/>
          </w:rPr>
          <w:t xml:space="preserve"> is not a general principle of law.</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_Toc156019715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4</w:t>
        </w:r>
        <w:r w:rsidRPr="00847B84">
          <w:rPr>
            <w:rFonts w:ascii="Times New Roman" w:hAnsi="Times New Roman"/>
            <w:noProof/>
            <w:webHidden/>
            <w:szCs w:val="24"/>
          </w:rPr>
          <w:fldChar w:fldCharType="end"/>
        </w:r>
      </w:hyperlink>
    </w:p>
    <w:p w14:paraId="1456D2AA" w14:textId="44463DD4"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16" w:history="1">
        <w:r w:rsidRPr="00847B84">
          <w:rPr>
            <w:rStyle w:val="Hyperlink"/>
            <w:rFonts w:ascii="Times New Roman" w:hAnsi="Times New Roman"/>
            <w:noProof/>
            <w:szCs w:val="24"/>
            <w:lang w:val="en-US"/>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 xml:space="preserve">Actio popularis has not crystallized </w:t>
        </w:r>
        <w:r w:rsidRPr="00847B84">
          <w:rPr>
            <w:rStyle w:val="Hyperlink"/>
            <w:rFonts w:ascii="Times New Roman" w:hAnsi="Times New Roman"/>
            <w:noProof/>
            <w:szCs w:val="24"/>
          </w:rPr>
          <w:t>into</w:t>
        </w:r>
        <w:r w:rsidRPr="00847B84">
          <w:rPr>
            <w:rStyle w:val="Hyperlink"/>
            <w:rFonts w:ascii="Times New Roman" w:hAnsi="Times New Roman"/>
            <w:noProof/>
            <w:szCs w:val="24"/>
            <w:lang w:val="en-US"/>
          </w:rPr>
          <w:t xml:space="preserve"> custom.</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_Toc156019716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7</w:t>
        </w:r>
        <w:r w:rsidRPr="00847B84">
          <w:rPr>
            <w:rFonts w:ascii="Times New Roman" w:hAnsi="Times New Roman"/>
            <w:noProof/>
            <w:webHidden/>
            <w:szCs w:val="24"/>
          </w:rPr>
          <w:fldChar w:fldCharType="end"/>
        </w:r>
      </w:hyperlink>
    </w:p>
    <w:p w14:paraId="61DC6FBD" w14:textId="12A5E479"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17" w:history="1">
        <w:r w:rsidRPr="00847B84">
          <w:rPr>
            <w:rStyle w:val="Hyperlink"/>
            <w:noProof/>
            <w:szCs w:val="24"/>
            <w:lang w:val="en-US"/>
          </w:rPr>
          <w:t>2.</w:t>
        </w:r>
        <w:r w:rsidRPr="00847B84">
          <w:rPr>
            <w:rFonts w:eastAsiaTheme="minorEastAsia"/>
            <w:b w:val="0"/>
            <w:noProof/>
            <w:kern w:val="2"/>
            <w:szCs w:val="24"/>
            <w14:ligatures w14:val="standardContextual"/>
          </w:rPr>
          <w:tab/>
        </w:r>
        <w:r w:rsidRPr="00847B84">
          <w:rPr>
            <w:rStyle w:val="Hyperlink"/>
            <w:noProof/>
            <w:szCs w:val="24"/>
            <w:lang w:val="en-US"/>
          </w:rPr>
          <w:t xml:space="preserve">Even if the Court </w:t>
        </w:r>
        <w:r w:rsidRPr="00847B84">
          <w:rPr>
            <w:rStyle w:val="Hyperlink"/>
            <w:noProof/>
            <w:szCs w:val="24"/>
          </w:rPr>
          <w:t>finds</w:t>
        </w:r>
        <w:r w:rsidRPr="00847B84">
          <w:rPr>
            <w:rStyle w:val="Hyperlink"/>
            <w:noProof/>
            <w:szCs w:val="24"/>
            <w:lang w:val="en-US"/>
          </w:rPr>
          <w:t xml:space="preserve"> that actio popularis has basis under international law, Antrano’s claim does not involve obligations erga omnes or erga omnes partes.</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_Toc156019717 \h </w:instrText>
        </w:r>
        <w:r w:rsidRPr="00847B84">
          <w:rPr>
            <w:noProof/>
            <w:webHidden/>
            <w:szCs w:val="24"/>
          </w:rPr>
        </w:r>
        <w:r w:rsidRPr="00847B84">
          <w:rPr>
            <w:noProof/>
            <w:webHidden/>
            <w:szCs w:val="24"/>
          </w:rPr>
          <w:fldChar w:fldCharType="separate"/>
        </w:r>
        <w:r w:rsidRPr="00847B84">
          <w:rPr>
            <w:noProof/>
            <w:webHidden/>
            <w:szCs w:val="24"/>
          </w:rPr>
          <w:t>8</w:t>
        </w:r>
        <w:r w:rsidRPr="00847B84">
          <w:rPr>
            <w:noProof/>
            <w:webHidden/>
            <w:szCs w:val="24"/>
          </w:rPr>
          <w:fldChar w:fldCharType="end"/>
        </w:r>
      </w:hyperlink>
    </w:p>
    <w:p w14:paraId="60B79766" w14:textId="40BD572E"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18" w:history="1">
        <w:r w:rsidRPr="00847B84">
          <w:rPr>
            <w:rStyle w:val="Hyperlink"/>
            <w:rFonts w:ascii="Times New Roman" w:hAnsi="Times New Roman"/>
            <w:noProof/>
            <w:szCs w:val="24"/>
            <w:lang w:val="en-US"/>
          </w:rPr>
          <w:t>C.</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lang w:val="en-US"/>
          </w:rPr>
          <w:t xml:space="preserve">Antrano cannot exercise diplomatic protection over the </w:t>
        </w:r>
        <w:r w:rsidRPr="00847B84">
          <w:rPr>
            <w:rStyle w:val="Hyperlink"/>
            <w:rFonts w:ascii="Times New Roman" w:hAnsi="Times New Roman"/>
            <w:noProof/>
            <w:szCs w:val="24"/>
          </w:rPr>
          <w:t>Sterren</w:t>
        </w:r>
        <w:r w:rsidRPr="00847B84">
          <w:rPr>
            <w:rStyle w:val="Hyperlink"/>
            <w:rFonts w:ascii="Times New Roman" w:hAnsi="Times New Roman"/>
            <w:noProof/>
            <w:szCs w:val="24"/>
            <w:lang w:val="en-US"/>
          </w:rPr>
          <w:t xml:space="preserve"> Forty.</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_Toc156019718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8</w:t>
        </w:r>
        <w:r w:rsidRPr="00847B84">
          <w:rPr>
            <w:rFonts w:ascii="Times New Roman" w:hAnsi="Times New Roman"/>
            <w:noProof/>
            <w:webHidden/>
            <w:szCs w:val="24"/>
          </w:rPr>
          <w:fldChar w:fldCharType="end"/>
        </w:r>
      </w:hyperlink>
    </w:p>
    <w:p w14:paraId="7E3819EA" w14:textId="7CE0F594" w:rsidR="00DB7E72" w:rsidRPr="00847B84" w:rsidRDefault="00DB7E72" w:rsidP="006848BD">
      <w:pPr>
        <w:pStyle w:val="TOC2"/>
        <w:tabs>
          <w:tab w:val="right" w:leader="dot" w:pos="9350"/>
        </w:tabs>
        <w:rPr>
          <w:rFonts w:eastAsiaTheme="minorEastAsia"/>
          <w:b w:val="0"/>
          <w:bCs w:val="0"/>
          <w:caps w:val="0"/>
          <w:noProof/>
          <w:kern w:val="2"/>
          <w:szCs w:val="24"/>
          <w14:ligatures w14:val="standardContextual"/>
        </w:rPr>
      </w:pPr>
      <w:hyperlink w:anchor="_Toc156019719" w:history="1">
        <w:r w:rsidRPr="00847B84">
          <w:rPr>
            <w:rStyle w:val="Hyperlink"/>
            <w:noProof/>
            <w:szCs w:val="24"/>
            <w:lang w:val="en-US"/>
          </w:rPr>
          <w:t>II.</w:t>
        </w:r>
        <w:r w:rsidRPr="00847B84">
          <w:rPr>
            <w:rFonts w:eastAsiaTheme="minorEastAsia"/>
            <w:b w:val="0"/>
            <w:bCs w:val="0"/>
            <w:caps w:val="0"/>
            <w:noProof/>
            <w:kern w:val="2"/>
            <w:szCs w:val="24"/>
            <w14:ligatures w14:val="standardContextual"/>
          </w:rPr>
          <w:tab/>
        </w:r>
        <w:r w:rsidRPr="00847B84">
          <w:rPr>
            <w:rStyle w:val="Hyperlink"/>
            <w:noProof/>
            <w:szCs w:val="24"/>
            <w:lang w:val="en-US"/>
          </w:rPr>
          <w:t xml:space="preserve">Remisia did </w:t>
        </w:r>
        <w:r w:rsidRPr="00847B84">
          <w:rPr>
            <w:rStyle w:val="Hyperlink"/>
            <w:noProof/>
            <w:szCs w:val="24"/>
          </w:rPr>
          <w:t>not</w:t>
        </w:r>
        <w:r w:rsidRPr="00847B84">
          <w:rPr>
            <w:rStyle w:val="Hyperlink"/>
            <w:noProof/>
            <w:szCs w:val="24"/>
            <w:lang w:val="en-US"/>
          </w:rPr>
          <w:t xml:space="preserve"> violate international law when it deprived the “Sterren Forty” of their Remisian citizenship in accordance with the Disrespect to the crown Act [“dca”].</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_Toc156019719 \h </w:instrText>
        </w:r>
        <w:r w:rsidRPr="00847B84">
          <w:rPr>
            <w:noProof/>
            <w:webHidden/>
            <w:szCs w:val="24"/>
          </w:rPr>
        </w:r>
        <w:r w:rsidRPr="00847B84">
          <w:rPr>
            <w:noProof/>
            <w:webHidden/>
            <w:szCs w:val="24"/>
          </w:rPr>
          <w:fldChar w:fldCharType="separate"/>
        </w:r>
        <w:r w:rsidRPr="00847B84">
          <w:rPr>
            <w:noProof/>
            <w:webHidden/>
            <w:szCs w:val="24"/>
          </w:rPr>
          <w:t>9</w:t>
        </w:r>
        <w:r w:rsidRPr="00847B84">
          <w:rPr>
            <w:noProof/>
            <w:webHidden/>
            <w:szCs w:val="24"/>
          </w:rPr>
          <w:fldChar w:fldCharType="end"/>
        </w:r>
      </w:hyperlink>
    </w:p>
    <w:p w14:paraId="49471B7F" w14:textId="1B96688B"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20" w:history="1">
        <w:r w:rsidRPr="00847B84">
          <w:rPr>
            <w:rStyle w:val="Hyperlink"/>
            <w:rFonts w:ascii="Times New Roman" w:hAnsi="Times New Roman"/>
            <w:noProof/>
            <w:szCs w:val="24"/>
            <w:lang w:val="en-US"/>
          </w:rPr>
          <w:t>A.</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lang w:val="en-US"/>
          </w:rPr>
          <w:t>Remisia’s right to deprive the Sterren Forty of their citizenship, based on the DCA, is a matter falling solely within its domaine réservé and is not governed by international law.</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_Toc156019720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9</w:t>
        </w:r>
        <w:r w:rsidRPr="00847B84">
          <w:rPr>
            <w:rFonts w:ascii="Times New Roman" w:hAnsi="Times New Roman"/>
            <w:noProof/>
            <w:webHidden/>
            <w:szCs w:val="24"/>
          </w:rPr>
          <w:fldChar w:fldCharType="end"/>
        </w:r>
      </w:hyperlink>
    </w:p>
    <w:p w14:paraId="47F6A9C8" w14:textId="755D0E19"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21" w:history="1">
        <w:r w:rsidRPr="00847B84">
          <w:rPr>
            <w:rStyle w:val="Hyperlink"/>
            <w:noProof/>
            <w:szCs w:val="24"/>
            <w:lang w:val="en-US"/>
          </w:rPr>
          <w:t>1.</w:t>
        </w:r>
        <w:r w:rsidRPr="00847B84">
          <w:rPr>
            <w:rFonts w:eastAsiaTheme="minorEastAsia"/>
            <w:b w:val="0"/>
            <w:noProof/>
            <w:kern w:val="2"/>
            <w:szCs w:val="24"/>
            <w14:ligatures w14:val="standardContextual"/>
          </w:rPr>
          <w:tab/>
        </w:r>
        <w:r w:rsidRPr="00847B84">
          <w:rPr>
            <w:rStyle w:val="Hyperlink"/>
            <w:noProof/>
            <w:szCs w:val="24"/>
            <w:lang w:val="en-US"/>
          </w:rPr>
          <w:t>Although Remisia is a party to the CRS, it validly retained its right to deprive individuals of their nationality in accordance with the DCA.</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_Toc156019721 \h </w:instrText>
        </w:r>
        <w:r w:rsidRPr="00847B84">
          <w:rPr>
            <w:noProof/>
            <w:webHidden/>
            <w:szCs w:val="24"/>
          </w:rPr>
        </w:r>
        <w:r w:rsidRPr="00847B84">
          <w:rPr>
            <w:noProof/>
            <w:webHidden/>
            <w:szCs w:val="24"/>
          </w:rPr>
          <w:fldChar w:fldCharType="separate"/>
        </w:r>
        <w:r w:rsidRPr="00847B84">
          <w:rPr>
            <w:noProof/>
            <w:webHidden/>
            <w:szCs w:val="24"/>
          </w:rPr>
          <w:t>9</w:t>
        </w:r>
        <w:r w:rsidRPr="00847B84">
          <w:rPr>
            <w:noProof/>
            <w:webHidden/>
            <w:szCs w:val="24"/>
          </w:rPr>
          <w:fldChar w:fldCharType="end"/>
        </w:r>
      </w:hyperlink>
    </w:p>
    <w:p w14:paraId="5CDC44E8" w14:textId="433C6BBB"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22" w:history="1">
        <w:r w:rsidRPr="00847B84">
          <w:rPr>
            <w:rStyle w:val="Hyperlink"/>
            <w:rFonts w:ascii="Times New Roman" w:hAnsi="Times New Roman"/>
            <w:noProof/>
            <w:szCs w:val="24"/>
            <w:lang w:val="en-US"/>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Remisia</w:t>
        </w:r>
        <w:r w:rsidRPr="00847B84">
          <w:rPr>
            <w:rStyle w:val="Hyperlink"/>
            <w:rFonts w:ascii="Times New Roman" w:hAnsi="Times New Roman"/>
            <w:noProof/>
            <w:szCs w:val="24"/>
          </w:rPr>
          <w:t>’s declaration is valid and does not constitute an impermissible reservation</w:t>
        </w:r>
        <w:r w:rsidRPr="00847B84">
          <w:rPr>
            <w:rStyle w:val="Hyperlink"/>
            <w:rFonts w:ascii="Times New Roman" w:hAnsi="Times New Roman"/>
            <w:noProof/>
            <w:szCs w:val="24"/>
            <w:lang w:val="en-US"/>
          </w:rPr>
          <w:t>.</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_Toc156019722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10</w:t>
        </w:r>
        <w:r w:rsidRPr="00847B84">
          <w:rPr>
            <w:rFonts w:ascii="Times New Roman" w:hAnsi="Times New Roman"/>
            <w:noProof/>
            <w:webHidden/>
            <w:szCs w:val="24"/>
          </w:rPr>
          <w:fldChar w:fldCharType="end"/>
        </w:r>
      </w:hyperlink>
    </w:p>
    <w:p w14:paraId="094C5DAA" w14:textId="65B98904"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23" w:history="1">
        <w:r w:rsidRPr="00847B84">
          <w:rPr>
            <w:rStyle w:val="Hyperlink"/>
            <w:rFonts w:ascii="Times New Roman" w:hAnsi="Times New Roman"/>
            <w:noProof/>
            <w:szCs w:val="24"/>
            <w:lang w:val="en-US"/>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 xml:space="preserve">Consequently, </w:t>
        </w:r>
        <w:r w:rsidRPr="00847B84">
          <w:rPr>
            <w:rStyle w:val="Hyperlink"/>
            <w:rFonts w:ascii="Times New Roman" w:hAnsi="Times New Roman"/>
            <w:noProof/>
            <w:szCs w:val="24"/>
            <w:lang w:val="en-US"/>
          </w:rPr>
          <w:t>Remisia’s enforcement and interpretation of the DCA is a purely domestic matter falling outside the scope of the CRS.</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_Toc156019723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11</w:t>
        </w:r>
        <w:r w:rsidRPr="00847B84">
          <w:rPr>
            <w:rFonts w:ascii="Times New Roman" w:hAnsi="Times New Roman"/>
            <w:noProof/>
            <w:webHidden/>
            <w:szCs w:val="24"/>
          </w:rPr>
          <w:fldChar w:fldCharType="end"/>
        </w:r>
      </w:hyperlink>
    </w:p>
    <w:p w14:paraId="51B1ED04" w14:textId="559CA929"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24" w:history="1">
        <w:r w:rsidRPr="00847B84">
          <w:rPr>
            <w:rStyle w:val="Hyperlink"/>
            <w:noProof/>
            <w:szCs w:val="24"/>
            <w:lang w:val="en-US"/>
          </w:rPr>
          <w:t>2.</w:t>
        </w:r>
        <w:r w:rsidRPr="00847B84">
          <w:rPr>
            <w:rFonts w:eastAsiaTheme="minorEastAsia"/>
            <w:b w:val="0"/>
            <w:noProof/>
            <w:kern w:val="2"/>
            <w:szCs w:val="24"/>
            <w14:ligatures w14:val="standardContextual"/>
          </w:rPr>
          <w:tab/>
        </w:r>
        <w:r w:rsidRPr="00847B84">
          <w:rPr>
            <w:rStyle w:val="Hyperlink"/>
            <w:noProof/>
            <w:szCs w:val="24"/>
            <w:lang w:val="en-US"/>
          </w:rPr>
          <w:t>Remisia’s right to deprive nationality is not limited by any customary norm.</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_Toc156019724 \h </w:instrText>
        </w:r>
        <w:r w:rsidRPr="00847B84">
          <w:rPr>
            <w:noProof/>
            <w:webHidden/>
            <w:szCs w:val="24"/>
          </w:rPr>
        </w:r>
        <w:r w:rsidRPr="00847B84">
          <w:rPr>
            <w:noProof/>
            <w:webHidden/>
            <w:szCs w:val="24"/>
          </w:rPr>
          <w:fldChar w:fldCharType="separate"/>
        </w:r>
        <w:r w:rsidRPr="00847B84">
          <w:rPr>
            <w:noProof/>
            <w:webHidden/>
            <w:szCs w:val="24"/>
          </w:rPr>
          <w:t>11</w:t>
        </w:r>
        <w:r w:rsidRPr="00847B84">
          <w:rPr>
            <w:noProof/>
            <w:webHidden/>
            <w:szCs w:val="24"/>
          </w:rPr>
          <w:fldChar w:fldCharType="end"/>
        </w:r>
      </w:hyperlink>
    </w:p>
    <w:p w14:paraId="31DE9D61" w14:textId="4A0C7AB0"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25" w:history="1">
        <w:r w:rsidRPr="00847B84">
          <w:rPr>
            <w:rStyle w:val="Hyperlink"/>
            <w:rFonts w:ascii="Times New Roman" w:hAnsi="Times New Roman"/>
            <w:noProof/>
            <w:szCs w:val="24"/>
            <w:lang w:val="en-US"/>
          </w:rPr>
          <w:t>B.</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lang w:val="en-US"/>
          </w:rPr>
          <w:t>Alternatively, Remisia exercised its right to deprive the Sterren Forty of their nationality in accordance with its treaty obligations.</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_Toc156019725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11</w:t>
        </w:r>
        <w:r w:rsidRPr="00847B84">
          <w:rPr>
            <w:rFonts w:ascii="Times New Roman" w:hAnsi="Times New Roman"/>
            <w:noProof/>
            <w:webHidden/>
            <w:szCs w:val="24"/>
          </w:rPr>
          <w:fldChar w:fldCharType="end"/>
        </w:r>
      </w:hyperlink>
    </w:p>
    <w:p w14:paraId="44484D6F" w14:textId="6716E6D2"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26" w:history="1">
        <w:r w:rsidRPr="00847B84">
          <w:rPr>
            <w:rStyle w:val="Hyperlink"/>
            <w:noProof/>
            <w:szCs w:val="24"/>
          </w:rPr>
          <w:t>1.</w:t>
        </w:r>
        <w:r w:rsidRPr="00847B84">
          <w:rPr>
            <w:rFonts w:eastAsiaTheme="minorEastAsia"/>
            <w:b w:val="0"/>
            <w:noProof/>
            <w:kern w:val="2"/>
            <w:szCs w:val="24"/>
            <w14:ligatures w14:val="standardContextual"/>
          </w:rPr>
          <w:tab/>
        </w:r>
        <w:r w:rsidRPr="00847B84">
          <w:rPr>
            <w:rStyle w:val="Hyperlink"/>
            <w:noProof/>
            <w:szCs w:val="24"/>
          </w:rPr>
          <w:t>The deprivation of the Sterren Forty’s citizenship complied with Article 8(3)(a)(ii) of the CRS.</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_Toc156019726 \h </w:instrText>
        </w:r>
        <w:r w:rsidRPr="00847B84">
          <w:rPr>
            <w:noProof/>
            <w:webHidden/>
            <w:szCs w:val="24"/>
          </w:rPr>
        </w:r>
        <w:r w:rsidRPr="00847B84">
          <w:rPr>
            <w:noProof/>
            <w:webHidden/>
            <w:szCs w:val="24"/>
          </w:rPr>
          <w:fldChar w:fldCharType="separate"/>
        </w:r>
        <w:r w:rsidRPr="00847B84">
          <w:rPr>
            <w:noProof/>
            <w:webHidden/>
            <w:szCs w:val="24"/>
          </w:rPr>
          <w:t>12</w:t>
        </w:r>
        <w:r w:rsidRPr="00847B84">
          <w:rPr>
            <w:noProof/>
            <w:webHidden/>
            <w:szCs w:val="24"/>
          </w:rPr>
          <w:fldChar w:fldCharType="end"/>
        </w:r>
      </w:hyperlink>
    </w:p>
    <w:p w14:paraId="24CF61D5" w14:textId="4C17FD45"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27" w:history="1">
        <w:r w:rsidRPr="00847B84">
          <w:rPr>
            <w:rStyle w:val="Hyperlink"/>
            <w:noProof/>
            <w:szCs w:val="24"/>
          </w:rPr>
          <w:t>2.</w:t>
        </w:r>
        <w:r w:rsidRPr="00847B84">
          <w:rPr>
            <w:rFonts w:eastAsiaTheme="minorEastAsia"/>
            <w:b w:val="0"/>
            <w:noProof/>
            <w:kern w:val="2"/>
            <w:szCs w:val="24"/>
            <w14:ligatures w14:val="standardContextual"/>
          </w:rPr>
          <w:tab/>
        </w:r>
        <w:r w:rsidRPr="00847B84">
          <w:rPr>
            <w:rStyle w:val="Hyperlink"/>
            <w:noProof/>
            <w:szCs w:val="24"/>
          </w:rPr>
          <w:t>Remisia’s deprivation of the Sterren Forty’s citizenship was not “based on political grounds”; in this regard, Remisia’s conduct falls within the accepted limitations to the freedom of expression and assembly under the ICCPR.</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_Toc156019727 \h </w:instrText>
        </w:r>
        <w:r w:rsidRPr="00847B84">
          <w:rPr>
            <w:noProof/>
            <w:webHidden/>
            <w:szCs w:val="24"/>
          </w:rPr>
        </w:r>
        <w:r w:rsidRPr="00847B84">
          <w:rPr>
            <w:noProof/>
            <w:webHidden/>
            <w:szCs w:val="24"/>
          </w:rPr>
          <w:fldChar w:fldCharType="separate"/>
        </w:r>
        <w:r w:rsidRPr="00847B84">
          <w:rPr>
            <w:noProof/>
            <w:webHidden/>
            <w:szCs w:val="24"/>
          </w:rPr>
          <w:t>13</w:t>
        </w:r>
        <w:r w:rsidRPr="00847B84">
          <w:rPr>
            <w:noProof/>
            <w:webHidden/>
            <w:szCs w:val="24"/>
          </w:rPr>
          <w:fldChar w:fldCharType="end"/>
        </w:r>
      </w:hyperlink>
    </w:p>
    <w:p w14:paraId="42E8FF4C" w14:textId="17CB6E55"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28" w:history="1">
        <w:r w:rsidRPr="00847B84">
          <w:rPr>
            <w:rStyle w:val="Hyperlink"/>
            <w:rFonts w:ascii="Times New Roman" w:hAnsi="Times New Roman"/>
            <w:noProof/>
            <w:szCs w:val="24"/>
            <w:lang w:val="en-US"/>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The restriction was provided for by law.</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_Toc156019728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13</w:t>
        </w:r>
        <w:r w:rsidRPr="00847B84">
          <w:rPr>
            <w:rFonts w:ascii="Times New Roman" w:hAnsi="Times New Roman"/>
            <w:noProof/>
            <w:webHidden/>
            <w:szCs w:val="24"/>
          </w:rPr>
          <w:fldChar w:fldCharType="end"/>
        </w:r>
      </w:hyperlink>
    </w:p>
    <w:p w14:paraId="7F96D50E" w14:textId="3F1447C7"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29" w:history="1">
        <w:r w:rsidRPr="00847B84">
          <w:rPr>
            <w:rStyle w:val="Hyperlink"/>
            <w:rFonts w:ascii="Times New Roman" w:hAnsi="Times New Roman"/>
            <w:noProof/>
            <w:szCs w:val="24"/>
            <w:lang w:val="en-US"/>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The restriction had a legitimate aim.</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_Toc156019729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14</w:t>
        </w:r>
        <w:r w:rsidRPr="00847B84">
          <w:rPr>
            <w:rFonts w:ascii="Times New Roman" w:hAnsi="Times New Roman"/>
            <w:noProof/>
            <w:webHidden/>
            <w:szCs w:val="24"/>
          </w:rPr>
          <w:fldChar w:fldCharType="end"/>
        </w:r>
      </w:hyperlink>
    </w:p>
    <w:p w14:paraId="5878811B" w14:textId="554EDBB2"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30" w:history="1">
        <w:r w:rsidRPr="00847B84">
          <w:rPr>
            <w:rStyle w:val="Hyperlink"/>
            <w:rFonts w:ascii="Times New Roman" w:hAnsi="Times New Roman"/>
            <w:noProof/>
            <w:szCs w:val="24"/>
            <w:lang w:val="en-US"/>
          </w:rPr>
          <w:t>c.</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lang w:val="en-US"/>
          </w:rPr>
          <w:t>The restriction was necessary and proportionate.</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_Toc156019730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15</w:t>
        </w:r>
        <w:r w:rsidRPr="00847B84">
          <w:rPr>
            <w:rFonts w:ascii="Times New Roman" w:hAnsi="Times New Roman"/>
            <w:noProof/>
            <w:webHidden/>
            <w:szCs w:val="24"/>
          </w:rPr>
          <w:fldChar w:fldCharType="end"/>
        </w:r>
      </w:hyperlink>
    </w:p>
    <w:p w14:paraId="21FDCECA" w14:textId="500406D4"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31" w:history="1">
        <w:r w:rsidRPr="00847B84">
          <w:rPr>
            <w:rStyle w:val="Hyperlink"/>
            <w:noProof/>
            <w:szCs w:val="24"/>
          </w:rPr>
          <w:t>3.</w:t>
        </w:r>
        <w:r w:rsidRPr="00847B84">
          <w:rPr>
            <w:rFonts w:eastAsiaTheme="minorEastAsia"/>
            <w:b w:val="0"/>
            <w:noProof/>
            <w:kern w:val="2"/>
            <w:szCs w:val="24"/>
            <w14:ligatures w14:val="standardContextual"/>
          </w:rPr>
          <w:tab/>
        </w:r>
        <w:r w:rsidRPr="00847B84">
          <w:rPr>
            <w:rStyle w:val="Hyperlink"/>
            <w:noProof/>
            <w:szCs w:val="24"/>
          </w:rPr>
          <w:t>Remisia complied with the due process requirements under Article 8(4) of the CRS.</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_Toc156019731 \h </w:instrText>
        </w:r>
        <w:r w:rsidRPr="00847B84">
          <w:rPr>
            <w:noProof/>
            <w:webHidden/>
            <w:szCs w:val="24"/>
          </w:rPr>
        </w:r>
        <w:r w:rsidRPr="00847B84">
          <w:rPr>
            <w:noProof/>
            <w:webHidden/>
            <w:szCs w:val="24"/>
          </w:rPr>
          <w:fldChar w:fldCharType="separate"/>
        </w:r>
        <w:r w:rsidRPr="00847B84">
          <w:rPr>
            <w:noProof/>
            <w:webHidden/>
            <w:szCs w:val="24"/>
          </w:rPr>
          <w:t>16</w:t>
        </w:r>
        <w:r w:rsidRPr="00847B84">
          <w:rPr>
            <w:noProof/>
            <w:webHidden/>
            <w:szCs w:val="24"/>
          </w:rPr>
          <w:fldChar w:fldCharType="end"/>
        </w:r>
      </w:hyperlink>
    </w:p>
    <w:p w14:paraId="20F2D707" w14:textId="3750CDF5"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32" w:history="1">
        <w:r w:rsidRPr="00847B84">
          <w:rPr>
            <w:rStyle w:val="Hyperlink"/>
            <w:rFonts w:ascii="Times New Roman" w:hAnsi="Times New Roman"/>
            <w:noProof/>
            <w:szCs w:val="24"/>
            <w:lang w:val="en-US"/>
          </w:rPr>
          <w:t>C.</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rPr>
          <w:t>Remisia did not act arbitrarily when it deprived the Sterren Forty of citizenship.</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_Toc156019732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16</w:t>
        </w:r>
        <w:r w:rsidRPr="00847B84">
          <w:rPr>
            <w:rFonts w:ascii="Times New Roman" w:hAnsi="Times New Roman"/>
            <w:noProof/>
            <w:webHidden/>
            <w:szCs w:val="24"/>
          </w:rPr>
          <w:fldChar w:fldCharType="end"/>
        </w:r>
      </w:hyperlink>
    </w:p>
    <w:p w14:paraId="1F2FF180" w14:textId="2156B50B" w:rsidR="00DB7E72" w:rsidRPr="00847B84" w:rsidRDefault="00DB7E72" w:rsidP="006848BD">
      <w:pPr>
        <w:pStyle w:val="TOC2"/>
        <w:tabs>
          <w:tab w:val="left" w:pos="641"/>
          <w:tab w:val="right" w:leader="dot" w:pos="9350"/>
        </w:tabs>
        <w:rPr>
          <w:rFonts w:eastAsiaTheme="minorEastAsia"/>
          <w:b w:val="0"/>
          <w:bCs w:val="0"/>
          <w:caps w:val="0"/>
          <w:noProof/>
          <w:kern w:val="2"/>
          <w:szCs w:val="24"/>
          <w14:ligatures w14:val="standardContextual"/>
        </w:rPr>
      </w:pPr>
      <w:hyperlink w:anchor="_Toc156019733" w:history="1">
        <w:r w:rsidRPr="00847B84">
          <w:rPr>
            <w:rStyle w:val="Hyperlink"/>
            <w:noProof/>
            <w:szCs w:val="24"/>
          </w:rPr>
          <w:t>III.</w:t>
        </w:r>
        <w:r w:rsidRPr="00847B84">
          <w:rPr>
            <w:rFonts w:eastAsiaTheme="minorEastAsia"/>
            <w:b w:val="0"/>
            <w:bCs w:val="0"/>
            <w:caps w:val="0"/>
            <w:noProof/>
            <w:kern w:val="2"/>
            <w:szCs w:val="24"/>
            <w14:ligatures w14:val="standardContextual"/>
          </w:rPr>
          <w:tab/>
        </w:r>
        <w:r w:rsidRPr="00847B84">
          <w:rPr>
            <w:rStyle w:val="Hyperlink"/>
            <w:noProof/>
            <w:szCs w:val="24"/>
          </w:rPr>
          <w:t>Antrano violated international law when it denied Saki Shaw, a Remisian citizen, access to Remisian consular representatives while she was held prisoner in Antrano.</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_Toc156019733 \h </w:instrText>
        </w:r>
        <w:r w:rsidRPr="00847B84">
          <w:rPr>
            <w:noProof/>
            <w:webHidden/>
            <w:szCs w:val="24"/>
          </w:rPr>
        </w:r>
        <w:r w:rsidRPr="00847B84">
          <w:rPr>
            <w:noProof/>
            <w:webHidden/>
            <w:szCs w:val="24"/>
          </w:rPr>
          <w:fldChar w:fldCharType="separate"/>
        </w:r>
        <w:r w:rsidRPr="00847B84">
          <w:rPr>
            <w:noProof/>
            <w:webHidden/>
            <w:szCs w:val="24"/>
          </w:rPr>
          <w:t>17</w:t>
        </w:r>
        <w:r w:rsidRPr="00847B84">
          <w:rPr>
            <w:noProof/>
            <w:webHidden/>
            <w:szCs w:val="24"/>
          </w:rPr>
          <w:fldChar w:fldCharType="end"/>
        </w:r>
      </w:hyperlink>
    </w:p>
    <w:p w14:paraId="0D5079B2" w14:textId="2A60E9B9"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34" w:history="1">
        <w:r w:rsidRPr="00847B84">
          <w:rPr>
            <w:rStyle w:val="Hyperlink"/>
            <w:rFonts w:ascii="Times New Roman" w:hAnsi="Times New Roman"/>
            <w:noProof/>
            <w:szCs w:val="24"/>
          </w:rPr>
          <w:t>A.</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rPr>
          <w:t>Antrano violated Remisia’s rights under Article 36(1) of the VCCR.</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_Toc156019734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17</w:t>
        </w:r>
        <w:r w:rsidRPr="00847B84">
          <w:rPr>
            <w:rFonts w:ascii="Times New Roman" w:hAnsi="Times New Roman"/>
            <w:noProof/>
            <w:webHidden/>
            <w:szCs w:val="24"/>
          </w:rPr>
          <w:fldChar w:fldCharType="end"/>
        </w:r>
      </w:hyperlink>
    </w:p>
    <w:p w14:paraId="63594BFF" w14:textId="5FBC8775"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35" w:history="1">
        <w:r w:rsidRPr="00847B84">
          <w:rPr>
            <w:rStyle w:val="Hyperlink"/>
            <w:noProof/>
            <w:szCs w:val="24"/>
          </w:rPr>
          <w:t>1.</w:t>
        </w:r>
        <w:r w:rsidRPr="00847B84">
          <w:rPr>
            <w:rFonts w:eastAsiaTheme="minorEastAsia"/>
            <w:b w:val="0"/>
            <w:noProof/>
            <w:kern w:val="2"/>
            <w:szCs w:val="24"/>
            <w14:ligatures w14:val="standardContextual"/>
          </w:rPr>
          <w:tab/>
        </w:r>
        <w:r w:rsidRPr="00847B84">
          <w:rPr>
            <w:rStyle w:val="Hyperlink"/>
            <w:noProof/>
            <w:szCs w:val="24"/>
          </w:rPr>
          <w:t>Article 36(1) of the VCCR applies with respect to the nationals of a sending State.</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_Toc156019735 \h </w:instrText>
        </w:r>
        <w:r w:rsidRPr="00847B84">
          <w:rPr>
            <w:noProof/>
            <w:webHidden/>
            <w:szCs w:val="24"/>
          </w:rPr>
        </w:r>
        <w:r w:rsidRPr="00847B84">
          <w:rPr>
            <w:noProof/>
            <w:webHidden/>
            <w:szCs w:val="24"/>
          </w:rPr>
          <w:fldChar w:fldCharType="separate"/>
        </w:r>
        <w:r w:rsidRPr="00847B84">
          <w:rPr>
            <w:noProof/>
            <w:webHidden/>
            <w:szCs w:val="24"/>
          </w:rPr>
          <w:t>17</w:t>
        </w:r>
        <w:r w:rsidRPr="00847B84">
          <w:rPr>
            <w:noProof/>
            <w:webHidden/>
            <w:szCs w:val="24"/>
          </w:rPr>
          <w:fldChar w:fldCharType="end"/>
        </w:r>
      </w:hyperlink>
    </w:p>
    <w:p w14:paraId="73C56786" w14:textId="1FFF2BC8"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36" w:history="1">
        <w:r w:rsidRPr="00847B84">
          <w:rPr>
            <w:rStyle w:val="Hyperlink"/>
            <w:rFonts w:ascii="Times New Roman" w:hAnsi="Times New Roman"/>
            <w:noProof/>
            <w:szCs w:val="24"/>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Antrano is obliged to recognize Remisia’s grant of citizenship to Saki Shaw as the grant is consistent with the general principles of law relating to nationality.</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_Toc156019736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18</w:t>
        </w:r>
        <w:r w:rsidRPr="00847B84">
          <w:rPr>
            <w:rFonts w:ascii="Times New Roman" w:hAnsi="Times New Roman"/>
            <w:noProof/>
            <w:webHidden/>
            <w:szCs w:val="24"/>
          </w:rPr>
          <w:fldChar w:fldCharType="end"/>
        </w:r>
      </w:hyperlink>
    </w:p>
    <w:p w14:paraId="7721837A" w14:textId="310B4F97"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37" w:history="1">
        <w:r w:rsidRPr="00847B84">
          <w:rPr>
            <w:rStyle w:val="Hyperlink"/>
            <w:rFonts w:ascii="Times New Roman" w:hAnsi="Times New Roman"/>
            <w:noProof/>
            <w:szCs w:val="24"/>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The effective nationality principle does not negate Antrano’s obligation to recognize Saki Shaw’s Remisian nationality.</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_Toc156019737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19</w:t>
        </w:r>
        <w:r w:rsidRPr="00847B84">
          <w:rPr>
            <w:rFonts w:ascii="Times New Roman" w:hAnsi="Times New Roman"/>
            <w:noProof/>
            <w:webHidden/>
            <w:szCs w:val="24"/>
          </w:rPr>
          <w:fldChar w:fldCharType="end"/>
        </w:r>
      </w:hyperlink>
    </w:p>
    <w:p w14:paraId="5BBDCCA4" w14:textId="03F749AB"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38" w:history="1">
        <w:r w:rsidRPr="00847B84">
          <w:rPr>
            <w:rStyle w:val="Hyperlink"/>
            <w:noProof/>
            <w:szCs w:val="24"/>
          </w:rPr>
          <w:t>2.</w:t>
        </w:r>
        <w:r w:rsidRPr="00847B84">
          <w:rPr>
            <w:rFonts w:eastAsiaTheme="minorEastAsia"/>
            <w:b w:val="0"/>
            <w:noProof/>
            <w:kern w:val="2"/>
            <w:szCs w:val="24"/>
            <w14:ligatures w14:val="standardContextual"/>
          </w:rPr>
          <w:tab/>
        </w:r>
        <w:r w:rsidRPr="00847B84">
          <w:rPr>
            <w:rStyle w:val="Hyperlink"/>
            <w:noProof/>
            <w:szCs w:val="24"/>
          </w:rPr>
          <w:t>Antrano is bound to recognize Saki Shaw’s Remisian nationality as it is estopped from claiming otherwise.</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_Toc156019738 \h </w:instrText>
        </w:r>
        <w:r w:rsidRPr="00847B84">
          <w:rPr>
            <w:noProof/>
            <w:webHidden/>
            <w:szCs w:val="24"/>
          </w:rPr>
        </w:r>
        <w:r w:rsidRPr="00847B84">
          <w:rPr>
            <w:noProof/>
            <w:webHidden/>
            <w:szCs w:val="24"/>
          </w:rPr>
          <w:fldChar w:fldCharType="separate"/>
        </w:r>
        <w:r w:rsidRPr="00847B84">
          <w:rPr>
            <w:noProof/>
            <w:webHidden/>
            <w:szCs w:val="24"/>
          </w:rPr>
          <w:t>22</w:t>
        </w:r>
        <w:r w:rsidRPr="00847B84">
          <w:rPr>
            <w:noProof/>
            <w:webHidden/>
            <w:szCs w:val="24"/>
          </w:rPr>
          <w:fldChar w:fldCharType="end"/>
        </w:r>
      </w:hyperlink>
    </w:p>
    <w:p w14:paraId="1B608A05" w14:textId="3EC6AF1C"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39" w:history="1">
        <w:r w:rsidRPr="00847B84">
          <w:rPr>
            <w:rStyle w:val="Hyperlink"/>
            <w:rFonts w:ascii="Times New Roman" w:hAnsi="Times New Roman"/>
            <w:noProof/>
            <w:szCs w:val="24"/>
          </w:rPr>
          <w:t>B.</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rPr>
          <w:t>In turn, Antrano violated Remisia’s rights to consular notification, visitation, and communication with respect to its detained national.</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_Toc156019739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23</w:t>
        </w:r>
        <w:r w:rsidRPr="00847B84">
          <w:rPr>
            <w:rFonts w:ascii="Times New Roman" w:hAnsi="Times New Roman"/>
            <w:noProof/>
            <w:webHidden/>
            <w:szCs w:val="24"/>
          </w:rPr>
          <w:fldChar w:fldCharType="end"/>
        </w:r>
      </w:hyperlink>
    </w:p>
    <w:p w14:paraId="619B9E82" w14:textId="29B8D9BB"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40" w:history="1">
        <w:r w:rsidRPr="00847B84">
          <w:rPr>
            <w:rStyle w:val="Hyperlink"/>
            <w:rFonts w:ascii="Times New Roman" w:hAnsi="Times New Roman"/>
            <w:noProof/>
            <w:szCs w:val="24"/>
          </w:rPr>
          <w:t>C.</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rPr>
          <w:t>Antrano violated Saki Shaw’s individual rights under the VCCR and ICCPR.</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_Toc156019740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24</w:t>
        </w:r>
        <w:r w:rsidRPr="00847B84">
          <w:rPr>
            <w:rFonts w:ascii="Times New Roman" w:hAnsi="Times New Roman"/>
            <w:noProof/>
            <w:webHidden/>
            <w:szCs w:val="24"/>
          </w:rPr>
          <w:fldChar w:fldCharType="end"/>
        </w:r>
      </w:hyperlink>
    </w:p>
    <w:p w14:paraId="2A1CC003" w14:textId="68D23415" w:rsidR="00DB7E72" w:rsidRPr="00847B84" w:rsidRDefault="00DB7E72" w:rsidP="006848BD">
      <w:pPr>
        <w:pStyle w:val="TOC2"/>
        <w:tabs>
          <w:tab w:val="left" w:pos="641"/>
          <w:tab w:val="right" w:leader="dot" w:pos="9350"/>
        </w:tabs>
        <w:rPr>
          <w:rFonts w:eastAsiaTheme="minorEastAsia"/>
          <w:b w:val="0"/>
          <w:bCs w:val="0"/>
          <w:caps w:val="0"/>
          <w:noProof/>
          <w:kern w:val="2"/>
          <w:szCs w:val="24"/>
          <w14:ligatures w14:val="standardContextual"/>
        </w:rPr>
      </w:pPr>
      <w:hyperlink w:anchor="_Toc156019741" w:history="1">
        <w:r w:rsidRPr="00847B84">
          <w:rPr>
            <w:rStyle w:val="Hyperlink"/>
            <w:noProof/>
            <w:szCs w:val="24"/>
          </w:rPr>
          <w:t>IV.</w:t>
        </w:r>
        <w:r w:rsidRPr="00847B84">
          <w:rPr>
            <w:rFonts w:eastAsiaTheme="minorEastAsia"/>
            <w:b w:val="0"/>
            <w:bCs w:val="0"/>
            <w:caps w:val="0"/>
            <w:noProof/>
            <w:kern w:val="2"/>
            <w:szCs w:val="24"/>
            <w14:ligatures w14:val="standardContextual"/>
          </w:rPr>
          <w:tab/>
        </w:r>
        <w:r w:rsidRPr="00847B84">
          <w:rPr>
            <w:rStyle w:val="Hyperlink"/>
            <w:noProof/>
            <w:szCs w:val="24"/>
          </w:rPr>
          <w:t>Remisia did not violate international law by refusing to allow dr. malex to enter remisia.</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_Toc156019741 \h </w:instrText>
        </w:r>
        <w:r w:rsidRPr="00847B84">
          <w:rPr>
            <w:noProof/>
            <w:webHidden/>
            <w:szCs w:val="24"/>
          </w:rPr>
        </w:r>
        <w:r w:rsidRPr="00847B84">
          <w:rPr>
            <w:noProof/>
            <w:webHidden/>
            <w:szCs w:val="24"/>
          </w:rPr>
          <w:fldChar w:fldCharType="separate"/>
        </w:r>
        <w:r w:rsidRPr="00847B84">
          <w:rPr>
            <w:noProof/>
            <w:webHidden/>
            <w:szCs w:val="24"/>
          </w:rPr>
          <w:t>24</w:t>
        </w:r>
        <w:r w:rsidRPr="00847B84">
          <w:rPr>
            <w:noProof/>
            <w:webHidden/>
            <w:szCs w:val="24"/>
          </w:rPr>
          <w:fldChar w:fldCharType="end"/>
        </w:r>
      </w:hyperlink>
    </w:p>
    <w:p w14:paraId="2BFF0450" w14:textId="425B4D20"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42" w:history="1">
        <w:r w:rsidRPr="00847B84">
          <w:rPr>
            <w:rStyle w:val="Hyperlink"/>
            <w:rFonts w:ascii="Times New Roman" w:hAnsi="Times New Roman"/>
            <w:noProof/>
            <w:szCs w:val="24"/>
            <w:lang w:val="en-US"/>
          </w:rPr>
          <w:t>A.</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lang w:val="en-US"/>
          </w:rPr>
          <w:t>Preliminarily, the Court must refuse to exercise jurisdiction over Antrano’s claims as the UNSC remains “seized of the matter” underlying Resolution 99997.</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_Toc156019742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25</w:t>
        </w:r>
        <w:r w:rsidRPr="00847B84">
          <w:rPr>
            <w:rFonts w:ascii="Times New Roman" w:hAnsi="Times New Roman"/>
            <w:noProof/>
            <w:webHidden/>
            <w:szCs w:val="24"/>
          </w:rPr>
          <w:fldChar w:fldCharType="end"/>
        </w:r>
      </w:hyperlink>
    </w:p>
    <w:p w14:paraId="71554701" w14:textId="761B6154" w:rsidR="00DB7E72" w:rsidRPr="00847B84" w:rsidRDefault="00DB7E72" w:rsidP="006848BD">
      <w:pPr>
        <w:pStyle w:val="TOC3"/>
        <w:tabs>
          <w:tab w:val="left" w:pos="1021"/>
          <w:tab w:val="right" w:leader="dot" w:pos="9350"/>
        </w:tabs>
        <w:rPr>
          <w:rFonts w:ascii="Times New Roman" w:eastAsiaTheme="minorEastAsia" w:hAnsi="Times New Roman"/>
          <w:b w:val="0"/>
          <w:i w:val="0"/>
          <w:noProof/>
          <w:kern w:val="2"/>
          <w:szCs w:val="24"/>
          <w14:ligatures w14:val="standardContextual"/>
        </w:rPr>
      </w:pPr>
      <w:hyperlink w:anchor="_Toc156019743" w:history="1">
        <w:r w:rsidRPr="00847B84">
          <w:rPr>
            <w:rStyle w:val="Hyperlink"/>
            <w:rFonts w:ascii="Times New Roman" w:hAnsi="Times New Roman"/>
            <w:noProof/>
            <w:szCs w:val="24"/>
          </w:rPr>
          <w:t>B.</w:t>
        </w:r>
        <w:r w:rsidRPr="00847B84">
          <w:rPr>
            <w:rFonts w:ascii="Times New Roman" w:eastAsiaTheme="minorEastAsia" w:hAnsi="Times New Roman"/>
            <w:b w:val="0"/>
            <w:i w:val="0"/>
            <w:noProof/>
            <w:kern w:val="2"/>
            <w:szCs w:val="24"/>
            <w14:ligatures w14:val="standardContextual"/>
          </w:rPr>
          <w:tab/>
        </w:r>
        <w:r w:rsidRPr="00847B84">
          <w:rPr>
            <w:rStyle w:val="Hyperlink"/>
            <w:rFonts w:ascii="Times New Roman" w:hAnsi="Times New Roman"/>
            <w:noProof/>
            <w:szCs w:val="24"/>
          </w:rPr>
          <w:t>Remisia did not violate its obligations under Article 25 of the UN Charter when it refused to allow Dr. Malex’s entry.</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_Toc156019743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26</w:t>
        </w:r>
        <w:r w:rsidRPr="00847B84">
          <w:rPr>
            <w:rFonts w:ascii="Times New Roman" w:hAnsi="Times New Roman"/>
            <w:noProof/>
            <w:webHidden/>
            <w:szCs w:val="24"/>
          </w:rPr>
          <w:fldChar w:fldCharType="end"/>
        </w:r>
      </w:hyperlink>
    </w:p>
    <w:p w14:paraId="6F91D850" w14:textId="6D3A8585"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44" w:history="1">
        <w:r w:rsidRPr="00847B84">
          <w:rPr>
            <w:rStyle w:val="Hyperlink"/>
            <w:noProof/>
            <w:szCs w:val="24"/>
          </w:rPr>
          <w:t>1.</w:t>
        </w:r>
        <w:r w:rsidRPr="00847B84">
          <w:rPr>
            <w:rFonts w:eastAsiaTheme="minorEastAsia"/>
            <w:b w:val="0"/>
            <w:noProof/>
            <w:kern w:val="2"/>
            <w:szCs w:val="24"/>
            <w14:ligatures w14:val="standardContextual"/>
          </w:rPr>
          <w:tab/>
        </w:r>
        <w:r w:rsidRPr="00847B84">
          <w:rPr>
            <w:rStyle w:val="Hyperlink"/>
            <w:noProof/>
            <w:szCs w:val="24"/>
          </w:rPr>
          <w:t>Resolution 99997 is invalid for failing to conform to substantive and procedural requirements under Articles 2(7) and 27, respectively, of the UN Charter.</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_Toc156019744 \h </w:instrText>
        </w:r>
        <w:r w:rsidRPr="00847B84">
          <w:rPr>
            <w:noProof/>
            <w:webHidden/>
            <w:szCs w:val="24"/>
          </w:rPr>
        </w:r>
        <w:r w:rsidRPr="00847B84">
          <w:rPr>
            <w:noProof/>
            <w:webHidden/>
            <w:szCs w:val="24"/>
          </w:rPr>
          <w:fldChar w:fldCharType="separate"/>
        </w:r>
        <w:r w:rsidRPr="00847B84">
          <w:rPr>
            <w:noProof/>
            <w:webHidden/>
            <w:szCs w:val="24"/>
          </w:rPr>
          <w:t>26</w:t>
        </w:r>
        <w:r w:rsidRPr="00847B84">
          <w:rPr>
            <w:noProof/>
            <w:webHidden/>
            <w:szCs w:val="24"/>
          </w:rPr>
          <w:fldChar w:fldCharType="end"/>
        </w:r>
      </w:hyperlink>
    </w:p>
    <w:p w14:paraId="492464EE" w14:textId="48D2A027"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45" w:history="1">
        <w:r w:rsidRPr="00847B84">
          <w:rPr>
            <w:rStyle w:val="Hyperlink"/>
            <w:rFonts w:ascii="Times New Roman" w:hAnsi="Times New Roman"/>
            <w:noProof/>
            <w:szCs w:val="24"/>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The UNSC violated the principle of non-intervention by interfering with matters that are essentially within Remisia’s domestic jurisdiction.</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_Toc156019745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27</w:t>
        </w:r>
        <w:r w:rsidRPr="00847B84">
          <w:rPr>
            <w:rFonts w:ascii="Times New Roman" w:hAnsi="Times New Roman"/>
            <w:noProof/>
            <w:webHidden/>
            <w:szCs w:val="24"/>
          </w:rPr>
          <w:fldChar w:fldCharType="end"/>
        </w:r>
      </w:hyperlink>
    </w:p>
    <w:p w14:paraId="1440DFA5" w14:textId="3B1B33C5"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46" w:history="1">
        <w:r w:rsidRPr="00847B84">
          <w:rPr>
            <w:rStyle w:val="Hyperlink"/>
            <w:rFonts w:ascii="Times New Roman" w:hAnsi="Times New Roman"/>
            <w:noProof/>
            <w:szCs w:val="24"/>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Antrano’s failure to abstain from voting makes Resolution 99997 procedurally infirm.</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_Toc156019746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27</w:t>
        </w:r>
        <w:r w:rsidRPr="00847B84">
          <w:rPr>
            <w:rFonts w:ascii="Times New Roman" w:hAnsi="Times New Roman"/>
            <w:noProof/>
            <w:webHidden/>
            <w:szCs w:val="24"/>
          </w:rPr>
          <w:fldChar w:fldCharType="end"/>
        </w:r>
      </w:hyperlink>
    </w:p>
    <w:p w14:paraId="17D086F9" w14:textId="138E5621"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47" w:history="1">
        <w:r w:rsidRPr="00847B84">
          <w:rPr>
            <w:rStyle w:val="Hyperlink"/>
            <w:noProof/>
            <w:szCs w:val="24"/>
          </w:rPr>
          <w:t>2.</w:t>
        </w:r>
        <w:r w:rsidRPr="00847B84">
          <w:rPr>
            <w:rFonts w:eastAsiaTheme="minorEastAsia"/>
            <w:b w:val="0"/>
            <w:noProof/>
            <w:kern w:val="2"/>
            <w:szCs w:val="24"/>
            <w14:ligatures w14:val="standardContextual"/>
          </w:rPr>
          <w:tab/>
        </w:r>
        <w:r w:rsidRPr="00847B84">
          <w:rPr>
            <w:rStyle w:val="Hyperlink"/>
            <w:noProof/>
            <w:szCs w:val="24"/>
          </w:rPr>
          <w:t>Resolution 99997 imposes no binding obligations upon Remisia.</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_Toc156019747 \h </w:instrText>
        </w:r>
        <w:r w:rsidRPr="00847B84">
          <w:rPr>
            <w:noProof/>
            <w:webHidden/>
            <w:szCs w:val="24"/>
          </w:rPr>
        </w:r>
        <w:r w:rsidRPr="00847B84">
          <w:rPr>
            <w:noProof/>
            <w:webHidden/>
            <w:szCs w:val="24"/>
          </w:rPr>
          <w:fldChar w:fldCharType="separate"/>
        </w:r>
        <w:r w:rsidRPr="00847B84">
          <w:rPr>
            <w:noProof/>
            <w:webHidden/>
            <w:szCs w:val="24"/>
          </w:rPr>
          <w:t>28</w:t>
        </w:r>
        <w:r w:rsidRPr="00847B84">
          <w:rPr>
            <w:noProof/>
            <w:webHidden/>
            <w:szCs w:val="24"/>
          </w:rPr>
          <w:fldChar w:fldCharType="end"/>
        </w:r>
      </w:hyperlink>
    </w:p>
    <w:p w14:paraId="35D6C39E" w14:textId="79386339"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48" w:history="1">
        <w:r w:rsidRPr="00847B84">
          <w:rPr>
            <w:rStyle w:val="Hyperlink"/>
            <w:rFonts w:ascii="Times New Roman" w:hAnsi="Times New Roman"/>
            <w:noProof/>
            <w:szCs w:val="24"/>
          </w:rPr>
          <w:t>a.</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Resolutions adopted in the exercise of the UNSC’s Chapter VI powers are generally recommendatory.</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_Toc156019748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28</w:t>
        </w:r>
        <w:r w:rsidRPr="00847B84">
          <w:rPr>
            <w:rFonts w:ascii="Times New Roman" w:hAnsi="Times New Roman"/>
            <w:noProof/>
            <w:webHidden/>
            <w:szCs w:val="24"/>
          </w:rPr>
          <w:fldChar w:fldCharType="end"/>
        </w:r>
      </w:hyperlink>
    </w:p>
    <w:p w14:paraId="0B1B50FB" w14:textId="12E70B42"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49" w:history="1">
        <w:r w:rsidRPr="00847B84">
          <w:rPr>
            <w:rStyle w:val="Hyperlink"/>
            <w:rFonts w:ascii="Times New Roman" w:hAnsi="Times New Roman"/>
            <w:noProof/>
            <w:szCs w:val="24"/>
          </w:rPr>
          <w:t>b.</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The terms used by Resolution 99997 impose no binding obligations.</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_Toc156019749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29</w:t>
        </w:r>
        <w:r w:rsidRPr="00847B84">
          <w:rPr>
            <w:rFonts w:ascii="Times New Roman" w:hAnsi="Times New Roman"/>
            <w:noProof/>
            <w:webHidden/>
            <w:szCs w:val="24"/>
          </w:rPr>
          <w:fldChar w:fldCharType="end"/>
        </w:r>
      </w:hyperlink>
    </w:p>
    <w:p w14:paraId="31FE52B9" w14:textId="056CA92B" w:rsidR="00DB7E72" w:rsidRPr="00847B84" w:rsidRDefault="00DB7E72" w:rsidP="006848BD">
      <w:pPr>
        <w:pStyle w:val="TOC5"/>
        <w:tabs>
          <w:tab w:val="left" w:pos="1680"/>
          <w:tab w:val="right" w:leader="dot" w:pos="9350"/>
        </w:tabs>
        <w:rPr>
          <w:rFonts w:ascii="Times New Roman" w:eastAsiaTheme="minorEastAsia" w:hAnsi="Times New Roman"/>
          <w:b w:val="0"/>
          <w:noProof/>
          <w:kern w:val="2"/>
          <w:szCs w:val="24"/>
          <w14:ligatures w14:val="standardContextual"/>
        </w:rPr>
      </w:pPr>
      <w:hyperlink w:anchor="_Toc156019750" w:history="1">
        <w:r w:rsidRPr="00847B84">
          <w:rPr>
            <w:rStyle w:val="Hyperlink"/>
            <w:rFonts w:ascii="Times New Roman" w:hAnsi="Times New Roman"/>
            <w:noProof/>
            <w:szCs w:val="24"/>
          </w:rPr>
          <w:t>c.</w:t>
        </w:r>
        <w:r w:rsidRPr="00847B84">
          <w:rPr>
            <w:rFonts w:ascii="Times New Roman" w:eastAsiaTheme="minorEastAsia" w:hAnsi="Times New Roman"/>
            <w:b w:val="0"/>
            <w:noProof/>
            <w:kern w:val="2"/>
            <w:szCs w:val="24"/>
            <w14:ligatures w14:val="standardContextual"/>
          </w:rPr>
          <w:tab/>
        </w:r>
        <w:r w:rsidRPr="00847B84">
          <w:rPr>
            <w:rStyle w:val="Hyperlink"/>
            <w:rFonts w:ascii="Times New Roman" w:hAnsi="Times New Roman"/>
            <w:noProof/>
            <w:szCs w:val="24"/>
          </w:rPr>
          <w:t>The UNSC’s refusal to take additional measures against Remisia affirms the non-binding character of Resolution 99997.</w:t>
        </w:r>
        <w:r w:rsidRPr="00847B84">
          <w:rPr>
            <w:rFonts w:ascii="Times New Roman" w:hAnsi="Times New Roman"/>
            <w:noProof/>
            <w:webHidden/>
            <w:szCs w:val="24"/>
          </w:rPr>
          <w:tab/>
        </w:r>
        <w:r w:rsidRPr="00847B84">
          <w:rPr>
            <w:rFonts w:ascii="Times New Roman" w:hAnsi="Times New Roman"/>
            <w:noProof/>
            <w:webHidden/>
            <w:szCs w:val="24"/>
          </w:rPr>
          <w:fldChar w:fldCharType="begin"/>
        </w:r>
        <w:r w:rsidRPr="00847B84">
          <w:rPr>
            <w:rFonts w:ascii="Times New Roman" w:hAnsi="Times New Roman"/>
            <w:noProof/>
            <w:webHidden/>
            <w:szCs w:val="24"/>
          </w:rPr>
          <w:instrText xml:space="preserve"> PAGEREF _Toc156019750 \h </w:instrText>
        </w:r>
        <w:r w:rsidRPr="00847B84">
          <w:rPr>
            <w:rFonts w:ascii="Times New Roman" w:hAnsi="Times New Roman"/>
            <w:noProof/>
            <w:webHidden/>
            <w:szCs w:val="24"/>
          </w:rPr>
        </w:r>
        <w:r w:rsidRPr="00847B84">
          <w:rPr>
            <w:rFonts w:ascii="Times New Roman" w:hAnsi="Times New Roman"/>
            <w:noProof/>
            <w:webHidden/>
            <w:szCs w:val="24"/>
          </w:rPr>
          <w:fldChar w:fldCharType="separate"/>
        </w:r>
        <w:r w:rsidRPr="00847B84">
          <w:rPr>
            <w:rFonts w:ascii="Times New Roman" w:hAnsi="Times New Roman"/>
            <w:noProof/>
            <w:webHidden/>
            <w:szCs w:val="24"/>
          </w:rPr>
          <w:t>30</w:t>
        </w:r>
        <w:r w:rsidRPr="00847B84">
          <w:rPr>
            <w:rFonts w:ascii="Times New Roman" w:hAnsi="Times New Roman"/>
            <w:noProof/>
            <w:webHidden/>
            <w:szCs w:val="24"/>
          </w:rPr>
          <w:fldChar w:fldCharType="end"/>
        </w:r>
      </w:hyperlink>
    </w:p>
    <w:p w14:paraId="04B85D20" w14:textId="7FB57678" w:rsidR="00DB7E72" w:rsidRPr="00847B84" w:rsidRDefault="00DB7E72" w:rsidP="006848BD">
      <w:pPr>
        <w:pStyle w:val="TOC4"/>
        <w:tabs>
          <w:tab w:val="left" w:pos="1361"/>
          <w:tab w:val="right" w:leader="dot" w:pos="9350"/>
        </w:tabs>
        <w:rPr>
          <w:rFonts w:eastAsiaTheme="minorEastAsia"/>
          <w:b w:val="0"/>
          <w:noProof/>
          <w:kern w:val="2"/>
          <w:szCs w:val="24"/>
          <w14:ligatures w14:val="standardContextual"/>
        </w:rPr>
      </w:pPr>
      <w:hyperlink w:anchor="_Toc156019751" w:history="1">
        <w:r w:rsidRPr="00847B84">
          <w:rPr>
            <w:rStyle w:val="Hyperlink"/>
            <w:noProof/>
            <w:szCs w:val="24"/>
          </w:rPr>
          <w:t>3.</w:t>
        </w:r>
        <w:r w:rsidRPr="00847B84">
          <w:rPr>
            <w:rFonts w:eastAsiaTheme="minorEastAsia"/>
            <w:b w:val="0"/>
            <w:noProof/>
            <w:kern w:val="2"/>
            <w:szCs w:val="24"/>
            <w14:ligatures w14:val="standardContextual"/>
          </w:rPr>
          <w:tab/>
        </w:r>
        <w:r w:rsidRPr="00847B84">
          <w:rPr>
            <w:rStyle w:val="Hyperlink"/>
            <w:noProof/>
            <w:szCs w:val="24"/>
          </w:rPr>
          <w:t>Even assuming Resolution 99997 imposes binding obligations upon Remisia, Remisia’s act of denying Dr. Malex’s entry is not inconsistent with such obligations.</w:t>
        </w:r>
        <w:r w:rsidRPr="00847B84">
          <w:rPr>
            <w:noProof/>
            <w:webHidden/>
            <w:szCs w:val="24"/>
          </w:rPr>
          <w:tab/>
        </w:r>
        <w:r w:rsidRPr="00847B84">
          <w:rPr>
            <w:noProof/>
            <w:webHidden/>
            <w:szCs w:val="24"/>
          </w:rPr>
          <w:fldChar w:fldCharType="begin"/>
        </w:r>
        <w:r w:rsidRPr="00847B84">
          <w:rPr>
            <w:noProof/>
            <w:webHidden/>
            <w:szCs w:val="24"/>
          </w:rPr>
          <w:instrText xml:space="preserve"> PAGEREF _Toc156019751 \h </w:instrText>
        </w:r>
        <w:r w:rsidRPr="00847B84">
          <w:rPr>
            <w:noProof/>
            <w:webHidden/>
            <w:szCs w:val="24"/>
          </w:rPr>
        </w:r>
        <w:r w:rsidRPr="00847B84">
          <w:rPr>
            <w:noProof/>
            <w:webHidden/>
            <w:szCs w:val="24"/>
          </w:rPr>
          <w:fldChar w:fldCharType="separate"/>
        </w:r>
        <w:r w:rsidRPr="00847B84">
          <w:rPr>
            <w:noProof/>
            <w:webHidden/>
            <w:szCs w:val="24"/>
          </w:rPr>
          <w:t>30</w:t>
        </w:r>
        <w:r w:rsidRPr="00847B84">
          <w:rPr>
            <w:noProof/>
            <w:webHidden/>
            <w:szCs w:val="24"/>
          </w:rPr>
          <w:fldChar w:fldCharType="end"/>
        </w:r>
      </w:hyperlink>
    </w:p>
    <w:p w14:paraId="2FD946E7" w14:textId="2D9E2FEC" w:rsidR="00DB7E72" w:rsidRPr="00847B84" w:rsidRDefault="00DB7E72" w:rsidP="006848BD">
      <w:pPr>
        <w:pStyle w:val="TOC1"/>
        <w:tabs>
          <w:tab w:val="right" w:leader="dot" w:pos="9350"/>
        </w:tabs>
        <w:rPr>
          <w:rFonts w:eastAsiaTheme="minorEastAsia"/>
          <w:b w:val="0"/>
          <w:bCs w:val="0"/>
          <w:iCs w:val="0"/>
          <w:caps w:val="0"/>
          <w:noProof/>
          <w:kern w:val="2"/>
          <w14:ligatures w14:val="standardContextual"/>
        </w:rPr>
      </w:pPr>
      <w:hyperlink w:anchor="_Toc156019752" w:history="1">
        <w:r w:rsidRPr="00847B84">
          <w:rPr>
            <w:rStyle w:val="Hyperlink"/>
            <w:noProof/>
          </w:rPr>
          <w:t>PRAYERS FOR RELIEF</w:t>
        </w:r>
        <w:r w:rsidRPr="00847B84">
          <w:rPr>
            <w:noProof/>
            <w:webHidden/>
          </w:rPr>
          <w:tab/>
        </w:r>
        <w:r w:rsidRPr="00847B84">
          <w:rPr>
            <w:noProof/>
            <w:webHidden/>
          </w:rPr>
          <w:fldChar w:fldCharType="begin"/>
        </w:r>
        <w:r w:rsidRPr="00847B84">
          <w:rPr>
            <w:noProof/>
            <w:webHidden/>
          </w:rPr>
          <w:instrText xml:space="preserve"> PAGEREF _Toc156019752 \h </w:instrText>
        </w:r>
        <w:r w:rsidRPr="00847B84">
          <w:rPr>
            <w:noProof/>
            <w:webHidden/>
          </w:rPr>
        </w:r>
        <w:r w:rsidRPr="00847B84">
          <w:rPr>
            <w:noProof/>
            <w:webHidden/>
          </w:rPr>
          <w:fldChar w:fldCharType="separate"/>
        </w:r>
        <w:r w:rsidRPr="00847B84">
          <w:rPr>
            <w:noProof/>
            <w:webHidden/>
          </w:rPr>
          <w:t>33</w:t>
        </w:r>
        <w:r w:rsidRPr="00847B84">
          <w:rPr>
            <w:noProof/>
            <w:webHidden/>
          </w:rPr>
          <w:fldChar w:fldCharType="end"/>
        </w:r>
      </w:hyperlink>
    </w:p>
    <w:p w14:paraId="048E8401" w14:textId="3D81E130" w:rsidR="005A62A6" w:rsidRPr="00847B84" w:rsidRDefault="00DB7E72" w:rsidP="006848BD">
      <w:pPr>
        <w:spacing w:after="120" w:line="240" w:lineRule="auto"/>
      </w:pPr>
      <w:r w:rsidRPr="00847B84">
        <w:fldChar w:fldCharType="end"/>
      </w:r>
    </w:p>
    <w:p w14:paraId="6A6AD3D5" w14:textId="77777777" w:rsidR="005A62A6" w:rsidRPr="00847B84" w:rsidRDefault="005A62A6" w:rsidP="006848BD">
      <w:pPr>
        <w:spacing w:after="120" w:line="240" w:lineRule="auto"/>
      </w:pPr>
      <w:r w:rsidRPr="00847B84">
        <w:br w:type="page"/>
      </w:r>
    </w:p>
    <w:p w14:paraId="7A11FCEF" w14:textId="3F79C9BF" w:rsidR="005A62A6" w:rsidRPr="00847B84" w:rsidRDefault="005A62A6" w:rsidP="00213757">
      <w:pPr>
        <w:pStyle w:val="Heading1"/>
      </w:pPr>
      <w:bookmarkStart w:id="4" w:name="_Toc92780815"/>
      <w:bookmarkStart w:id="5" w:name="_Toc92907294"/>
      <w:bookmarkStart w:id="6" w:name="_Toc92947722"/>
      <w:bookmarkStart w:id="7" w:name="_Toc92949297"/>
      <w:bookmarkStart w:id="8" w:name="_Toc156019700"/>
      <w:r w:rsidRPr="00847B84">
        <w:lastRenderedPageBreak/>
        <w:t>INDEX OF AUTHORITIES</w:t>
      </w:r>
      <w:bookmarkEnd w:id="4"/>
      <w:bookmarkEnd w:id="5"/>
      <w:bookmarkEnd w:id="6"/>
      <w:bookmarkEnd w:id="7"/>
      <w:bookmarkEnd w:id="8"/>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71"/>
        <w:gridCol w:w="2127"/>
      </w:tblGrid>
      <w:tr w:rsidR="005A62A6" w:rsidRPr="00847B84" w14:paraId="707D518F" w14:textId="77777777" w:rsidTr="00773B26">
        <w:trPr>
          <w:trHeight w:val="90"/>
        </w:trPr>
        <w:tc>
          <w:tcPr>
            <w:tcW w:w="7371" w:type="dxa"/>
          </w:tcPr>
          <w:p w14:paraId="1F214906" w14:textId="77777777" w:rsidR="005A62A6" w:rsidRPr="00847B84" w:rsidRDefault="005A62A6" w:rsidP="006848BD">
            <w:pPr>
              <w:spacing w:after="0" w:line="240" w:lineRule="auto"/>
              <w:ind w:left="357" w:hanging="357"/>
              <w:jc w:val="center"/>
              <w:rPr>
                <w:b/>
                <w:bCs/>
                <w:smallCaps/>
              </w:rPr>
            </w:pPr>
            <w:r w:rsidRPr="00847B84">
              <w:rPr>
                <w:b/>
                <w:bCs/>
                <w:smallCaps/>
              </w:rPr>
              <w:t>FULL CITATION</w:t>
            </w:r>
          </w:p>
        </w:tc>
        <w:tc>
          <w:tcPr>
            <w:tcW w:w="2127" w:type="dxa"/>
          </w:tcPr>
          <w:p w14:paraId="5AFB29BE" w14:textId="77777777" w:rsidR="005A62A6" w:rsidRPr="00847B84" w:rsidRDefault="005A62A6" w:rsidP="006848BD">
            <w:pPr>
              <w:spacing w:after="0" w:line="240" w:lineRule="auto"/>
              <w:ind w:left="357" w:hanging="357"/>
              <w:jc w:val="center"/>
              <w:rPr>
                <w:smallCaps/>
              </w:rPr>
            </w:pPr>
            <w:r w:rsidRPr="00847B84">
              <w:rPr>
                <w:b/>
                <w:bCs/>
                <w:smallCaps/>
              </w:rPr>
              <w:t>PAGE</w:t>
            </w:r>
          </w:p>
        </w:tc>
      </w:tr>
      <w:tr w:rsidR="00EE40E3" w:rsidRPr="00847B84" w14:paraId="6F971A28" w14:textId="77777777" w:rsidTr="00A65112">
        <w:tc>
          <w:tcPr>
            <w:tcW w:w="7371" w:type="dxa"/>
          </w:tcPr>
          <w:p w14:paraId="11335449" w14:textId="77777777" w:rsidR="006848BD" w:rsidRPr="00847B84" w:rsidRDefault="006848BD" w:rsidP="006848BD">
            <w:pPr>
              <w:spacing w:after="0" w:line="240" w:lineRule="auto"/>
              <w:jc w:val="center"/>
              <w:rPr>
                <w:b/>
                <w:bCs/>
                <w:smallCaps/>
              </w:rPr>
            </w:pPr>
          </w:p>
          <w:p w14:paraId="070FEB59" w14:textId="0EBA03E0" w:rsidR="00EE40E3" w:rsidRPr="00847B84" w:rsidRDefault="00EE40E3" w:rsidP="006848BD">
            <w:pPr>
              <w:spacing w:after="0" w:line="240" w:lineRule="auto"/>
              <w:jc w:val="center"/>
              <w:rPr>
                <w:b/>
                <w:bCs/>
                <w:smallCaps/>
              </w:rPr>
            </w:pPr>
            <w:r w:rsidRPr="00847B84">
              <w:rPr>
                <w:b/>
                <w:bCs/>
                <w:smallCaps/>
              </w:rPr>
              <w:t>Treaties and Conventions</w:t>
            </w:r>
          </w:p>
        </w:tc>
        <w:tc>
          <w:tcPr>
            <w:tcW w:w="2127" w:type="dxa"/>
          </w:tcPr>
          <w:p w14:paraId="08C45900" w14:textId="77777777" w:rsidR="00EE40E3" w:rsidRPr="00847B84" w:rsidRDefault="00EE40E3" w:rsidP="006848BD">
            <w:pPr>
              <w:spacing w:after="0" w:line="240" w:lineRule="auto"/>
              <w:ind w:left="357" w:hanging="357"/>
              <w:jc w:val="center"/>
            </w:pPr>
          </w:p>
        </w:tc>
      </w:tr>
      <w:tr w:rsidR="00EE40E3" w:rsidRPr="00847B84" w14:paraId="5791DB62" w14:textId="77777777" w:rsidTr="00A65112">
        <w:tc>
          <w:tcPr>
            <w:tcW w:w="7371" w:type="dxa"/>
          </w:tcPr>
          <w:p w14:paraId="76BC34BF" w14:textId="77777777" w:rsidR="006848BD" w:rsidRPr="00847B84" w:rsidRDefault="006848BD" w:rsidP="006848BD">
            <w:pPr>
              <w:pStyle w:val="NormalWeb"/>
              <w:spacing w:after="0"/>
              <w:jc w:val="both"/>
              <w:rPr>
                <w:color w:val="000000"/>
                <w:shd w:val="clear" w:color="auto" w:fill="FFFFFF"/>
              </w:rPr>
            </w:pPr>
          </w:p>
          <w:p w14:paraId="12D36379" w14:textId="7486E997" w:rsidR="00EE40E3" w:rsidRPr="00847B84" w:rsidRDefault="00EE40E3" w:rsidP="006848BD">
            <w:pPr>
              <w:pStyle w:val="NormalWeb"/>
              <w:spacing w:after="0"/>
              <w:jc w:val="both"/>
              <w:rPr>
                <w:color w:val="000000"/>
                <w:shd w:val="clear" w:color="auto" w:fill="FFFFFF"/>
              </w:rPr>
            </w:pPr>
            <w:r w:rsidRPr="00847B84">
              <w:rPr>
                <w:color w:val="000000"/>
                <w:shd w:val="clear" w:color="auto" w:fill="FFFFFF"/>
              </w:rPr>
              <w:t>Charter of the United Nations, 1 U.N.T.S. XVI.</w:t>
            </w:r>
          </w:p>
          <w:p w14:paraId="529BE4DC" w14:textId="77777777" w:rsidR="00EE40E3" w:rsidRPr="00847B84" w:rsidRDefault="00EE40E3" w:rsidP="006848BD">
            <w:pPr>
              <w:pStyle w:val="NormalWeb"/>
              <w:spacing w:after="0"/>
              <w:jc w:val="both"/>
              <w:rPr>
                <w:rFonts w:eastAsia="Times"/>
                <w:color w:val="C00000"/>
              </w:rPr>
            </w:pPr>
          </w:p>
        </w:tc>
        <w:tc>
          <w:tcPr>
            <w:tcW w:w="2127" w:type="dxa"/>
          </w:tcPr>
          <w:p w14:paraId="41A7A5D6" w14:textId="77777777" w:rsidR="00EE40E3" w:rsidRPr="00847B84" w:rsidRDefault="00EE40E3" w:rsidP="006848BD">
            <w:pPr>
              <w:spacing w:after="0" w:line="240" w:lineRule="auto"/>
              <w:ind w:left="357" w:hanging="357"/>
              <w:jc w:val="center"/>
            </w:pPr>
            <w:r w:rsidRPr="00847B84">
              <w:t>25, 26, 27, 28, 29</w:t>
            </w:r>
          </w:p>
        </w:tc>
      </w:tr>
      <w:tr w:rsidR="00EE40E3" w:rsidRPr="00847B84" w14:paraId="393BE170" w14:textId="77777777" w:rsidTr="00A65112">
        <w:tc>
          <w:tcPr>
            <w:tcW w:w="7371" w:type="dxa"/>
          </w:tcPr>
          <w:p w14:paraId="119A13E0" w14:textId="77777777" w:rsidR="00EE40E3" w:rsidRPr="00847B84" w:rsidRDefault="00EE40E3" w:rsidP="006848BD">
            <w:pPr>
              <w:pStyle w:val="NormalWeb"/>
              <w:spacing w:after="0"/>
              <w:jc w:val="both"/>
              <w:rPr>
                <w:color w:val="000000"/>
                <w:shd w:val="clear" w:color="auto" w:fill="FFFFFF"/>
              </w:rPr>
            </w:pPr>
            <w:r w:rsidRPr="00847B84">
              <w:rPr>
                <w:color w:val="000000"/>
                <w:shd w:val="clear" w:color="auto" w:fill="FFFFFF"/>
              </w:rPr>
              <w:t>Convention on Certain Questions Relating to the Conflict of Nationality Law, 179 L.N.T.S. 89. </w:t>
            </w:r>
          </w:p>
          <w:p w14:paraId="5EF9209C" w14:textId="77777777" w:rsidR="00EE40E3" w:rsidRPr="00847B84" w:rsidRDefault="00EE40E3" w:rsidP="006848BD">
            <w:pPr>
              <w:pStyle w:val="NormalWeb"/>
              <w:spacing w:after="0"/>
              <w:jc w:val="both"/>
            </w:pPr>
          </w:p>
        </w:tc>
        <w:tc>
          <w:tcPr>
            <w:tcW w:w="2127" w:type="dxa"/>
          </w:tcPr>
          <w:p w14:paraId="1664EF45" w14:textId="77777777" w:rsidR="00EE40E3" w:rsidRPr="00847B84" w:rsidRDefault="00EE40E3" w:rsidP="006848BD">
            <w:pPr>
              <w:spacing w:after="0" w:line="240" w:lineRule="auto"/>
              <w:ind w:left="357" w:hanging="357"/>
              <w:jc w:val="center"/>
            </w:pPr>
            <w:r w:rsidRPr="00847B84">
              <w:t>17, 18</w:t>
            </w:r>
          </w:p>
        </w:tc>
      </w:tr>
      <w:tr w:rsidR="00EE40E3" w:rsidRPr="00847B84" w14:paraId="47E2D95E" w14:textId="77777777" w:rsidTr="00A65112">
        <w:tc>
          <w:tcPr>
            <w:tcW w:w="7371" w:type="dxa"/>
          </w:tcPr>
          <w:p w14:paraId="49446871" w14:textId="77777777" w:rsidR="00EE40E3" w:rsidRPr="00847B84" w:rsidRDefault="00EE40E3" w:rsidP="006848BD">
            <w:pPr>
              <w:pStyle w:val="NormalWeb"/>
              <w:spacing w:after="0"/>
              <w:rPr>
                <w:lang w:val="en-US"/>
              </w:rPr>
            </w:pPr>
            <w:r w:rsidRPr="00847B84">
              <w:rPr>
                <w:color w:val="000000"/>
                <w:shd w:val="clear" w:color="auto" w:fill="FFFFFF"/>
              </w:rPr>
              <w:t>1961 Convention on the Reduction of Statelessness, 989 U.N.T.S 175.</w:t>
            </w:r>
          </w:p>
          <w:p w14:paraId="6067A053" w14:textId="77777777" w:rsidR="00EE40E3" w:rsidRPr="00847B84" w:rsidRDefault="00EE40E3" w:rsidP="006848BD">
            <w:pPr>
              <w:spacing w:after="0" w:line="240" w:lineRule="auto"/>
              <w:rPr>
                <w:rFonts w:eastAsia="Times"/>
                <w:color w:val="000000"/>
              </w:rPr>
            </w:pPr>
          </w:p>
        </w:tc>
        <w:tc>
          <w:tcPr>
            <w:tcW w:w="2127" w:type="dxa"/>
          </w:tcPr>
          <w:p w14:paraId="027E71DD" w14:textId="77777777" w:rsidR="00EE40E3" w:rsidRPr="00847B84" w:rsidRDefault="00EE40E3" w:rsidP="006848BD">
            <w:pPr>
              <w:spacing w:after="0" w:line="240" w:lineRule="auto"/>
              <w:ind w:left="357" w:hanging="357"/>
              <w:jc w:val="center"/>
            </w:pPr>
            <w:r w:rsidRPr="00847B84">
              <w:t>3, 10, 12, 16</w:t>
            </w:r>
          </w:p>
        </w:tc>
      </w:tr>
      <w:tr w:rsidR="00EE40E3" w:rsidRPr="00847B84" w14:paraId="7B410AC2" w14:textId="77777777" w:rsidTr="00A65112">
        <w:tc>
          <w:tcPr>
            <w:tcW w:w="7371" w:type="dxa"/>
          </w:tcPr>
          <w:p w14:paraId="64B9B9D3" w14:textId="77777777" w:rsidR="00EE40E3" w:rsidRPr="00847B84" w:rsidRDefault="00EE40E3" w:rsidP="006848BD">
            <w:pPr>
              <w:pStyle w:val="NormalWeb"/>
              <w:spacing w:after="0"/>
              <w:jc w:val="both"/>
              <w:rPr>
                <w:color w:val="000000"/>
                <w:shd w:val="clear" w:color="auto" w:fill="FFFFFF"/>
              </w:rPr>
            </w:pPr>
            <w:r w:rsidRPr="00847B84">
              <w:rPr>
                <w:color w:val="000000"/>
                <w:shd w:val="clear" w:color="auto" w:fill="FFFFFF"/>
              </w:rPr>
              <w:t>European Convention on Nationality, E.T.S. 166.</w:t>
            </w:r>
          </w:p>
          <w:p w14:paraId="441AB9DB" w14:textId="77777777" w:rsidR="00EE40E3" w:rsidRPr="00847B84" w:rsidRDefault="00EE40E3" w:rsidP="006848BD">
            <w:pPr>
              <w:pStyle w:val="NormalWeb"/>
              <w:spacing w:after="0"/>
              <w:jc w:val="both"/>
            </w:pPr>
          </w:p>
        </w:tc>
        <w:tc>
          <w:tcPr>
            <w:tcW w:w="2127" w:type="dxa"/>
          </w:tcPr>
          <w:p w14:paraId="5058D71B" w14:textId="77777777" w:rsidR="00EE40E3" w:rsidRPr="00847B84" w:rsidRDefault="00EE40E3" w:rsidP="006848BD">
            <w:pPr>
              <w:spacing w:after="0" w:line="240" w:lineRule="auto"/>
              <w:ind w:left="357" w:hanging="357"/>
              <w:jc w:val="center"/>
            </w:pPr>
            <w:r w:rsidRPr="00847B84">
              <w:t>18</w:t>
            </w:r>
          </w:p>
        </w:tc>
      </w:tr>
      <w:tr w:rsidR="00EE40E3" w:rsidRPr="00847B84" w14:paraId="4C809CED" w14:textId="77777777" w:rsidTr="00A65112">
        <w:tc>
          <w:tcPr>
            <w:tcW w:w="7371" w:type="dxa"/>
          </w:tcPr>
          <w:p w14:paraId="0946C085" w14:textId="77777777" w:rsidR="00EE40E3" w:rsidRPr="00847B84" w:rsidRDefault="00EE40E3" w:rsidP="006848BD">
            <w:pPr>
              <w:spacing w:after="0" w:line="240" w:lineRule="auto"/>
              <w:ind w:left="357" w:hanging="357"/>
              <w:rPr>
                <w:rFonts w:eastAsia="Times"/>
                <w:color w:val="000000"/>
              </w:rPr>
            </w:pPr>
            <w:r w:rsidRPr="00847B84">
              <w:rPr>
                <w:rFonts w:eastAsia="Times"/>
              </w:rPr>
              <w:t>International Covenant on Civil and Political Rights, 999 U.N.T.S 171.</w:t>
            </w:r>
          </w:p>
        </w:tc>
        <w:tc>
          <w:tcPr>
            <w:tcW w:w="2127" w:type="dxa"/>
          </w:tcPr>
          <w:p w14:paraId="7A547485" w14:textId="77777777" w:rsidR="00EE40E3" w:rsidRPr="00847B84" w:rsidRDefault="00EE40E3" w:rsidP="006848BD">
            <w:pPr>
              <w:spacing w:after="0" w:line="240" w:lineRule="auto"/>
              <w:ind w:left="357" w:hanging="357"/>
              <w:jc w:val="center"/>
            </w:pPr>
            <w:r w:rsidRPr="00847B84">
              <w:t>14, 24</w:t>
            </w:r>
          </w:p>
          <w:p w14:paraId="15071A17" w14:textId="77777777" w:rsidR="00EE40E3" w:rsidRPr="00847B84" w:rsidRDefault="00EE40E3" w:rsidP="006848BD">
            <w:pPr>
              <w:spacing w:after="0" w:line="240" w:lineRule="auto"/>
              <w:ind w:left="357" w:hanging="357"/>
              <w:jc w:val="center"/>
            </w:pPr>
          </w:p>
        </w:tc>
      </w:tr>
      <w:tr w:rsidR="00EE40E3" w:rsidRPr="00847B84" w14:paraId="72430B8D" w14:textId="77777777" w:rsidTr="00A65112">
        <w:tc>
          <w:tcPr>
            <w:tcW w:w="7371" w:type="dxa"/>
          </w:tcPr>
          <w:p w14:paraId="7D110F41" w14:textId="77777777" w:rsidR="00EE40E3" w:rsidRPr="00847B84" w:rsidRDefault="00EE40E3" w:rsidP="006848BD">
            <w:pPr>
              <w:spacing w:after="0" w:line="240" w:lineRule="auto"/>
              <w:ind w:left="357" w:hanging="357"/>
              <w:rPr>
                <w:rFonts w:eastAsia="Times"/>
              </w:rPr>
            </w:pPr>
            <w:r w:rsidRPr="00847B84">
              <w:rPr>
                <w:rFonts w:eastAsiaTheme="minorHAnsi"/>
                <w:lang w:val="en-US"/>
                <w14:ligatures w14:val="standardContextual"/>
              </w:rPr>
              <w:t>Vienna Convention on Consular Relations, 596 U.N.T.S. 261</w:t>
            </w:r>
          </w:p>
          <w:p w14:paraId="128324AE" w14:textId="77777777" w:rsidR="00EE40E3" w:rsidRPr="00847B84" w:rsidRDefault="00EE40E3" w:rsidP="006848BD">
            <w:pPr>
              <w:spacing w:after="0" w:line="240" w:lineRule="auto"/>
              <w:ind w:left="357" w:hanging="357"/>
              <w:rPr>
                <w:rFonts w:eastAsia="Times"/>
              </w:rPr>
            </w:pPr>
          </w:p>
        </w:tc>
        <w:tc>
          <w:tcPr>
            <w:tcW w:w="2127" w:type="dxa"/>
          </w:tcPr>
          <w:p w14:paraId="4C22E89F" w14:textId="77777777" w:rsidR="00EE40E3" w:rsidRPr="00847B84" w:rsidRDefault="00EE40E3" w:rsidP="006848BD">
            <w:pPr>
              <w:spacing w:after="0" w:line="240" w:lineRule="auto"/>
              <w:ind w:left="357" w:hanging="357"/>
              <w:jc w:val="center"/>
            </w:pPr>
            <w:r w:rsidRPr="00847B84">
              <w:t>21, 23</w:t>
            </w:r>
          </w:p>
        </w:tc>
      </w:tr>
      <w:tr w:rsidR="00EE40E3" w:rsidRPr="00847B84" w14:paraId="2F52ED32" w14:textId="77777777" w:rsidTr="00A65112">
        <w:tc>
          <w:tcPr>
            <w:tcW w:w="7371" w:type="dxa"/>
          </w:tcPr>
          <w:p w14:paraId="724CE8E8" w14:textId="77777777" w:rsidR="00EE40E3" w:rsidRPr="00847B84" w:rsidRDefault="00EE40E3" w:rsidP="006848BD">
            <w:pPr>
              <w:spacing w:after="0" w:line="240" w:lineRule="auto"/>
              <w:ind w:left="357" w:hanging="357"/>
            </w:pPr>
            <w:r w:rsidRPr="00847B84">
              <w:rPr>
                <w:color w:val="000000" w:themeColor="text1"/>
              </w:rPr>
              <w:t xml:space="preserve">Vienna Convention on Law of Treaties, </w:t>
            </w:r>
            <w:r w:rsidRPr="00847B84">
              <w:rPr>
                <w:color w:val="000000" w:themeColor="text1"/>
                <w:shd w:val="clear" w:color="auto" w:fill="FFFFFF"/>
              </w:rPr>
              <w:t>1155 U.N.T.S. 331.</w:t>
            </w:r>
          </w:p>
        </w:tc>
        <w:tc>
          <w:tcPr>
            <w:tcW w:w="2127" w:type="dxa"/>
          </w:tcPr>
          <w:p w14:paraId="0B90066B" w14:textId="77777777" w:rsidR="00EE40E3" w:rsidRPr="00847B84" w:rsidRDefault="00EE40E3" w:rsidP="006848BD">
            <w:pPr>
              <w:spacing w:after="0" w:line="240" w:lineRule="auto"/>
              <w:ind w:left="357" w:hanging="357"/>
              <w:jc w:val="center"/>
            </w:pPr>
            <w:r w:rsidRPr="00847B84">
              <w:t>10, 30</w:t>
            </w:r>
          </w:p>
        </w:tc>
      </w:tr>
      <w:tr w:rsidR="00EE40E3" w:rsidRPr="00847B84" w14:paraId="5A903F0B" w14:textId="77777777" w:rsidTr="00A65112">
        <w:tc>
          <w:tcPr>
            <w:tcW w:w="7371" w:type="dxa"/>
          </w:tcPr>
          <w:p w14:paraId="1B626518" w14:textId="77777777" w:rsidR="00EE40E3" w:rsidRPr="00847B84" w:rsidRDefault="00EE40E3" w:rsidP="006848BD">
            <w:pPr>
              <w:spacing w:after="0" w:line="240" w:lineRule="auto"/>
              <w:rPr>
                <w:color w:val="000000" w:themeColor="text1"/>
              </w:rPr>
            </w:pPr>
          </w:p>
        </w:tc>
        <w:tc>
          <w:tcPr>
            <w:tcW w:w="2127" w:type="dxa"/>
          </w:tcPr>
          <w:p w14:paraId="28CCF99A" w14:textId="77777777" w:rsidR="00EE40E3" w:rsidRPr="00847B84" w:rsidRDefault="00EE40E3" w:rsidP="006848BD">
            <w:pPr>
              <w:spacing w:after="0" w:line="240" w:lineRule="auto"/>
              <w:ind w:left="357" w:hanging="357"/>
              <w:jc w:val="center"/>
            </w:pPr>
          </w:p>
        </w:tc>
      </w:tr>
      <w:tr w:rsidR="00EE40E3" w:rsidRPr="00847B84" w14:paraId="04A65AB8" w14:textId="77777777" w:rsidTr="00A65112">
        <w:tc>
          <w:tcPr>
            <w:tcW w:w="7371" w:type="dxa"/>
          </w:tcPr>
          <w:p w14:paraId="1AA5C0CF" w14:textId="46A832D4" w:rsidR="00EE40E3" w:rsidRPr="00847B84" w:rsidRDefault="00EE40E3" w:rsidP="006848BD">
            <w:pPr>
              <w:pStyle w:val="NormalWeb"/>
              <w:spacing w:after="0"/>
              <w:rPr>
                <w:color w:val="000000"/>
                <w:shd w:val="clear" w:color="auto" w:fill="FFFFFF"/>
              </w:rPr>
            </w:pPr>
            <w:r w:rsidRPr="00847B84">
              <w:rPr>
                <w:color w:val="000000"/>
                <w:shd w:val="clear" w:color="auto" w:fill="FFFFFF"/>
              </w:rPr>
              <w:t>Statute of the International Court of Justice, 33 U.N.T.S. 993.</w:t>
            </w:r>
          </w:p>
        </w:tc>
        <w:tc>
          <w:tcPr>
            <w:tcW w:w="2127" w:type="dxa"/>
          </w:tcPr>
          <w:p w14:paraId="63E288C8" w14:textId="77777777" w:rsidR="00EE40E3" w:rsidRPr="00847B84" w:rsidRDefault="00EE40E3" w:rsidP="006848BD">
            <w:pPr>
              <w:spacing w:after="0" w:line="240" w:lineRule="auto"/>
              <w:ind w:left="357" w:hanging="357"/>
              <w:jc w:val="center"/>
            </w:pPr>
            <w:r w:rsidRPr="00847B84">
              <w:t>5, 7</w:t>
            </w:r>
          </w:p>
        </w:tc>
      </w:tr>
      <w:tr w:rsidR="00EE40E3" w:rsidRPr="00847B84" w14:paraId="671FC9EB" w14:textId="77777777" w:rsidTr="00A65112">
        <w:tc>
          <w:tcPr>
            <w:tcW w:w="7371" w:type="dxa"/>
          </w:tcPr>
          <w:p w14:paraId="1E0814FC" w14:textId="77777777" w:rsidR="006848BD" w:rsidRPr="00847B84" w:rsidRDefault="006848BD" w:rsidP="006848BD">
            <w:pPr>
              <w:spacing w:after="0" w:line="240" w:lineRule="auto"/>
              <w:ind w:left="357" w:hanging="357"/>
              <w:jc w:val="center"/>
              <w:rPr>
                <w:b/>
                <w:bCs/>
                <w:smallCaps/>
              </w:rPr>
            </w:pPr>
          </w:p>
          <w:p w14:paraId="0F8F1A94" w14:textId="2D407CFF" w:rsidR="00EE40E3" w:rsidRPr="00847B84" w:rsidRDefault="00EE40E3" w:rsidP="006848BD">
            <w:pPr>
              <w:spacing w:after="0" w:line="240" w:lineRule="auto"/>
              <w:ind w:left="357" w:hanging="357"/>
              <w:jc w:val="center"/>
              <w:rPr>
                <w:b/>
                <w:bCs/>
                <w:smallCaps/>
              </w:rPr>
            </w:pPr>
            <w:r w:rsidRPr="00847B84">
              <w:rPr>
                <w:b/>
                <w:bCs/>
                <w:smallCaps/>
              </w:rPr>
              <w:t>Judicial Decisions</w:t>
            </w:r>
          </w:p>
        </w:tc>
        <w:tc>
          <w:tcPr>
            <w:tcW w:w="2127" w:type="dxa"/>
          </w:tcPr>
          <w:p w14:paraId="7FFB4F57" w14:textId="77777777" w:rsidR="00EE40E3" w:rsidRPr="00847B84" w:rsidRDefault="00EE40E3" w:rsidP="006848BD">
            <w:pPr>
              <w:spacing w:after="0" w:line="240" w:lineRule="auto"/>
              <w:ind w:left="357" w:hanging="357"/>
              <w:jc w:val="center"/>
            </w:pPr>
          </w:p>
        </w:tc>
      </w:tr>
      <w:tr w:rsidR="00EE40E3" w:rsidRPr="00847B84" w14:paraId="0787F646" w14:textId="77777777" w:rsidTr="00A65112">
        <w:tc>
          <w:tcPr>
            <w:tcW w:w="7371" w:type="dxa"/>
          </w:tcPr>
          <w:p w14:paraId="74BD9D98" w14:textId="77777777" w:rsidR="006848BD" w:rsidRPr="00847B84" w:rsidRDefault="006848BD" w:rsidP="006848BD">
            <w:pPr>
              <w:snapToGrid w:val="0"/>
              <w:spacing w:after="0" w:line="240" w:lineRule="auto"/>
              <w:ind w:left="357" w:hanging="357"/>
              <w:jc w:val="center"/>
              <w:rPr>
                <w:b/>
                <w:bCs/>
                <w:i/>
                <w:iCs/>
              </w:rPr>
            </w:pPr>
          </w:p>
          <w:p w14:paraId="0DD48367" w14:textId="77777777" w:rsidR="00EE40E3" w:rsidRPr="00847B84" w:rsidRDefault="00EE40E3" w:rsidP="006848BD">
            <w:pPr>
              <w:snapToGrid w:val="0"/>
              <w:spacing w:after="0" w:line="240" w:lineRule="auto"/>
              <w:ind w:left="357" w:hanging="357"/>
              <w:jc w:val="center"/>
              <w:rPr>
                <w:b/>
                <w:bCs/>
                <w:i/>
                <w:iCs/>
              </w:rPr>
            </w:pPr>
            <w:r w:rsidRPr="00847B84">
              <w:rPr>
                <w:b/>
                <w:bCs/>
                <w:i/>
                <w:iCs/>
              </w:rPr>
              <w:t>ICJ and PCIJ Cases</w:t>
            </w:r>
          </w:p>
          <w:p w14:paraId="07B80145" w14:textId="3719D2ED" w:rsidR="006848BD" w:rsidRPr="00847B84" w:rsidRDefault="006848BD" w:rsidP="006848BD">
            <w:pPr>
              <w:snapToGrid w:val="0"/>
              <w:spacing w:after="0" w:line="240" w:lineRule="auto"/>
              <w:ind w:left="357" w:hanging="357"/>
              <w:jc w:val="center"/>
              <w:rPr>
                <w:b/>
                <w:bCs/>
                <w:i/>
                <w:iCs/>
              </w:rPr>
            </w:pPr>
          </w:p>
        </w:tc>
        <w:tc>
          <w:tcPr>
            <w:tcW w:w="2127" w:type="dxa"/>
          </w:tcPr>
          <w:p w14:paraId="39157721" w14:textId="77777777" w:rsidR="00EE40E3" w:rsidRPr="00847B84" w:rsidRDefault="00EE40E3" w:rsidP="006848BD">
            <w:pPr>
              <w:spacing w:after="0" w:line="240" w:lineRule="auto"/>
              <w:ind w:left="357" w:hanging="357"/>
              <w:jc w:val="center"/>
            </w:pPr>
          </w:p>
        </w:tc>
      </w:tr>
      <w:tr w:rsidR="00EE40E3" w:rsidRPr="00847B84" w14:paraId="7905C0ED" w14:textId="77777777" w:rsidTr="00A65112">
        <w:tc>
          <w:tcPr>
            <w:tcW w:w="7371" w:type="dxa"/>
          </w:tcPr>
          <w:p w14:paraId="05FF8146" w14:textId="77777777" w:rsidR="00EE40E3" w:rsidRPr="00847B84" w:rsidRDefault="00EE40E3" w:rsidP="006848BD">
            <w:pPr>
              <w:snapToGri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1962 South West Africa Cases, (Eth. v. S. Afr.; Liber. v. S. Afr.), Preliminary Objections, Judgment, 1962 I.C.J. Rep. 319.</w:t>
            </w:r>
          </w:p>
        </w:tc>
        <w:tc>
          <w:tcPr>
            <w:tcW w:w="2127" w:type="dxa"/>
          </w:tcPr>
          <w:p w14:paraId="360F037E" w14:textId="77777777" w:rsidR="00EE40E3" w:rsidRPr="00847B84" w:rsidRDefault="00EE40E3" w:rsidP="006848BD">
            <w:pPr>
              <w:spacing w:after="0" w:line="240" w:lineRule="auto"/>
              <w:ind w:left="357" w:hanging="357"/>
              <w:jc w:val="center"/>
            </w:pPr>
            <w:r w:rsidRPr="00847B84">
              <w:t>7</w:t>
            </w:r>
          </w:p>
        </w:tc>
      </w:tr>
      <w:tr w:rsidR="00EE40E3" w:rsidRPr="00847B84" w14:paraId="28E210E4" w14:textId="77777777" w:rsidTr="00A65112">
        <w:tc>
          <w:tcPr>
            <w:tcW w:w="7371" w:type="dxa"/>
          </w:tcPr>
          <w:p w14:paraId="6CC7413A" w14:textId="77777777" w:rsidR="00EE40E3" w:rsidRPr="00847B84" w:rsidRDefault="00EE40E3" w:rsidP="006848BD">
            <w:pPr>
              <w:snapToGrid w:val="0"/>
              <w:spacing w:after="0" w:line="240" w:lineRule="auto"/>
              <w:ind w:left="720" w:hanging="720"/>
              <w:rPr>
                <w:color w:val="000000" w:themeColor="text1"/>
              </w:rPr>
            </w:pPr>
            <w:r w:rsidRPr="00847B84">
              <w:rPr>
                <w:rFonts w:eastAsiaTheme="minorHAnsi"/>
                <w:color w:val="000000" w:themeColor="text1"/>
                <w:lang w:val="en-US"/>
                <w14:ligatures w14:val="standardContextual"/>
              </w:rPr>
              <w:t>1966 South West Africa Cases (Eth. v. S. Afr.; Liber. v. S. Afr.), Judgment (Second Phase), 1966 I.C.J. Rep. 6.</w:t>
            </w:r>
          </w:p>
        </w:tc>
        <w:tc>
          <w:tcPr>
            <w:tcW w:w="2127" w:type="dxa"/>
          </w:tcPr>
          <w:p w14:paraId="331E34F3" w14:textId="77777777" w:rsidR="00EE40E3" w:rsidRPr="00847B84" w:rsidRDefault="00EE40E3" w:rsidP="006848BD">
            <w:pPr>
              <w:spacing w:after="0" w:line="240" w:lineRule="auto"/>
              <w:ind w:left="357" w:hanging="357"/>
              <w:jc w:val="center"/>
            </w:pPr>
            <w:r w:rsidRPr="00847B84">
              <w:t>1, 3, 4, 5, 6, 8</w:t>
            </w:r>
          </w:p>
        </w:tc>
      </w:tr>
      <w:tr w:rsidR="00EE40E3" w:rsidRPr="00847B84" w14:paraId="4C405554" w14:textId="77777777" w:rsidTr="00A65112">
        <w:tc>
          <w:tcPr>
            <w:tcW w:w="7371" w:type="dxa"/>
          </w:tcPr>
          <w:p w14:paraId="03AEC0AA"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Accordance with International Law of the Unilateral Declaration of Independence in Respect of Kosovo,</w:t>
            </w:r>
            <w:r w:rsidRPr="00847B84">
              <w:rPr>
                <w:rFonts w:eastAsiaTheme="minorHAnsi"/>
                <w:i/>
                <w:iCs/>
                <w:color w:val="000000" w:themeColor="text1"/>
                <w:lang w:val="en-US"/>
                <w14:ligatures w14:val="standardContextual"/>
              </w:rPr>
              <w:t xml:space="preserve"> </w:t>
            </w:r>
            <w:r w:rsidRPr="00847B84">
              <w:rPr>
                <w:rFonts w:eastAsiaTheme="minorHAnsi"/>
                <w:color w:val="000000" w:themeColor="text1"/>
                <w:lang w:val="en-US"/>
                <w14:ligatures w14:val="standardContextual"/>
              </w:rPr>
              <w:t>Advisory Opinion, 2010 I.C.J. 403. </w:t>
            </w:r>
          </w:p>
        </w:tc>
        <w:tc>
          <w:tcPr>
            <w:tcW w:w="2127" w:type="dxa"/>
          </w:tcPr>
          <w:p w14:paraId="6221F852" w14:textId="77777777" w:rsidR="00EE40E3" w:rsidRPr="00847B84" w:rsidRDefault="00EE40E3" w:rsidP="006848BD">
            <w:pPr>
              <w:spacing w:after="0" w:line="240" w:lineRule="auto"/>
              <w:ind w:left="357" w:hanging="357"/>
              <w:jc w:val="center"/>
            </w:pPr>
            <w:r w:rsidRPr="00847B84">
              <w:t>26, 29, 30, 31</w:t>
            </w:r>
          </w:p>
        </w:tc>
      </w:tr>
      <w:tr w:rsidR="00EE40E3" w:rsidRPr="00847B84" w14:paraId="1EF6A34C" w14:textId="77777777" w:rsidTr="00A65112">
        <w:tc>
          <w:tcPr>
            <w:tcW w:w="7371" w:type="dxa"/>
          </w:tcPr>
          <w:p w14:paraId="5B1654CD"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Admission of a State to Membership in the United Nations, Advisory Opinion, 1948 I.C.J. 57.</w:t>
            </w:r>
          </w:p>
        </w:tc>
        <w:tc>
          <w:tcPr>
            <w:tcW w:w="2127" w:type="dxa"/>
          </w:tcPr>
          <w:p w14:paraId="02C01BC9" w14:textId="77777777" w:rsidR="00EE40E3" w:rsidRPr="00847B84" w:rsidRDefault="00EE40E3" w:rsidP="006848BD">
            <w:pPr>
              <w:spacing w:after="0" w:line="240" w:lineRule="auto"/>
              <w:ind w:left="357" w:hanging="357"/>
              <w:jc w:val="center"/>
            </w:pPr>
            <w:r w:rsidRPr="00847B84">
              <w:t>25</w:t>
            </w:r>
          </w:p>
        </w:tc>
      </w:tr>
      <w:tr w:rsidR="00EE40E3" w:rsidRPr="00847B84" w14:paraId="01709840" w14:textId="77777777" w:rsidTr="00A65112">
        <w:tc>
          <w:tcPr>
            <w:tcW w:w="7371" w:type="dxa"/>
          </w:tcPr>
          <w:p w14:paraId="76E353B4"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Anglo-Iranian Oil Co. Case (United Kingdom v. Iran), Preliminary Objection, Judgment, 1952 I.C.J. Rep. 93. </w:t>
            </w:r>
          </w:p>
        </w:tc>
        <w:tc>
          <w:tcPr>
            <w:tcW w:w="2127" w:type="dxa"/>
          </w:tcPr>
          <w:p w14:paraId="0A0F20F9" w14:textId="77777777" w:rsidR="00EE40E3" w:rsidRPr="00847B84" w:rsidRDefault="00EE40E3" w:rsidP="006848BD">
            <w:pPr>
              <w:spacing w:after="0" w:line="240" w:lineRule="auto"/>
              <w:ind w:left="357" w:hanging="357"/>
              <w:jc w:val="center"/>
            </w:pPr>
            <w:r w:rsidRPr="00847B84">
              <w:t>26</w:t>
            </w:r>
          </w:p>
        </w:tc>
      </w:tr>
      <w:tr w:rsidR="00EE40E3" w:rsidRPr="00847B84" w14:paraId="2CEF531A" w14:textId="77777777" w:rsidTr="00A65112">
        <w:tc>
          <w:tcPr>
            <w:tcW w:w="7371" w:type="dxa"/>
          </w:tcPr>
          <w:p w14:paraId="578D6DAB"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Application of the Convention on the Prevention and Punishment of the Crime of Genocide (The Gambia v. Myanmar), Preliminary Objections, Judgment, 2022 I.C.J. 477. </w:t>
            </w:r>
          </w:p>
        </w:tc>
        <w:tc>
          <w:tcPr>
            <w:tcW w:w="2127" w:type="dxa"/>
          </w:tcPr>
          <w:p w14:paraId="67B52F95" w14:textId="77777777" w:rsidR="00EE40E3" w:rsidRPr="00847B84" w:rsidRDefault="00EE40E3" w:rsidP="006848BD">
            <w:pPr>
              <w:spacing w:after="0" w:line="240" w:lineRule="auto"/>
              <w:ind w:left="357" w:hanging="357"/>
              <w:jc w:val="center"/>
            </w:pPr>
            <w:r w:rsidRPr="00847B84">
              <w:t>8</w:t>
            </w:r>
          </w:p>
        </w:tc>
      </w:tr>
      <w:tr w:rsidR="00EE40E3" w:rsidRPr="00847B84" w14:paraId="6C271196" w14:textId="77777777" w:rsidTr="00A65112">
        <w:tc>
          <w:tcPr>
            <w:tcW w:w="7371" w:type="dxa"/>
          </w:tcPr>
          <w:p w14:paraId="7453DC77"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Armed Activities on the Territory of the Congo (Democratic Republic of the Congo v. Uganda), Judgment, 2005 I.C.J. Rep. 168. </w:t>
            </w:r>
          </w:p>
        </w:tc>
        <w:tc>
          <w:tcPr>
            <w:tcW w:w="2127" w:type="dxa"/>
          </w:tcPr>
          <w:p w14:paraId="503DC122" w14:textId="77777777" w:rsidR="00EE40E3" w:rsidRPr="00847B84" w:rsidRDefault="00EE40E3" w:rsidP="006848BD">
            <w:pPr>
              <w:spacing w:after="0" w:line="240" w:lineRule="auto"/>
              <w:ind w:left="357" w:hanging="357"/>
              <w:jc w:val="center"/>
            </w:pPr>
            <w:r w:rsidRPr="00847B84">
              <w:t>25</w:t>
            </w:r>
          </w:p>
        </w:tc>
      </w:tr>
      <w:tr w:rsidR="00EE40E3" w:rsidRPr="00847B84" w14:paraId="31BBD60C" w14:textId="77777777" w:rsidTr="00A65112">
        <w:tc>
          <w:tcPr>
            <w:tcW w:w="7371" w:type="dxa"/>
          </w:tcPr>
          <w:p w14:paraId="31DA9856"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proofErr w:type="spellStart"/>
            <w:r w:rsidRPr="00847B84">
              <w:rPr>
                <w:rFonts w:eastAsiaTheme="minorHAnsi"/>
                <w:color w:val="000000" w:themeColor="text1"/>
                <w:lang w:val="en-US"/>
                <w14:ligatures w14:val="standardContextual"/>
              </w:rPr>
              <w:t>Avena</w:t>
            </w:r>
            <w:proofErr w:type="spellEnd"/>
            <w:r w:rsidRPr="00847B84">
              <w:rPr>
                <w:rFonts w:eastAsiaTheme="minorHAnsi"/>
                <w:color w:val="000000" w:themeColor="text1"/>
                <w:lang w:val="en-US"/>
                <w14:ligatures w14:val="standardContextual"/>
              </w:rPr>
              <w:t xml:space="preserve"> and Other Mexican Nationals (Mexico v. United States of America), Judgment, 2004 I.C.J. Rep. 12. </w:t>
            </w:r>
          </w:p>
        </w:tc>
        <w:tc>
          <w:tcPr>
            <w:tcW w:w="2127" w:type="dxa"/>
          </w:tcPr>
          <w:p w14:paraId="2A12E3D9" w14:textId="77777777" w:rsidR="00EE40E3" w:rsidRPr="00847B84" w:rsidRDefault="00EE40E3" w:rsidP="006848BD">
            <w:pPr>
              <w:spacing w:after="0" w:line="240" w:lineRule="auto"/>
              <w:ind w:left="357" w:hanging="357"/>
              <w:jc w:val="center"/>
            </w:pPr>
            <w:r w:rsidRPr="00847B84">
              <w:t>17, 23</w:t>
            </w:r>
          </w:p>
        </w:tc>
      </w:tr>
      <w:tr w:rsidR="00EE40E3" w:rsidRPr="00847B84" w14:paraId="4B0858F9" w14:textId="77777777" w:rsidTr="00A65112">
        <w:tc>
          <w:tcPr>
            <w:tcW w:w="7371" w:type="dxa"/>
          </w:tcPr>
          <w:p w14:paraId="0E0F5883"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lastRenderedPageBreak/>
              <w:t>Barcelona Traction, Light and Power Company, Limited (Belg. v. Spain), Second Phase, Judgment, 1970 I.C.J. Rep. 3. </w:t>
            </w:r>
          </w:p>
        </w:tc>
        <w:tc>
          <w:tcPr>
            <w:tcW w:w="2127" w:type="dxa"/>
          </w:tcPr>
          <w:p w14:paraId="7DC35E5F" w14:textId="77777777" w:rsidR="00EE40E3" w:rsidRPr="00847B84" w:rsidRDefault="00EE40E3" w:rsidP="006848BD">
            <w:pPr>
              <w:spacing w:after="0" w:line="240" w:lineRule="auto"/>
              <w:ind w:left="357" w:hanging="357"/>
              <w:jc w:val="center"/>
            </w:pPr>
            <w:r w:rsidRPr="00847B84">
              <w:t>2, 3, 5</w:t>
            </w:r>
          </w:p>
        </w:tc>
      </w:tr>
      <w:tr w:rsidR="00EE40E3" w:rsidRPr="00847B84" w14:paraId="0CD0D0B5" w14:textId="77777777" w:rsidTr="00A65112">
        <w:tc>
          <w:tcPr>
            <w:tcW w:w="7371" w:type="dxa"/>
          </w:tcPr>
          <w:p w14:paraId="1A4A290B"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Certain Expenses of the United Nations (Article 17, paragraph 2, of the Charter), Advisory Opinion, 1962 I.C.J. 151. </w:t>
            </w:r>
          </w:p>
        </w:tc>
        <w:tc>
          <w:tcPr>
            <w:tcW w:w="2127" w:type="dxa"/>
          </w:tcPr>
          <w:p w14:paraId="2A1543A5" w14:textId="77777777" w:rsidR="00EE40E3" w:rsidRPr="00847B84" w:rsidRDefault="00EE40E3" w:rsidP="006848BD">
            <w:pPr>
              <w:spacing w:after="0" w:line="240" w:lineRule="auto"/>
              <w:ind w:left="357" w:hanging="357"/>
              <w:jc w:val="center"/>
            </w:pPr>
            <w:r w:rsidRPr="00847B84">
              <w:t>25, 26</w:t>
            </w:r>
          </w:p>
        </w:tc>
      </w:tr>
      <w:tr w:rsidR="00EE40E3" w:rsidRPr="00847B84" w14:paraId="34C90AF2" w14:textId="77777777" w:rsidTr="00A65112">
        <w:tc>
          <w:tcPr>
            <w:tcW w:w="7371" w:type="dxa"/>
          </w:tcPr>
          <w:p w14:paraId="41E37955"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 xml:space="preserve">Competence of the International </w:t>
            </w:r>
            <w:proofErr w:type="spellStart"/>
            <w:r w:rsidRPr="00847B84">
              <w:rPr>
                <w:rFonts w:eastAsiaTheme="minorHAnsi"/>
                <w:color w:val="000000" w:themeColor="text1"/>
                <w:lang w:val="en-US"/>
                <w14:ligatures w14:val="standardContextual"/>
              </w:rPr>
              <w:t>Labour</w:t>
            </w:r>
            <w:proofErr w:type="spellEnd"/>
            <w:r w:rsidRPr="00847B84">
              <w:rPr>
                <w:rFonts w:eastAsiaTheme="minorHAnsi"/>
                <w:color w:val="000000" w:themeColor="text1"/>
                <w:lang w:val="en-US"/>
                <w14:ligatures w14:val="standardContextual"/>
              </w:rPr>
              <w:t xml:space="preserve"> Organization to Regulate Incidentally the Personal Work of the Employer, Advisory Opinion, 1926 P.C.I.J. Ser. B No. 13. </w:t>
            </w:r>
          </w:p>
        </w:tc>
        <w:tc>
          <w:tcPr>
            <w:tcW w:w="2127" w:type="dxa"/>
          </w:tcPr>
          <w:p w14:paraId="4EB299F4" w14:textId="77777777" w:rsidR="00EE40E3" w:rsidRPr="00847B84" w:rsidRDefault="00EE40E3" w:rsidP="006848BD">
            <w:pPr>
              <w:spacing w:after="0" w:line="240" w:lineRule="auto"/>
              <w:ind w:left="357" w:hanging="357"/>
              <w:jc w:val="center"/>
            </w:pPr>
            <w:r w:rsidRPr="00847B84">
              <w:t>2</w:t>
            </w:r>
          </w:p>
        </w:tc>
      </w:tr>
      <w:tr w:rsidR="00EE40E3" w:rsidRPr="00847B84" w14:paraId="34AF4007" w14:textId="77777777" w:rsidTr="00A65112">
        <w:tc>
          <w:tcPr>
            <w:tcW w:w="7371" w:type="dxa"/>
          </w:tcPr>
          <w:p w14:paraId="1FB5AF92" w14:textId="77777777" w:rsidR="00EE40E3" w:rsidRPr="00847B84" w:rsidRDefault="00EE40E3" w:rsidP="006848BD">
            <w:pPr>
              <w:spacing w:after="0" w:line="240" w:lineRule="auto"/>
              <w:ind w:left="720" w:hanging="720"/>
              <w:rPr>
                <w:i/>
                <w:iCs/>
                <w:color w:val="000000" w:themeColor="text1"/>
              </w:rPr>
            </w:pPr>
            <w:r w:rsidRPr="00847B84">
              <w:rPr>
                <w:rFonts w:eastAsiaTheme="minorHAnsi"/>
                <w:color w:val="000000" w:themeColor="text1"/>
                <w:lang w:val="en-US"/>
                <w14:ligatures w14:val="standardContextual"/>
              </w:rPr>
              <w:t>Corfu Channel Case (UK v. Albania), Judgment, 1949 I.C.J. 22. </w:t>
            </w:r>
          </w:p>
        </w:tc>
        <w:tc>
          <w:tcPr>
            <w:tcW w:w="2127" w:type="dxa"/>
          </w:tcPr>
          <w:p w14:paraId="181D3CB9" w14:textId="77777777" w:rsidR="00EE40E3" w:rsidRPr="00847B84" w:rsidRDefault="00EE40E3" w:rsidP="006848BD">
            <w:pPr>
              <w:spacing w:after="0" w:line="240" w:lineRule="auto"/>
              <w:ind w:left="357" w:hanging="357"/>
              <w:jc w:val="center"/>
            </w:pPr>
            <w:r w:rsidRPr="00847B84">
              <w:t>3</w:t>
            </w:r>
          </w:p>
        </w:tc>
      </w:tr>
      <w:tr w:rsidR="00EE40E3" w:rsidRPr="00847B84" w14:paraId="7155C2E3" w14:textId="77777777" w:rsidTr="00A65112">
        <w:tc>
          <w:tcPr>
            <w:tcW w:w="7371" w:type="dxa"/>
          </w:tcPr>
          <w:p w14:paraId="42381693"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Delimitation of the Maritime Boundary in the Gulf of Maine Area (Canada/U.S.), 1984 I.C.J. 246. </w:t>
            </w:r>
          </w:p>
        </w:tc>
        <w:tc>
          <w:tcPr>
            <w:tcW w:w="2127" w:type="dxa"/>
          </w:tcPr>
          <w:p w14:paraId="7CC6CA8F" w14:textId="77777777" w:rsidR="00EE40E3" w:rsidRPr="00847B84" w:rsidRDefault="00EE40E3" w:rsidP="006848BD">
            <w:pPr>
              <w:spacing w:after="0" w:line="240" w:lineRule="auto"/>
              <w:ind w:left="357" w:hanging="357"/>
              <w:jc w:val="center"/>
            </w:pPr>
            <w:r w:rsidRPr="00847B84">
              <w:t>22</w:t>
            </w:r>
          </w:p>
        </w:tc>
      </w:tr>
      <w:tr w:rsidR="00EE40E3" w:rsidRPr="00847B84" w14:paraId="33DD3059" w14:textId="77777777" w:rsidTr="00A65112">
        <w:tc>
          <w:tcPr>
            <w:tcW w:w="7371" w:type="dxa"/>
          </w:tcPr>
          <w:p w14:paraId="022270BC" w14:textId="77777777" w:rsidR="00EE40E3" w:rsidRPr="00847B84" w:rsidRDefault="00EE40E3" w:rsidP="006848BD">
            <w:pPr>
              <w:spacing w:after="0" w:line="240" w:lineRule="auto"/>
              <w:ind w:left="720" w:hanging="720"/>
              <w:rPr>
                <w:rFonts w:eastAsiaTheme="minorHAnsi"/>
                <w:color w:val="000000" w:themeColor="text1"/>
                <w:lang w:val="en-US"/>
              </w:rPr>
            </w:pPr>
            <w:r w:rsidRPr="00847B84">
              <w:rPr>
                <w:rFonts w:eastAsiaTheme="minorHAnsi"/>
                <w:color w:val="000000" w:themeColor="text1"/>
                <w:lang w:val="en-US"/>
              </w:rPr>
              <w:t xml:space="preserve">El Salvador v. Honduras (Application </w:t>
            </w:r>
            <w:proofErr w:type="gramStart"/>
            <w:r w:rsidRPr="00847B84">
              <w:rPr>
                <w:rFonts w:eastAsiaTheme="minorHAnsi"/>
                <w:color w:val="000000" w:themeColor="text1"/>
                <w:lang w:val="en-US"/>
              </w:rPr>
              <w:t>For</w:t>
            </w:r>
            <w:proofErr w:type="gramEnd"/>
            <w:r w:rsidRPr="00847B84">
              <w:rPr>
                <w:rFonts w:eastAsiaTheme="minorHAnsi"/>
                <w:color w:val="000000" w:themeColor="text1"/>
                <w:lang w:val="en-US"/>
              </w:rPr>
              <w:t xml:space="preserve"> Permission To Intervene), 1990 I.C.J 92.</w:t>
            </w:r>
          </w:p>
        </w:tc>
        <w:tc>
          <w:tcPr>
            <w:tcW w:w="2127" w:type="dxa"/>
          </w:tcPr>
          <w:p w14:paraId="7E4B8FEB" w14:textId="77777777" w:rsidR="00EE40E3" w:rsidRPr="00847B84" w:rsidRDefault="00EE40E3" w:rsidP="006848BD">
            <w:pPr>
              <w:spacing w:after="0" w:line="240" w:lineRule="auto"/>
              <w:ind w:left="357" w:hanging="357"/>
              <w:jc w:val="center"/>
            </w:pPr>
            <w:r w:rsidRPr="00847B84">
              <w:t>22</w:t>
            </w:r>
          </w:p>
        </w:tc>
      </w:tr>
      <w:tr w:rsidR="00EE40E3" w:rsidRPr="00847B84" w14:paraId="40DC65DE" w14:textId="77777777" w:rsidTr="00A65112">
        <w:tc>
          <w:tcPr>
            <w:tcW w:w="7371" w:type="dxa"/>
          </w:tcPr>
          <w:p w14:paraId="477DDB2B"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Fisheries Case (U.K./Norway), 1951 I.C.J. Rep. 116. </w:t>
            </w:r>
          </w:p>
        </w:tc>
        <w:tc>
          <w:tcPr>
            <w:tcW w:w="2127" w:type="dxa"/>
          </w:tcPr>
          <w:p w14:paraId="424DE1CE" w14:textId="77777777" w:rsidR="00EE40E3" w:rsidRPr="00847B84" w:rsidRDefault="00EE40E3" w:rsidP="006848BD">
            <w:pPr>
              <w:spacing w:after="0" w:line="240" w:lineRule="auto"/>
              <w:ind w:left="357" w:hanging="357"/>
              <w:jc w:val="center"/>
            </w:pPr>
            <w:r w:rsidRPr="00847B84">
              <w:t>23</w:t>
            </w:r>
          </w:p>
        </w:tc>
      </w:tr>
      <w:tr w:rsidR="00EE40E3" w:rsidRPr="00847B84" w14:paraId="381B9532" w14:textId="77777777" w:rsidTr="00A65112">
        <w:tc>
          <w:tcPr>
            <w:tcW w:w="7371" w:type="dxa"/>
          </w:tcPr>
          <w:p w14:paraId="623CBACE"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Jadhav (India/Pakistan), 2019 I.C.J. 418. </w:t>
            </w:r>
          </w:p>
        </w:tc>
        <w:tc>
          <w:tcPr>
            <w:tcW w:w="2127" w:type="dxa"/>
          </w:tcPr>
          <w:p w14:paraId="4ED763C6" w14:textId="77777777" w:rsidR="00EE40E3" w:rsidRPr="00847B84" w:rsidRDefault="00EE40E3" w:rsidP="006848BD">
            <w:pPr>
              <w:spacing w:after="0" w:line="240" w:lineRule="auto"/>
              <w:ind w:left="357" w:hanging="357"/>
              <w:jc w:val="center"/>
            </w:pPr>
            <w:r w:rsidRPr="00847B84">
              <w:t>24</w:t>
            </w:r>
          </w:p>
        </w:tc>
      </w:tr>
      <w:tr w:rsidR="00EE40E3" w:rsidRPr="00847B84" w14:paraId="61EAB0D2" w14:textId="77777777" w:rsidTr="00A65112">
        <w:tc>
          <w:tcPr>
            <w:tcW w:w="7371" w:type="dxa"/>
          </w:tcPr>
          <w:p w14:paraId="15377915"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Legal Consequences for States of the Continued Presence of South Africa in Namibia (</w:t>
            </w:r>
            <w:proofErr w:type="gramStart"/>
            <w:r w:rsidRPr="00847B84">
              <w:rPr>
                <w:rFonts w:eastAsiaTheme="minorHAnsi"/>
                <w:color w:val="000000" w:themeColor="text1"/>
                <w:lang w:val="en-US"/>
                <w14:ligatures w14:val="standardContextual"/>
              </w:rPr>
              <w:t>South West</w:t>
            </w:r>
            <w:proofErr w:type="gramEnd"/>
            <w:r w:rsidRPr="00847B84">
              <w:rPr>
                <w:rFonts w:eastAsiaTheme="minorHAnsi"/>
                <w:color w:val="000000" w:themeColor="text1"/>
                <w:lang w:val="en-US"/>
                <w14:ligatures w14:val="standardContextual"/>
              </w:rPr>
              <w:t xml:space="preserve"> Africa) notwithstanding Security Council Resolution 276 (1970), Advisory Opinion, 1971 I.C.J. Rep. 16. </w:t>
            </w:r>
          </w:p>
        </w:tc>
        <w:tc>
          <w:tcPr>
            <w:tcW w:w="2127" w:type="dxa"/>
          </w:tcPr>
          <w:p w14:paraId="0C2CCCE9" w14:textId="77777777" w:rsidR="00EE40E3" w:rsidRPr="00847B84" w:rsidRDefault="00EE40E3" w:rsidP="006848BD">
            <w:pPr>
              <w:spacing w:after="0" w:line="240" w:lineRule="auto"/>
              <w:ind w:left="357" w:hanging="357"/>
              <w:jc w:val="center"/>
            </w:pPr>
            <w:r w:rsidRPr="00847B84">
              <w:t>26, 28, 29</w:t>
            </w:r>
          </w:p>
          <w:p w14:paraId="2DBDB58D" w14:textId="77777777" w:rsidR="00EE40E3" w:rsidRPr="00847B84" w:rsidRDefault="00EE40E3" w:rsidP="006848BD">
            <w:pPr>
              <w:spacing w:after="0" w:line="240" w:lineRule="auto"/>
              <w:ind w:left="357" w:hanging="357"/>
              <w:jc w:val="center"/>
            </w:pPr>
          </w:p>
        </w:tc>
      </w:tr>
      <w:tr w:rsidR="00EE40E3" w:rsidRPr="00847B84" w14:paraId="7528697F" w14:textId="77777777" w:rsidTr="00A65112">
        <w:tc>
          <w:tcPr>
            <w:tcW w:w="7371" w:type="dxa"/>
          </w:tcPr>
          <w:p w14:paraId="038E56E3"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Legal Status of Eastern Greenland (Denmark/Norway), Judgment, 1933 P.C.I.J. (</w:t>
            </w:r>
            <w:proofErr w:type="spellStart"/>
            <w:r w:rsidRPr="00847B84">
              <w:rPr>
                <w:rFonts w:eastAsiaTheme="minorHAnsi"/>
                <w:color w:val="000000" w:themeColor="text1"/>
                <w:lang w:val="en-US"/>
                <w14:ligatures w14:val="standardContextual"/>
              </w:rPr>
              <w:t>Ser.A</w:t>
            </w:r>
            <w:proofErr w:type="spellEnd"/>
            <w:r w:rsidRPr="00847B84">
              <w:rPr>
                <w:rFonts w:eastAsiaTheme="minorHAnsi"/>
                <w:color w:val="000000" w:themeColor="text1"/>
                <w:lang w:val="en-US"/>
                <w14:ligatures w14:val="standardContextual"/>
              </w:rPr>
              <w:t>/B) No. 53. </w:t>
            </w:r>
          </w:p>
        </w:tc>
        <w:tc>
          <w:tcPr>
            <w:tcW w:w="2127" w:type="dxa"/>
          </w:tcPr>
          <w:p w14:paraId="06A7F9D7" w14:textId="77777777" w:rsidR="00EE40E3" w:rsidRPr="00847B84" w:rsidRDefault="00EE40E3" w:rsidP="006848BD">
            <w:pPr>
              <w:spacing w:after="0" w:line="240" w:lineRule="auto"/>
              <w:ind w:left="357" w:hanging="357"/>
              <w:jc w:val="center"/>
            </w:pPr>
            <w:r w:rsidRPr="00847B84">
              <w:t>22</w:t>
            </w:r>
          </w:p>
        </w:tc>
      </w:tr>
      <w:tr w:rsidR="00EE40E3" w:rsidRPr="00847B84" w14:paraId="4AB6AE83" w14:textId="77777777" w:rsidTr="00A65112">
        <w:tc>
          <w:tcPr>
            <w:tcW w:w="7371" w:type="dxa"/>
          </w:tcPr>
          <w:p w14:paraId="2A64166A"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Legality of the Use of Force, (Serb. and Montenegro v. Belg.), Preliminary Objections, Judgment, 2004 I.C.J. Rep. 279. </w:t>
            </w:r>
          </w:p>
        </w:tc>
        <w:tc>
          <w:tcPr>
            <w:tcW w:w="2127" w:type="dxa"/>
          </w:tcPr>
          <w:p w14:paraId="5CBC9BED" w14:textId="77777777" w:rsidR="00EE40E3" w:rsidRPr="00847B84" w:rsidRDefault="00EE40E3" w:rsidP="006848BD">
            <w:pPr>
              <w:spacing w:after="0" w:line="240" w:lineRule="auto"/>
              <w:ind w:left="357" w:hanging="357"/>
              <w:jc w:val="center"/>
            </w:pPr>
            <w:r w:rsidRPr="00847B84">
              <w:t>4</w:t>
            </w:r>
          </w:p>
        </w:tc>
      </w:tr>
      <w:tr w:rsidR="00EE40E3" w:rsidRPr="00847B84" w14:paraId="11ECB08D" w14:textId="77777777" w:rsidTr="00A65112">
        <w:tc>
          <w:tcPr>
            <w:tcW w:w="7371" w:type="dxa"/>
          </w:tcPr>
          <w:p w14:paraId="5D51A224" w14:textId="77777777" w:rsidR="00EE40E3" w:rsidRPr="00847B84" w:rsidRDefault="00EE40E3" w:rsidP="006848BD">
            <w:pPr>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Military and Paramilitary Activities in and against Nicaragua (</w:t>
            </w:r>
            <w:proofErr w:type="spellStart"/>
            <w:r w:rsidRPr="00847B84">
              <w:rPr>
                <w:rFonts w:eastAsiaTheme="minorHAnsi"/>
                <w:color w:val="000000" w:themeColor="text1"/>
                <w:lang w:val="en-US"/>
                <w14:ligatures w14:val="standardContextual"/>
              </w:rPr>
              <w:t>Nicar</w:t>
            </w:r>
            <w:proofErr w:type="spellEnd"/>
            <w:r w:rsidRPr="00847B84">
              <w:rPr>
                <w:rFonts w:eastAsiaTheme="minorHAnsi"/>
                <w:color w:val="000000" w:themeColor="text1"/>
                <w:lang w:val="en-US"/>
                <w14:ligatures w14:val="standardContextual"/>
              </w:rPr>
              <w:t>. v. U.S.), Jurisdiction and Admissibility, 1984 I.C.J 392. </w:t>
            </w:r>
          </w:p>
        </w:tc>
        <w:tc>
          <w:tcPr>
            <w:tcW w:w="2127" w:type="dxa"/>
          </w:tcPr>
          <w:p w14:paraId="1FC63504" w14:textId="77777777" w:rsidR="00EE40E3" w:rsidRPr="00847B84" w:rsidRDefault="00EE40E3" w:rsidP="006848BD">
            <w:pPr>
              <w:spacing w:after="0" w:line="240" w:lineRule="auto"/>
              <w:ind w:left="357" w:hanging="357"/>
              <w:jc w:val="center"/>
            </w:pPr>
            <w:r w:rsidRPr="00847B84">
              <w:t>22, 23, 25</w:t>
            </w:r>
          </w:p>
        </w:tc>
      </w:tr>
      <w:tr w:rsidR="00EE40E3" w:rsidRPr="00847B84" w14:paraId="1590AEEE" w14:textId="77777777" w:rsidTr="00A65112">
        <w:tc>
          <w:tcPr>
            <w:tcW w:w="7371" w:type="dxa"/>
          </w:tcPr>
          <w:p w14:paraId="403DB962"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Military and Paramilitary Activities in and against Nicaragua (</w:t>
            </w:r>
            <w:proofErr w:type="spellStart"/>
            <w:r w:rsidRPr="00847B84">
              <w:rPr>
                <w:rFonts w:eastAsiaTheme="minorHAnsi"/>
                <w:color w:val="000000" w:themeColor="text1"/>
                <w:lang w:val="en-US"/>
                <w14:ligatures w14:val="standardContextual"/>
              </w:rPr>
              <w:t>Nicar</w:t>
            </w:r>
            <w:proofErr w:type="spellEnd"/>
            <w:r w:rsidRPr="00847B84">
              <w:rPr>
                <w:rFonts w:eastAsiaTheme="minorHAnsi"/>
                <w:color w:val="000000" w:themeColor="text1"/>
                <w:lang w:val="en-US"/>
                <w14:ligatures w14:val="standardContextual"/>
              </w:rPr>
              <w:t>. v. U.S.), Merits, 1986 I.C.J. 14.  </w:t>
            </w:r>
          </w:p>
        </w:tc>
        <w:tc>
          <w:tcPr>
            <w:tcW w:w="2127" w:type="dxa"/>
          </w:tcPr>
          <w:p w14:paraId="1AFDCC3B" w14:textId="77777777" w:rsidR="00EE40E3" w:rsidRPr="00847B84" w:rsidRDefault="00EE40E3" w:rsidP="006848BD">
            <w:pPr>
              <w:spacing w:after="0" w:line="240" w:lineRule="auto"/>
              <w:ind w:left="357" w:hanging="357"/>
              <w:jc w:val="center"/>
            </w:pPr>
            <w:r w:rsidRPr="00847B84">
              <w:t>3</w:t>
            </w:r>
          </w:p>
        </w:tc>
      </w:tr>
      <w:tr w:rsidR="00EE40E3" w:rsidRPr="00847B84" w14:paraId="23570BD9" w14:textId="77777777" w:rsidTr="00A65112">
        <w:tc>
          <w:tcPr>
            <w:tcW w:w="7371" w:type="dxa"/>
          </w:tcPr>
          <w:p w14:paraId="6A939C7A"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Nationality Decrees Issued in Tunis and Morocco, Advisory Opinion, 1923 P.C.I.J. B04, 24.</w:t>
            </w:r>
          </w:p>
        </w:tc>
        <w:tc>
          <w:tcPr>
            <w:tcW w:w="2127" w:type="dxa"/>
          </w:tcPr>
          <w:p w14:paraId="3BE6E11E" w14:textId="77777777" w:rsidR="00EE40E3" w:rsidRPr="00847B84" w:rsidRDefault="00EE40E3" w:rsidP="006848BD">
            <w:pPr>
              <w:spacing w:after="0" w:line="240" w:lineRule="auto"/>
              <w:ind w:left="357" w:hanging="357"/>
              <w:jc w:val="center"/>
            </w:pPr>
            <w:r w:rsidRPr="00847B84">
              <w:t>9, 17</w:t>
            </w:r>
          </w:p>
        </w:tc>
      </w:tr>
      <w:tr w:rsidR="00EE40E3" w:rsidRPr="00847B84" w14:paraId="2349F587" w14:textId="77777777" w:rsidTr="00A65112">
        <w:tc>
          <w:tcPr>
            <w:tcW w:w="7371" w:type="dxa"/>
          </w:tcPr>
          <w:p w14:paraId="5D6E5667"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North Sea Continental Shelf Cases (Ger./ Den. and Ger./ Neth.), Judgment, 1969 I.C.J. Rep. 3. </w:t>
            </w:r>
          </w:p>
        </w:tc>
        <w:tc>
          <w:tcPr>
            <w:tcW w:w="2127" w:type="dxa"/>
          </w:tcPr>
          <w:p w14:paraId="6CF58DB3" w14:textId="77777777" w:rsidR="00EE40E3" w:rsidRPr="00847B84" w:rsidRDefault="00EE40E3" w:rsidP="006848BD">
            <w:pPr>
              <w:spacing w:after="0" w:line="240" w:lineRule="auto"/>
              <w:ind w:left="357" w:hanging="357"/>
              <w:jc w:val="center"/>
            </w:pPr>
            <w:r w:rsidRPr="00847B84">
              <w:t>7, 19</w:t>
            </w:r>
          </w:p>
        </w:tc>
      </w:tr>
      <w:tr w:rsidR="00EE40E3" w:rsidRPr="00847B84" w14:paraId="517BA350" w14:textId="77777777" w:rsidTr="00A65112">
        <w:tc>
          <w:tcPr>
            <w:tcW w:w="7371" w:type="dxa"/>
          </w:tcPr>
          <w:p w14:paraId="675D0C4A"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proofErr w:type="spellStart"/>
            <w:r w:rsidRPr="00847B84">
              <w:rPr>
                <w:rFonts w:eastAsiaTheme="minorHAnsi"/>
                <w:color w:val="000000" w:themeColor="text1"/>
                <w:lang w:val="en-US"/>
                <w14:ligatures w14:val="standardContextual"/>
              </w:rPr>
              <w:t>Nottebohm</w:t>
            </w:r>
            <w:proofErr w:type="spellEnd"/>
            <w:r w:rsidRPr="00847B84">
              <w:rPr>
                <w:rFonts w:eastAsiaTheme="minorHAnsi"/>
                <w:color w:val="000000" w:themeColor="text1"/>
                <w:lang w:val="en-US"/>
                <w14:ligatures w14:val="standardContextual"/>
              </w:rPr>
              <w:t xml:space="preserve"> Case (Liech. v. Guat.), Judgment (Second phase), 1955 I.C.J. 4. </w:t>
            </w:r>
          </w:p>
        </w:tc>
        <w:tc>
          <w:tcPr>
            <w:tcW w:w="2127" w:type="dxa"/>
          </w:tcPr>
          <w:p w14:paraId="77AD6153" w14:textId="77777777" w:rsidR="00EE40E3" w:rsidRPr="00847B84" w:rsidRDefault="00EE40E3" w:rsidP="006848BD">
            <w:pPr>
              <w:spacing w:after="0" w:line="240" w:lineRule="auto"/>
              <w:ind w:left="357" w:hanging="357"/>
              <w:jc w:val="center"/>
            </w:pPr>
            <w:r w:rsidRPr="00847B84">
              <w:t>18, 19, 21</w:t>
            </w:r>
          </w:p>
        </w:tc>
      </w:tr>
      <w:tr w:rsidR="00EE40E3" w:rsidRPr="00847B84" w14:paraId="675C2518" w14:textId="77777777" w:rsidTr="00A65112">
        <w:tc>
          <w:tcPr>
            <w:tcW w:w="7371" w:type="dxa"/>
          </w:tcPr>
          <w:p w14:paraId="0F351F23"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Nuclear Tests (Austl. v. Fr.), Judgment, 1974 I.C.J. 253. </w:t>
            </w:r>
          </w:p>
        </w:tc>
        <w:tc>
          <w:tcPr>
            <w:tcW w:w="2127" w:type="dxa"/>
          </w:tcPr>
          <w:p w14:paraId="03F84AD9" w14:textId="77777777" w:rsidR="00EE40E3" w:rsidRPr="00847B84" w:rsidRDefault="00EE40E3" w:rsidP="006848BD">
            <w:pPr>
              <w:spacing w:after="0" w:line="240" w:lineRule="auto"/>
              <w:ind w:left="357" w:hanging="357"/>
              <w:jc w:val="center"/>
            </w:pPr>
            <w:r w:rsidRPr="00847B84">
              <w:t>8</w:t>
            </w:r>
          </w:p>
        </w:tc>
      </w:tr>
      <w:tr w:rsidR="00EE40E3" w:rsidRPr="00847B84" w14:paraId="0D919458" w14:textId="77777777" w:rsidTr="00A65112">
        <w:tc>
          <w:tcPr>
            <w:tcW w:w="7371" w:type="dxa"/>
          </w:tcPr>
          <w:p w14:paraId="550807BF"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Payment of Various Serbian Loans Issued in France (France/</w:t>
            </w:r>
            <w:proofErr w:type="gramStart"/>
            <w:r w:rsidRPr="00847B84">
              <w:rPr>
                <w:rFonts w:eastAsiaTheme="minorHAnsi"/>
                <w:color w:val="000000" w:themeColor="text1"/>
                <w:lang w:val="en-US"/>
                <w14:ligatures w14:val="standardContextual"/>
              </w:rPr>
              <w:t>Serb-Croat</w:t>
            </w:r>
            <w:proofErr w:type="gramEnd"/>
            <w:r w:rsidRPr="00847B84">
              <w:rPr>
                <w:rFonts w:eastAsiaTheme="minorHAnsi"/>
                <w:color w:val="000000" w:themeColor="text1"/>
                <w:lang w:val="en-US"/>
                <w14:ligatures w14:val="standardContextual"/>
              </w:rPr>
              <w:t>-Slovene), 1929 P.C.I.J. (Ser A) No. 20. </w:t>
            </w:r>
          </w:p>
        </w:tc>
        <w:tc>
          <w:tcPr>
            <w:tcW w:w="2127" w:type="dxa"/>
          </w:tcPr>
          <w:p w14:paraId="301E1828" w14:textId="77777777" w:rsidR="00EE40E3" w:rsidRPr="00847B84" w:rsidRDefault="00EE40E3" w:rsidP="006848BD">
            <w:pPr>
              <w:spacing w:after="0" w:line="240" w:lineRule="auto"/>
              <w:ind w:left="357" w:hanging="357"/>
              <w:jc w:val="center"/>
            </w:pPr>
            <w:r w:rsidRPr="00847B84">
              <w:t>22</w:t>
            </w:r>
          </w:p>
        </w:tc>
      </w:tr>
      <w:tr w:rsidR="00EE40E3" w:rsidRPr="00847B84" w14:paraId="73E8E033" w14:textId="77777777" w:rsidTr="00A65112">
        <w:tc>
          <w:tcPr>
            <w:tcW w:w="7371" w:type="dxa"/>
          </w:tcPr>
          <w:p w14:paraId="24F4B755" w14:textId="77777777" w:rsidR="00EE40E3" w:rsidRPr="00847B84" w:rsidRDefault="00EE40E3" w:rsidP="006848BD">
            <w:pPr>
              <w:autoSpaceDE w:val="0"/>
              <w:autoSpaceDN w:val="0"/>
              <w:adjustRightInd w:val="0"/>
              <w:spacing w:after="0" w:line="240" w:lineRule="auto"/>
              <w:ind w:left="720" w:hanging="720"/>
              <w:rPr>
                <w:rFonts w:eastAsiaTheme="minorHAnsi"/>
                <w:b/>
                <w:bCs/>
                <w:color w:val="000000" w:themeColor="text1"/>
                <w14:ligatures w14:val="standardContextual"/>
              </w:rPr>
            </w:pPr>
            <w:r w:rsidRPr="00847B84">
              <w:rPr>
                <w:rFonts w:eastAsiaTheme="minorHAnsi"/>
                <w:color w:val="000000" w:themeColor="text1"/>
                <w:lang w:val="en-US"/>
                <w14:ligatures w14:val="standardContextual"/>
              </w:rPr>
              <w:t>Questions of Interpretation and Application of the 1971 Montreal Convention arising from the Aerial Incident at Lockerbie (Libyan Arab Jamahiriya v. U.S.), Provisional Measures, 1992 I.C.J. Rep. 114. </w:t>
            </w:r>
          </w:p>
        </w:tc>
        <w:tc>
          <w:tcPr>
            <w:tcW w:w="2127" w:type="dxa"/>
          </w:tcPr>
          <w:p w14:paraId="5B29F6AB" w14:textId="77777777" w:rsidR="00EE40E3" w:rsidRPr="00847B84" w:rsidRDefault="00EE40E3" w:rsidP="006848BD">
            <w:pPr>
              <w:spacing w:after="0" w:line="240" w:lineRule="auto"/>
              <w:ind w:left="357" w:hanging="357"/>
              <w:jc w:val="center"/>
            </w:pPr>
            <w:r w:rsidRPr="00847B84">
              <w:t>26, 29</w:t>
            </w:r>
          </w:p>
        </w:tc>
      </w:tr>
      <w:tr w:rsidR="00EE40E3" w:rsidRPr="00847B84" w14:paraId="74FE19B5" w14:textId="77777777" w:rsidTr="00A65112">
        <w:tc>
          <w:tcPr>
            <w:tcW w:w="7371" w:type="dxa"/>
          </w:tcPr>
          <w:p w14:paraId="47EDFBD0"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Questions of Interpretation and Application of the 1971 Montreal Convention arising from the Aerial Incident at Lockerbie (Libyan Arab Jamahiriya v. U.S.), Preliminary Objections, Judgment, 1998 I.C.J. Rep. 115. </w:t>
            </w:r>
          </w:p>
        </w:tc>
        <w:tc>
          <w:tcPr>
            <w:tcW w:w="2127" w:type="dxa"/>
          </w:tcPr>
          <w:p w14:paraId="0FE23B00" w14:textId="77777777" w:rsidR="00EE40E3" w:rsidRPr="00847B84" w:rsidRDefault="00EE40E3" w:rsidP="006848BD">
            <w:pPr>
              <w:spacing w:after="0" w:line="240" w:lineRule="auto"/>
              <w:ind w:left="357" w:hanging="357"/>
              <w:jc w:val="center"/>
            </w:pPr>
            <w:r w:rsidRPr="00847B84">
              <w:t>29</w:t>
            </w:r>
          </w:p>
        </w:tc>
      </w:tr>
      <w:tr w:rsidR="00EE40E3" w:rsidRPr="00847B84" w14:paraId="4AC37021" w14:textId="77777777" w:rsidTr="00A65112">
        <w:tc>
          <w:tcPr>
            <w:tcW w:w="7371" w:type="dxa"/>
          </w:tcPr>
          <w:p w14:paraId="532D231F"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Questions relating to the Obligation to Prosecute or Extradite (Belg. v. Sen.), Judgment, 2012 I.C.J. 422. </w:t>
            </w:r>
          </w:p>
        </w:tc>
        <w:tc>
          <w:tcPr>
            <w:tcW w:w="2127" w:type="dxa"/>
          </w:tcPr>
          <w:p w14:paraId="05A94B89" w14:textId="77777777" w:rsidR="00EE40E3" w:rsidRPr="00847B84" w:rsidRDefault="00EE40E3" w:rsidP="006848BD">
            <w:pPr>
              <w:spacing w:after="0" w:line="240" w:lineRule="auto"/>
              <w:ind w:left="357" w:hanging="357"/>
              <w:jc w:val="center"/>
            </w:pPr>
            <w:r w:rsidRPr="00847B84">
              <w:t>2, 3</w:t>
            </w:r>
          </w:p>
        </w:tc>
      </w:tr>
      <w:tr w:rsidR="00EE40E3" w:rsidRPr="00847B84" w14:paraId="7C2E8B74" w14:textId="77777777" w:rsidTr="00A65112">
        <w:tc>
          <w:tcPr>
            <w:tcW w:w="7371" w:type="dxa"/>
          </w:tcPr>
          <w:p w14:paraId="46B18604"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14:ligatures w14:val="standardContextual"/>
              </w:rPr>
            </w:pPr>
            <w:r w:rsidRPr="00847B84">
              <w:rPr>
                <w:rFonts w:eastAsiaTheme="minorHAnsi"/>
                <w:color w:val="000000" w:themeColor="text1"/>
                <w:lang w:val="en-US"/>
                <w14:ligatures w14:val="standardContextual"/>
              </w:rPr>
              <w:t>Rights of Nationals of the United States of America in Morocco (Fr. v. U.S.), Judgment, 1952 I.C.J. 196.</w:t>
            </w:r>
          </w:p>
        </w:tc>
        <w:tc>
          <w:tcPr>
            <w:tcW w:w="2127" w:type="dxa"/>
          </w:tcPr>
          <w:p w14:paraId="236F341A" w14:textId="77777777" w:rsidR="00EE40E3" w:rsidRPr="00847B84" w:rsidRDefault="00EE40E3" w:rsidP="006848BD">
            <w:pPr>
              <w:spacing w:after="0" w:line="240" w:lineRule="auto"/>
              <w:ind w:left="357" w:hanging="357"/>
              <w:jc w:val="center"/>
            </w:pPr>
            <w:r w:rsidRPr="00847B84">
              <w:t>2</w:t>
            </w:r>
          </w:p>
        </w:tc>
      </w:tr>
      <w:tr w:rsidR="00EE40E3" w:rsidRPr="00847B84" w14:paraId="1B06D38C" w14:textId="77777777" w:rsidTr="00A65112">
        <w:tc>
          <w:tcPr>
            <w:tcW w:w="7371" w:type="dxa"/>
          </w:tcPr>
          <w:p w14:paraId="20A8E252"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proofErr w:type="spellStart"/>
            <w:r w:rsidRPr="00847B84">
              <w:rPr>
                <w:rFonts w:eastAsiaTheme="minorHAnsi"/>
                <w:color w:val="000000" w:themeColor="text1"/>
                <w:lang w:val="en-US"/>
                <w14:ligatures w14:val="standardContextual"/>
              </w:rPr>
              <w:lastRenderedPageBreak/>
              <w:t>Rights</w:t>
            </w:r>
            <w:proofErr w:type="spellEnd"/>
            <w:r w:rsidRPr="00847B84">
              <w:rPr>
                <w:rFonts w:eastAsiaTheme="minorHAnsi"/>
                <w:color w:val="000000" w:themeColor="text1"/>
                <w:lang w:val="en-US"/>
                <w14:ligatures w14:val="standardContextual"/>
              </w:rPr>
              <w:t xml:space="preserve"> of Passage over Indian Territory (Portugal/India), Merits, 1960 ICJ Rep. 6. </w:t>
            </w:r>
          </w:p>
        </w:tc>
        <w:tc>
          <w:tcPr>
            <w:tcW w:w="2127" w:type="dxa"/>
          </w:tcPr>
          <w:p w14:paraId="09FF1CF7" w14:textId="77777777" w:rsidR="00EE40E3" w:rsidRPr="00847B84" w:rsidRDefault="00EE40E3" w:rsidP="006848BD">
            <w:pPr>
              <w:spacing w:after="0" w:line="240" w:lineRule="auto"/>
              <w:ind w:left="357" w:hanging="357"/>
              <w:jc w:val="center"/>
            </w:pPr>
            <w:r w:rsidRPr="00847B84">
              <w:t>25</w:t>
            </w:r>
          </w:p>
        </w:tc>
      </w:tr>
      <w:tr w:rsidR="00EE40E3" w:rsidRPr="00847B84" w14:paraId="4E329942" w14:textId="77777777" w:rsidTr="00A65112">
        <w:tc>
          <w:tcPr>
            <w:tcW w:w="7371" w:type="dxa"/>
          </w:tcPr>
          <w:p w14:paraId="6FEE74F4"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14:ligatures w14:val="standardContextual"/>
              </w:rPr>
            </w:pPr>
            <w:r w:rsidRPr="00847B84">
              <w:rPr>
                <w:rFonts w:eastAsiaTheme="minorHAnsi"/>
                <w:color w:val="000000" w:themeColor="text1"/>
                <w:lang w:val="en-US"/>
                <w14:ligatures w14:val="standardContextual"/>
              </w:rPr>
              <w:t xml:space="preserve">Temple of Preah </w:t>
            </w:r>
            <w:proofErr w:type="spellStart"/>
            <w:r w:rsidRPr="00847B84">
              <w:rPr>
                <w:rFonts w:eastAsiaTheme="minorHAnsi"/>
                <w:color w:val="000000" w:themeColor="text1"/>
                <w:lang w:val="en-US"/>
                <w14:ligatures w14:val="standardContextual"/>
              </w:rPr>
              <w:t>Vihear</w:t>
            </w:r>
            <w:proofErr w:type="spellEnd"/>
            <w:r w:rsidRPr="00847B84">
              <w:rPr>
                <w:rFonts w:eastAsiaTheme="minorHAnsi"/>
                <w:color w:val="000000" w:themeColor="text1"/>
                <w:lang w:val="en-US"/>
                <w14:ligatures w14:val="standardContextual"/>
              </w:rPr>
              <w:t xml:space="preserve"> (Cambodia/Thailand), Merits, Judgment, 1962 I.C.J. 6.  </w:t>
            </w:r>
          </w:p>
        </w:tc>
        <w:tc>
          <w:tcPr>
            <w:tcW w:w="2127" w:type="dxa"/>
          </w:tcPr>
          <w:p w14:paraId="2A099F57" w14:textId="77777777" w:rsidR="00EE40E3" w:rsidRPr="00847B84" w:rsidRDefault="00EE40E3" w:rsidP="006848BD">
            <w:pPr>
              <w:spacing w:after="0" w:line="240" w:lineRule="auto"/>
              <w:ind w:left="357" w:hanging="357"/>
              <w:jc w:val="center"/>
            </w:pPr>
            <w:r w:rsidRPr="00847B84">
              <w:t>23</w:t>
            </w:r>
          </w:p>
        </w:tc>
      </w:tr>
      <w:tr w:rsidR="00EE40E3" w:rsidRPr="00847B84" w14:paraId="32B26824" w14:textId="77777777" w:rsidTr="00A65112">
        <w:tc>
          <w:tcPr>
            <w:tcW w:w="7371" w:type="dxa"/>
          </w:tcPr>
          <w:p w14:paraId="062E4BDA"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 xml:space="preserve">Territorial Dispute (Libyan Arab Jamahiriya/Chad), Judgment, 1994 I.C.J. Rep. 6. </w:t>
            </w:r>
          </w:p>
        </w:tc>
        <w:tc>
          <w:tcPr>
            <w:tcW w:w="2127" w:type="dxa"/>
          </w:tcPr>
          <w:p w14:paraId="392099A0" w14:textId="77777777" w:rsidR="00EE40E3" w:rsidRPr="00847B84" w:rsidRDefault="00EE40E3" w:rsidP="006848BD">
            <w:pPr>
              <w:spacing w:after="0" w:line="240" w:lineRule="auto"/>
              <w:ind w:left="357" w:hanging="357"/>
              <w:jc w:val="center"/>
            </w:pPr>
            <w:r w:rsidRPr="00847B84">
              <w:t>2</w:t>
            </w:r>
          </w:p>
        </w:tc>
      </w:tr>
      <w:tr w:rsidR="00EE40E3" w:rsidRPr="00847B84" w14:paraId="28F7CE32" w14:textId="77777777" w:rsidTr="00A65112">
        <w:tc>
          <w:tcPr>
            <w:tcW w:w="7371" w:type="dxa"/>
          </w:tcPr>
          <w:p w14:paraId="0151FED4" w14:textId="77777777" w:rsidR="00EE40E3" w:rsidRPr="00847B84" w:rsidRDefault="00EE40E3" w:rsidP="006848BD">
            <w:pPr>
              <w:autoSpaceDE w:val="0"/>
              <w:autoSpaceDN w:val="0"/>
              <w:adjustRightInd w:val="0"/>
              <w:spacing w:after="0" w:line="240" w:lineRule="auto"/>
              <w:ind w:left="720" w:hanging="720"/>
              <w:rPr>
                <w:rFonts w:eastAsiaTheme="minorHAnsi"/>
                <w:color w:val="000000" w:themeColor="text1"/>
                <w:lang w:val="en-US"/>
                <w14:ligatures w14:val="standardContextual"/>
              </w:rPr>
            </w:pPr>
            <w:r w:rsidRPr="00847B84">
              <w:rPr>
                <w:rFonts w:eastAsiaTheme="minorHAnsi"/>
                <w:color w:val="000000" w:themeColor="text1"/>
                <w:lang w:val="en-US"/>
                <w14:ligatures w14:val="standardContextual"/>
              </w:rPr>
              <w:t xml:space="preserve">The </w:t>
            </w:r>
            <w:proofErr w:type="spellStart"/>
            <w:r w:rsidRPr="00847B84">
              <w:rPr>
                <w:rFonts w:eastAsiaTheme="minorHAnsi"/>
                <w:color w:val="000000" w:themeColor="text1"/>
                <w:lang w:val="en-US"/>
                <w14:ligatures w14:val="standardContextual"/>
              </w:rPr>
              <w:t>Mavrommatis</w:t>
            </w:r>
            <w:proofErr w:type="spellEnd"/>
            <w:r w:rsidRPr="00847B84">
              <w:rPr>
                <w:rFonts w:eastAsiaTheme="minorHAnsi"/>
                <w:color w:val="000000" w:themeColor="text1"/>
                <w:lang w:val="en-US"/>
                <w14:ligatures w14:val="standardContextual"/>
              </w:rPr>
              <w:t xml:space="preserve"> Palestine Concessions (Greece v United Kingdom), 1924 P.C.I.J. Ser. A No. 2. </w:t>
            </w:r>
          </w:p>
        </w:tc>
        <w:tc>
          <w:tcPr>
            <w:tcW w:w="2127" w:type="dxa"/>
          </w:tcPr>
          <w:p w14:paraId="41A9C503" w14:textId="77777777" w:rsidR="00EE40E3" w:rsidRPr="00847B84" w:rsidRDefault="00EE40E3" w:rsidP="006848BD">
            <w:pPr>
              <w:spacing w:after="0" w:line="240" w:lineRule="auto"/>
              <w:ind w:left="357" w:hanging="357"/>
              <w:jc w:val="center"/>
            </w:pPr>
            <w:r w:rsidRPr="00847B84">
              <w:t>28</w:t>
            </w:r>
          </w:p>
        </w:tc>
      </w:tr>
      <w:tr w:rsidR="00EE40E3" w:rsidRPr="00847B84" w14:paraId="5A668389" w14:textId="77777777" w:rsidTr="00A65112">
        <w:tc>
          <w:tcPr>
            <w:tcW w:w="7371" w:type="dxa"/>
          </w:tcPr>
          <w:p w14:paraId="5E54F404" w14:textId="77777777" w:rsidR="006848BD" w:rsidRPr="00847B84" w:rsidRDefault="006848BD" w:rsidP="006848BD">
            <w:pPr>
              <w:spacing w:after="0" w:line="240" w:lineRule="auto"/>
              <w:ind w:left="357" w:hanging="357"/>
              <w:jc w:val="center"/>
              <w:rPr>
                <w:b/>
                <w:bCs/>
                <w:i/>
                <w:iCs/>
              </w:rPr>
            </w:pPr>
          </w:p>
          <w:p w14:paraId="46820046" w14:textId="77777777" w:rsidR="00EE40E3" w:rsidRPr="00847B84" w:rsidRDefault="00EE40E3" w:rsidP="006848BD">
            <w:pPr>
              <w:spacing w:after="0" w:line="240" w:lineRule="auto"/>
              <w:ind w:left="357" w:hanging="357"/>
              <w:jc w:val="center"/>
              <w:rPr>
                <w:b/>
                <w:bCs/>
                <w:i/>
                <w:iCs/>
              </w:rPr>
            </w:pPr>
            <w:r w:rsidRPr="00847B84">
              <w:rPr>
                <w:b/>
                <w:bCs/>
                <w:i/>
                <w:iCs/>
              </w:rPr>
              <w:t>International Cases and Arbitral Decisions</w:t>
            </w:r>
          </w:p>
          <w:p w14:paraId="45D171EA" w14:textId="6EC38868" w:rsidR="006848BD" w:rsidRPr="00847B84" w:rsidRDefault="006848BD" w:rsidP="006848BD">
            <w:pPr>
              <w:spacing w:after="0" w:line="240" w:lineRule="auto"/>
              <w:ind w:left="357" w:hanging="357"/>
              <w:jc w:val="center"/>
              <w:rPr>
                <w:b/>
                <w:bCs/>
                <w:i/>
                <w:iCs/>
              </w:rPr>
            </w:pPr>
          </w:p>
        </w:tc>
        <w:tc>
          <w:tcPr>
            <w:tcW w:w="2127" w:type="dxa"/>
          </w:tcPr>
          <w:p w14:paraId="0F0BFFF1" w14:textId="77777777" w:rsidR="00EE40E3" w:rsidRPr="00847B84" w:rsidRDefault="00EE40E3" w:rsidP="006848BD">
            <w:pPr>
              <w:spacing w:after="0" w:line="240" w:lineRule="auto"/>
              <w:ind w:left="357" w:hanging="357"/>
              <w:jc w:val="center"/>
            </w:pPr>
          </w:p>
        </w:tc>
      </w:tr>
      <w:tr w:rsidR="00EE40E3" w:rsidRPr="00847B84" w14:paraId="454CD1B6" w14:textId="77777777" w:rsidTr="00A65112">
        <w:tc>
          <w:tcPr>
            <w:tcW w:w="7371" w:type="dxa"/>
          </w:tcPr>
          <w:p w14:paraId="29D10772" w14:textId="77777777" w:rsidR="00EE40E3" w:rsidRPr="00847B84" w:rsidRDefault="00EE40E3" w:rsidP="006848BD">
            <w:pPr>
              <w:spacing w:after="0" w:line="240" w:lineRule="auto"/>
              <w:ind w:left="720" w:hanging="720"/>
              <w:rPr>
                <w:rFonts w:eastAsiaTheme="minorHAnsi"/>
                <w14:ligatures w14:val="standardContextual"/>
              </w:rPr>
            </w:pPr>
            <w:r w:rsidRPr="00847B84">
              <w:rPr>
                <w:rFonts w:eastAsiaTheme="minorHAnsi"/>
                <w14:ligatures w14:val="standardContextual"/>
              </w:rPr>
              <w:t>Aksu v. Turkey, Judgment, Application Nos. 4149/04 and 41029/04, Eur. Ct. H.R.  2012).</w:t>
            </w:r>
          </w:p>
        </w:tc>
        <w:tc>
          <w:tcPr>
            <w:tcW w:w="2127" w:type="dxa"/>
          </w:tcPr>
          <w:p w14:paraId="531770BD" w14:textId="77777777" w:rsidR="00EE40E3" w:rsidRPr="00847B84" w:rsidRDefault="00EE40E3" w:rsidP="006848BD">
            <w:pPr>
              <w:spacing w:after="0" w:line="240" w:lineRule="auto"/>
              <w:ind w:left="357" w:hanging="357"/>
              <w:jc w:val="center"/>
            </w:pPr>
            <w:r w:rsidRPr="00847B84">
              <w:t>8</w:t>
            </w:r>
          </w:p>
        </w:tc>
      </w:tr>
      <w:tr w:rsidR="00EE40E3" w:rsidRPr="00847B84" w14:paraId="1F846CE7" w14:textId="77777777" w:rsidTr="00A65112">
        <w:tc>
          <w:tcPr>
            <w:tcW w:w="7371" w:type="dxa"/>
          </w:tcPr>
          <w:p w14:paraId="2F15FECC" w14:textId="77777777" w:rsidR="00EE40E3" w:rsidRPr="00847B84" w:rsidRDefault="00EE40E3" w:rsidP="006848BD">
            <w:pPr>
              <w:spacing w:after="0" w:line="240" w:lineRule="auto"/>
              <w:ind w:left="720" w:hanging="720"/>
              <w:rPr>
                <w:rFonts w:eastAsiaTheme="minorHAnsi"/>
                <w14:ligatures w14:val="standardContextual"/>
              </w:rPr>
            </w:pPr>
            <w:r w:rsidRPr="00847B84">
              <w:rPr>
                <w:rFonts w:eastAsiaTheme="minorHAnsi"/>
                <w14:ligatures w14:val="standardContextual"/>
              </w:rPr>
              <w:t xml:space="preserve">Al </w:t>
            </w:r>
            <w:proofErr w:type="spellStart"/>
            <w:r w:rsidRPr="00847B84">
              <w:rPr>
                <w:rFonts w:eastAsiaTheme="minorHAnsi"/>
                <w14:ligatures w14:val="standardContextual"/>
              </w:rPr>
              <w:t>Rawi</w:t>
            </w:r>
            <w:proofErr w:type="spellEnd"/>
            <w:r w:rsidRPr="00847B84">
              <w:rPr>
                <w:rFonts w:eastAsiaTheme="minorHAnsi"/>
                <w14:ligatures w14:val="standardContextual"/>
              </w:rPr>
              <w:t xml:space="preserve"> &amp; Others, R (on the Application of) v. Secretary of State for Foreign Affairs &amp; Another, 2006 EWHC 972. </w:t>
            </w:r>
          </w:p>
        </w:tc>
        <w:tc>
          <w:tcPr>
            <w:tcW w:w="2127" w:type="dxa"/>
          </w:tcPr>
          <w:p w14:paraId="79DC9D1D" w14:textId="77777777" w:rsidR="00EE40E3" w:rsidRPr="00847B84" w:rsidRDefault="00EE40E3" w:rsidP="006848BD">
            <w:pPr>
              <w:spacing w:after="0" w:line="240" w:lineRule="auto"/>
              <w:ind w:left="357" w:hanging="357"/>
              <w:jc w:val="center"/>
            </w:pPr>
            <w:r w:rsidRPr="00847B84">
              <w:t>9</w:t>
            </w:r>
          </w:p>
        </w:tc>
      </w:tr>
      <w:tr w:rsidR="00EE40E3" w:rsidRPr="00847B84" w14:paraId="36507A81" w14:textId="77777777" w:rsidTr="00A65112">
        <w:tc>
          <w:tcPr>
            <w:tcW w:w="7371" w:type="dxa"/>
          </w:tcPr>
          <w:p w14:paraId="3652AE10"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Amco</w:t>
            </w:r>
            <w:proofErr w:type="spellEnd"/>
            <w:r w:rsidRPr="00847B84">
              <w:rPr>
                <w:rFonts w:eastAsiaTheme="minorHAnsi"/>
                <w:sz w:val="24"/>
                <w:szCs w:val="24"/>
                <w14:ligatures w14:val="standardContextual"/>
              </w:rPr>
              <w:t xml:space="preserve"> Asia Corporation and Others v. Republic of Indonesia, ICSID Case No. ARB/81/1,  Award (1984).</w:t>
            </w:r>
          </w:p>
        </w:tc>
        <w:tc>
          <w:tcPr>
            <w:tcW w:w="2127" w:type="dxa"/>
          </w:tcPr>
          <w:p w14:paraId="1CEC74FB" w14:textId="77777777" w:rsidR="00EE40E3" w:rsidRPr="00847B84" w:rsidRDefault="00EE40E3" w:rsidP="006848BD">
            <w:pPr>
              <w:spacing w:after="0" w:line="240" w:lineRule="auto"/>
              <w:ind w:left="357" w:hanging="357"/>
              <w:jc w:val="center"/>
            </w:pPr>
            <w:r w:rsidRPr="00847B84">
              <w:t>5</w:t>
            </w:r>
          </w:p>
        </w:tc>
      </w:tr>
      <w:tr w:rsidR="00EE40E3" w:rsidRPr="00847B84" w14:paraId="556EFAB7" w14:textId="77777777" w:rsidTr="00A65112">
        <w:tc>
          <w:tcPr>
            <w:tcW w:w="7371" w:type="dxa"/>
          </w:tcPr>
          <w:p w14:paraId="48787EFB"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Anudo</w:t>
            </w:r>
            <w:proofErr w:type="spellEnd"/>
            <w:r w:rsidRPr="00847B84">
              <w:rPr>
                <w:rFonts w:eastAsiaTheme="minorHAnsi"/>
                <w:sz w:val="24"/>
                <w:szCs w:val="24"/>
                <w14:ligatures w14:val="standardContextual"/>
              </w:rPr>
              <w:t xml:space="preserve"> v. United Republic of Tanzania, Judgment, Application No. 012/205, AU (2018).</w:t>
            </w:r>
          </w:p>
        </w:tc>
        <w:tc>
          <w:tcPr>
            <w:tcW w:w="2127" w:type="dxa"/>
          </w:tcPr>
          <w:p w14:paraId="51AC2E09" w14:textId="77777777" w:rsidR="00EE40E3" w:rsidRPr="00847B84" w:rsidRDefault="00EE40E3" w:rsidP="006848BD">
            <w:pPr>
              <w:spacing w:after="0" w:line="240" w:lineRule="auto"/>
              <w:ind w:left="357" w:hanging="357"/>
              <w:jc w:val="center"/>
            </w:pPr>
            <w:r w:rsidRPr="00847B84">
              <w:t>16</w:t>
            </w:r>
          </w:p>
        </w:tc>
      </w:tr>
      <w:tr w:rsidR="00EE40E3" w:rsidRPr="00847B84" w14:paraId="209748CD" w14:textId="77777777" w:rsidTr="00A65112">
        <w:tc>
          <w:tcPr>
            <w:tcW w:w="7371" w:type="dxa"/>
          </w:tcPr>
          <w:p w14:paraId="1D952A74" w14:textId="77777777" w:rsidR="00EE40E3" w:rsidRPr="00847B84" w:rsidRDefault="00EE40E3"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t>Ballantine v. Dominican Republic, PCA Case No 2016-17, (2019).</w:t>
            </w:r>
          </w:p>
        </w:tc>
        <w:tc>
          <w:tcPr>
            <w:tcW w:w="2127" w:type="dxa"/>
          </w:tcPr>
          <w:p w14:paraId="7E8A7429" w14:textId="77777777" w:rsidR="00EE40E3" w:rsidRPr="00847B84" w:rsidRDefault="00EE40E3" w:rsidP="006848BD">
            <w:pPr>
              <w:spacing w:after="0" w:line="240" w:lineRule="auto"/>
              <w:ind w:left="357" w:hanging="357"/>
              <w:jc w:val="center"/>
            </w:pPr>
            <w:r w:rsidRPr="00847B84">
              <w:t>21</w:t>
            </w:r>
          </w:p>
        </w:tc>
      </w:tr>
      <w:tr w:rsidR="00EE40E3" w:rsidRPr="00847B84" w14:paraId="76ED5A2A" w14:textId="77777777" w:rsidTr="00A65112">
        <w:tc>
          <w:tcPr>
            <w:tcW w:w="7371" w:type="dxa"/>
          </w:tcPr>
          <w:p w14:paraId="66D09658" w14:textId="5E64C6F7" w:rsidR="00EE40E3" w:rsidRPr="00847B84" w:rsidRDefault="007D356C"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t>Begum v. Secretary of State for the Home Department, UKSC 2020/0158, Supreme Court (2021)</w:t>
            </w:r>
            <w:r w:rsidRPr="00847B84">
              <w:rPr>
                <w:rFonts w:eastAsiaTheme="minorHAnsi"/>
                <w:sz w:val="24"/>
                <w:szCs w:val="24"/>
                <w14:ligatures w14:val="standardContextual"/>
              </w:rPr>
              <w:t>.</w:t>
            </w:r>
          </w:p>
        </w:tc>
        <w:tc>
          <w:tcPr>
            <w:tcW w:w="2127" w:type="dxa"/>
          </w:tcPr>
          <w:p w14:paraId="6B249ECF" w14:textId="2201FEB4" w:rsidR="00EE40E3" w:rsidRPr="00847B84" w:rsidRDefault="007D356C" w:rsidP="006848BD">
            <w:pPr>
              <w:spacing w:after="0" w:line="240" w:lineRule="auto"/>
              <w:ind w:left="357" w:hanging="357"/>
              <w:jc w:val="center"/>
            </w:pPr>
            <w:r w:rsidRPr="00847B84">
              <w:t>12</w:t>
            </w:r>
          </w:p>
        </w:tc>
      </w:tr>
      <w:tr w:rsidR="00EE40E3" w:rsidRPr="00847B84" w14:paraId="765707BC" w14:textId="77777777" w:rsidTr="00A65112">
        <w:tc>
          <w:tcPr>
            <w:tcW w:w="7371" w:type="dxa"/>
          </w:tcPr>
          <w:p w14:paraId="0AA8FDEA" w14:textId="77777777" w:rsidR="00EE40E3" w:rsidRPr="00847B84" w:rsidRDefault="00EE40E3" w:rsidP="006848BD">
            <w:pPr>
              <w:pStyle w:val="FootnoteText"/>
              <w:spacing w:after="0"/>
              <w:ind w:left="720" w:hanging="720"/>
              <w:rPr>
                <w:i/>
                <w:iCs/>
                <w:sz w:val="24"/>
                <w:szCs w:val="24"/>
              </w:rPr>
            </w:pPr>
            <w:r w:rsidRPr="00847B84">
              <w:rPr>
                <w:rFonts w:eastAsiaTheme="minorHAnsi"/>
                <w:sz w:val="24"/>
                <w:szCs w:val="24"/>
                <w14:ligatures w14:val="standardContextual"/>
              </w:rPr>
              <w:t>Burden v. UK, Judgment, Application No. 13378/05,  Eur. Ct. H.R. (2008).</w:t>
            </w:r>
          </w:p>
        </w:tc>
        <w:tc>
          <w:tcPr>
            <w:tcW w:w="2127" w:type="dxa"/>
          </w:tcPr>
          <w:p w14:paraId="1021A8D7" w14:textId="77777777" w:rsidR="00EE40E3" w:rsidRPr="00847B84" w:rsidRDefault="00EE40E3" w:rsidP="006848BD">
            <w:pPr>
              <w:spacing w:after="0" w:line="240" w:lineRule="auto"/>
              <w:ind w:left="357" w:hanging="357"/>
              <w:jc w:val="center"/>
            </w:pPr>
            <w:r w:rsidRPr="00847B84">
              <w:t>7</w:t>
            </w:r>
          </w:p>
        </w:tc>
      </w:tr>
      <w:tr w:rsidR="00EE40E3" w:rsidRPr="00847B84" w14:paraId="4B2E8BED" w14:textId="77777777" w:rsidTr="00A65112">
        <w:tc>
          <w:tcPr>
            <w:tcW w:w="7371" w:type="dxa"/>
          </w:tcPr>
          <w:p w14:paraId="03D0AA04"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Case No. A/18, IUSCT Case No. A/18, Decision No. DEC32-A-18-FT (1984).</w:t>
            </w:r>
          </w:p>
        </w:tc>
        <w:tc>
          <w:tcPr>
            <w:tcW w:w="2127" w:type="dxa"/>
          </w:tcPr>
          <w:p w14:paraId="77171286" w14:textId="77777777" w:rsidR="00EE40E3" w:rsidRPr="00847B84" w:rsidRDefault="00EE40E3" w:rsidP="006848BD">
            <w:pPr>
              <w:spacing w:after="0" w:line="240" w:lineRule="auto"/>
              <w:ind w:left="357" w:hanging="357"/>
              <w:jc w:val="center"/>
            </w:pPr>
            <w:r w:rsidRPr="00847B84">
              <w:t>21</w:t>
            </w:r>
          </w:p>
        </w:tc>
      </w:tr>
      <w:tr w:rsidR="00EE40E3" w:rsidRPr="00847B84" w14:paraId="0411A2B8" w14:textId="77777777" w:rsidTr="00A65112">
        <w:tc>
          <w:tcPr>
            <w:tcW w:w="7371" w:type="dxa"/>
          </w:tcPr>
          <w:p w14:paraId="53BAD67E"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Chagos</w:t>
            </w:r>
            <w:proofErr w:type="spellEnd"/>
            <w:r w:rsidRPr="00847B84">
              <w:rPr>
                <w:rFonts w:eastAsiaTheme="minorHAnsi"/>
                <w:sz w:val="24"/>
                <w:szCs w:val="24"/>
                <w14:ligatures w14:val="standardContextual"/>
              </w:rPr>
              <w:t xml:space="preserve"> Marine Protected Area Arbitration (Mauritius/U.K.), PCA Case no. 2011-03 (2019). </w:t>
            </w:r>
          </w:p>
        </w:tc>
        <w:tc>
          <w:tcPr>
            <w:tcW w:w="2127" w:type="dxa"/>
          </w:tcPr>
          <w:p w14:paraId="41C37FFB" w14:textId="77777777" w:rsidR="00EE40E3" w:rsidRPr="00847B84" w:rsidRDefault="00EE40E3" w:rsidP="006848BD">
            <w:pPr>
              <w:spacing w:after="0" w:line="240" w:lineRule="auto"/>
              <w:ind w:left="357" w:hanging="357"/>
              <w:jc w:val="center"/>
            </w:pPr>
            <w:r w:rsidRPr="00847B84">
              <w:t>22</w:t>
            </w:r>
          </w:p>
        </w:tc>
      </w:tr>
      <w:tr w:rsidR="00EE40E3" w:rsidRPr="00847B84" w14:paraId="6460453D" w14:textId="77777777" w:rsidTr="00A65112">
        <w:tc>
          <w:tcPr>
            <w:tcW w:w="7371" w:type="dxa"/>
          </w:tcPr>
          <w:p w14:paraId="339C1ADA" w14:textId="77777777" w:rsidR="00EE40E3" w:rsidRPr="00847B84" w:rsidRDefault="00EE40E3"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t>Compulsory Membership in an Association Prescribed by Law for the Practice for Journalism (Arts. 13 and 29 American Convention on Human Rights), Advisory Opinion OC-5/85, Inter-</w:t>
            </w:r>
            <w:proofErr w:type="spellStart"/>
            <w:r w:rsidRPr="00847B84">
              <w:rPr>
                <w:rFonts w:eastAsiaTheme="minorHAnsi"/>
                <w:sz w:val="24"/>
                <w:szCs w:val="24"/>
                <w14:ligatures w14:val="standardContextual"/>
              </w:rPr>
              <w:t>Am.Ct</w:t>
            </w:r>
            <w:proofErr w:type="spellEnd"/>
            <w:r w:rsidRPr="00847B84">
              <w:rPr>
                <w:rFonts w:eastAsiaTheme="minorHAnsi"/>
                <w:sz w:val="24"/>
                <w:szCs w:val="24"/>
                <w14:ligatures w14:val="standardContextual"/>
              </w:rPr>
              <w:t>. H.R. (Ser. A) No. 5. </w:t>
            </w:r>
          </w:p>
        </w:tc>
        <w:tc>
          <w:tcPr>
            <w:tcW w:w="2127" w:type="dxa"/>
          </w:tcPr>
          <w:p w14:paraId="06BEE4E8" w14:textId="77777777" w:rsidR="00EE40E3" w:rsidRPr="00847B84" w:rsidRDefault="00EE40E3" w:rsidP="006848BD">
            <w:pPr>
              <w:spacing w:after="0" w:line="240" w:lineRule="auto"/>
              <w:ind w:left="357" w:hanging="357"/>
              <w:jc w:val="center"/>
            </w:pPr>
            <w:r w:rsidRPr="00847B84">
              <w:t>14</w:t>
            </w:r>
          </w:p>
        </w:tc>
      </w:tr>
      <w:tr w:rsidR="00EE40E3" w:rsidRPr="00847B84" w14:paraId="713504BF" w14:textId="77777777" w:rsidTr="00A65112">
        <w:tc>
          <w:tcPr>
            <w:tcW w:w="7371" w:type="dxa"/>
          </w:tcPr>
          <w:p w14:paraId="5C4D0E66"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Esphahanian</w:t>
            </w:r>
            <w:proofErr w:type="spellEnd"/>
            <w:r w:rsidRPr="00847B84">
              <w:rPr>
                <w:rFonts w:eastAsiaTheme="minorHAnsi"/>
                <w:sz w:val="24"/>
                <w:szCs w:val="24"/>
                <w14:ligatures w14:val="standardContextual"/>
              </w:rPr>
              <w:t xml:space="preserve"> v. Bank </w:t>
            </w:r>
            <w:proofErr w:type="spellStart"/>
            <w:r w:rsidRPr="00847B84">
              <w:rPr>
                <w:rFonts w:eastAsiaTheme="minorHAnsi"/>
                <w:sz w:val="24"/>
                <w:szCs w:val="24"/>
                <w14:ligatures w14:val="standardContextual"/>
              </w:rPr>
              <w:t>Tejarat</w:t>
            </w:r>
            <w:proofErr w:type="spellEnd"/>
            <w:r w:rsidRPr="00847B84">
              <w:rPr>
                <w:rFonts w:eastAsiaTheme="minorHAnsi"/>
                <w:sz w:val="24"/>
                <w:szCs w:val="24"/>
                <w14:ligatures w14:val="standardContextual"/>
              </w:rPr>
              <w:t>, Award No. 157, Iran-US Claims Tribunal Reports (1983).</w:t>
            </w:r>
          </w:p>
        </w:tc>
        <w:tc>
          <w:tcPr>
            <w:tcW w:w="2127" w:type="dxa"/>
          </w:tcPr>
          <w:p w14:paraId="132E45B6" w14:textId="77777777" w:rsidR="00EE40E3" w:rsidRPr="00847B84" w:rsidRDefault="00EE40E3" w:rsidP="006848BD">
            <w:pPr>
              <w:spacing w:after="0" w:line="240" w:lineRule="auto"/>
              <w:ind w:left="357" w:hanging="357"/>
              <w:jc w:val="center"/>
            </w:pPr>
            <w:r w:rsidRPr="00847B84">
              <w:t>21</w:t>
            </w:r>
          </w:p>
        </w:tc>
      </w:tr>
      <w:tr w:rsidR="00EE40E3" w:rsidRPr="00847B84" w14:paraId="5684C0C1" w14:textId="77777777" w:rsidTr="00A65112">
        <w:tc>
          <w:tcPr>
            <w:tcW w:w="7371" w:type="dxa"/>
          </w:tcPr>
          <w:p w14:paraId="1A0404FB"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proofErr w:type="spellStart"/>
            <w:r w:rsidRPr="00847B84">
              <w:rPr>
                <w:rFonts w:eastAsiaTheme="minorHAnsi"/>
                <w14:ligatures w14:val="standardContextual"/>
              </w:rPr>
              <w:t>Fehér</w:t>
            </w:r>
            <w:proofErr w:type="spellEnd"/>
            <w:r w:rsidRPr="00847B84">
              <w:rPr>
                <w:rFonts w:eastAsiaTheme="minorHAnsi"/>
                <w14:ligatures w14:val="standardContextual"/>
              </w:rPr>
              <w:t xml:space="preserve"> v. Slovakia, Judgment, Application No. 14927/12 and 30415/12, Eur. Ct. H.R. (2013).</w:t>
            </w:r>
          </w:p>
        </w:tc>
        <w:tc>
          <w:tcPr>
            <w:tcW w:w="2127" w:type="dxa"/>
          </w:tcPr>
          <w:p w14:paraId="273FD2BF" w14:textId="77777777" w:rsidR="00EE40E3" w:rsidRPr="00847B84" w:rsidRDefault="00EE40E3" w:rsidP="006848BD">
            <w:pPr>
              <w:spacing w:after="0" w:line="240" w:lineRule="auto"/>
              <w:ind w:left="357" w:hanging="357"/>
              <w:jc w:val="center"/>
            </w:pPr>
            <w:r w:rsidRPr="00847B84">
              <w:t>9</w:t>
            </w:r>
          </w:p>
        </w:tc>
      </w:tr>
      <w:tr w:rsidR="00EE40E3" w:rsidRPr="00847B84" w14:paraId="7342050A" w14:textId="77777777" w:rsidTr="00A65112">
        <w:tc>
          <w:tcPr>
            <w:tcW w:w="7371" w:type="dxa"/>
          </w:tcPr>
          <w:p w14:paraId="3DE37E03"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Féret</w:t>
            </w:r>
            <w:proofErr w:type="spellEnd"/>
            <w:r w:rsidRPr="00847B84">
              <w:rPr>
                <w:rFonts w:eastAsiaTheme="minorHAnsi"/>
                <w:sz w:val="24"/>
                <w:szCs w:val="24"/>
                <w14:ligatures w14:val="standardContextual"/>
              </w:rPr>
              <w:t xml:space="preserve"> v. Belgium,  Judgment, Application No. 15615/07, Eur. Ct. H.R. (2009).</w:t>
            </w:r>
          </w:p>
        </w:tc>
        <w:tc>
          <w:tcPr>
            <w:tcW w:w="2127" w:type="dxa"/>
          </w:tcPr>
          <w:p w14:paraId="5B660105" w14:textId="77777777" w:rsidR="00EE40E3" w:rsidRPr="00847B84" w:rsidRDefault="00EE40E3" w:rsidP="006848BD">
            <w:pPr>
              <w:spacing w:after="0" w:line="240" w:lineRule="auto"/>
              <w:ind w:left="357" w:hanging="357"/>
              <w:jc w:val="center"/>
            </w:pPr>
            <w:r w:rsidRPr="00847B84">
              <w:t>16</w:t>
            </w:r>
          </w:p>
        </w:tc>
      </w:tr>
      <w:tr w:rsidR="00EE40E3" w:rsidRPr="00847B84" w14:paraId="44DE73D0" w14:textId="77777777" w:rsidTr="00A65112">
        <w:tc>
          <w:tcPr>
            <w:tcW w:w="7371" w:type="dxa"/>
          </w:tcPr>
          <w:p w14:paraId="46C843DF"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proofErr w:type="spellStart"/>
            <w:r w:rsidRPr="00847B84">
              <w:rPr>
                <w:rFonts w:eastAsiaTheme="minorHAnsi"/>
                <w14:ligatures w14:val="standardContextual"/>
              </w:rPr>
              <w:t>Flegenheimer</w:t>
            </w:r>
            <w:proofErr w:type="spellEnd"/>
            <w:r w:rsidRPr="00847B84">
              <w:rPr>
                <w:rFonts w:eastAsiaTheme="minorHAnsi"/>
                <w14:ligatures w14:val="standardContextual"/>
              </w:rPr>
              <w:t xml:space="preserve"> Case (US/Italy), 14 R.I.A.A. 327, Italian-US Conciliation Commission, (1958).</w:t>
            </w:r>
          </w:p>
        </w:tc>
        <w:tc>
          <w:tcPr>
            <w:tcW w:w="2127" w:type="dxa"/>
          </w:tcPr>
          <w:p w14:paraId="0BE0A9CA" w14:textId="77777777" w:rsidR="00EE40E3" w:rsidRPr="00847B84" w:rsidRDefault="00EE40E3" w:rsidP="006848BD">
            <w:pPr>
              <w:spacing w:after="0" w:line="240" w:lineRule="auto"/>
              <w:ind w:left="357" w:hanging="357"/>
              <w:jc w:val="center"/>
            </w:pPr>
            <w:r w:rsidRPr="00847B84">
              <w:t>20</w:t>
            </w:r>
          </w:p>
        </w:tc>
      </w:tr>
      <w:tr w:rsidR="00EE40E3" w:rsidRPr="00847B84" w14:paraId="5A84BC4E" w14:textId="77777777" w:rsidTr="00A65112">
        <w:tc>
          <w:tcPr>
            <w:tcW w:w="7371" w:type="dxa"/>
          </w:tcPr>
          <w:p w14:paraId="250DCCB4"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Ghoumid</w:t>
            </w:r>
            <w:proofErr w:type="spellEnd"/>
            <w:r w:rsidRPr="00847B84">
              <w:rPr>
                <w:rFonts w:eastAsiaTheme="minorHAnsi"/>
                <w:sz w:val="24"/>
                <w:szCs w:val="24"/>
                <w14:ligatures w14:val="standardContextual"/>
              </w:rPr>
              <w:t xml:space="preserve"> v. France, Judgment,  Application Nos. 52273/16, Eur. Ct. H.R.  (2020).</w:t>
            </w:r>
          </w:p>
        </w:tc>
        <w:tc>
          <w:tcPr>
            <w:tcW w:w="2127" w:type="dxa"/>
          </w:tcPr>
          <w:p w14:paraId="1D72DC93" w14:textId="77777777" w:rsidR="00EE40E3" w:rsidRPr="00847B84" w:rsidRDefault="00EE40E3" w:rsidP="006848BD">
            <w:pPr>
              <w:spacing w:after="0" w:line="240" w:lineRule="auto"/>
              <w:ind w:left="357" w:hanging="357"/>
              <w:jc w:val="center"/>
            </w:pPr>
            <w:r w:rsidRPr="00847B84">
              <w:t>16</w:t>
            </w:r>
          </w:p>
        </w:tc>
      </w:tr>
      <w:tr w:rsidR="00EE40E3" w:rsidRPr="00847B84" w14:paraId="03D8DFFD" w14:textId="77777777" w:rsidTr="00A65112">
        <w:tc>
          <w:tcPr>
            <w:tcW w:w="7371" w:type="dxa"/>
          </w:tcPr>
          <w:p w14:paraId="3138F26D" w14:textId="77777777" w:rsidR="00EE40E3" w:rsidRPr="00847B84" w:rsidRDefault="00EE40E3"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t>Government of the Kingdom of Greece v. Government of the U.K. of Great Britain and Northern Ireland, Judgment, Application No. 176/56, Eur. Ct. H.R.  (1956).</w:t>
            </w:r>
          </w:p>
        </w:tc>
        <w:tc>
          <w:tcPr>
            <w:tcW w:w="2127" w:type="dxa"/>
          </w:tcPr>
          <w:p w14:paraId="70B8FD43" w14:textId="77777777" w:rsidR="00EE40E3" w:rsidRPr="00847B84" w:rsidRDefault="00EE40E3" w:rsidP="006848BD">
            <w:pPr>
              <w:spacing w:after="0" w:line="240" w:lineRule="auto"/>
              <w:ind w:left="357" w:hanging="357"/>
              <w:jc w:val="center"/>
            </w:pPr>
            <w:r w:rsidRPr="00847B84">
              <w:t>15</w:t>
            </w:r>
          </w:p>
        </w:tc>
      </w:tr>
      <w:tr w:rsidR="00EE40E3" w:rsidRPr="00847B84" w14:paraId="4A71D065" w14:textId="77777777" w:rsidTr="00A65112">
        <w:tc>
          <w:tcPr>
            <w:tcW w:w="7371" w:type="dxa"/>
          </w:tcPr>
          <w:p w14:paraId="3215AEEC"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Handyside</w:t>
            </w:r>
            <w:proofErr w:type="spellEnd"/>
            <w:r w:rsidRPr="00847B84">
              <w:rPr>
                <w:rFonts w:eastAsiaTheme="minorHAnsi"/>
                <w:sz w:val="24"/>
                <w:szCs w:val="24"/>
                <w14:ligatures w14:val="standardContextual"/>
              </w:rPr>
              <w:t xml:space="preserve"> v. The United Kingdom, Judgment, Application No. 5493/72, Eur. Ct. H.R. (1976).</w:t>
            </w:r>
          </w:p>
        </w:tc>
        <w:tc>
          <w:tcPr>
            <w:tcW w:w="2127" w:type="dxa"/>
          </w:tcPr>
          <w:p w14:paraId="04E46E8D" w14:textId="77777777" w:rsidR="00EE40E3" w:rsidRPr="00847B84" w:rsidRDefault="00EE40E3" w:rsidP="006848BD">
            <w:pPr>
              <w:spacing w:after="0" w:line="240" w:lineRule="auto"/>
              <w:ind w:left="357" w:hanging="357"/>
              <w:jc w:val="center"/>
            </w:pPr>
            <w:r w:rsidRPr="00847B84">
              <w:t>15</w:t>
            </w:r>
          </w:p>
        </w:tc>
      </w:tr>
      <w:tr w:rsidR="00EE40E3" w:rsidRPr="00847B84" w14:paraId="20F2D882" w14:textId="77777777" w:rsidTr="00A65112">
        <w:tc>
          <w:tcPr>
            <w:tcW w:w="7371" w:type="dxa"/>
          </w:tcPr>
          <w:p w14:paraId="0B547CE0" w14:textId="77777777" w:rsidR="00EE40E3" w:rsidRPr="00847B84" w:rsidRDefault="00EE40E3"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lastRenderedPageBreak/>
              <w:t xml:space="preserve">Hussein </w:t>
            </w:r>
            <w:proofErr w:type="spellStart"/>
            <w:r w:rsidRPr="00847B84">
              <w:rPr>
                <w:rFonts w:eastAsiaTheme="minorHAnsi"/>
                <w:sz w:val="24"/>
                <w:szCs w:val="24"/>
                <w14:ligatures w14:val="standardContextual"/>
              </w:rPr>
              <w:t>Nuaman</w:t>
            </w:r>
            <w:proofErr w:type="spellEnd"/>
            <w:r w:rsidRPr="00847B84">
              <w:rPr>
                <w:rFonts w:eastAsiaTheme="minorHAnsi"/>
                <w:sz w:val="24"/>
                <w:szCs w:val="24"/>
                <w14:ligatures w14:val="standardContextual"/>
              </w:rPr>
              <w:t xml:space="preserve"> </w:t>
            </w:r>
            <w:proofErr w:type="spellStart"/>
            <w:r w:rsidRPr="00847B84">
              <w:rPr>
                <w:rFonts w:eastAsiaTheme="minorHAnsi"/>
                <w:sz w:val="24"/>
                <w:szCs w:val="24"/>
                <w14:ligatures w14:val="standardContextual"/>
              </w:rPr>
              <w:t>Soufraki</w:t>
            </w:r>
            <w:proofErr w:type="spellEnd"/>
            <w:r w:rsidRPr="00847B84">
              <w:rPr>
                <w:rFonts w:eastAsiaTheme="minorHAnsi"/>
                <w:sz w:val="24"/>
                <w:szCs w:val="24"/>
                <w14:ligatures w14:val="standardContextual"/>
              </w:rPr>
              <w:t xml:space="preserve"> v. The United Arab Emirates, ICSID Case No. ARB/02/7, Award (2004).</w:t>
            </w:r>
          </w:p>
        </w:tc>
        <w:tc>
          <w:tcPr>
            <w:tcW w:w="2127" w:type="dxa"/>
          </w:tcPr>
          <w:p w14:paraId="43474A1B" w14:textId="77777777" w:rsidR="00EE40E3" w:rsidRPr="00847B84" w:rsidRDefault="00EE40E3" w:rsidP="006848BD">
            <w:pPr>
              <w:spacing w:after="0" w:line="240" w:lineRule="auto"/>
              <w:ind w:left="357" w:hanging="357"/>
              <w:jc w:val="center"/>
            </w:pPr>
            <w:r w:rsidRPr="00847B84">
              <w:t>19</w:t>
            </w:r>
          </w:p>
        </w:tc>
      </w:tr>
      <w:tr w:rsidR="00EE40E3" w:rsidRPr="00847B84" w14:paraId="62C94F77" w14:textId="77777777" w:rsidTr="00A65112">
        <w:tc>
          <w:tcPr>
            <w:tcW w:w="7371" w:type="dxa"/>
          </w:tcPr>
          <w:p w14:paraId="1F68BFE1"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Inceysa</w:t>
            </w:r>
            <w:proofErr w:type="spellEnd"/>
            <w:r w:rsidRPr="00847B84">
              <w:rPr>
                <w:rFonts w:eastAsiaTheme="minorHAnsi"/>
                <w:sz w:val="24"/>
                <w:szCs w:val="24"/>
                <w14:ligatures w14:val="standardContextual"/>
              </w:rPr>
              <w:t xml:space="preserve"> </w:t>
            </w:r>
            <w:proofErr w:type="spellStart"/>
            <w:r w:rsidRPr="00847B84">
              <w:rPr>
                <w:rFonts w:eastAsiaTheme="minorHAnsi"/>
                <w:sz w:val="24"/>
                <w:szCs w:val="24"/>
                <w14:ligatures w14:val="standardContextual"/>
              </w:rPr>
              <w:t>Vallisoletana</w:t>
            </w:r>
            <w:proofErr w:type="spellEnd"/>
            <w:r w:rsidRPr="00847B84">
              <w:rPr>
                <w:rFonts w:eastAsiaTheme="minorHAnsi"/>
                <w:sz w:val="24"/>
                <w:szCs w:val="24"/>
                <w14:ligatures w14:val="standardContextual"/>
              </w:rPr>
              <w:t xml:space="preserve"> S.L. v. Republic of El Salvador, ICSID Case No. ARB/03/26, Award (2006).</w:t>
            </w:r>
          </w:p>
        </w:tc>
        <w:tc>
          <w:tcPr>
            <w:tcW w:w="2127" w:type="dxa"/>
          </w:tcPr>
          <w:p w14:paraId="1095ED9D" w14:textId="77777777" w:rsidR="00EE40E3" w:rsidRPr="00847B84" w:rsidRDefault="00EE40E3" w:rsidP="006848BD">
            <w:pPr>
              <w:spacing w:after="0" w:line="240" w:lineRule="auto"/>
              <w:ind w:left="357" w:hanging="357"/>
              <w:jc w:val="center"/>
            </w:pPr>
            <w:r w:rsidRPr="00847B84">
              <w:t>5</w:t>
            </w:r>
          </w:p>
        </w:tc>
      </w:tr>
      <w:tr w:rsidR="00EE40E3" w:rsidRPr="00847B84" w14:paraId="543A4A35" w14:textId="77777777" w:rsidTr="00A65112">
        <w:tc>
          <w:tcPr>
            <w:tcW w:w="7371" w:type="dxa"/>
          </w:tcPr>
          <w:p w14:paraId="5FFA613E"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 xml:space="preserve">K2 v. UK, Judgment, Application No. 42387/13, Eur. Ct. H.R. (2017). </w:t>
            </w:r>
          </w:p>
        </w:tc>
        <w:tc>
          <w:tcPr>
            <w:tcW w:w="2127" w:type="dxa"/>
          </w:tcPr>
          <w:p w14:paraId="23717FA3" w14:textId="77777777" w:rsidR="00EE40E3" w:rsidRPr="00847B84" w:rsidRDefault="00EE40E3" w:rsidP="006848BD">
            <w:pPr>
              <w:spacing w:after="0" w:line="240" w:lineRule="auto"/>
              <w:ind w:left="357" w:hanging="357"/>
              <w:jc w:val="center"/>
            </w:pPr>
            <w:r w:rsidRPr="00847B84">
              <w:t>16</w:t>
            </w:r>
          </w:p>
        </w:tc>
      </w:tr>
      <w:tr w:rsidR="00EE40E3" w:rsidRPr="00847B84" w14:paraId="360517B3" w14:textId="77777777" w:rsidTr="00A65112">
        <w:tc>
          <w:tcPr>
            <w:tcW w:w="7371" w:type="dxa"/>
          </w:tcPr>
          <w:p w14:paraId="5B3DC3B8" w14:textId="77777777" w:rsidR="00EE40E3" w:rsidRPr="00847B84" w:rsidRDefault="00EE40E3" w:rsidP="006848BD">
            <w:pPr>
              <w:pStyle w:val="FootnoteText"/>
              <w:spacing w:after="0"/>
              <w:ind w:left="720" w:hanging="720"/>
              <w:rPr>
                <w:rFonts w:eastAsiaTheme="minorHAnsi"/>
                <w:sz w:val="24"/>
                <w:szCs w:val="24"/>
                <w14:ligatures w14:val="standardContextual"/>
              </w:rPr>
            </w:pPr>
            <w:r w:rsidRPr="00847B84">
              <w:rPr>
                <w:i/>
                <w:iCs/>
                <w:color w:val="000000" w:themeColor="text1"/>
                <w:sz w:val="24"/>
                <w:szCs w:val="24"/>
                <w:shd w:val="clear" w:color="auto" w:fill="FFFFFF"/>
              </w:rPr>
              <w:t xml:space="preserve"> </w:t>
            </w:r>
            <w:proofErr w:type="spellStart"/>
            <w:r w:rsidRPr="00847B84">
              <w:rPr>
                <w:rFonts w:eastAsiaTheme="minorHAnsi"/>
                <w:sz w:val="24"/>
                <w:szCs w:val="24"/>
                <w14:ligatures w14:val="standardContextual"/>
              </w:rPr>
              <w:t>L’Erabliere</w:t>
            </w:r>
            <w:proofErr w:type="spellEnd"/>
            <w:r w:rsidRPr="00847B84">
              <w:rPr>
                <w:rFonts w:eastAsiaTheme="minorHAnsi"/>
                <w:sz w:val="24"/>
                <w:szCs w:val="24"/>
                <w14:ligatures w14:val="standardContextual"/>
              </w:rPr>
              <w:t xml:space="preserve"> A.S.B.L. v. Belgium, Judgment, Application No. 49230/07, Eur. Ct. H.R. (2009). </w:t>
            </w:r>
          </w:p>
        </w:tc>
        <w:tc>
          <w:tcPr>
            <w:tcW w:w="2127" w:type="dxa"/>
          </w:tcPr>
          <w:p w14:paraId="6B8A5C55" w14:textId="77777777" w:rsidR="00EE40E3" w:rsidRPr="00847B84" w:rsidRDefault="00EE40E3" w:rsidP="006848BD">
            <w:pPr>
              <w:spacing w:after="0" w:line="240" w:lineRule="auto"/>
              <w:ind w:left="357" w:hanging="357"/>
              <w:jc w:val="center"/>
            </w:pPr>
            <w:r w:rsidRPr="00847B84">
              <w:t>8</w:t>
            </w:r>
          </w:p>
        </w:tc>
      </w:tr>
      <w:tr w:rsidR="00EE40E3" w:rsidRPr="00847B84" w14:paraId="35CC2BDC" w14:textId="77777777" w:rsidTr="00A65112">
        <w:tc>
          <w:tcPr>
            <w:tcW w:w="7371" w:type="dxa"/>
          </w:tcPr>
          <w:p w14:paraId="7C6AFA60"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proofErr w:type="spellStart"/>
            <w:r w:rsidRPr="00847B84">
              <w:rPr>
                <w:rFonts w:eastAsiaTheme="minorHAnsi"/>
                <w14:ligatures w14:val="standardContextual"/>
              </w:rPr>
              <w:t>Laraba</w:t>
            </w:r>
            <w:proofErr w:type="spellEnd"/>
            <w:r w:rsidRPr="00847B84">
              <w:rPr>
                <w:rFonts w:eastAsiaTheme="minorHAnsi"/>
                <w14:ligatures w14:val="standardContextual"/>
              </w:rPr>
              <w:t xml:space="preserve"> v. Denmark, </w:t>
            </w:r>
            <w:proofErr w:type="spellStart"/>
            <w:r w:rsidRPr="00847B84">
              <w:rPr>
                <w:rFonts w:eastAsiaTheme="minorHAnsi"/>
                <w14:ligatures w14:val="standardContextual"/>
              </w:rPr>
              <w:t>Judgment,Application</w:t>
            </w:r>
            <w:proofErr w:type="spellEnd"/>
            <w:r w:rsidRPr="00847B84">
              <w:rPr>
                <w:rFonts w:eastAsiaTheme="minorHAnsi"/>
                <w14:ligatures w14:val="standardContextual"/>
              </w:rPr>
              <w:t xml:space="preserve"> No. 26781/19, Eur. Ct. H.R.  (2022). </w:t>
            </w:r>
          </w:p>
        </w:tc>
        <w:tc>
          <w:tcPr>
            <w:tcW w:w="2127" w:type="dxa"/>
          </w:tcPr>
          <w:p w14:paraId="2F14389A" w14:textId="77777777" w:rsidR="00EE40E3" w:rsidRPr="00847B84" w:rsidRDefault="00EE40E3" w:rsidP="006848BD">
            <w:pPr>
              <w:spacing w:after="0" w:line="240" w:lineRule="auto"/>
              <w:ind w:left="357" w:hanging="357"/>
              <w:jc w:val="center"/>
            </w:pPr>
            <w:r w:rsidRPr="00847B84">
              <w:t>16, 17</w:t>
            </w:r>
          </w:p>
        </w:tc>
      </w:tr>
      <w:tr w:rsidR="00EE40E3" w:rsidRPr="00847B84" w14:paraId="75363A71" w14:textId="77777777" w:rsidTr="00A65112">
        <w:tc>
          <w:tcPr>
            <w:tcW w:w="7371" w:type="dxa"/>
          </w:tcPr>
          <w:p w14:paraId="74BB6E6F"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Merge Case, Decision No. 55, 14 R.I.A.A. 236 (Italian-United States Conciliation Commission). </w:t>
            </w:r>
          </w:p>
        </w:tc>
        <w:tc>
          <w:tcPr>
            <w:tcW w:w="2127" w:type="dxa"/>
          </w:tcPr>
          <w:p w14:paraId="55889E85" w14:textId="77777777" w:rsidR="00EE40E3" w:rsidRPr="00847B84" w:rsidRDefault="00EE40E3" w:rsidP="006848BD">
            <w:pPr>
              <w:spacing w:after="0" w:line="240" w:lineRule="auto"/>
              <w:ind w:left="357" w:hanging="357"/>
              <w:jc w:val="center"/>
            </w:pPr>
            <w:r w:rsidRPr="00847B84">
              <w:t>21</w:t>
            </w:r>
          </w:p>
        </w:tc>
      </w:tr>
      <w:tr w:rsidR="00EE40E3" w:rsidRPr="00847B84" w14:paraId="7C26C3A2" w14:textId="77777777" w:rsidTr="00A65112">
        <w:tc>
          <w:tcPr>
            <w:tcW w:w="7371" w:type="dxa"/>
          </w:tcPr>
          <w:p w14:paraId="3C6CF0FF"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 xml:space="preserve">Opinion of AG </w:t>
            </w:r>
            <w:proofErr w:type="spellStart"/>
            <w:r w:rsidRPr="00847B84">
              <w:rPr>
                <w:rFonts w:eastAsiaTheme="minorHAnsi"/>
                <w14:ligatures w14:val="standardContextual"/>
              </w:rPr>
              <w:t>Tesaurio</w:t>
            </w:r>
            <w:proofErr w:type="spellEnd"/>
            <w:r w:rsidRPr="00847B84">
              <w:rPr>
                <w:rFonts w:eastAsiaTheme="minorHAnsi"/>
                <w14:ligatures w14:val="standardContextual"/>
              </w:rPr>
              <w:t xml:space="preserve"> in Case C-369/90 </w:t>
            </w:r>
            <w:proofErr w:type="spellStart"/>
            <w:r w:rsidRPr="00847B84">
              <w:rPr>
                <w:rFonts w:eastAsiaTheme="minorHAnsi"/>
                <w14:ligatures w14:val="standardContextual"/>
              </w:rPr>
              <w:t>Micheletti</w:t>
            </w:r>
            <w:proofErr w:type="spellEnd"/>
            <w:r w:rsidRPr="00847B84">
              <w:rPr>
                <w:rFonts w:eastAsiaTheme="minorHAnsi"/>
                <w14:ligatures w14:val="standardContextual"/>
              </w:rPr>
              <w:t xml:space="preserve"> 1992 ECR I-4239.</w:t>
            </w:r>
          </w:p>
        </w:tc>
        <w:tc>
          <w:tcPr>
            <w:tcW w:w="2127" w:type="dxa"/>
          </w:tcPr>
          <w:p w14:paraId="3A662859" w14:textId="77777777" w:rsidR="00EE40E3" w:rsidRPr="00847B84" w:rsidRDefault="00EE40E3" w:rsidP="006848BD">
            <w:pPr>
              <w:spacing w:after="0" w:line="240" w:lineRule="auto"/>
              <w:ind w:left="357" w:hanging="357"/>
              <w:jc w:val="center"/>
            </w:pPr>
            <w:r w:rsidRPr="00847B84">
              <w:t>20</w:t>
            </w:r>
          </w:p>
        </w:tc>
      </w:tr>
      <w:tr w:rsidR="00EE40E3" w:rsidRPr="00847B84" w14:paraId="57B4036D" w14:textId="77777777" w:rsidTr="00A65112">
        <w:tc>
          <w:tcPr>
            <w:tcW w:w="7371" w:type="dxa"/>
          </w:tcPr>
          <w:p w14:paraId="762C0DDE"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proofErr w:type="spellStart"/>
            <w:r w:rsidRPr="00847B84">
              <w:rPr>
                <w:rFonts w:eastAsiaTheme="minorHAnsi"/>
                <w14:ligatures w14:val="standardContextual"/>
              </w:rPr>
              <w:t>Perinçek</w:t>
            </w:r>
            <w:proofErr w:type="spellEnd"/>
            <w:r w:rsidRPr="00847B84">
              <w:rPr>
                <w:rFonts w:eastAsiaTheme="minorHAnsi"/>
                <w14:ligatures w14:val="standardContextual"/>
              </w:rPr>
              <w:t xml:space="preserve"> v. Switzerland, Judgment, Application No. 2715/80, Eur. Ct. H.R. (2015). </w:t>
            </w:r>
          </w:p>
        </w:tc>
        <w:tc>
          <w:tcPr>
            <w:tcW w:w="2127" w:type="dxa"/>
          </w:tcPr>
          <w:p w14:paraId="131CECC5" w14:textId="77777777" w:rsidR="00EE40E3" w:rsidRPr="00847B84" w:rsidRDefault="00EE40E3" w:rsidP="006848BD">
            <w:pPr>
              <w:spacing w:after="0" w:line="240" w:lineRule="auto"/>
              <w:ind w:left="357" w:hanging="357"/>
              <w:jc w:val="center"/>
            </w:pPr>
            <w:r w:rsidRPr="00847B84">
              <w:t>16</w:t>
            </w:r>
          </w:p>
        </w:tc>
      </w:tr>
      <w:tr w:rsidR="00EE40E3" w:rsidRPr="00847B84" w14:paraId="196EC3C0" w14:textId="77777777" w:rsidTr="00A65112">
        <w:tc>
          <w:tcPr>
            <w:tcW w:w="7371" w:type="dxa"/>
          </w:tcPr>
          <w:p w14:paraId="2FF45FD7"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proofErr w:type="spellStart"/>
            <w:r w:rsidRPr="00847B84">
              <w:rPr>
                <w:rFonts w:eastAsiaTheme="minorHAnsi"/>
                <w14:ligatures w14:val="standardContextual"/>
              </w:rPr>
              <w:t>Petropavlovskis</w:t>
            </w:r>
            <w:proofErr w:type="spellEnd"/>
            <w:r w:rsidRPr="00847B84">
              <w:rPr>
                <w:rFonts w:eastAsiaTheme="minorHAnsi"/>
                <w14:ligatures w14:val="standardContextual"/>
              </w:rPr>
              <w:t xml:space="preserve"> v. Latvia, Judgment, Application No. 44230/06, Eur. Ct. H.R. (2015).</w:t>
            </w:r>
          </w:p>
        </w:tc>
        <w:tc>
          <w:tcPr>
            <w:tcW w:w="2127" w:type="dxa"/>
          </w:tcPr>
          <w:p w14:paraId="4D0D7C84" w14:textId="77777777" w:rsidR="00EE40E3" w:rsidRPr="00847B84" w:rsidRDefault="00EE40E3" w:rsidP="006848BD">
            <w:pPr>
              <w:spacing w:after="0" w:line="240" w:lineRule="auto"/>
              <w:ind w:left="357" w:hanging="357"/>
              <w:jc w:val="center"/>
            </w:pPr>
            <w:r w:rsidRPr="00847B84">
              <w:t>12</w:t>
            </w:r>
          </w:p>
        </w:tc>
      </w:tr>
      <w:tr w:rsidR="00EE40E3" w:rsidRPr="00847B84" w14:paraId="55C603F9" w14:textId="77777777" w:rsidTr="00A65112">
        <w:tc>
          <w:tcPr>
            <w:tcW w:w="7371" w:type="dxa"/>
          </w:tcPr>
          <w:p w14:paraId="49585086"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t xml:space="preserve">Ramadan v. Malta, Judgment, Application No. 76136/12, </w:t>
            </w:r>
            <w:r w:rsidRPr="00847B84">
              <w:rPr>
                <w:rFonts w:eastAsiaTheme="minorHAnsi"/>
                <w14:ligatures w14:val="standardContextual"/>
              </w:rPr>
              <w:t xml:space="preserve">Eur. Ct. H.R. </w:t>
            </w:r>
            <w:r w:rsidRPr="00847B84">
              <w:rPr>
                <w:color w:val="202124"/>
              </w:rPr>
              <w:t>(2016</w:t>
            </w:r>
          </w:p>
        </w:tc>
        <w:tc>
          <w:tcPr>
            <w:tcW w:w="2127" w:type="dxa"/>
          </w:tcPr>
          <w:p w14:paraId="5C161239" w14:textId="77777777" w:rsidR="00EE40E3" w:rsidRPr="00847B84" w:rsidRDefault="00EE40E3" w:rsidP="006848BD">
            <w:pPr>
              <w:spacing w:after="0" w:line="240" w:lineRule="auto"/>
              <w:ind w:left="357" w:hanging="357"/>
              <w:jc w:val="center"/>
            </w:pPr>
            <w:r w:rsidRPr="00847B84">
              <w:t>16</w:t>
            </w:r>
          </w:p>
        </w:tc>
      </w:tr>
      <w:tr w:rsidR="00EE40E3" w:rsidRPr="00847B84" w14:paraId="020DDE54" w14:textId="77777777" w:rsidTr="00A65112">
        <w:tc>
          <w:tcPr>
            <w:tcW w:w="7371" w:type="dxa"/>
          </w:tcPr>
          <w:p w14:paraId="28935D8C" w14:textId="77777777" w:rsidR="00EE40E3" w:rsidRPr="00847B84" w:rsidRDefault="00EE40E3" w:rsidP="006848BD">
            <w:pPr>
              <w:pStyle w:val="FootnoteText"/>
              <w:spacing w:after="0"/>
              <w:ind w:left="720" w:hanging="720"/>
              <w:rPr>
                <w:i/>
                <w:iCs/>
                <w:sz w:val="24"/>
                <w:szCs w:val="24"/>
              </w:rPr>
            </w:pPr>
            <w:r w:rsidRPr="00847B84">
              <w:rPr>
                <w:rFonts w:eastAsiaTheme="minorHAnsi"/>
                <w:sz w:val="24"/>
                <w:szCs w:val="24"/>
                <w14:ligatures w14:val="standardContextual"/>
              </w:rPr>
              <w:t>Russian Claim for Interests on Indemnities (Russia/Turkey), PCA 1910-02, Award (1912).</w:t>
            </w:r>
          </w:p>
        </w:tc>
        <w:tc>
          <w:tcPr>
            <w:tcW w:w="2127" w:type="dxa"/>
          </w:tcPr>
          <w:p w14:paraId="38788187" w14:textId="77777777" w:rsidR="00EE40E3" w:rsidRPr="00847B84" w:rsidRDefault="00EE40E3" w:rsidP="006848BD">
            <w:pPr>
              <w:spacing w:after="0" w:line="240" w:lineRule="auto"/>
              <w:ind w:left="357" w:hanging="357"/>
              <w:jc w:val="center"/>
            </w:pPr>
            <w:r w:rsidRPr="00847B84">
              <w:t>23</w:t>
            </w:r>
          </w:p>
        </w:tc>
      </w:tr>
      <w:tr w:rsidR="00EE40E3" w:rsidRPr="00847B84" w14:paraId="5DE3D718" w14:textId="77777777" w:rsidTr="00A65112">
        <w:tc>
          <w:tcPr>
            <w:tcW w:w="7371" w:type="dxa"/>
          </w:tcPr>
          <w:p w14:paraId="6916FE86"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Şahin</w:t>
            </w:r>
            <w:proofErr w:type="spellEnd"/>
            <w:r w:rsidRPr="00847B84">
              <w:rPr>
                <w:rFonts w:eastAsiaTheme="minorHAnsi"/>
                <w:sz w:val="24"/>
                <w:szCs w:val="24"/>
                <w14:ligatures w14:val="standardContextual"/>
              </w:rPr>
              <w:t xml:space="preserve"> v. Turkey, Judgment, Application No. 44774/98, Eur. Ct. H.R., (2014).</w:t>
            </w:r>
          </w:p>
        </w:tc>
        <w:tc>
          <w:tcPr>
            <w:tcW w:w="2127" w:type="dxa"/>
          </w:tcPr>
          <w:p w14:paraId="322F5BDC" w14:textId="77777777" w:rsidR="00EE40E3" w:rsidRPr="00847B84" w:rsidRDefault="00EE40E3" w:rsidP="006848BD">
            <w:pPr>
              <w:spacing w:after="0" w:line="240" w:lineRule="auto"/>
              <w:ind w:left="357" w:hanging="357"/>
              <w:jc w:val="center"/>
            </w:pPr>
            <w:r w:rsidRPr="00847B84">
              <w:t>14</w:t>
            </w:r>
          </w:p>
        </w:tc>
      </w:tr>
      <w:tr w:rsidR="00EE40E3" w:rsidRPr="00847B84" w14:paraId="6E7D8D40" w14:textId="77777777" w:rsidTr="00A65112">
        <w:tc>
          <w:tcPr>
            <w:tcW w:w="7371" w:type="dxa"/>
          </w:tcPr>
          <w:p w14:paraId="08BF9B33"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Şahin</w:t>
            </w:r>
            <w:proofErr w:type="spellEnd"/>
            <w:r w:rsidRPr="00847B84">
              <w:rPr>
                <w:rFonts w:eastAsiaTheme="minorHAnsi"/>
                <w:sz w:val="24"/>
                <w:szCs w:val="24"/>
                <w14:ligatures w14:val="standardContextual"/>
              </w:rPr>
              <w:t xml:space="preserve"> v. Turkey, Judgment, Application No. 13279/05, Eur. Ct. H.R.  (2011). </w:t>
            </w:r>
          </w:p>
        </w:tc>
        <w:tc>
          <w:tcPr>
            <w:tcW w:w="2127" w:type="dxa"/>
          </w:tcPr>
          <w:p w14:paraId="39B1A116" w14:textId="77777777" w:rsidR="00EE40E3" w:rsidRPr="00847B84" w:rsidRDefault="00EE40E3" w:rsidP="006848BD">
            <w:pPr>
              <w:spacing w:after="0" w:line="240" w:lineRule="auto"/>
              <w:ind w:left="357" w:hanging="357"/>
              <w:jc w:val="center"/>
            </w:pPr>
            <w:r w:rsidRPr="00847B84">
              <w:t>11</w:t>
            </w:r>
          </w:p>
        </w:tc>
      </w:tr>
      <w:tr w:rsidR="00EE40E3" w:rsidRPr="00847B84" w14:paraId="218C975E" w14:textId="77777777" w:rsidTr="00A65112">
        <w:tc>
          <w:tcPr>
            <w:tcW w:w="7371" w:type="dxa"/>
          </w:tcPr>
          <w:p w14:paraId="61A0BC4B" w14:textId="77777777" w:rsidR="00EE40E3" w:rsidRPr="00847B84" w:rsidRDefault="00EE40E3" w:rsidP="006848BD">
            <w:pPr>
              <w:pStyle w:val="FootnoteText"/>
              <w:spacing w:after="0"/>
              <w:ind w:left="720" w:hanging="720"/>
              <w:rPr>
                <w:rFonts w:eastAsiaTheme="minorHAnsi"/>
                <w:sz w:val="24"/>
                <w:szCs w:val="24"/>
                <w14:ligatures w14:val="standardContextual"/>
              </w:rPr>
            </w:pPr>
            <w:proofErr w:type="spellStart"/>
            <w:r w:rsidRPr="00847B84">
              <w:rPr>
                <w:rFonts w:eastAsiaTheme="minorHAnsi"/>
                <w:sz w:val="24"/>
                <w:szCs w:val="24"/>
                <w14:ligatures w14:val="standardContextual"/>
              </w:rPr>
              <w:t>Söderman</w:t>
            </w:r>
            <w:proofErr w:type="spellEnd"/>
            <w:r w:rsidRPr="00847B84">
              <w:rPr>
                <w:rFonts w:eastAsiaTheme="minorHAnsi"/>
                <w:sz w:val="24"/>
                <w:szCs w:val="24"/>
                <w14:ligatures w14:val="standardContextual"/>
              </w:rPr>
              <w:t xml:space="preserve"> v. Sweden,  Judgment, Application No. 5786/08, Eur. Ct. H.R. (2013).</w:t>
            </w:r>
          </w:p>
        </w:tc>
        <w:tc>
          <w:tcPr>
            <w:tcW w:w="2127" w:type="dxa"/>
          </w:tcPr>
          <w:p w14:paraId="6E648699" w14:textId="77777777" w:rsidR="00EE40E3" w:rsidRPr="00847B84" w:rsidRDefault="00EE40E3" w:rsidP="006848BD">
            <w:pPr>
              <w:spacing w:after="0" w:line="240" w:lineRule="auto"/>
              <w:ind w:left="357" w:hanging="357"/>
              <w:jc w:val="center"/>
            </w:pPr>
            <w:r w:rsidRPr="00847B84">
              <w:t>11</w:t>
            </w:r>
          </w:p>
        </w:tc>
      </w:tr>
      <w:tr w:rsidR="00EE40E3" w:rsidRPr="00847B84" w14:paraId="67B5D290" w14:textId="77777777" w:rsidTr="00A65112">
        <w:tc>
          <w:tcPr>
            <w:tcW w:w="7371" w:type="dxa"/>
          </w:tcPr>
          <w:p w14:paraId="2997A753" w14:textId="77777777" w:rsidR="00EE40E3" w:rsidRPr="00847B84" w:rsidRDefault="00EE40E3"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t>The Pious Fund Case (U.S./Mexico), 9 R.I.A.A. 1-14, Award (1902).</w:t>
            </w:r>
          </w:p>
        </w:tc>
        <w:tc>
          <w:tcPr>
            <w:tcW w:w="2127" w:type="dxa"/>
          </w:tcPr>
          <w:p w14:paraId="39FADB24" w14:textId="77777777" w:rsidR="00EE40E3" w:rsidRPr="00847B84" w:rsidRDefault="00EE40E3" w:rsidP="006848BD">
            <w:pPr>
              <w:spacing w:after="0" w:line="240" w:lineRule="auto"/>
              <w:ind w:left="357" w:hanging="357"/>
              <w:jc w:val="center"/>
            </w:pPr>
            <w:r w:rsidRPr="00847B84">
              <w:t>23</w:t>
            </w:r>
          </w:p>
        </w:tc>
      </w:tr>
      <w:tr w:rsidR="00EE40E3" w:rsidRPr="00847B84" w14:paraId="0D625FD7" w14:textId="77777777" w:rsidTr="00A65112">
        <w:tc>
          <w:tcPr>
            <w:tcW w:w="7371" w:type="dxa"/>
          </w:tcPr>
          <w:p w14:paraId="6EC645C2" w14:textId="0AEACB2D" w:rsidR="00EE40E3" w:rsidRPr="00847B84" w:rsidRDefault="00EE40E3" w:rsidP="006848BD">
            <w:pPr>
              <w:pStyle w:val="FootnoteText"/>
              <w:spacing w:after="0"/>
              <w:ind w:left="720" w:hanging="720"/>
              <w:rPr>
                <w:rFonts w:eastAsiaTheme="minorHAnsi"/>
                <w:sz w:val="24"/>
                <w:szCs w:val="24"/>
                <w14:ligatures w14:val="standardContextual"/>
              </w:rPr>
            </w:pPr>
            <w:r w:rsidRPr="00847B84">
              <w:rPr>
                <w:rFonts w:eastAsiaTheme="minorHAnsi"/>
                <w:sz w:val="24"/>
                <w:szCs w:val="24"/>
                <w14:ligatures w14:val="standardContextual"/>
              </w:rPr>
              <w:t xml:space="preserve">Yean and </w:t>
            </w:r>
            <w:proofErr w:type="spellStart"/>
            <w:r w:rsidRPr="00847B84">
              <w:rPr>
                <w:rFonts w:eastAsiaTheme="minorHAnsi"/>
                <w:sz w:val="24"/>
                <w:szCs w:val="24"/>
                <w14:ligatures w14:val="standardContextual"/>
              </w:rPr>
              <w:t>Bosico</w:t>
            </w:r>
            <w:proofErr w:type="spellEnd"/>
            <w:r w:rsidRPr="00847B84">
              <w:rPr>
                <w:rFonts w:eastAsiaTheme="minorHAnsi"/>
                <w:sz w:val="24"/>
                <w:szCs w:val="24"/>
                <w14:ligatures w14:val="standardContextual"/>
              </w:rPr>
              <w:t xml:space="preserve"> Children v. The Dominican Republic, Judgment, </w:t>
            </w:r>
            <w:proofErr w:type="spellStart"/>
            <w:r w:rsidRPr="00847B84">
              <w:rPr>
                <w:rFonts w:eastAsiaTheme="minorHAnsi"/>
                <w:sz w:val="24"/>
                <w:szCs w:val="24"/>
                <w14:ligatures w14:val="standardContextual"/>
              </w:rPr>
              <w:t>IACrtHR</w:t>
            </w:r>
            <w:proofErr w:type="spellEnd"/>
            <w:r w:rsidRPr="00847B84">
              <w:rPr>
                <w:rFonts w:eastAsiaTheme="minorHAnsi"/>
                <w:sz w:val="24"/>
                <w:szCs w:val="24"/>
                <w14:ligatures w14:val="standardContextual"/>
              </w:rPr>
              <w:t xml:space="preserve"> (2005).</w:t>
            </w:r>
          </w:p>
        </w:tc>
        <w:tc>
          <w:tcPr>
            <w:tcW w:w="2127" w:type="dxa"/>
          </w:tcPr>
          <w:p w14:paraId="476F216E" w14:textId="77777777" w:rsidR="00EE40E3" w:rsidRPr="00847B84" w:rsidRDefault="00EE40E3" w:rsidP="006848BD">
            <w:pPr>
              <w:spacing w:after="0" w:line="240" w:lineRule="auto"/>
              <w:ind w:left="357" w:hanging="357"/>
              <w:jc w:val="center"/>
            </w:pPr>
            <w:r w:rsidRPr="00847B84">
              <w:t>9</w:t>
            </w:r>
          </w:p>
        </w:tc>
      </w:tr>
      <w:tr w:rsidR="00EE40E3" w:rsidRPr="00847B84" w14:paraId="165CC545" w14:textId="77777777" w:rsidTr="00A65112">
        <w:tc>
          <w:tcPr>
            <w:tcW w:w="7371" w:type="dxa"/>
          </w:tcPr>
          <w:p w14:paraId="41D8295B" w14:textId="77777777" w:rsidR="006848BD" w:rsidRPr="00847B84" w:rsidRDefault="006848BD" w:rsidP="006848BD">
            <w:pPr>
              <w:spacing w:after="0" w:line="240" w:lineRule="auto"/>
              <w:ind w:left="357" w:hanging="357"/>
              <w:jc w:val="center"/>
              <w:rPr>
                <w:b/>
                <w:bCs/>
                <w:i/>
                <w:iCs/>
              </w:rPr>
            </w:pPr>
          </w:p>
          <w:p w14:paraId="42A0C150" w14:textId="77777777" w:rsidR="00EE40E3" w:rsidRPr="00847B84" w:rsidRDefault="00EE40E3" w:rsidP="006848BD">
            <w:pPr>
              <w:spacing w:after="0" w:line="240" w:lineRule="auto"/>
              <w:ind w:left="357" w:hanging="357"/>
              <w:jc w:val="center"/>
              <w:rPr>
                <w:b/>
                <w:bCs/>
                <w:i/>
                <w:iCs/>
              </w:rPr>
            </w:pPr>
            <w:r w:rsidRPr="00847B84">
              <w:rPr>
                <w:b/>
                <w:bCs/>
                <w:i/>
                <w:iCs/>
              </w:rPr>
              <w:t>National Case Law</w:t>
            </w:r>
          </w:p>
          <w:p w14:paraId="2AF7E1CF" w14:textId="0451668F" w:rsidR="006848BD" w:rsidRPr="00847B84" w:rsidRDefault="006848BD" w:rsidP="006848BD">
            <w:pPr>
              <w:spacing w:after="0" w:line="240" w:lineRule="auto"/>
              <w:ind w:left="357" w:hanging="357"/>
              <w:jc w:val="center"/>
              <w:rPr>
                <w:b/>
                <w:bCs/>
                <w:i/>
                <w:iCs/>
              </w:rPr>
            </w:pPr>
          </w:p>
        </w:tc>
        <w:tc>
          <w:tcPr>
            <w:tcW w:w="2127" w:type="dxa"/>
          </w:tcPr>
          <w:p w14:paraId="029E84E4" w14:textId="77777777" w:rsidR="00EE40E3" w:rsidRPr="00847B84" w:rsidRDefault="00EE40E3" w:rsidP="006848BD">
            <w:pPr>
              <w:spacing w:after="0" w:line="240" w:lineRule="auto"/>
              <w:ind w:left="357" w:hanging="357"/>
              <w:jc w:val="center"/>
            </w:pPr>
          </w:p>
        </w:tc>
      </w:tr>
      <w:tr w:rsidR="00EE40E3" w:rsidRPr="00847B84" w14:paraId="0E283C25" w14:textId="77777777" w:rsidTr="00A65112">
        <w:tc>
          <w:tcPr>
            <w:tcW w:w="7371" w:type="dxa"/>
          </w:tcPr>
          <w:p w14:paraId="0008A284"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Begum v. Secretary of State for the Home Department, UKSC 2020/0158, Supreme Court (2021).</w:t>
            </w:r>
          </w:p>
        </w:tc>
        <w:tc>
          <w:tcPr>
            <w:tcW w:w="2127" w:type="dxa"/>
          </w:tcPr>
          <w:p w14:paraId="664F6024" w14:textId="77777777" w:rsidR="00EE40E3" w:rsidRPr="00847B84" w:rsidRDefault="00EE40E3" w:rsidP="006848BD">
            <w:pPr>
              <w:spacing w:after="0" w:line="240" w:lineRule="auto"/>
              <w:ind w:left="357" w:hanging="357"/>
              <w:jc w:val="center"/>
            </w:pPr>
            <w:r w:rsidRPr="00847B84">
              <w:t>12</w:t>
            </w:r>
          </w:p>
        </w:tc>
      </w:tr>
      <w:tr w:rsidR="00EE40E3" w:rsidRPr="00847B84" w14:paraId="611FE55E" w14:textId="77777777" w:rsidTr="00A65112">
        <w:tc>
          <w:tcPr>
            <w:tcW w:w="7371" w:type="dxa"/>
          </w:tcPr>
          <w:p w14:paraId="38980A3E" w14:textId="77777777" w:rsidR="00EE40E3" w:rsidRPr="00847B84" w:rsidRDefault="00EE40E3" w:rsidP="006848BD">
            <w:pPr>
              <w:spacing w:after="0" w:line="240" w:lineRule="auto"/>
              <w:ind w:left="720" w:hanging="720"/>
              <w:rPr>
                <w:lang w:val="en-US"/>
              </w:rPr>
            </w:pPr>
            <w:r w:rsidRPr="00847B84">
              <w:rPr>
                <w:rFonts w:eastAsiaTheme="minorHAnsi"/>
                <w14:ligatures w14:val="standardContextual"/>
              </w:rPr>
              <w:t>Friends of the Irish Environment CLG v. The Government of Ireland, Appeal No. 205/19, IESC 49 (2020).</w:t>
            </w:r>
          </w:p>
        </w:tc>
        <w:tc>
          <w:tcPr>
            <w:tcW w:w="2127" w:type="dxa"/>
          </w:tcPr>
          <w:p w14:paraId="3BCDCC35" w14:textId="77777777" w:rsidR="00EE40E3" w:rsidRPr="00847B84" w:rsidRDefault="00EE40E3" w:rsidP="006848BD">
            <w:pPr>
              <w:spacing w:after="0" w:line="240" w:lineRule="auto"/>
              <w:ind w:left="357" w:hanging="357"/>
              <w:jc w:val="center"/>
            </w:pPr>
            <w:r w:rsidRPr="00847B84">
              <w:t>6</w:t>
            </w:r>
          </w:p>
        </w:tc>
      </w:tr>
      <w:tr w:rsidR="00EE40E3" w:rsidRPr="00847B84" w14:paraId="75444A67" w14:textId="77777777" w:rsidTr="00A65112">
        <w:tc>
          <w:tcPr>
            <w:tcW w:w="7371" w:type="dxa"/>
          </w:tcPr>
          <w:p w14:paraId="1FAF385E"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proofErr w:type="spellStart"/>
            <w:r w:rsidRPr="00847B84">
              <w:rPr>
                <w:rFonts w:eastAsiaTheme="minorHAnsi"/>
                <w14:ligatures w14:val="standardContextual"/>
              </w:rPr>
              <w:t>Katjivena</w:t>
            </w:r>
            <w:proofErr w:type="spellEnd"/>
            <w:r w:rsidRPr="00847B84">
              <w:rPr>
                <w:rFonts w:eastAsiaTheme="minorHAnsi"/>
                <w14:ligatures w14:val="standardContextual"/>
              </w:rPr>
              <w:t xml:space="preserve"> v. Prime Minister of Namibia, A/265/2014, NAHCMD 146 (2016).</w:t>
            </w:r>
          </w:p>
        </w:tc>
        <w:tc>
          <w:tcPr>
            <w:tcW w:w="2127" w:type="dxa"/>
          </w:tcPr>
          <w:p w14:paraId="2012333C" w14:textId="77777777" w:rsidR="00EE40E3" w:rsidRPr="00847B84" w:rsidRDefault="00EE40E3" w:rsidP="006848BD">
            <w:pPr>
              <w:spacing w:after="0" w:line="240" w:lineRule="auto"/>
              <w:ind w:left="357" w:hanging="357"/>
              <w:jc w:val="center"/>
            </w:pPr>
            <w:r w:rsidRPr="00847B84">
              <w:t>6</w:t>
            </w:r>
          </w:p>
        </w:tc>
      </w:tr>
      <w:tr w:rsidR="00EE40E3" w:rsidRPr="00847B84" w14:paraId="344ED60A" w14:textId="77777777" w:rsidTr="00A65112">
        <w:tc>
          <w:tcPr>
            <w:tcW w:w="7371" w:type="dxa"/>
          </w:tcPr>
          <w:p w14:paraId="57E747CE" w14:textId="77777777" w:rsidR="00EE40E3" w:rsidRPr="00847B84" w:rsidRDefault="00EE40E3" w:rsidP="006848BD">
            <w:pPr>
              <w:spacing w:after="0" w:line="240" w:lineRule="auto"/>
              <w:ind w:left="720" w:hanging="720"/>
              <w:rPr>
                <w:i/>
                <w:iCs/>
              </w:rPr>
            </w:pPr>
            <w:r w:rsidRPr="00847B84">
              <w:rPr>
                <w:rFonts w:eastAsiaTheme="minorHAnsi"/>
                <w14:ligatures w14:val="standardContextual"/>
              </w:rPr>
              <w:t xml:space="preserve">Slovenian Constitutional Court No. Up-29/93 of 1995, </w:t>
            </w:r>
            <w:proofErr w:type="spellStart"/>
            <w:r w:rsidRPr="00847B84">
              <w:rPr>
                <w:rFonts w:eastAsiaTheme="minorHAnsi"/>
                <w14:ligatures w14:val="standardContextual"/>
              </w:rPr>
              <w:t>OdlUS</w:t>
            </w:r>
            <w:proofErr w:type="spellEnd"/>
            <w:r w:rsidRPr="00847B84">
              <w:rPr>
                <w:rFonts w:eastAsiaTheme="minorHAnsi"/>
                <w14:ligatures w14:val="standardContextual"/>
              </w:rPr>
              <w:t xml:space="preserve"> IV, 155 and No. Up-60/94 (1997).</w:t>
            </w:r>
          </w:p>
        </w:tc>
        <w:tc>
          <w:tcPr>
            <w:tcW w:w="2127" w:type="dxa"/>
          </w:tcPr>
          <w:p w14:paraId="5EBA8360" w14:textId="77777777" w:rsidR="00EE40E3" w:rsidRPr="00847B84" w:rsidRDefault="00EE40E3" w:rsidP="006848BD">
            <w:pPr>
              <w:spacing w:after="0" w:line="240" w:lineRule="auto"/>
              <w:ind w:left="357" w:hanging="357"/>
              <w:jc w:val="center"/>
            </w:pPr>
            <w:r w:rsidRPr="00847B84">
              <w:t>6</w:t>
            </w:r>
          </w:p>
        </w:tc>
      </w:tr>
      <w:tr w:rsidR="00EE40E3" w:rsidRPr="00847B84" w14:paraId="53B7DC9D" w14:textId="77777777" w:rsidTr="00A65112">
        <w:tc>
          <w:tcPr>
            <w:tcW w:w="7371" w:type="dxa"/>
          </w:tcPr>
          <w:p w14:paraId="2023BCCD" w14:textId="77777777" w:rsidR="006848BD" w:rsidRPr="00847B84" w:rsidRDefault="006848BD" w:rsidP="006848BD">
            <w:pPr>
              <w:spacing w:after="0" w:line="240" w:lineRule="auto"/>
              <w:ind w:left="357" w:hanging="357"/>
              <w:jc w:val="center"/>
              <w:rPr>
                <w:b/>
                <w:bCs/>
                <w:smallCaps/>
              </w:rPr>
            </w:pPr>
          </w:p>
          <w:p w14:paraId="4F760125" w14:textId="2C24F04E" w:rsidR="00EE40E3" w:rsidRPr="00847B84" w:rsidRDefault="00EE40E3" w:rsidP="006848BD">
            <w:pPr>
              <w:spacing w:after="0" w:line="240" w:lineRule="auto"/>
              <w:ind w:left="357" w:hanging="357"/>
              <w:jc w:val="center"/>
              <w:rPr>
                <w:b/>
                <w:bCs/>
                <w:smallCaps/>
              </w:rPr>
            </w:pPr>
            <w:r w:rsidRPr="00847B84">
              <w:rPr>
                <w:b/>
                <w:bCs/>
                <w:smallCaps/>
              </w:rPr>
              <w:t>Books</w:t>
            </w:r>
          </w:p>
          <w:p w14:paraId="7D16B52A" w14:textId="77777777" w:rsidR="00EE40E3" w:rsidRPr="00847B84" w:rsidRDefault="00EE40E3" w:rsidP="006848BD">
            <w:pPr>
              <w:spacing w:after="0" w:line="240" w:lineRule="auto"/>
              <w:ind w:left="357" w:hanging="357"/>
              <w:jc w:val="center"/>
            </w:pPr>
          </w:p>
        </w:tc>
        <w:tc>
          <w:tcPr>
            <w:tcW w:w="2127" w:type="dxa"/>
          </w:tcPr>
          <w:p w14:paraId="6B310C75" w14:textId="77777777" w:rsidR="00EE40E3" w:rsidRPr="00847B84" w:rsidRDefault="00EE40E3" w:rsidP="006848BD">
            <w:pPr>
              <w:spacing w:after="0" w:line="240" w:lineRule="auto"/>
              <w:ind w:left="357" w:hanging="357"/>
              <w:jc w:val="center"/>
            </w:pPr>
          </w:p>
        </w:tc>
      </w:tr>
      <w:tr w:rsidR="00EE40E3" w:rsidRPr="00847B84" w14:paraId="2AB5AF21" w14:textId="77777777" w:rsidTr="00A65112">
        <w:tc>
          <w:tcPr>
            <w:tcW w:w="7371" w:type="dxa"/>
          </w:tcPr>
          <w:p w14:paraId="4F975378" w14:textId="77777777" w:rsidR="00EE40E3" w:rsidRPr="00847B84" w:rsidRDefault="00EE40E3" w:rsidP="006848BD">
            <w:pPr>
              <w:pStyle w:val="FootnoteText"/>
              <w:spacing w:after="0"/>
              <w:ind w:left="720" w:hanging="720"/>
              <w:rPr>
                <w:smallCaps/>
                <w:color w:val="383838"/>
                <w:sz w:val="24"/>
                <w:szCs w:val="24"/>
                <w:shd w:val="clear" w:color="auto" w:fill="FFFFFF"/>
              </w:rPr>
            </w:pPr>
            <w:r w:rsidRPr="00847B84">
              <w:rPr>
                <w:smallCaps/>
                <w:color w:val="383838"/>
                <w:sz w:val="24"/>
                <w:szCs w:val="24"/>
                <w:shd w:val="clear" w:color="auto" w:fill="FFFFFF"/>
              </w:rPr>
              <w:t xml:space="preserve">Ahmadov, The Right of </w:t>
            </w:r>
            <w:proofErr w:type="spellStart"/>
            <w:r w:rsidRPr="00847B84">
              <w:rPr>
                <w:i/>
                <w:iCs/>
                <w:smallCaps/>
                <w:color w:val="383838"/>
                <w:sz w:val="24"/>
                <w:szCs w:val="24"/>
                <w:shd w:val="clear" w:color="auto" w:fill="FFFFFF"/>
              </w:rPr>
              <w:t>Actio</w:t>
            </w:r>
            <w:proofErr w:type="spellEnd"/>
            <w:r w:rsidRPr="00847B84">
              <w:rPr>
                <w:i/>
                <w:iCs/>
                <w:smallCaps/>
                <w:color w:val="383838"/>
                <w:sz w:val="24"/>
                <w:szCs w:val="24"/>
                <w:shd w:val="clear" w:color="auto" w:fill="FFFFFF"/>
              </w:rPr>
              <w:t xml:space="preserve"> </w:t>
            </w:r>
            <w:proofErr w:type="spellStart"/>
            <w:r w:rsidRPr="00847B84">
              <w:rPr>
                <w:i/>
                <w:iCs/>
                <w:smallCaps/>
                <w:color w:val="383838"/>
                <w:sz w:val="24"/>
                <w:szCs w:val="24"/>
                <w:shd w:val="clear" w:color="auto" w:fill="FFFFFF"/>
              </w:rPr>
              <w:t>Popularis</w:t>
            </w:r>
            <w:proofErr w:type="spellEnd"/>
            <w:r w:rsidRPr="00847B84">
              <w:rPr>
                <w:smallCaps/>
                <w:color w:val="383838"/>
                <w:sz w:val="24"/>
                <w:szCs w:val="24"/>
                <w:shd w:val="clear" w:color="auto" w:fill="FFFFFF"/>
              </w:rPr>
              <w:t xml:space="preserve"> before International Courts and Tribunals  (2017).</w:t>
            </w:r>
          </w:p>
        </w:tc>
        <w:tc>
          <w:tcPr>
            <w:tcW w:w="2127" w:type="dxa"/>
          </w:tcPr>
          <w:p w14:paraId="7B69F3AA" w14:textId="77777777" w:rsidR="00EE40E3" w:rsidRPr="00847B84" w:rsidRDefault="00EE40E3" w:rsidP="006848BD">
            <w:pPr>
              <w:spacing w:after="0" w:line="240" w:lineRule="auto"/>
              <w:ind w:left="357" w:hanging="357"/>
              <w:jc w:val="center"/>
            </w:pPr>
            <w:r w:rsidRPr="00847B84">
              <w:t>7, 8</w:t>
            </w:r>
          </w:p>
        </w:tc>
      </w:tr>
      <w:tr w:rsidR="00EE40E3" w:rsidRPr="00847B84" w14:paraId="1A900A0A" w14:textId="77777777" w:rsidTr="00A65112">
        <w:tc>
          <w:tcPr>
            <w:tcW w:w="7371" w:type="dxa"/>
          </w:tcPr>
          <w:p w14:paraId="170C4DE5" w14:textId="77777777" w:rsidR="00EE40E3" w:rsidRPr="00847B84" w:rsidRDefault="00EE40E3" w:rsidP="006848BD">
            <w:pPr>
              <w:spacing w:after="0" w:line="240" w:lineRule="auto"/>
              <w:ind w:left="720" w:hanging="720"/>
              <w:rPr>
                <w:smallCaps/>
              </w:rPr>
            </w:pPr>
            <w:r w:rsidRPr="00847B84">
              <w:rPr>
                <w:smallCaps/>
              </w:rPr>
              <w:lastRenderedPageBreak/>
              <w:t xml:space="preserve">Bell And </w:t>
            </w:r>
            <w:proofErr w:type="spellStart"/>
            <w:r w:rsidRPr="00847B84">
              <w:rPr>
                <w:smallCaps/>
              </w:rPr>
              <w:t>Lichère</w:t>
            </w:r>
            <w:proofErr w:type="spellEnd"/>
            <w:r w:rsidRPr="00847B84">
              <w:rPr>
                <w:smallCaps/>
              </w:rPr>
              <w:t xml:space="preserve">, Contemporary French Administrative Law (2022). </w:t>
            </w:r>
          </w:p>
        </w:tc>
        <w:tc>
          <w:tcPr>
            <w:tcW w:w="2127" w:type="dxa"/>
          </w:tcPr>
          <w:p w14:paraId="4E1519EA" w14:textId="77777777" w:rsidR="00EE40E3" w:rsidRPr="00847B84" w:rsidRDefault="00EE40E3" w:rsidP="006848BD">
            <w:pPr>
              <w:spacing w:after="0" w:line="240" w:lineRule="auto"/>
              <w:ind w:left="357" w:hanging="357"/>
              <w:jc w:val="center"/>
            </w:pPr>
            <w:r w:rsidRPr="00847B84">
              <w:t>6</w:t>
            </w:r>
          </w:p>
        </w:tc>
      </w:tr>
      <w:tr w:rsidR="00EE40E3" w:rsidRPr="00847B84" w14:paraId="7E866971" w14:textId="77777777" w:rsidTr="00A65112">
        <w:tc>
          <w:tcPr>
            <w:tcW w:w="7371" w:type="dxa"/>
          </w:tcPr>
          <w:p w14:paraId="04E6E80C" w14:textId="77777777" w:rsidR="00EE40E3" w:rsidRPr="00847B84" w:rsidRDefault="00EE40E3" w:rsidP="006848BD">
            <w:pPr>
              <w:pStyle w:val="NormalWeb"/>
              <w:spacing w:after="0"/>
              <w:ind w:left="720" w:hanging="720"/>
              <w:jc w:val="both"/>
            </w:pPr>
            <w:r w:rsidRPr="00847B84">
              <w:rPr>
                <w:smallCaps/>
                <w:color w:val="383838"/>
                <w:shd w:val="clear" w:color="auto" w:fill="FFFFFF"/>
              </w:rPr>
              <w:t xml:space="preserve">Crawford, </w:t>
            </w:r>
            <w:proofErr w:type="spellStart"/>
            <w:r w:rsidRPr="00847B84">
              <w:rPr>
                <w:smallCaps/>
                <w:color w:val="383838"/>
                <w:shd w:val="clear" w:color="auto" w:fill="FFFFFF"/>
              </w:rPr>
              <w:t>Brownlie’s</w:t>
            </w:r>
            <w:proofErr w:type="spellEnd"/>
            <w:r w:rsidRPr="00847B84">
              <w:rPr>
                <w:smallCaps/>
                <w:color w:val="383838"/>
                <w:shd w:val="clear" w:color="auto" w:fill="FFFFFF"/>
              </w:rPr>
              <w:t xml:space="preserve"> Principles of Public International Law 495 (9</w:t>
            </w:r>
            <w:r w:rsidRPr="00847B84">
              <w:rPr>
                <w:smallCaps/>
                <w:color w:val="383838"/>
                <w:shd w:val="clear" w:color="auto" w:fill="FFFFFF"/>
                <w:vertAlign w:val="superscript"/>
              </w:rPr>
              <w:t>th</w:t>
            </w:r>
            <w:r w:rsidRPr="00847B84">
              <w:rPr>
                <w:smallCaps/>
                <w:color w:val="383838"/>
                <w:shd w:val="clear" w:color="auto" w:fill="FFFFFF"/>
              </w:rPr>
              <w:t xml:space="preserve"> ed. 2019).</w:t>
            </w:r>
          </w:p>
        </w:tc>
        <w:tc>
          <w:tcPr>
            <w:tcW w:w="2127" w:type="dxa"/>
          </w:tcPr>
          <w:p w14:paraId="2960B82D" w14:textId="77777777" w:rsidR="00EE40E3" w:rsidRPr="00847B84" w:rsidRDefault="00EE40E3" w:rsidP="006848BD">
            <w:pPr>
              <w:spacing w:after="0" w:line="240" w:lineRule="auto"/>
              <w:ind w:left="357" w:hanging="357"/>
              <w:jc w:val="center"/>
            </w:pPr>
            <w:r w:rsidRPr="00847B84">
              <w:t>5</w:t>
            </w:r>
          </w:p>
        </w:tc>
      </w:tr>
      <w:tr w:rsidR="00EE40E3" w:rsidRPr="00847B84" w14:paraId="652EBA49" w14:textId="77777777" w:rsidTr="00A65112">
        <w:tc>
          <w:tcPr>
            <w:tcW w:w="7371" w:type="dxa"/>
          </w:tcPr>
          <w:p w14:paraId="0587FEC1" w14:textId="77777777" w:rsidR="00EE40E3" w:rsidRPr="00847B84" w:rsidRDefault="00EE40E3" w:rsidP="006848BD">
            <w:pPr>
              <w:pStyle w:val="NormalWeb"/>
              <w:spacing w:after="0"/>
              <w:ind w:left="720" w:hanging="720"/>
              <w:jc w:val="both"/>
            </w:pPr>
            <w:r w:rsidRPr="00847B84">
              <w:rPr>
                <w:smallCaps/>
                <w:color w:val="383838"/>
                <w:shd w:val="clear" w:color="auto" w:fill="FFFFFF"/>
              </w:rPr>
              <w:t>Donnelly, Universal Human Rights in Theory and Practice (2nd ed. 2003). </w:t>
            </w:r>
          </w:p>
        </w:tc>
        <w:tc>
          <w:tcPr>
            <w:tcW w:w="2127" w:type="dxa"/>
          </w:tcPr>
          <w:p w14:paraId="4D44D867" w14:textId="77777777" w:rsidR="00EE40E3" w:rsidRPr="00847B84" w:rsidRDefault="00EE40E3" w:rsidP="006848BD">
            <w:pPr>
              <w:spacing w:after="0" w:line="240" w:lineRule="auto"/>
              <w:ind w:left="357" w:hanging="357"/>
              <w:jc w:val="center"/>
            </w:pPr>
            <w:r w:rsidRPr="00847B84">
              <w:t>4</w:t>
            </w:r>
          </w:p>
        </w:tc>
      </w:tr>
      <w:tr w:rsidR="00EE40E3" w:rsidRPr="00847B84" w14:paraId="05BF6F09" w14:textId="77777777" w:rsidTr="00A65112">
        <w:tc>
          <w:tcPr>
            <w:tcW w:w="7371" w:type="dxa"/>
          </w:tcPr>
          <w:p w14:paraId="4CAD7EAD" w14:textId="77777777" w:rsidR="00EE40E3" w:rsidRPr="00847B84" w:rsidRDefault="00EE40E3" w:rsidP="006848BD">
            <w:pPr>
              <w:pStyle w:val="NormalWeb"/>
              <w:spacing w:after="0"/>
              <w:ind w:left="720" w:hanging="720"/>
              <w:jc w:val="both"/>
            </w:pPr>
            <w:proofErr w:type="spellStart"/>
            <w:r w:rsidRPr="00847B84">
              <w:rPr>
                <w:smallCaps/>
                <w:color w:val="383838"/>
                <w:shd w:val="clear" w:color="auto" w:fill="FFFFFF"/>
              </w:rPr>
              <w:t>Kälin</w:t>
            </w:r>
            <w:proofErr w:type="spellEnd"/>
            <w:r w:rsidRPr="00847B84">
              <w:rPr>
                <w:smallCaps/>
                <w:color w:val="383838"/>
                <w:shd w:val="clear" w:color="auto" w:fill="FFFFFF"/>
              </w:rPr>
              <w:t xml:space="preserve">, </w:t>
            </w:r>
            <w:proofErr w:type="spellStart"/>
            <w:r w:rsidRPr="00847B84">
              <w:rPr>
                <w:smallCaps/>
                <w:color w:val="383838"/>
                <w:shd w:val="clear" w:color="auto" w:fill="FFFFFF"/>
              </w:rPr>
              <w:t>Ius</w:t>
            </w:r>
            <w:proofErr w:type="spellEnd"/>
            <w:r w:rsidRPr="00847B84">
              <w:rPr>
                <w:smallCaps/>
                <w:color w:val="383838"/>
                <w:shd w:val="clear" w:color="auto" w:fill="FFFFFF"/>
              </w:rPr>
              <w:t xml:space="preserve"> </w:t>
            </w:r>
            <w:proofErr w:type="spellStart"/>
            <w:r w:rsidRPr="00847B84">
              <w:rPr>
                <w:smallCaps/>
                <w:color w:val="383838"/>
                <w:shd w:val="clear" w:color="auto" w:fill="FFFFFF"/>
              </w:rPr>
              <w:t>Doni</w:t>
            </w:r>
            <w:proofErr w:type="spellEnd"/>
            <w:r w:rsidRPr="00847B84">
              <w:rPr>
                <w:smallCaps/>
                <w:color w:val="383838"/>
                <w:shd w:val="clear" w:color="auto" w:fill="FFFFFF"/>
              </w:rPr>
              <w:t xml:space="preserve"> in International Law and EU Law (2019). </w:t>
            </w:r>
          </w:p>
        </w:tc>
        <w:tc>
          <w:tcPr>
            <w:tcW w:w="2127" w:type="dxa"/>
          </w:tcPr>
          <w:p w14:paraId="36E18BDD" w14:textId="77777777" w:rsidR="00EE40E3" w:rsidRPr="00847B84" w:rsidRDefault="00EE40E3" w:rsidP="006848BD">
            <w:pPr>
              <w:spacing w:after="0" w:line="240" w:lineRule="auto"/>
              <w:ind w:left="357" w:hanging="357"/>
              <w:jc w:val="center"/>
            </w:pPr>
            <w:r w:rsidRPr="00847B84">
              <w:t>19</w:t>
            </w:r>
          </w:p>
        </w:tc>
      </w:tr>
      <w:tr w:rsidR="00EE40E3" w:rsidRPr="00847B84" w14:paraId="5329B953" w14:textId="77777777" w:rsidTr="00A65112">
        <w:tc>
          <w:tcPr>
            <w:tcW w:w="7371" w:type="dxa"/>
          </w:tcPr>
          <w:p w14:paraId="1C136644" w14:textId="77777777" w:rsidR="00EE40E3" w:rsidRPr="00847B84" w:rsidRDefault="00EE40E3" w:rsidP="006848BD">
            <w:pPr>
              <w:pStyle w:val="NormalWeb"/>
              <w:spacing w:after="0"/>
              <w:ind w:left="720" w:hanging="720"/>
              <w:jc w:val="both"/>
            </w:pPr>
            <w:proofErr w:type="spellStart"/>
            <w:r w:rsidRPr="00847B84">
              <w:rPr>
                <w:smallCaps/>
                <w:color w:val="383838"/>
                <w:shd w:val="clear" w:color="auto" w:fill="FFFFFF"/>
              </w:rPr>
              <w:t>Kelsen</w:t>
            </w:r>
            <w:proofErr w:type="spellEnd"/>
            <w:r w:rsidRPr="00847B84">
              <w:rPr>
                <w:smallCaps/>
                <w:color w:val="383838"/>
                <w:shd w:val="clear" w:color="auto" w:fill="FFFFFF"/>
              </w:rPr>
              <w:t>, The Law of the United Nations (1950). </w:t>
            </w:r>
          </w:p>
        </w:tc>
        <w:tc>
          <w:tcPr>
            <w:tcW w:w="2127" w:type="dxa"/>
          </w:tcPr>
          <w:p w14:paraId="2F4708CF" w14:textId="77777777" w:rsidR="00EE40E3" w:rsidRPr="00847B84" w:rsidRDefault="00EE40E3" w:rsidP="006848BD">
            <w:pPr>
              <w:spacing w:after="0" w:line="240" w:lineRule="auto"/>
              <w:ind w:left="357" w:hanging="357"/>
              <w:jc w:val="center"/>
            </w:pPr>
            <w:r w:rsidRPr="00847B84">
              <w:t>27</w:t>
            </w:r>
          </w:p>
        </w:tc>
      </w:tr>
      <w:tr w:rsidR="00EE40E3" w:rsidRPr="00847B84" w14:paraId="572385E9" w14:textId="77777777" w:rsidTr="00A65112">
        <w:tc>
          <w:tcPr>
            <w:tcW w:w="7371" w:type="dxa"/>
          </w:tcPr>
          <w:p w14:paraId="7C19288B" w14:textId="77777777" w:rsidR="00EE40E3" w:rsidRPr="00847B84" w:rsidRDefault="00EE40E3" w:rsidP="006848BD">
            <w:pPr>
              <w:pStyle w:val="NormalWeb"/>
              <w:spacing w:after="0"/>
              <w:ind w:left="720" w:hanging="720"/>
              <w:jc w:val="both"/>
              <w:rPr>
                <w:smallCaps/>
                <w:color w:val="383838"/>
                <w:shd w:val="clear" w:color="auto" w:fill="FFFFFF"/>
              </w:rPr>
            </w:pPr>
            <w:r w:rsidRPr="00847B84">
              <w:rPr>
                <w:smallCaps/>
                <w:color w:val="383838"/>
                <w:shd w:val="clear" w:color="auto" w:fill="FFFFFF"/>
              </w:rPr>
              <w:t xml:space="preserve">The Charter of the UN: A Commentary,  art. 7 (Bruno </w:t>
            </w:r>
            <w:proofErr w:type="spellStart"/>
            <w:r w:rsidRPr="00847B84">
              <w:rPr>
                <w:smallCaps/>
                <w:color w:val="383838"/>
                <w:shd w:val="clear" w:color="auto" w:fill="FFFFFF"/>
              </w:rPr>
              <w:t>Simma</w:t>
            </w:r>
            <w:proofErr w:type="spellEnd"/>
            <w:r w:rsidRPr="00847B84">
              <w:rPr>
                <w:smallCaps/>
                <w:color w:val="383838"/>
                <w:shd w:val="clear" w:color="auto" w:fill="FFFFFF"/>
              </w:rPr>
              <w:t>, et al. eds., 2012). </w:t>
            </w:r>
          </w:p>
        </w:tc>
        <w:tc>
          <w:tcPr>
            <w:tcW w:w="2127" w:type="dxa"/>
          </w:tcPr>
          <w:p w14:paraId="6C3562FD" w14:textId="77777777" w:rsidR="00EE40E3" w:rsidRPr="00847B84" w:rsidRDefault="00EE40E3" w:rsidP="006848BD">
            <w:pPr>
              <w:spacing w:after="0" w:line="240" w:lineRule="auto"/>
              <w:ind w:left="357" w:hanging="357"/>
              <w:jc w:val="center"/>
            </w:pPr>
            <w:r w:rsidRPr="00847B84">
              <w:t>25, 27</w:t>
            </w:r>
          </w:p>
        </w:tc>
      </w:tr>
      <w:tr w:rsidR="00EE40E3" w:rsidRPr="00847B84" w14:paraId="7AFB5681" w14:textId="77777777" w:rsidTr="00A65112">
        <w:tc>
          <w:tcPr>
            <w:tcW w:w="7371" w:type="dxa"/>
          </w:tcPr>
          <w:p w14:paraId="08D51B2F" w14:textId="77777777" w:rsidR="00EE40E3" w:rsidRPr="00847B84" w:rsidRDefault="00EE40E3" w:rsidP="006848BD">
            <w:pPr>
              <w:pStyle w:val="NormalWeb"/>
              <w:spacing w:after="0"/>
              <w:ind w:left="720" w:hanging="720"/>
              <w:jc w:val="both"/>
              <w:rPr>
                <w:smallCaps/>
                <w:color w:val="383838"/>
                <w:shd w:val="clear" w:color="auto" w:fill="FFFFFF"/>
              </w:rPr>
            </w:pPr>
            <w:proofErr w:type="spellStart"/>
            <w:r w:rsidRPr="00847B84">
              <w:rPr>
                <w:smallCaps/>
                <w:color w:val="383838"/>
                <w:shd w:val="clear" w:color="auto" w:fill="FFFFFF"/>
              </w:rPr>
              <w:t>Thio</w:t>
            </w:r>
            <w:proofErr w:type="spellEnd"/>
            <w:r w:rsidRPr="00847B84">
              <w:rPr>
                <w:smallCaps/>
                <w:color w:val="383838"/>
                <w:shd w:val="clear" w:color="auto" w:fill="FFFFFF"/>
              </w:rPr>
              <w:t xml:space="preserve">, Locus Standi and Judicial Review (1971). </w:t>
            </w:r>
          </w:p>
          <w:p w14:paraId="72807DE3" w14:textId="77777777" w:rsidR="00EE40E3" w:rsidRPr="00847B84" w:rsidRDefault="00EE40E3" w:rsidP="006848BD">
            <w:pPr>
              <w:pStyle w:val="NormalWeb"/>
              <w:spacing w:after="0"/>
              <w:ind w:left="720" w:hanging="720"/>
              <w:jc w:val="both"/>
              <w:rPr>
                <w:smallCaps/>
                <w:color w:val="383838"/>
                <w:shd w:val="clear" w:color="auto" w:fill="FFFFFF"/>
              </w:rPr>
            </w:pPr>
          </w:p>
        </w:tc>
        <w:tc>
          <w:tcPr>
            <w:tcW w:w="2127" w:type="dxa"/>
          </w:tcPr>
          <w:p w14:paraId="466A66EC" w14:textId="77777777" w:rsidR="00EE40E3" w:rsidRPr="00847B84" w:rsidRDefault="00EE40E3" w:rsidP="006848BD">
            <w:pPr>
              <w:spacing w:after="0" w:line="240" w:lineRule="auto"/>
              <w:ind w:left="357" w:hanging="357"/>
              <w:jc w:val="center"/>
            </w:pPr>
            <w:r w:rsidRPr="00847B84">
              <w:t>7</w:t>
            </w:r>
          </w:p>
        </w:tc>
      </w:tr>
      <w:tr w:rsidR="00EE40E3" w:rsidRPr="00847B84" w14:paraId="30F83D4C" w14:textId="77777777" w:rsidTr="00A65112">
        <w:tc>
          <w:tcPr>
            <w:tcW w:w="7371" w:type="dxa"/>
          </w:tcPr>
          <w:p w14:paraId="17328CD9" w14:textId="77777777" w:rsidR="00EE40E3" w:rsidRPr="00847B84" w:rsidRDefault="00EE40E3" w:rsidP="006848BD">
            <w:pPr>
              <w:pStyle w:val="NormalWeb"/>
              <w:spacing w:after="0"/>
              <w:ind w:left="720" w:hanging="720"/>
              <w:jc w:val="both"/>
              <w:rPr>
                <w:smallCaps/>
                <w:color w:val="383838"/>
                <w:shd w:val="clear" w:color="auto" w:fill="FFFFFF"/>
              </w:rPr>
            </w:pPr>
            <w:r w:rsidRPr="00847B84">
              <w:rPr>
                <w:smallCaps/>
                <w:color w:val="383838"/>
                <w:shd w:val="clear" w:color="auto" w:fill="FFFFFF"/>
              </w:rPr>
              <w:t>UNSC, UN Security Council Handbook: A User’s Guide to Practice and Procedure 9 (2019).</w:t>
            </w:r>
          </w:p>
        </w:tc>
        <w:tc>
          <w:tcPr>
            <w:tcW w:w="2127" w:type="dxa"/>
          </w:tcPr>
          <w:p w14:paraId="09522F96" w14:textId="77777777" w:rsidR="00EE40E3" w:rsidRPr="00847B84" w:rsidRDefault="00EE40E3" w:rsidP="006848BD">
            <w:pPr>
              <w:spacing w:after="0" w:line="240" w:lineRule="auto"/>
              <w:ind w:left="357" w:hanging="357"/>
              <w:jc w:val="center"/>
            </w:pPr>
            <w:r w:rsidRPr="00847B84">
              <w:t>28</w:t>
            </w:r>
          </w:p>
        </w:tc>
      </w:tr>
      <w:tr w:rsidR="00EE40E3" w:rsidRPr="00847B84" w14:paraId="135BE817" w14:textId="77777777" w:rsidTr="00A65112">
        <w:tc>
          <w:tcPr>
            <w:tcW w:w="7371" w:type="dxa"/>
          </w:tcPr>
          <w:p w14:paraId="464462F3" w14:textId="77777777" w:rsidR="00EE40E3" w:rsidRPr="00847B84" w:rsidRDefault="00EE40E3" w:rsidP="006848BD">
            <w:pPr>
              <w:spacing w:after="0" w:line="240" w:lineRule="auto"/>
            </w:pPr>
          </w:p>
        </w:tc>
        <w:tc>
          <w:tcPr>
            <w:tcW w:w="2127" w:type="dxa"/>
          </w:tcPr>
          <w:p w14:paraId="4894E682" w14:textId="77777777" w:rsidR="00EE40E3" w:rsidRPr="00847B84" w:rsidRDefault="00EE40E3" w:rsidP="006848BD">
            <w:pPr>
              <w:spacing w:after="0" w:line="240" w:lineRule="auto"/>
              <w:ind w:left="357" w:hanging="357"/>
              <w:jc w:val="center"/>
            </w:pPr>
          </w:p>
        </w:tc>
      </w:tr>
      <w:tr w:rsidR="00EE40E3" w:rsidRPr="00847B84" w14:paraId="256CE460" w14:textId="77777777" w:rsidTr="00A65112">
        <w:tc>
          <w:tcPr>
            <w:tcW w:w="7371" w:type="dxa"/>
          </w:tcPr>
          <w:p w14:paraId="4E886D61" w14:textId="77777777" w:rsidR="00EE40E3" w:rsidRPr="00847B84" w:rsidRDefault="00EE40E3" w:rsidP="006848BD">
            <w:pPr>
              <w:spacing w:after="0" w:line="240" w:lineRule="auto"/>
              <w:ind w:left="357" w:hanging="357"/>
              <w:jc w:val="center"/>
              <w:rPr>
                <w:b/>
                <w:bCs/>
                <w:smallCaps/>
              </w:rPr>
            </w:pPr>
            <w:r w:rsidRPr="00847B84">
              <w:rPr>
                <w:b/>
                <w:bCs/>
                <w:smallCaps/>
              </w:rPr>
              <w:t>Works in Collection</w:t>
            </w:r>
          </w:p>
          <w:p w14:paraId="7ABA18E5" w14:textId="0D17761B" w:rsidR="006848BD" w:rsidRPr="00847B84" w:rsidRDefault="006848BD" w:rsidP="006848BD">
            <w:pPr>
              <w:spacing w:after="0" w:line="240" w:lineRule="auto"/>
              <w:ind w:left="357" w:hanging="357"/>
              <w:jc w:val="center"/>
              <w:rPr>
                <w:b/>
                <w:bCs/>
                <w:smallCaps/>
              </w:rPr>
            </w:pPr>
          </w:p>
        </w:tc>
        <w:tc>
          <w:tcPr>
            <w:tcW w:w="2127" w:type="dxa"/>
          </w:tcPr>
          <w:p w14:paraId="5059F084" w14:textId="77777777" w:rsidR="00EE40E3" w:rsidRPr="00847B84" w:rsidRDefault="00EE40E3" w:rsidP="006848BD">
            <w:pPr>
              <w:spacing w:after="0" w:line="240" w:lineRule="auto"/>
              <w:ind w:left="357" w:hanging="357"/>
              <w:jc w:val="center"/>
            </w:pPr>
          </w:p>
        </w:tc>
      </w:tr>
      <w:tr w:rsidR="00EE40E3" w:rsidRPr="00847B84" w14:paraId="35729EDA" w14:textId="77777777" w:rsidTr="00A65112">
        <w:tc>
          <w:tcPr>
            <w:tcW w:w="7371" w:type="dxa"/>
          </w:tcPr>
          <w:p w14:paraId="5D820A58" w14:textId="77777777" w:rsidR="00EE40E3" w:rsidRPr="00847B84" w:rsidRDefault="00EE40E3" w:rsidP="006848BD">
            <w:pPr>
              <w:spacing w:after="0" w:line="240" w:lineRule="auto"/>
              <w:ind w:left="720" w:hanging="720"/>
              <w:rPr>
                <w:smallCaps/>
                <w:color w:val="000000"/>
              </w:rPr>
            </w:pPr>
            <w:r w:rsidRPr="00847B84">
              <w:rPr>
                <w:color w:val="000000"/>
              </w:rPr>
              <w:t xml:space="preserve">Daniel </w:t>
            </w:r>
            <w:proofErr w:type="spellStart"/>
            <w:r w:rsidRPr="00847B84">
              <w:rPr>
                <w:color w:val="000000"/>
              </w:rPr>
              <w:t>Thürer</w:t>
            </w:r>
            <w:proofErr w:type="spellEnd"/>
            <w:r w:rsidRPr="00847B84">
              <w:rPr>
                <w:color w:val="000000"/>
              </w:rPr>
              <w:t xml:space="preserve">, </w:t>
            </w:r>
            <w:r w:rsidRPr="00847B84">
              <w:rPr>
                <w:i/>
                <w:iCs/>
                <w:color w:val="000000"/>
              </w:rPr>
              <w:t xml:space="preserve">Soft Law, </w:t>
            </w:r>
            <w:r w:rsidRPr="00847B84">
              <w:rPr>
                <w:color w:val="000000"/>
              </w:rPr>
              <w:t xml:space="preserve">in </w:t>
            </w:r>
            <w:r w:rsidRPr="00847B84">
              <w:rPr>
                <w:smallCaps/>
                <w:color w:val="000000"/>
              </w:rPr>
              <w:t>Max Planck Encyclopedias of international law (2012). </w:t>
            </w:r>
          </w:p>
        </w:tc>
        <w:tc>
          <w:tcPr>
            <w:tcW w:w="2127" w:type="dxa"/>
          </w:tcPr>
          <w:p w14:paraId="60D3B925" w14:textId="77777777" w:rsidR="00EE40E3" w:rsidRPr="00847B84" w:rsidRDefault="00EE40E3" w:rsidP="006848BD">
            <w:pPr>
              <w:spacing w:after="0" w:line="240" w:lineRule="auto"/>
              <w:ind w:left="357" w:hanging="357"/>
              <w:jc w:val="center"/>
            </w:pPr>
            <w:r w:rsidRPr="00847B84">
              <w:t>11</w:t>
            </w:r>
          </w:p>
        </w:tc>
      </w:tr>
      <w:tr w:rsidR="00EE40E3" w:rsidRPr="00847B84" w14:paraId="3C799B60" w14:textId="77777777" w:rsidTr="00A65112">
        <w:tc>
          <w:tcPr>
            <w:tcW w:w="7371" w:type="dxa"/>
          </w:tcPr>
          <w:p w14:paraId="0944E5F1" w14:textId="77777777" w:rsidR="00EE40E3" w:rsidRPr="00847B84" w:rsidRDefault="00EE40E3" w:rsidP="006848BD">
            <w:pPr>
              <w:pStyle w:val="NormalWeb"/>
              <w:spacing w:after="0"/>
              <w:ind w:left="720" w:hanging="720"/>
              <w:jc w:val="both"/>
            </w:pPr>
            <w:r w:rsidRPr="00847B84">
              <w:rPr>
                <w:color w:val="000000"/>
              </w:rPr>
              <w:t xml:space="preserve">Giorgio </w:t>
            </w:r>
            <w:proofErr w:type="spellStart"/>
            <w:r w:rsidRPr="00847B84">
              <w:rPr>
                <w:color w:val="000000"/>
              </w:rPr>
              <w:t>Gaja</w:t>
            </w:r>
            <w:proofErr w:type="spellEnd"/>
            <w:r w:rsidRPr="00847B84">
              <w:rPr>
                <w:color w:val="000000"/>
              </w:rPr>
              <w:t xml:space="preserve">, </w:t>
            </w:r>
            <w:r w:rsidRPr="00847B84">
              <w:rPr>
                <w:i/>
                <w:iCs/>
                <w:color w:val="000000"/>
              </w:rPr>
              <w:t>Standing</w:t>
            </w:r>
            <w:r w:rsidRPr="00847B84">
              <w:rPr>
                <w:color w:val="000000"/>
              </w:rPr>
              <w:t xml:space="preserve">, in </w:t>
            </w:r>
            <w:r w:rsidRPr="00847B84">
              <w:rPr>
                <w:smallCaps/>
                <w:color w:val="000000"/>
              </w:rPr>
              <w:t>Max Planck Encyclopedias of International Law</w:t>
            </w:r>
            <w:r w:rsidRPr="00847B84">
              <w:rPr>
                <w:color w:val="000000"/>
              </w:rPr>
              <w:t xml:space="preserve"> (2018).</w:t>
            </w:r>
          </w:p>
        </w:tc>
        <w:tc>
          <w:tcPr>
            <w:tcW w:w="2127" w:type="dxa"/>
          </w:tcPr>
          <w:p w14:paraId="333612BD" w14:textId="77777777" w:rsidR="00EE40E3" w:rsidRPr="00847B84" w:rsidRDefault="00EE40E3" w:rsidP="006848BD">
            <w:pPr>
              <w:spacing w:after="0" w:line="240" w:lineRule="auto"/>
              <w:ind w:left="357" w:hanging="357"/>
              <w:jc w:val="center"/>
            </w:pPr>
            <w:r w:rsidRPr="00847B84">
              <w:t>1</w:t>
            </w:r>
          </w:p>
        </w:tc>
      </w:tr>
      <w:tr w:rsidR="00EE40E3" w:rsidRPr="00847B84" w14:paraId="3D2622D5" w14:textId="77777777" w:rsidTr="00A65112">
        <w:tc>
          <w:tcPr>
            <w:tcW w:w="7371" w:type="dxa"/>
          </w:tcPr>
          <w:p w14:paraId="28AF41A0" w14:textId="77777777" w:rsidR="00EE40E3" w:rsidRPr="00847B84" w:rsidRDefault="00EE40E3" w:rsidP="006848BD">
            <w:pPr>
              <w:pStyle w:val="NormalWeb"/>
              <w:spacing w:after="0"/>
              <w:ind w:left="720" w:hanging="720"/>
              <w:jc w:val="both"/>
            </w:pPr>
            <w:r w:rsidRPr="00847B84">
              <w:rPr>
                <w:color w:val="000000"/>
              </w:rPr>
              <w:t xml:space="preserve">Ian Sinclair, </w:t>
            </w:r>
            <w:r w:rsidRPr="00847B84">
              <w:rPr>
                <w:i/>
                <w:iCs/>
                <w:color w:val="000000"/>
              </w:rPr>
              <w:t xml:space="preserve">Estoppel and Acquiescence, </w:t>
            </w:r>
            <w:r w:rsidRPr="00847B84">
              <w:rPr>
                <w:color w:val="000000"/>
              </w:rPr>
              <w:t>in</w:t>
            </w:r>
            <w:r w:rsidRPr="00847B84">
              <w:rPr>
                <w:i/>
                <w:iCs/>
                <w:color w:val="000000"/>
              </w:rPr>
              <w:t xml:space="preserve"> </w:t>
            </w:r>
            <w:r w:rsidRPr="00847B84">
              <w:rPr>
                <w:smallCaps/>
                <w:color w:val="000000"/>
              </w:rPr>
              <w:t>Fifty Years of the International Court of Justice (</w:t>
            </w:r>
            <w:r w:rsidRPr="00847B84">
              <w:rPr>
                <w:color w:val="000000"/>
              </w:rPr>
              <w:t>1996).</w:t>
            </w:r>
          </w:p>
        </w:tc>
        <w:tc>
          <w:tcPr>
            <w:tcW w:w="2127" w:type="dxa"/>
          </w:tcPr>
          <w:p w14:paraId="66754D5F" w14:textId="77777777" w:rsidR="00EE40E3" w:rsidRPr="00847B84" w:rsidRDefault="00EE40E3" w:rsidP="006848BD">
            <w:pPr>
              <w:spacing w:after="0" w:line="240" w:lineRule="auto"/>
              <w:ind w:left="357" w:hanging="357"/>
              <w:jc w:val="center"/>
            </w:pPr>
            <w:r w:rsidRPr="00847B84">
              <w:t>22</w:t>
            </w:r>
          </w:p>
        </w:tc>
      </w:tr>
      <w:tr w:rsidR="00EE40E3" w:rsidRPr="00847B84" w14:paraId="7C994D26" w14:textId="77777777" w:rsidTr="00A65112">
        <w:tc>
          <w:tcPr>
            <w:tcW w:w="7371" w:type="dxa"/>
          </w:tcPr>
          <w:p w14:paraId="7B131FBD" w14:textId="77777777" w:rsidR="00EE40E3" w:rsidRPr="00847B84" w:rsidRDefault="00EE40E3" w:rsidP="006848BD">
            <w:pPr>
              <w:pStyle w:val="NormalWeb"/>
              <w:spacing w:after="0"/>
              <w:ind w:left="720" w:hanging="720"/>
              <w:jc w:val="both"/>
            </w:pPr>
            <w:r w:rsidRPr="00847B84">
              <w:rPr>
                <w:color w:val="000000"/>
              </w:rPr>
              <w:t xml:space="preserve">Kay </w:t>
            </w:r>
            <w:proofErr w:type="spellStart"/>
            <w:r w:rsidRPr="00847B84">
              <w:rPr>
                <w:color w:val="000000"/>
              </w:rPr>
              <w:t>Hailbronner</w:t>
            </w:r>
            <w:proofErr w:type="spellEnd"/>
            <w:r w:rsidRPr="00847B84">
              <w:rPr>
                <w:color w:val="000000"/>
              </w:rPr>
              <w:t xml:space="preserve">, </w:t>
            </w:r>
            <w:r w:rsidRPr="00847B84">
              <w:rPr>
                <w:i/>
                <w:iCs/>
                <w:color w:val="000000"/>
              </w:rPr>
              <w:t xml:space="preserve">Nationality in public international law and </w:t>
            </w:r>
            <w:proofErr w:type="spellStart"/>
            <w:r w:rsidRPr="00847B84">
              <w:rPr>
                <w:i/>
                <w:iCs/>
                <w:color w:val="000000"/>
              </w:rPr>
              <w:t>european</w:t>
            </w:r>
            <w:proofErr w:type="spellEnd"/>
            <w:r w:rsidRPr="00847B84">
              <w:rPr>
                <w:i/>
                <w:iCs/>
                <w:color w:val="000000"/>
              </w:rPr>
              <w:t xml:space="preserve"> law, </w:t>
            </w:r>
            <w:r w:rsidRPr="00847B84">
              <w:rPr>
                <w:color w:val="000000"/>
              </w:rPr>
              <w:t xml:space="preserve">in </w:t>
            </w:r>
            <w:r w:rsidRPr="00847B84">
              <w:rPr>
                <w:smallCaps/>
                <w:color w:val="000000"/>
              </w:rPr>
              <w:t xml:space="preserve">Acquisition and Loss of Nationality </w:t>
            </w:r>
            <w:r w:rsidRPr="00847B84">
              <w:rPr>
                <w:color w:val="000000"/>
              </w:rPr>
              <w:t>(2006). </w:t>
            </w:r>
          </w:p>
        </w:tc>
        <w:tc>
          <w:tcPr>
            <w:tcW w:w="2127" w:type="dxa"/>
          </w:tcPr>
          <w:p w14:paraId="27B5981D" w14:textId="77777777" w:rsidR="00EE40E3" w:rsidRPr="00847B84" w:rsidRDefault="00EE40E3" w:rsidP="006848BD">
            <w:pPr>
              <w:spacing w:after="0" w:line="240" w:lineRule="auto"/>
              <w:ind w:left="357" w:hanging="357"/>
              <w:jc w:val="center"/>
            </w:pPr>
            <w:r w:rsidRPr="00847B84">
              <w:t>18</w:t>
            </w:r>
          </w:p>
        </w:tc>
      </w:tr>
      <w:tr w:rsidR="00EE40E3" w:rsidRPr="00847B84" w14:paraId="47252065" w14:textId="77777777" w:rsidTr="00A65112">
        <w:tc>
          <w:tcPr>
            <w:tcW w:w="7371" w:type="dxa"/>
          </w:tcPr>
          <w:p w14:paraId="2031A8FC" w14:textId="77777777" w:rsidR="00EE40E3" w:rsidRPr="00847B84" w:rsidRDefault="00EE40E3" w:rsidP="006848BD">
            <w:pPr>
              <w:pStyle w:val="NormalWeb"/>
              <w:spacing w:after="0"/>
              <w:ind w:left="720" w:hanging="720"/>
              <w:jc w:val="both"/>
              <w:rPr>
                <w:color w:val="000000"/>
              </w:rPr>
            </w:pPr>
            <w:r w:rsidRPr="00847B84">
              <w:rPr>
                <w:color w:val="000000"/>
              </w:rPr>
              <w:t xml:space="preserve">Michael Wood, </w:t>
            </w:r>
            <w:r w:rsidRPr="00847B84">
              <w:rPr>
                <w:i/>
                <w:iCs/>
                <w:color w:val="000000"/>
              </w:rPr>
              <w:t>The Interpretation of Security Council Resolutions, Revisited</w:t>
            </w:r>
            <w:r w:rsidRPr="00847B84">
              <w:rPr>
                <w:color w:val="000000"/>
              </w:rPr>
              <w:t xml:space="preserve">, in </w:t>
            </w:r>
            <w:r w:rsidRPr="00847B84">
              <w:rPr>
                <w:smallCaps/>
                <w:color w:val="000000"/>
              </w:rPr>
              <w:t>Max Planck Encyclopedias of International Law</w:t>
            </w:r>
            <w:r w:rsidRPr="00847B84">
              <w:rPr>
                <w:color w:val="000000"/>
              </w:rPr>
              <w:t xml:space="preserve"> (2017).</w:t>
            </w:r>
          </w:p>
        </w:tc>
        <w:tc>
          <w:tcPr>
            <w:tcW w:w="2127" w:type="dxa"/>
          </w:tcPr>
          <w:p w14:paraId="2C2CA0E4" w14:textId="77777777" w:rsidR="00EE40E3" w:rsidRPr="00847B84" w:rsidRDefault="00EE40E3" w:rsidP="006848BD">
            <w:pPr>
              <w:spacing w:after="0" w:line="240" w:lineRule="auto"/>
              <w:ind w:left="357" w:hanging="357"/>
              <w:jc w:val="center"/>
            </w:pPr>
            <w:r w:rsidRPr="00847B84">
              <w:t>30</w:t>
            </w:r>
          </w:p>
        </w:tc>
      </w:tr>
      <w:tr w:rsidR="00EE40E3" w:rsidRPr="00847B84" w14:paraId="3F7FAF62" w14:textId="77777777" w:rsidTr="00A65112">
        <w:tc>
          <w:tcPr>
            <w:tcW w:w="7371" w:type="dxa"/>
          </w:tcPr>
          <w:p w14:paraId="7658AD29"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Peter Tzeng, </w:t>
            </w:r>
            <w:r w:rsidRPr="00847B84">
              <w:rPr>
                <w:i/>
                <w:iCs/>
                <w:color w:val="000000"/>
                <w:shd w:val="clear" w:color="auto" w:fill="FFFFFF"/>
              </w:rPr>
              <w:t xml:space="preserve">The Principles of Contemporaneous and Evolutionary Interpretation, </w:t>
            </w:r>
            <w:r w:rsidRPr="00847B84">
              <w:rPr>
                <w:color w:val="000000"/>
                <w:shd w:val="clear" w:color="auto" w:fill="FFFFFF"/>
              </w:rPr>
              <w:t xml:space="preserve">in </w:t>
            </w:r>
            <w:r w:rsidRPr="00847B84">
              <w:rPr>
                <w:smallCaps/>
                <w:color w:val="000000"/>
                <w:shd w:val="clear" w:color="auto" w:fill="FFFFFF"/>
              </w:rPr>
              <w:t>Between the Lines of the Vienna Convention: Canons of Construction and Other Principles of Interpretation in Public International Law  (2019)</w:t>
            </w:r>
            <w:r w:rsidRPr="00847B84">
              <w:rPr>
                <w:color w:val="000000"/>
                <w:shd w:val="clear" w:color="auto" w:fill="FFFFFF"/>
              </w:rPr>
              <w:t>. </w:t>
            </w:r>
          </w:p>
        </w:tc>
        <w:tc>
          <w:tcPr>
            <w:tcW w:w="2127" w:type="dxa"/>
          </w:tcPr>
          <w:p w14:paraId="42F8025E" w14:textId="77777777" w:rsidR="00EE40E3" w:rsidRPr="00847B84" w:rsidRDefault="00EE40E3" w:rsidP="006848BD">
            <w:pPr>
              <w:spacing w:after="0" w:line="240" w:lineRule="auto"/>
              <w:ind w:left="357" w:hanging="357"/>
              <w:jc w:val="center"/>
            </w:pPr>
            <w:r w:rsidRPr="00847B84">
              <w:t>30</w:t>
            </w:r>
          </w:p>
        </w:tc>
      </w:tr>
      <w:tr w:rsidR="00EE40E3" w:rsidRPr="00847B84" w14:paraId="284F73D1" w14:textId="77777777" w:rsidTr="00A65112">
        <w:tc>
          <w:tcPr>
            <w:tcW w:w="7371" w:type="dxa"/>
          </w:tcPr>
          <w:p w14:paraId="3A2195A6" w14:textId="5A593AA7" w:rsidR="00EE40E3" w:rsidRPr="00847B84" w:rsidRDefault="00EE40E3" w:rsidP="006848BD">
            <w:pPr>
              <w:spacing w:after="0" w:line="240" w:lineRule="auto"/>
              <w:ind w:left="720" w:hanging="720"/>
              <w:rPr>
                <w:smallCaps/>
                <w:color w:val="000000"/>
                <w:shd w:val="clear" w:color="auto" w:fill="FFFFFF"/>
              </w:rPr>
            </w:pPr>
            <w:proofErr w:type="spellStart"/>
            <w:r w:rsidRPr="00847B84">
              <w:rPr>
                <w:color w:val="000000"/>
                <w:shd w:val="clear" w:color="auto" w:fill="FFFFFF"/>
              </w:rPr>
              <w:t>Rüdiger</w:t>
            </w:r>
            <w:proofErr w:type="spellEnd"/>
            <w:r w:rsidRPr="00847B84">
              <w:rPr>
                <w:color w:val="000000"/>
                <w:shd w:val="clear" w:color="auto" w:fill="FFFFFF"/>
              </w:rPr>
              <w:t xml:space="preserve"> </w:t>
            </w:r>
            <w:proofErr w:type="spellStart"/>
            <w:r w:rsidRPr="00847B84">
              <w:rPr>
                <w:color w:val="000000"/>
                <w:shd w:val="clear" w:color="auto" w:fill="FFFFFF"/>
              </w:rPr>
              <w:t>Wolfrum</w:t>
            </w:r>
            <w:proofErr w:type="spellEnd"/>
            <w:r w:rsidRPr="00847B84">
              <w:rPr>
                <w:color w:val="000000"/>
                <w:shd w:val="clear" w:color="auto" w:fill="FFFFFF"/>
              </w:rPr>
              <w:t xml:space="preserve">, </w:t>
            </w:r>
            <w:r w:rsidRPr="00847B84">
              <w:rPr>
                <w:i/>
                <w:iCs/>
                <w:color w:val="000000"/>
                <w:shd w:val="clear" w:color="auto" w:fill="FFFFFF"/>
              </w:rPr>
              <w:t>Cooperation</w:t>
            </w:r>
            <w:r w:rsidRPr="00847B84">
              <w:rPr>
                <w:color w:val="000000"/>
                <w:shd w:val="clear" w:color="auto" w:fill="FFFFFF"/>
              </w:rPr>
              <w:t>,</w:t>
            </w:r>
            <w:r w:rsidRPr="00847B84">
              <w:rPr>
                <w:i/>
                <w:iCs/>
                <w:color w:val="000000"/>
                <w:shd w:val="clear" w:color="auto" w:fill="FFFFFF"/>
              </w:rPr>
              <w:t xml:space="preserve"> </w:t>
            </w:r>
            <w:r w:rsidRPr="00847B84">
              <w:rPr>
                <w:color w:val="000000"/>
                <w:shd w:val="clear" w:color="auto" w:fill="FFFFFF"/>
              </w:rPr>
              <w:t xml:space="preserve">in </w:t>
            </w:r>
            <w:r w:rsidRPr="00847B84">
              <w:rPr>
                <w:smallCaps/>
                <w:color w:val="000000"/>
                <w:shd w:val="clear" w:color="auto" w:fill="FFFFFF"/>
              </w:rPr>
              <w:t>Max Planck Encyclopedias of international law (2010).</w:t>
            </w:r>
          </w:p>
        </w:tc>
        <w:tc>
          <w:tcPr>
            <w:tcW w:w="2127" w:type="dxa"/>
          </w:tcPr>
          <w:p w14:paraId="3576C424" w14:textId="77777777" w:rsidR="00EE40E3" w:rsidRPr="00847B84" w:rsidRDefault="00EE40E3" w:rsidP="006848BD">
            <w:pPr>
              <w:spacing w:after="0" w:line="240" w:lineRule="auto"/>
              <w:ind w:left="357" w:hanging="357"/>
              <w:jc w:val="center"/>
            </w:pPr>
            <w:r w:rsidRPr="00847B84">
              <w:t>31</w:t>
            </w:r>
          </w:p>
        </w:tc>
      </w:tr>
      <w:tr w:rsidR="00EE40E3" w:rsidRPr="00847B84" w14:paraId="14C6D4A0" w14:textId="77777777" w:rsidTr="00A65112">
        <w:tc>
          <w:tcPr>
            <w:tcW w:w="7371" w:type="dxa"/>
          </w:tcPr>
          <w:p w14:paraId="0B1AF17F" w14:textId="77777777" w:rsidR="00EE40E3" w:rsidRPr="00847B84" w:rsidRDefault="00EE40E3" w:rsidP="006848BD">
            <w:pPr>
              <w:spacing w:after="0" w:line="240" w:lineRule="auto"/>
            </w:pPr>
          </w:p>
        </w:tc>
        <w:tc>
          <w:tcPr>
            <w:tcW w:w="2127" w:type="dxa"/>
          </w:tcPr>
          <w:p w14:paraId="23AF3D13" w14:textId="77777777" w:rsidR="00EE40E3" w:rsidRPr="00847B84" w:rsidRDefault="00EE40E3" w:rsidP="006848BD">
            <w:pPr>
              <w:spacing w:after="0" w:line="240" w:lineRule="auto"/>
              <w:ind w:left="357" w:hanging="357"/>
            </w:pPr>
          </w:p>
        </w:tc>
      </w:tr>
      <w:tr w:rsidR="00EE40E3" w:rsidRPr="00847B84" w14:paraId="4A273AC3" w14:textId="77777777" w:rsidTr="00A65112">
        <w:tc>
          <w:tcPr>
            <w:tcW w:w="7371" w:type="dxa"/>
          </w:tcPr>
          <w:p w14:paraId="3984DA5A" w14:textId="77777777" w:rsidR="00EE40E3" w:rsidRPr="00847B84" w:rsidRDefault="00EE40E3" w:rsidP="006848BD">
            <w:pPr>
              <w:spacing w:after="0" w:line="240" w:lineRule="auto"/>
              <w:ind w:left="357" w:hanging="357"/>
              <w:jc w:val="center"/>
              <w:rPr>
                <w:b/>
                <w:bCs/>
                <w:smallCaps/>
              </w:rPr>
            </w:pPr>
            <w:r w:rsidRPr="00847B84">
              <w:rPr>
                <w:b/>
                <w:bCs/>
                <w:smallCaps/>
              </w:rPr>
              <w:t>Essays, Articles, and Journals</w:t>
            </w:r>
          </w:p>
          <w:p w14:paraId="32D30F71" w14:textId="27F41869" w:rsidR="006848BD" w:rsidRPr="00847B84" w:rsidRDefault="006848BD" w:rsidP="006848BD">
            <w:pPr>
              <w:spacing w:after="0" w:line="240" w:lineRule="auto"/>
              <w:ind w:left="357" w:hanging="357"/>
              <w:jc w:val="center"/>
              <w:rPr>
                <w:b/>
                <w:bCs/>
                <w:smallCaps/>
              </w:rPr>
            </w:pPr>
          </w:p>
        </w:tc>
        <w:tc>
          <w:tcPr>
            <w:tcW w:w="2127" w:type="dxa"/>
          </w:tcPr>
          <w:p w14:paraId="6604330C" w14:textId="77777777" w:rsidR="00EE40E3" w:rsidRPr="00847B84" w:rsidRDefault="00EE40E3" w:rsidP="006848BD">
            <w:pPr>
              <w:spacing w:after="0" w:line="240" w:lineRule="auto"/>
              <w:ind w:left="357" w:hanging="357"/>
              <w:jc w:val="center"/>
            </w:pPr>
          </w:p>
        </w:tc>
      </w:tr>
      <w:tr w:rsidR="00EE40E3" w:rsidRPr="00847B84" w14:paraId="5E3EAA4C" w14:textId="77777777" w:rsidTr="00A65112">
        <w:tc>
          <w:tcPr>
            <w:tcW w:w="7371" w:type="dxa"/>
          </w:tcPr>
          <w:p w14:paraId="5E0617CA" w14:textId="77777777" w:rsidR="00EE40E3" w:rsidRPr="00847B84" w:rsidRDefault="00EE40E3" w:rsidP="006848BD">
            <w:pPr>
              <w:pStyle w:val="NormalWeb"/>
              <w:spacing w:after="0"/>
              <w:ind w:left="720" w:hanging="720"/>
              <w:jc w:val="both"/>
            </w:pPr>
            <w:r w:rsidRPr="00847B84">
              <w:rPr>
                <w:color w:val="000000"/>
              </w:rPr>
              <w:t>Adam Muchmore, “</w:t>
            </w:r>
            <w:r w:rsidRPr="00847B84">
              <w:rPr>
                <w:i/>
                <w:iCs/>
                <w:color w:val="000000"/>
              </w:rPr>
              <w:t>Passports and Nationality in International Law”</w:t>
            </w:r>
            <w:r w:rsidRPr="00847B84">
              <w:rPr>
                <w:color w:val="000000"/>
              </w:rPr>
              <w:t>, Penn State Law (2004). </w:t>
            </w:r>
          </w:p>
        </w:tc>
        <w:tc>
          <w:tcPr>
            <w:tcW w:w="2127" w:type="dxa"/>
          </w:tcPr>
          <w:p w14:paraId="2ACB8F21" w14:textId="77777777" w:rsidR="00EE40E3" w:rsidRPr="00847B84" w:rsidRDefault="00EE40E3" w:rsidP="006848BD">
            <w:pPr>
              <w:spacing w:after="0" w:line="240" w:lineRule="auto"/>
              <w:ind w:left="357" w:hanging="357"/>
              <w:jc w:val="center"/>
            </w:pPr>
            <w:r w:rsidRPr="00847B84">
              <w:t>22</w:t>
            </w:r>
          </w:p>
        </w:tc>
      </w:tr>
      <w:tr w:rsidR="00EE40E3" w:rsidRPr="00847B84" w14:paraId="638ABE2E" w14:textId="77777777" w:rsidTr="00A65112">
        <w:tc>
          <w:tcPr>
            <w:tcW w:w="7371" w:type="dxa"/>
          </w:tcPr>
          <w:p w14:paraId="25180020" w14:textId="77777777" w:rsidR="00EE40E3" w:rsidRPr="00847B84" w:rsidRDefault="00EE40E3" w:rsidP="006848BD">
            <w:pPr>
              <w:pStyle w:val="NormalWeb"/>
              <w:spacing w:after="0"/>
              <w:ind w:left="720" w:hanging="720"/>
              <w:jc w:val="both"/>
            </w:pPr>
            <w:r w:rsidRPr="00847B84">
              <w:rPr>
                <w:color w:val="000000"/>
              </w:rPr>
              <w:t xml:space="preserve">Alfred Boll, </w:t>
            </w:r>
            <w:r w:rsidRPr="00847B84">
              <w:rPr>
                <w:i/>
                <w:iCs/>
                <w:color w:val="000000"/>
              </w:rPr>
              <w:t>Nationality and Obligations of Loyalty in International and Municipal Law</w:t>
            </w:r>
            <w:r w:rsidRPr="00847B84">
              <w:rPr>
                <w:color w:val="000000"/>
              </w:rPr>
              <w:t xml:space="preserve"> 2005 </w:t>
            </w:r>
            <w:proofErr w:type="spellStart"/>
            <w:r w:rsidRPr="00847B84">
              <w:rPr>
                <w:color w:val="000000"/>
              </w:rPr>
              <w:t>AUYrBkIntLaw</w:t>
            </w:r>
            <w:proofErr w:type="spellEnd"/>
            <w:r w:rsidRPr="00847B84">
              <w:rPr>
                <w:color w:val="000000"/>
              </w:rPr>
              <w:t xml:space="preserve"> 4; (2005).</w:t>
            </w:r>
          </w:p>
        </w:tc>
        <w:tc>
          <w:tcPr>
            <w:tcW w:w="2127" w:type="dxa"/>
          </w:tcPr>
          <w:p w14:paraId="24C98F4A" w14:textId="77777777" w:rsidR="00EE40E3" w:rsidRPr="00847B84" w:rsidRDefault="00EE40E3" w:rsidP="006848BD">
            <w:pPr>
              <w:spacing w:after="0" w:line="240" w:lineRule="auto"/>
              <w:ind w:left="357" w:hanging="357"/>
              <w:jc w:val="center"/>
            </w:pPr>
            <w:r w:rsidRPr="00847B84">
              <w:t>12</w:t>
            </w:r>
          </w:p>
        </w:tc>
      </w:tr>
      <w:tr w:rsidR="00EE40E3" w:rsidRPr="00847B84" w14:paraId="32EE40A1" w14:textId="77777777" w:rsidTr="00A65112">
        <w:tc>
          <w:tcPr>
            <w:tcW w:w="7371" w:type="dxa"/>
          </w:tcPr>
          <w:p w14:paraId="5CAEE2AB" w14:textId="77777777" w:rsidR="00EE40E3" w:rsidRPr="00847B84" w:rsidRDefault="00EE40E3" w:rsidP="006848BD">
            <w:pPr>
              <w:pStyle w:val="NormalWeb"/>
              <w:spacing w:after="0"/>
              <w:ind w:left="720" w:hanging="720"/>
              <w:jc w:val="both"/>
            </w:pPr>
            <w:r w:rsidRPr="00847B84">
              <w:rPr>
                <w:color w:val="000000"/>
              </w:rPr>
              <w:t xml:space="preserve">Alfred </w:t>
            </w:r>
            <w:proofErr w:type="spellStart"/>
            <w:r w:rsidRPr="00847B84">
              <w:rPr>
                <w:color w:val="000000"/>
              </w:rPr>
              <w:t>Verdross</w:t>
            </w:r>
            <w:proofErr w:type="spellEnd"/>
            <w:r w:rsidRPr="00847B84">
              <w:rPr>
                <w:color w:val="000000"/>
              </w:rPr>
              <w:t xml:space="preserve">, </w:t>
            </w:r>
            <w:r w:rsidRPr="00847B84">
              <w:rPr>
                <w:i/>
                <w:iCs/>
                <w:color w:val="000000"/>
              </w:rPr>
              <w:t>The Plea of Domestic Jurisdiction before an International Tribunal and the Political Organ of the United Nations</w:t>
            </w:r>
            <w:r w:rsidRPr="00847B84">
              <w:rPr>
                <w:color w:val="000000"/>
              </w:rPr>
              <w:t xml:space="preserve"> (1968).</w:t>
            </w:r>
          </w:p>
        </w:tc>
        <w:tc>
          <w:tcPr>
            <w:tcW w:w="2127" w:type="dxa"/>
          </w:tcPr>
          <w:p w14:paraId="3C3AB2E8" w14:textId="77777777" w:rsidR="00EE40E3" w:rsidRPr="00847B84" w:rsidRDefault="00EE40E3" w:rsidP="006848BD">
            <w:pPr>
              <w:spacing w:after="0" w:line="240" w:lineRule="auto"/>
              <w:ind w:left="357" w:hanging="357"/>
              <w:jc w:val="center"/>
            </w:pPr>
            <w:r w:rsidRPr="00847B84">
              <w:t>27</w:t>
            </w:r>
          </w:p>
        </w:tc>
      </w:tr>
      <w:tr w:rsidR="00EE40E3" w:rsidRPr="00847B84" w14:paraId="18EA8802" w14:textId="77777777" w:rsidTr="00A65112">
        <w:tc>
          <w:tcPr>
            <w:tcW w:w="7371" w:type="dxa"/>
          </w:tcPr>
          <w:p w14:paraId="79322BDD" w14:textId="77777777" w:rsidR="00EE40E3" w:rsidRPr="00847B84" w:rsidRDefault="00EE40E3" w:rsidP="006848BD">
            <w:pPr>
              <w:pStyle w:val="NormalWeb"/>
              <w:spacing w:after="0"/>
              <w:ind w:left="720" w:hanging="720"/>
              <w:jc w:val="both"/>
            </w:pPr>
            <w:r w:rsidRPr="00847B84">
              <w:rPr>
                <w:color w:val="000000"/>
              </w:rPr>
              <w:t xml:space="preserve">Allison Christians, </w:t>
            </w:r>
            <w:r w:rsidRPr="00847B84">
              <w:rPr>
                <w:i/>
                <w:iCs/>
                <w:color w:val="000000"/>
              </w:rPr>
              <w:t xml:space="preserve">Buying In: Residence and Citizenship by Investment, </w:t>
            </w:r>
            <w:r w:rsidRPr="00847B84">
              <w:rPr>
                <w:smallCaps/>
                <w:color w:val="000000"/>
              </w:rPr>
              <w:t>St. Louis Univ. L. J., (2017)</w:t>
            </w:r>
          </w:p>
        </w:tc>
        <w:tc>
          <w:tcPr>
            <w:tcW w:w="2127" w:type="dxa"/>
          </w:tcPr>
          <w:p w14:paraId="14C9B326" w14:textId="77777777" w:rsidR="00EE40E3" w:rsidRPr="00847B84" w:rsidRDefault="00EE40E3" w:rsidP="006848BD">
            <w:pPr>
              <w:spacing w:after="0" w:line="240" w:lineRule="auto"/>
              <w:ind w:left="357" w:hanging="357"/>
              <w:jc w:val="center"/>
            </w:pPr>
            <w:r w:rsidRPr="00847B84">
              <w:t>18</w:t>
            </w:r>
          </w:p>
        </w:tc>
      </w:tr>
      <w:tr w:rsidR="00EE40E3" w:rsidRPr="00847B84" w14:paraId="5AFD841B" w14:textId="77777777" w:rsidTr="00A65112">
        <w:tc>
          <w:tcPr>
            <w:tcW w:w="7371" w:type="dxa"/>
          </w:tcPr>
          <w:p w14:paraId="787067F9" w14:textId="77777777" w:rsidR="00EE40E3" w:rsidRPr="00847B84" w:rsidRDefault="00EE40E3" w:rsidP="006848BD">
            <w:pPr>
              <w:pStyle w:val="NormalWeb"/>
              <w:spacing w:after="0"/>
              <w:ind w:left="720" w:hanging="720"/>
              <w:jc w:val="both"/>
            </w:pPr>
            <w:r w:rsidRPr="00847B84">
              <w:rPr>
                <w:color w:val="000000"/>
              </w:rPr>
              <w:lastRenderedPageBreak/>
              <w:t xml:space="preserve">Anna Jonsson, </w:t>
            </w:r>
            <w:r w:rsidRPr="00847B84">
              <w:rPr>
                <w:i/>
                <w:iCs/>
                <w:color w:val="000000"/>
              </w:rPr>
              <w:t xml:space="preserve">Judicial Review and Individual Legal Activism, </w:t>
            </w:r>
            <w:r w:rsidRPr="00847B84">
              <w:rPr>
                <w:smallCaps/>
                <w:color w:val="000000"/>
              </w:rPr>
              <w:t xml:space="preserve">Uppsala Univ.(2005). </w:t>
            </w:r>
            <w:r w:rsidRPr="00847B84">
              <w:rPr>
                <w:color w:val="000000"/>
              </w:rPr>
              <w:t> </w:t>
            </w:r>
          </w:p>
        </w:tc>
        <w:tc>
          <w:tcPr>
            <w:tcW w:w="2127" w:type="dxa"/>
          </w:tcPr>
          <w:p w14:paraId="0B51C4F4" w14:textId="77777777" w:rsidR="00EE40E3" w:rsidRPr="00847B84" w:rsidRDefault="00EE40E3" w:rsidP="006848BD">
            <w:pPr>
              <w:spacing w:after="0" w:line="240" w:lineRule="auto"/>
              <w:ind w:left="357" w:hanging="357"/>
              <w:jc w:val="center"/>
            </w:pPr>
            <w:r w:rsidRPr="00847B84">
              <w:t>6</w:t>
            </w:r>
          </w:p>
        </w:tc>
      </w:tr>
      <w:tr w:rsidR="00EE40E3" w:rsidRPr="00847B84" w14:paraId="1B6424A2" w14:textId="77777777" w:rsidTr="00A65112">
        <w:tc>
          <w:tcPr>
            <w:tcW w:w="7371" w:type="dxa"/>
          </w:tcPr>
          <w:p w14:paraId="4AC1D3E1" w14:textId="77777777" w:rsidR="00EE40E3" w:rsidRPr="00847B84" w:rsidRDefault="00EE40E3" w:rsidP="006848BD">
            <w:pPr>
              <w:pStyle w:val="NormalWeb"/>
              <w:spacing w:after="0"/>
              <w:ind w:left="720" w:hanging="720"/>
              <w:jc w:val="both"/>
            </w:pPr>
            <w:r w:rsidRPr="00847B84">
              <w:rPr>
                <w:i/>
                <w:iCs/>
                <w:color w:val="000000"/>
              </w:rPr>
              <w:t xml:space="preserve">Arrested Development: Sudan’s Constitutional Court, Access to Justice and the Effective Protection of Human Rights, </w:t>
            </w:r>
            <w:r w:rsidRPr="00847B84">
              <w:rPr>
                <w:smallCaps/>
                <w:color w:val="000000"/>
              </w:rPr>
              <w:t xml:space="preserve">Redress </w:t>
            </w:r>
            <w:r w:rsidRPr="00847B84">
              <w:rPr>
                <w:color w:val="000000"/>
              </w:rPr>
              <w:t>(2012).</w:t>
            </w:r>
          </w:p>
        </w:tc>
        <w:tc>
          <w:tcPr>
            <w:tcW w:w="2127" w:type="dxa"/>
          </w:tcPr>
          <w:p w14:paraId="08EA30F0" w14:textId="77777777" w:rsidR="00EE40E3" w:rsidRPr="00847B84" w:rsidRDefault="00EE40E3" w:rsidP="006848BD">
            <w:pPr>
              <w:spacing w:after="0" w:line="240" w:lineRule="auto"/>
              <w:ind w:left="357" w:hanging="357"/>
              <w:jc w:val="center"/>
            </w:pPr>
            <w:r w:rsidRPr="00847B84">
              <w:t>6</w:t>
            </w:r>
          </w:p>
        </w:tc>
      </w:tr>
      <w:tr w:rsidR="00EE40E3" w:rsidRPr="00847B84" w14:paraId="725D9763" w14:textId="77777777" w:rsidTr="00A65112">
        <w:tc>
          <w:tcPr>
            <w:tcW w:w="7371" w:type="dxa"/>
          </w:tcPr>
          <w:p w14:paraId="4F985D90"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Clyde Eagleton, </w:t>
            </w:r>
            <w:r w:rsidRPr="00847B84">
              <w:rPr>
                <w:i/>
                <w:iCs/>
                <w:color w:val="000000"/>
                <w:shd w:val="clear" w:color="auto" w:fill="FFFFFF"/>
              </w:rPr>
              <w:t>Pacific Settlement of Disputes under the Charter</w:t>
            </w:r>
            <w:r w:rsidRPr="00847B84">
              <w:rPr>
                <w:color w:val="000000"/>
                <w:shd w:val="clear" w:color="auto" w:fill="FFFFFF"/>
              </w:rPr>
              <w:t>, The Annals of the American Academy of Political and Social Science (1946). </w:t>
            </w:r>
          </w:p>
        </w:tc>
        <w:tc>
          <w:tcPr>
            <w:tcW w:w="2127" w:type="dxa"/>
          </w:tcPr>
          <w:p w14:paraId="234A3EF2" w14:textId="77777777" w:rsidR="00EE40E3" w:rsidRPr="00847B84" w:rsidRDefault="00EE40E3" w:rsidP="006848BD">
            <w:pPr>
              <w:spacing w:after="0" w:line="240" w:lineRule="auto"/>
              <w:ind w:left="357" w:hanging="357"/>
              <w:jc w:val="center"/>
            </w:pPr>
            <w:r w:rsidRPr="00847B84">
              <w:t>28</w:t>
            </w:r>
          </w:p>
        </w:tc>
      </w:tr>
      <w:tr w:rsidR="00EE40E3" w:rsidRPr="00847B84" w14:paraId="7D8AD3F9" w14:textId="77777777" w:rsidTr="00A65112">
        <w:tc>
          <w:tcPr>
            <w:tcW w:w="7371" w:type="dxa"/>
          </w:tcPr>
          <w:p w14:paraId="44E54045" w14:textId="77777777" w:rsidR="00EE40E3" w:rsidRPr="00847B84" w:rsidRDefault="00EE40E3" w:rsidP="006848BD">
            <w:pPr>
              <w:pStyle w:val="NormalWeb"/>
              <w:spacing w:after="0"/>
              <w:ind w:left="720" w:hanging="720"/>
              <w:jc w:val="both"/>
            </w:pPr>
            <w:r w:rsidRPr="00847B84">
              <w:rPr>
                <w:color w:val="000000"/>
              </w:rPr>
              <w:t xml:space="preserve">Craig </w:t>
            </w:r>
            <w:proofErr w:type="spellStart"/>
            <w:r w:rsidRPr="00847B84">
              <w:rPr>
                <w:color w:val="000000"/>
              </w:rPr>
              <w:t>Forcese</w:t>
            </w:r>
            <w:proofErr w:type="spellEnd"/>
            <w:r w:rsidRPr="00847B84">
              <w:rPr>
                <w:color w:val="000000"/>
              </w:rPr>
              <w:t xml:space="preserve">, </w:t>
            </w:r>
            <w:r w:rsidRPr="00847B84">
              <w:rPr>
                <w:i/>
                <w:iCs/>
                <w:color w:val="000000"/>
              </w:rPr>
              <w:t xml:space="preserve">The Capacity to Protect: Diplomatic Protection of Dual Nationals in the ‘War on Terror’, </w:t>
            </w:r>
            <w:r w:rsidRPr="00847B84">
              <w:rPr>
                <w:color w:val="000000"/>
              </w:rPr>
              <w:t>17</w:t>
            </w:r>
            <w:r w:rsidRPr="00847B84">
              <w:rPr>
                <w:smallCaps/>
                <w:color w:val="000000"/>
              </w:rPr>
              <w:t xml:space="preserve"> EJIL 2 (2006). </w:t>
            </w:r>
          </w:p>
        </w:tc>
        <w:tc>
          <w:tcPr>
            <w:tcW w:w="2127" w:type="dxa"/>
          </w:tcPr>
          <w:p w14:paraId="29DF7B52" w14:textId="77777777" w:rsidR="00EE40E3" w:rsidRPr="00847B84" w:rsidRDefault="00EE40E3" w:rsidP="006848BD">
            <w:pPr>
              <w:spacing w:after="0" w:line="240" w:lineRule="auto"/>
              <w:ind w:left="357" w:hanging="357"/>
              <w:jc w:val="center"/>
            </w:pPr>
            <w:r w:rsidRPr="00847B84">
              <w:t>20, 21</w:t>
            </w:r>
          </w:p>
        </w:tc>
      </w:tr>
      <w:tr w:rsidR="00EE40E3" w:rsidRPr="00847B84" w14:paraId="2081C466" w14:textId="77777777" w:rsidTr="00A65112">
        <w:tc>
          <w:tcPr>
            <w:tcW w:w="7371" w:type="dxa"/>
          </w:tcPr>
          <w:p w14:paraId="51F2F9D5" w14:textId="77777777" w:rsidR="00EE40E3" w:rsidRPr="00847B84" w:rsidRDefault="00EE40E3" w:rsidP="006848BD">
            <w:pPr>
              <w:pStyle w:val="NormalWeb"/>
              <w:spacing w:after="0"/>
              <w:ind w:left="720" w:hanging="720"/>
              <w:jc w:val="both"/>
            </w:pPr>
            <w:r w:rsidRPr="00847B84">
              <w:rPr>
                <w:color w:val="000000"/>
              </w:rPr>
              <w:t xml:space="preserve">David Gilmour, </w:t>
            </w:r>
            <w:r w:rsidRPr="00847B84">
              <w:rPr>
                <w:i/>
                <w:iCs/>
                <w:color w:val="000000"/>
              </w:rPr>
              <w:t>Article 2(7) of the United Nations Charter and the Practice of the Permanent Members of the Security Council</w:t>
            </w:r>
            <w:r w:rsidRPr="00847B84">
              <w:rPr>
                <w:color w:val="000000"/>
              </w:rPr>
              <w:t xml:space="preserve">, </w:t>
            </w:r>
            <w:r w:rsidRPr="00847B84">
              <w:rPr>
                <w:smallCaps/>
                <w:color w:val="000000"/>
              </w:rPr>
              <w:t>Australian Int’l L.</w:t>
            </w:r>
            <w:r w:rsidRPr="00847B84">
              <w:rPr>
                <w:color w:val="000000"/>
              </w:rPr>
              <w:t xml:space="preserve"> (1970). </w:t>
            </w:r>
          </w:p>
        </w:tc>
        <w:tc>
          <w:tcPr>
            <w:tcW w:w="2127" w:type="dxa"/>
          </w:tcPr>
          <w:p w14:paraId="71673C50" w14:textId="77777777" w:rsidR="00EE40E3" w:rsidRPr="00847B84" w:rsidRDefault="00EE40E3" w:rsidP="006848BD">
            <w:pPr>
              <w:spacing w:after="0" w:line="240" w:lineRule="auto"/>
              <w:ind w:left="357" w:hanging="357"/>
              <w:jc w:val="center"/>
            </w:pPr>
            <w:r w:rsidRPr="00847B84">
              <w:t>25</w:t>
            </w:r>
          </w:p>
        </w:tc>
      </w:tr>
      <w:tr w:rsidR="00EE40E3" w:rsidRPr="00847B84" w14:paraId="1A9EECC0" w14:textId="77777777" w:rsidTr="00A65112">
        <w:tc>
          <w:tcPr>
            <w:tcW w:w="7371" w:type="dxa"/>
          </w:tcPr>
          <w:p w14:paraId="2D582FC8" w14:textId="77777777" w:rsidR="00EE40E3" w:rsidRPr="00847B84" w:rsidRDefault="00EE40E3" w:rsidP="006848BD">
            <w:pPr>
              <w:pStyle w:val="NormalWeb"/>
              <w:spacing w:after="0"/>
              <w:ind w:left="720" w:hanging="720"/>
              <w:jc w:val="both"/>
            </w:pPr>
            <w:r w:rsidRPr="00847B84">
              <w:rPr>
                <w:color w:val="000000"/>
              </w:rPr>
              <w:t xml:space="preserve">David </w:t>
            </w:r>
            <w:proofErr w:type="spellStart"/>
            <w:r w:rsidRPr="00847B84">
              <w:rPr>
                <w:color w:val="000000"/>
              </w:rPr>
              <w:t>Weissbrodt</w:t>
            </w:r>
            <w:proofErr w:type="spellEnd"/>
            <w:r w:rsidRPr="00847B84">
              <w:rPr>
                <w:color w:val="000000"/>
              </w:rPr>
              <w:t xml:space="preserve"> and Clay Collins, </w:t>
            </w:r>
            <w:r w:rsidRPr="00847B84">
              <w:rPr>
                <w:i/>
                <w:iCs/>
                <w:color w:val="000000"/>
              </w:rPr>
              <w:t xml:space="preserve">The Human Rights of Stateless Persons, </w:t>
            </w:r>
            <w:r w:rsidRPr="00847B84">
              <w:rPr>
                <w:smallCaps/>
                <w:color w:val="000000"/>
              </w:rPr>
              <w:t>28 Hum. Rights Quarterly 1 (2006).</w:t>
            </w:r>
          </w:p>
        </w:tc>
        <w:tc>
          <w:tcPr>
            <w:tcW w:w="2127" w:type="dxa"/>
          </w:tcPr>
          <w:p w14:paraId="2B2DE45F" w14:textId="77777777" w:rsidR="00EE40E3" w:rsidRPr="00847B84" w:rsidRDefault="00EE40E3" w:rsidP="006848BD">
            <w:pPr>
              <w:spacing w:after="0" w:line="240" w:lineRule="auto"/>
              <w:ind w:left="357" w:hanging="357"/>
              <w:jc w:val="center"/>
            </w:pPr>
            <w:r w:rsidRPr="00847B84">
              <w:t>4</w:t>
            </w:r>
          </w:p>
        </w:tc>
      </w:tr>
      <w:tr w:rsidR="00EE40E3" w:rsidRPr="00847B84" w14:paraId="3F1B0FFA" w14:textId="77777777" w:rsidTr="00A65112">
        <w:tc>
          <w:tcPr>
            <w:tcW w:w="7371" w:type="dxa"/>
          </w:tcPr>
          <w:p w14:paraId="08B6C3FC"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Françoise Hampson, </w:t>
            </w:r>
            <w:r w:rsidRPr="00847B84">
              <w:rPr>
                <w:i/>
                <w:iCs/>
                <w:color w:val="000000"/>
                <w:shd w:val="clear" w:color="auto" w:fill="FFFFFF"/>
              </w:rPr>
              <w:t xml:space="preserve">Inaccessible apexes: Comparing access to regional human rights courts and commissions in Europe, the Americas, and Africa, </w:t>
            </w:r>
            <w:r w:rsidRPr="00847B84">
              <w:rPr>
                <w:smallCaps/>
                <w:color w:val="000000"/>
                <w:shd w:val="clear" w:color="auto" w:fill="FFFFFF"/>
              </w:rPr>
              <w:t>61 Int’l J. Const. L. 1 (2018).</w:t>
            </w:r>
          </w:p>
        </w:tc>
        <w:tc>
          <w:tcPr>
            <w:tcW w:w="2127" w:type="dxa"/>
          </w:tcPr>
          <w:p w14:paraId="66895F54" w14:textId="77777777" w:rsidR="00EE40E3" w:rsidRPr="00847B84" w:rsidRDefault="00EE40E3" w:rsidP="006848BD">
            <w:pPr>
              <w:spacing w:after="0" w:line="240" w:lineRule="auto"/>
              <w:ind w:left="357" w:hanging="357"/>
              <w:jc w:val="center"/>
            </w:pPr>
            <w:r w:rsidRPr="00847B84">
              <w:t>8</w:t>
            </w:r>
          </w:p>
        </w:tc>
      </w:tr>
      <w:tr w:rsidR="00EE40E3" w:rsidRPr="00847B84" w14:paraId="566C7723" w14:textId="77777777" w:rsidTr="00A65112">
        <w:tc>
          <w:tcPr>
            <w:tcW w:w="7371" w:type="dxa"/>
          </w:tcPr>
          <w:p w14:paraId="021FF7F4" w14:textId="77777777" w:rsidR="00EE40E3" w:rsidRPr="00847B84" w:rsidRDefault="00EE40E3" w:rsidP="006848BD">
            <w:pPr>
              <w:pStyle w:val="NormalWeb"/>
              <w:spacing w:after="0"/>
              <w:ind w:left="720" w:hanging="720"/>
              <w:jc w:val="both"/>
            </w:pPr>
            <w:proofErr w:type="spellStart"/>
            <w:r w:rsidRPr="00847B84">
              <w:rPr>
                <w:color w:val="000000"/>
              </w:rPr>
              <w:t>Gammeltoft</w:t>
            </w:r>
            <w:proofErr w:type="spellEnd"/>
            <w:r w:rsidRPr="00847B84">
              <w:rPr>
                <w:color w:val="000000"/>
              </w:rPr>
              <w:t xml:space="preserve">-Hansen, et al.,  </w:t>
            </w:r>
            <w:r w:rsidRPr="00847B84">
              <w:rPr>
                <w:i/>
                <w:iCs/>
                <w:color w:val="000000"/>
              </w:rPr>
              <w:t xml:space="preserve">Introduction </w:t>
            </w:r>
            <w:r w:rsidRPr="00847B84">
              <w:rPr>
                <w:color w:val="000000"/>
              </w:rPr>
              <w:t xml:space="preserve">in </w:t>
            </w:r>
            <w:r w:rsidRPr="00847B84">
              <w:rPr>
                <w:i/>
                <w:iCs/>
                <w:color w:val="000000"/>
              </w:rPr>
              <w:t>Tracing the Roles of Soft Law in Human Rights</w:t>
            </w:r>
            <w:r w:rsidRPr="00847B84">
              <w:rPr>
                <w:color w:val="000000"/>
              </w:rPr>
              <w:t xml:space="preserve">, </w:t>
            </w:r>
            <w:r w:rsidRPr="00847B84">
              <w:rPr>
                <w:smallCaps/>
                <w:color w:val="000000"/>
              </w:rPr>
              <w:t>Oxford University Press 1   2017)</w:t>
            </w:r>
          </w:p>
        </w:tc>
        <w:tc>
          <w:tcPr>
            <w:tcW w:w="2127" w:type="dxa"/>
          </w:tcPr>
          <w:p w14:paraId="1F77EA83" w14:textId="77777777" w:rsidR="00EE40E3" w:rsidRPr="00847B84" w:rsidRDefault="00EE40E3" w:rsidP="006848BD">
            <w:pPr>
              <w:spacing w:after="0" w:line="240" w:lineRule="auto"/>
              <w:ind w:left="357" w:hanging="357"/>
              <w:jc w:val="center"/>
            </w:pPr>
            <w:r w:rsidRPr="00847B84">
              <w:t>11</w:t>
            </w:r>
          </w:p>
        </w:tc>
      </w:tr>
      <w:tr w:rsidR="00EE40E3" w:rsidRPr="00847B84" w14:paraId="7B5A4A26" w14:textId="77777777" w:rsidTr="00A65112">
        <w:tc>
          <w:tcPr>
            <w:tcW w:w="7371" w:type="dxa"/>
          </w:tcPr>
          <w:p w14:paraId="1A235880" w14:textId="77777777" w:rsidR="00EE40E3" w:rsidRPr="00847B84" w:rsidRDefault="00EE40E3" w:rsidP="006848BD">
            <w:pPr>
              <w:pStyle w:val="NormalWeb"/>
              <w:spacing w:after="0"/>
              <w:ind w:left="720" w:hanging="720"/>
              <w:jc w:val="both"/>
            </w:pPr>
            <w:r w:rsidRPr="00847B84">
              <w:rPr>
                <w:color w:val="000000"/>
              </w:rPr>
              <w:t>Hans ​​</w:t>
            </w:r>
            <w:proofErr w:type="spellStart"/>
            <w:r w:rsidRPr="00847B84">
              <w:rPr>
                <w:color w:val="000000"/>
              </w:rPr>
              <w:t>Kelsen</w:t>
            </w:r>
            <w:proofErr w:type="spellEnd"/>
            <w:r w:rsidRPr="00847B84">
              <w:rPr>
                <w:color w:val="000000"/>
              </w:rPr>
              <w:t xml:space="preserve">, </w:t>
            </w:r>
            <w:r w:rsidRPr="00847B84">
              <w:rPr>
                <w:i/>
                <w:iCs/>
                <w:color w:val="000000"/>
              </w:rPr>
              <w:t xml:space="preserve">Judicial Review of Legislation, </w:t>
            </w:r>
            <w:r w:rsidRPr="00847B84">
              <w:rPr>
                <w:color w:val="000000"/>
              </w:rPr>
              <w:t xml:space="preserve">4 </w:t>
            </w:r>
            <w:r w:rsidRPr="00847B84">
              <w:rPr>
                <w:smallCaps/>
                <w:color w:val="000000"/>
              </w:rPr>
              <w:t>J. of Politics 2(1943).</w:t>
            </w:r>
          </w:p>
        </w:tc>
        <w:tc>
          <w:tcPr>
            <w:tcW w:w="2127" w:type="dxa"/>
          </w:tcPr>
          <w:p w14:paraId="5906F7B9" w14:textId="77777777" w:rsidR="00EE40E3" w:rsidRPr="00847B84" w:rsidRDefault="00EE40E3" w:rsidP="006848BD">
            <w:pPr>
              <w:spacing w:after="0" w:line="240" w:lineRule="auto"/>
              <w:ind w:left="357" w:hanging="357"/>
              <w:jc w:val="center"/>
            </w:pPr>
            <w:r w:rsidRPr="00847B84">
              <w:t>6, 7</w:t>
            </w:r>
          </w:p>
        </w:tc>
      </w:tr>
      <w:tr w:rsidR="00EE40E3" w:rsidRPr="00847B84" w14:paraId="044DD74B" w14:textId="77777777" w:rsidTr="00A65112">
        <w:tc>
          <w:tcPr>
            <w:tcW w:w="7371" w:type="dxa"/>
          </w:tcPr>
          <w:p w14:paraId="51DB7AC1"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Jaye Ellis, </w:t>
            </w:r>
            <w:r w:rsidRPr="00847B84">
              <w:rPr>
                <w:i/>
                <w:iCs/>
                <w:color w:val="000000"/>
                <w:shd w:val="clear" w:color="auto" w:fill="FFFFFF"/>
              </w:rPr>
              <w:t xml:space="preserve">General principles and comparative law, </w:t>
            </w:r>
            <w:r w:rsidRPr="00847B84">
              <w:rPr>
                <w:color w:val="000000"/>
                <w:shd w:val="clear" w:color="auto" w:fill="FFFFFF"/>
              </w:rPr>
              <w:t xml:space="preserve">22 </w:t>
            </w:r>
            <w:r w:rsidRPr="00847B84">
              <w:rPr>
                <w:smallCaps/>
                <w:color w:val="000000"/>
                <w:shd w:val="clear" w:color="auto" w:fill="FFFFFF"/>
              </w:rPr>
              <w:t>EJIL 949 (2011). </w:t>
            </w:r>
          </w:p>
        </w:tc>
        <w:tc>
          <w:tcPr>
            <w:tcW w:w="2127" w:type="dxa"/>
          </w:tcPr>
          <w:p w14:paraId="6C012DFB" w14:textId="77777777" w:rsidR="00EE40E3" w:rsidRPr="00847B84" w:rsidRDefault="00EE40E3" w:rsidP="006848BD">
            <w:pPr>
              <w:spacing w:after="0" w:line="240" w:lineRule="auto"/>
              <w:ind w:left="357" w:hanging="357"/>
              <w:jc w:val="center"/>
            </w:pPr>
            <w:r w:rsidRPr="00847B84">
              <w:t>5</w:t>
            </w:r>
          </w:p>
        </w:tc>
      </w:tr>
      <w:tr w:rsidR="00EE40E3" w:rsidRPr="00847B84" w14:paraId="33135F63" w14:textId="77777777" w:rsidTr="00A65112">
        <w:tc>
          <w:tcPr>
            <w:tcW w:w="7371" w:type="dxa"/>
          </w:tcPr>
          <w:p w14:paraId="39491B4F" w14:textId="77777777" w:rsidR="00EE40E3" w:rsidRPr="00847B84" w:rsidRDefault="00EE40E3" w:rsidP="006848BD">
            <w:pPr>
              <w:pStyle w:val="NormalWeb"/>
              <w:spacing w:after="0"/>
              <w:ind w:left="720" w:hanging="720"/>
              <w:jc w:val="both"/>
              <w:rPr>
                <w:color w:val="000000"/>
                <w:shd w:val="clear" w:color="auto" w:fill="FFFFFF"/>
              </w:rPr>
            </w:pPr>
            <w:r w:rsidRPr="00847B84">
              <w:rPr>
                <w:color w:val="000000"/>
              </w:rPr>
              <w:t xml:space="preserve">Jonathan Charney, </w:t>
            </w:r>
            <w:r w:rsidRPr="00847B84">
              <w:rPr>
                <w:i/>
                <w:iCs/>
                <w:color w:val="000000"/>
              </w:rPr>
              <w:t>The Impact on the International Legal System of the Growth of the International Courts and Tribunals</w:t>
            </w:r>
            <w:r w:rsidRPr="00847B84">
              <w:rPr>
                <w:color w:val="000000"/>
              </w:rPr>
              <w:t xml:space="preserve">, 31 </w:t>
            </w:r>
            <w:r w:rsidRPr="00847B84">
              <w:rPr>
                <w:smallCaps/>
                <w:color w:val="000000"/>
              </w:rPr>
              <w:t>NYUJ. Int’l L. &amp; Pol.</w:t>
            </w:r>
            <w:r w:rsidRPr="00847B84">
              <w:rPr>
                <w:color w:val="000000"/>
              </w:rPr>
              <w:t>, 697 (1998-1999).</w:t>
            </w:r>
          </w:p>
        </w:tc>
        <w:tc>
          <w:tcPr>
            <w:tcW w:w="2127" w:type="dxa"/>
          </w:tcPr>
          <w:p w14:paraId="44A96EFB" w14:textId="77777777" w:rsidR="00EE40E3" w:rsidRPr="00847B84" w:rsidRDefault="00EE40E3" w:rsidP="006848BD">
            <w:pPr>
              <w:spacing w:after="0" w:line="240" w:lineRule="auto"/>
              <w:ind w:left="357" w:hanging="357"/>
              <w:jc w:val="center"/>
            </w:pPr>
            <w:r w:rsidRPr="00847B84">
              <w:t>7</w:t>
            </w:r>
          </w:p>
        </w:tc>
      </w:tr>
      <w:tr w:rsidR="00EE40E3" w:rsidRPr="00847B84" w14:paraId="4E6C07D0" w14:textId="77777777" w:rsidTr="00A65112">
        <w:tc>
          <w:tcPr>
            <w:tcW w:w="7371" w:type="dxa"/>
          </w:tcPr>
          <w:p w14:paraId="093F2864" w14:textId="77777777" w:rsidR="00EE40E3" w:rsidRPr="00847B84" w:rsidRDefault="00EE40E3" w:rsidP="006848BD">
            <w:pPr>
              <w:pStyle w:val="NormalWeb"/>
              <w:spacing w:after="0"/>
              <w:ind w:left="720" w:hanging="720"/>
              <w:jc w:val="both"/>
            </w:pPr>
            <w:r w:rsidRPr="00847B84">
              <w:rPr>
                <w:color w:val="000000"/>
              </w:rPr>
              <w:t xml:space="preserve">Julian </w:t>
            </w:r>
            <w:proofErr w:type="spellStart"/>
            <w:r w:rsidRPr="00847B84">
              <w:rPr>
                <w:color w:val="000000"/>
              </w:rPr>
              <w:t>Arato</w:t>
            </w:r>
            <w:proofErr w:type="spellEnd"/>
            <w:r w:rsidRPr="00847B84">
              <w:rPr>
                <w:color w:val="000000"/>
              </w:rPr>
              <w:t>, “</w:t>
            </w:r>
            <w:r w:rsidRPr="00847B84">
              <w:rPr>
                <w:i/>
                <w:iCs/>
                <w:color w:val="000000"/>
              </w:rPr>
              <w:t>Constitutionality and constitutionalism beyond the state: Two perspectives on the material constitution of the United Nations</w:t>
            </w:r>
            <w:r w:rsidRPr="00847B84">
              <w:rPr>
                <w:color w:val="000000"/>
              </w:rPr>
              <w:t>” (2012). </w:t>
            </w:r>
          </w:p>
        </w:tc>
        <w:tc>
          <w:tcPr>
            <w:tcW w:w="2127" w:type="dxa"/>
          </w:tcPr>
          <w:p w14:paraId="56FD4C7C" w14:textId="77777777" w:rsidR="00EE40E3" w:rsidRPr="00847B84" w:rsidRDefault="00EE40E3" w:rsidP="006848BD">
            <w:pPr>
              <w:spacing w:after="0" w:line="240" w:lineRule="auto"/>
              <w:ind w:left="357" w:hanging="357"/>
              <w:jc w:val="center"/>
            </w:pPr>
            <w:r w:rsidRPr="00847B84">
              <w:t>25</w:t>
            </w:r>
          </w:p>
        </w:tc>
      </w:tr>
      <w:tr w:rsidR="00EE40E3" w:rsidRPr="00847B84" w14:paraId="5CAAF1B8" w14:textId="77777777" w:rsidTr="00A65112">
        <w:tc>
          <w:tcPr>
            <w:tcW w:w="7371" w:type="dxa"/>
          </w:tcPr>
          <w:p w14:paraId="21749D71" w14:textId="77777777" w:rsidR="00EE40E3" w:rsidRPr="00847B84" w:rsidRDefault="00EE40E3" w:rsidP="006848BD">
            <w:pPr>
              <w:pStyle w:val="NormalWeb"/>
              <w:spacing w:after="0"/>
              <w:ind w:left="720" w:hanging="720"/>
              <w:jc w:val="both"/>
            </w:pPr>
            <w:r w:rsidRPr="00847B84">
              <w:rPr>
                <w:color w:val="000000"/>
              </w:rPr>
              <w:t xml:space="preserve">Justin Gruenberg, </w:t>
            </w:r>
            <w:r w:rsidRPr="00847B84">
              <w:rPr>
                <w:i/>
                <w:iCs/>
                <w:color w:val="000000"/>
              </w:rPr>
              <w:t>An Analysis of United Nations Security Council Resolutions,</w:t>
            </w:r>
            <w:r w:rsidRPr="00847B84">
              <w:rPr>
                <w:color w:val="000000"/>
              </w:rPr>
              <w:t xml:space="preserve"> 41 </w:t>
            </w:r>
            <w:r w:rsidRPr="00847B84">
              <w:rPr>
                <w:smallCaps/>
                <w:color w:val="000000"/>
              </w:rPr>
              <w:t>Case Western Reserve J. of INT’L L. 2,  (2009)</w:t>
            </w:r>
          </w:p>
        </w:tc>
        <w:tc>
          <w:tcPr>
            <w:tcW w:w="2127" w:type="dxa"/>
          </w:tcPr>
          <w:p w14:paraId="11C8BA97" w14:textId="77777777" w:rsidR="00EE40E3" w:rsidRPr="00847B84" w:rsidRDefault="00EE40E3" w:rsidP="006848BD">
            <w:pPr>
              <w:spacing w:after="0" w:line="240" w:lineRule="auto"/>
              <w:ind w:left="357" w:hanging="357"/>
              <w:jc w:val="center"/>
            </w:pPr>
            <w:r w:rsidRPr="00847B84">
              <w:t>30</w:t>
            </w:r>
          </w:p>
        </w:tc>
      </w:tr>
      <w:tr w:rsidR="00EE40E3" w:rsidRPr="00847B84" w14:paraId="72D4C214" w14:textId="77777777" w:rsidTr="00A65112">
        <w:tc>
          <w:tcPr>
            <w:tcW w:w="7371" w:type="dxa"/>
          </w:tcPr>
          <w:p w14:paraId="250808E5" w14:textId="77777777" w:rsidR="00EE40E3" w:rsidRPr="00847B84" w:rsidRDefault="00EE40E3" w:rsidP="006848BD">
            <w:pPr>
              <w:pStyle w:val="NormalWeb"/>
              <w:spacing w:after="0"/>
              <w:jc w:val="both"/>
              <w:rPr>
                <w:color w:val="000000"/>
              </w:rPr>
            </w:pPr>
            <w:r w:rsidRPr="00847B84">
              <w:rPr>
                <w:color w:val="000000"/>
              </w:rPr>
              <w:t xml:space="preserve">Josef Kunz, </w:t>
            </w:r>
            <w:r w:rsidRPr="00847B84">
              <w:rPr>
                <w:i/>
                <w:iCs/>
                <w:color w:val="000000"/>
              </w:rPr>
              <w:t xml:space="preserve">The </w:t>
            </w:r>
            <w:proofErr w:type="spellStart"/>
            <w:r w:rsidRPr="00847B84">
              <w:rPr>
                <w:i/>
                <w:iCs/>
                <w:color w:val="000000"/>
              </w:rPr>
              <w:t>Nottebohm</w:t>
            </w:r>
            <w:proofErr w:type="spellEnd"/>
            <w:r w:rsidRPr="00847B84">
              <w:rPr>
                <w:i/>
                <w:iCs/>
                <w:color w:val="000000"/>
              </w:rPr>
              <w:t xml:space="preserve"> Judgment</w:t>
            </w:r>
            <w:r w:rsidRPr="00847B84">
              <w:rPr>
                <w:color w:val="000000"/>
              </w:rPr>
              <w:t xml:space="preserve">, 54 </w:t>
            </w:r>
            <w:r w:rsidRPr="00847B84">
              <w:rPr>
                <w:smallCaps/>
                <w:color w:val="000000"/>
              </w:rPr>
              <w:t>Am J. Int’l L</w:t>
            </w:r>
            <w:r w:rsidRPr="00847B84">
              <w:rPr>
                <w:color w:val="000000"/>
              </w:rPr>
              <w:t>. 536 (1960).</w:t>
            </w:r>
          </w:p>
        </w:tc>
        <w:tc>
          <w:tcPr>
            <w:tcW w:w="2127" w:type="dxa"/>
          </w:tcPr>
          <w:p w14:paraId="404A05FE" w14:textId="77777777" w:rsidR="00EE40E3" w:rsidRPr="00847B84" w:rsidRDefault="00EE40E3" w:rsidP="006848BD">
            <w:pPr>
              <w:spacing w:after="0" w:line="240" w:lineRule="auto"/>
              <w:ind w:left="357" w:hanging="357"/>
              <w:jc w:val="center"/>
            </w:pPr>
            <w:r w:rsidRPr="00847B84">
              <w:t>20</w:t>
            </w:r>
          </w:p>
        </w:tc>
      </w:tr>
      <w:tr w:rsidR="00EE40E3" w:rsidRPr="00847B84" w14:paraId="49DC83D0" w14:textId="77777777" w:rsidTr="00A65112">
        <w:tc>
          <w:tcPr>
            <w:tcW w:w="7371" w:type="dxa"/>
          </w:tcPr>
          <w:p w14:paraId="781E6394" w14:textId="77777777" w:rsidR="00EE40E3" w:rsidRPr="00847B84" w:rsidRDefault="00EE40E3" w:rsidP="006848BD">
            <w:pPr>
              <w:pStyle w:val="NormalWeb"/>
              <w:spacing w:after="0"/>
              <w:ind w:left="720" w:hanging="720"/>
              <w:jc w:val="both"/>
            </w:pPr>
            <w:r w:rsidRPr="00847B84">
              <w:rPr>
                <w:color w:val="000000"/>
              </w:rPr>
              <w:t xml:space="preserve">Peter Spiro, </w:t>
            </w:r>
            <w:proofErr w:type="spellStart"/>
            <w:r w:rsidRPr="00847B84">
              <w:rPr>
                <w:i/>
                <w:iCs/>
                <w:color w:val="000000"/>
              </w:rPr>
              <w:t>Nottebohm</w:t>
            </w:r>
            <w:proofErr w:type="spellEnd"/>
            <w:r w:rsidRPr="00847B84">
              <w:rPr>
                <w:i/>
                <w:iCs/>
                <w:color w:val="000000"/>
              </w:rPr>
              <w:t xml:space="preserve"> and ‘Genuine Link’, </w:t>
            </w:r>
            <w:r w:rsidRPr="00847B84">
              <w:rPr>
                <w:smallCaps/>
                <w:color w:val="000000"/>
              </w:rPr>
              <w:t>Investment Migration Working Paper,</w:t>
            </w:r>
            <w:r w:rsidRPr="00847B84">
              <w:rPr>
                <w:color w:val="000000"/>
              </w:rPr>
              <w:t xml:space="preserve"> IMC-RP 2019/1, (2019)</w:t>
            </w:r>
          </w:p>
        </w:tc>
        <w:tc>
          <w:tcPr>
            <w:tcW w:w="2127" w:type="dxa"/>
          </w:tcPr>
          <w:p w14:paraId="40DF195B" w14:textId="77777777" w:rsidR="00EE40E3" w:rsidRPr="00847B84" w:rsidRDefault="00EE40E3" w:rsidP="006848BD">
            <w:pPr>
              <w:spacing w:after="0" w:line="240" w:lineRule="auto"/>
              <w:ind w:left="357" w:hanging="357"/>
              <w:jc w:val="center"/>
            </w:pPr>
            <w:r w:rsidRPr="00847B84">
              <w:t>20</w:t>
            </w:r>
          </w:p>
        </w:tc>
      </w:tr>
      <w:tr w:rsidR="00EE40E3" w:rsidRPr="00847B84" w14:paraId="35FEDEF9" w14:textId="77777777" w:rsidTr="00A65112">
        <w:tc>
          <w:tcPr>
            <w:tcW w:w="7371" w:type="dxa"/>
          </w:tcPr>
          <w:p w14:paraId="2BB98E8B" w14:textId="77777777" w:rsidR="00EE40E3" w:rsidRPr="00847B84" w:rsidRDefault="00EE40E3" w:rsidP="006848BD">
            <w:pPr>
              <w:pStyle w:val="NormalWeb"/>
              <w:spacing w:after="0"/>
              <w:ind w:left="720" w:hanging="720"/>
              <w:jc w:val="both"/>
            </w:pPr>
            <w:proofErr w:type="spellStart"/>
            <w:r w:rsidRPr="00847B84">
              <w:rPr>
                <w:color w:val="000000"/>
              </w:rPr>
              <w:t>Randelfhozer</w:t>
            </w:r>
            <w:proofErr w:type="spellEnd"/>
            <w:r w:rsidRPr="00847B84">
              <w:rPr>
                <w:color w:val="000000"/>
              </w:rPr>
              <w:t>, “</w:t>
            </w:r>
            <w:r w:rsidRPr="00847B84">
              <w:rPr>
                <w:i/>
                <w:iCs/>
                <w:color w:val="000000"/>
              </w:rPr>
              <w:t>Nationality”</w:t>
            </w:r>
            <w:r w:rsidRPr="00847B84">
              <w:rPr>
                <w:color w:val="000000"/>
              </w:rPr>
              <w:t xml:space="preserve">, in </w:t>
            </w:r>
            <w:r w:rsidRPr="00847B84">
              <w:rPr>
                <w:i/>
                <w:iCs/>
                <w:color w:val="000000"/>
              </w:rPr>
              <w:t>Encyclopedia of Public International Law</w:t>
            </w:r>
            <w:r w:rsidRPr="00847B84">
              <w:rPr>
                <w:color w:val="000000"/>
              </w:rPr>
              <w:t>, ed. Rudolf Bernhardt and Max Planck Institute for Comparative Public Law and International Law, vol. 8, (Amsterdam: Elsevier, 1985).</w:t>
            </w:r>
          </w:p>
        </w:tc>
        <w:tc>
          <w:tcPr>
            <w:tcW w:w="2127" w:type="dxa"/>
          </w:tcPr>
          <w:p w14:paraId="089E2505" w14:textId="77777777" w:rsidR="00EE40E3" w:rsidRPr="00847B84" w:rsidRDefault="00EE40E3" w:rsidP="006848BD">
            <w:pPr>
              <w:spacing w:after="0" w:line="240" w:lineRule="auto"/>
              <w:ind w:left="357" w:hanging="357"/>
              <w:jc w:val="center"/>
            </w:pPr>
            <w:r w:rsidRPr="00847B84">
              <w:t>18</w:t>
            </w:r>
          </w:p>
        </w:tc>
      </w:tr>
      <w:tr w:rsidR="00EE40E3" w:rsidRPr="00847B84" w14:paraId="4A290AAB" w14:textId="77777777" w:rsidTr="00A65112">
        <w:tc>
          <w:tcPr>
            <w:tcW w:w="7371" w:type="dxa"/>
          </w:tcPr>
          <w:p w14:paraId="0DBCCC1A" w14:textId="77777777" w:rsidR="00EE40E3" w:rsidRPr="00847B84" w:rsidRDefault="00EE40E3" w:rsidP="006848BD">
            <w:pPr>
              <w:pStyle w:val="NormalWeb"/>
              <w:spacing w:after="0"/>
              <w:ind w:left="720" w:hanging="720"/>
              <w:jc w:val="both"/>
            </w:pPr>
            <w:r w:rsidRPr="00847B84">
              <w:rPr>
                <w:color w:val="000000"/>
              </w:rPr>
              <w:t xml:space="preserve">Robert Jennings, </w:t>
            </w:r>
            <w:r w:rsidRPr="00847B84">
              <w:rPr>
                <w:i/>
                <w:iCs/>
                <w:color w:val="000000"/>
              </w:rPr>
              <w:t xml:space="preserve">The International Court of Justice after Fifty Years, </w:t>
            </w:r>
            <w:r w:rsidRPr="00847B84">
              <w:rPr>
                <w:color w:val="000000"/>
              </w:rPr>
              <w:t xml:space="preserve">89 </w:t>
            </w:r>
            <w:r w:rsidRPr="00847B84">
              <w:rPr>
                <w:smallCaps/>
                <w:color w:val="000000"/>
              </w:rPr>
              <w:t>AJIL 3 (1995).</w:t>
            </w:r>
          </w:p>
        </w:tc>
        <w:tc>
          <w:tcPr>
            <w:tcW w:w="2127" w:type="dxa"/>
          </w:tcPr>
          <w:p w14:paraId="1EEECC87" w14:textId="77777777" w:rsidR="00EE40E3" w:rsidRPr="00847B84" w:rsidRDefault="00EE40E3" w:rsidP="006848BD">
            <w:pPr>
              <w:spacing w:after="0" w:line="240" w:lineRule="auto"/>
              <w:ind w:left="357" w:hanging="357"/>
              <w:jc w:val="center"/>
            </w:pPr>
            <w:r w:rsidRPr="00847B84">
              <w:t>7</w:t>
            </w:r>
          </w:p>
        </w:tc>
      </w:tr>
      <w:tr w:rsidR="00EE40E3" w:rsidRPr="00847B84" w14:paraId="4769F89A" w14:textId="77777777" w:rsidTr="00A65112">
        <w:tc>
          <w:tcPr>
            <w:tcW w:w="7371" w:type="dxa"/>
          </w:tcPr>
          <w:p w14:paraId="238B21BB" w14:textId="77777777" w:rsidR="00EE40E3" w:rsidRPr="00847B84" w:rsidRDefault="00EE40E3" w:rsidP="006848BD">
            <w:pPr>
              <w:pStyle w:val="NormalWeb"/>
              <w:spacing w:after="0"/>
              <w:ind w:left="720" w:hanging="720"/>
              <w:jc w:val="both"/>
            </w:pPr>
            <w:proofErr w:type="spellStart"/>
            <w:r w:rsidRPr="00847B84">
              <w:rPr>
                <w:color w:val="000000"/>
              </w:rPr>
              <w:t>Sisay</w:t>
            </w:r>
            <w:proofErr w:type="spellEnd"/>
            <w:r w:rsidRPr="00847B84">
              <w:rPr>
                <w:color w:val="000000"/>
              </w:rPr>
              <w:t xml:space="preserve"> </w:t>
            </w:r>
            <w:proofErr w:type="spellStart"/>
            <w:r w:rsidRPr="00847B84">
              <w:rPr>
                <w:color w:val="000000"/>
              </w:rPr>
              <w:t>Alemahu</w:t>
            </w:r>
            <w:proofErr w:type="spellEnd"/>
            <w:r w:rsidRPr="00847B84">
              <w:rPr>
                <w:color w:val="000000"/>
              </w:rPr>
              <w:t xml:space="preserve"> </w:t>
            </w:r>
            <w:proofErr w:type="spellStart"/>
            <w:r w:rsidRPr="00847B84">
              <w:rPr>
                <w:color w:val="000000"/>
              </w:rPr>
              <w:t>Yeshanew</w:t>
            </w:r>
            <w:proofErr w:type="spellEnd"/>
            <w:r w:rsidRPr="00847B84">
              <w:rPr>
                <w:color w:val="000000"/>
              </w:rPr>
              <w:t xml:space="preserve">, </w:t>
            </w:r>
            <w:r w:rsidRPr="00847B84">
              <w:rPr>
                <w:i/>
                <w:iCs/>
                <w:color w:val="000000"/>
              </w:rPr>
              <w:t xml:space="preserve">The Justiciability of Human Rights in the Federal Democratic Republic of Ethiopia, </w:t>
            </w:r>
            <w:r w:rsidRPr="00847B84">
              <w:rPr>
                <w:color w:val="000000"/>
              </w:rPr>
              <w:t xml:space="preserve">8 </w:t>
            </w:r>
            <w:r w:rsidRPr="00847B84">
              <w:rPr>
                <w:smallCaps/>
                <w:color w:val="000000"/>
              </w:rPr>
              <w:t>AHRLJ 273-293 (2008).</w:t>
            </w:r>
          </w:p>
        </w:tc>
        <w:tc>
          <w:tcPr>
            <w:tcW w:w="2127" w:type="dxa"/>
          </w:tcPr>
          <w:p w14:paraId="2B99D415" w14:textId="77777777" w:rsidR="00EE40E3" w:rsidRPr="00847B84" w:rsidRDefault="00EE40E3" w:rsidP="006848BD">
            <w:pPr>
              <w:spacing w:after="0" w:line="240" w:lineRule="auto"/>
              <w:ind w:left="357" w:hanging="357"/>
              <w:jc w:val="center"/>
            </w:pPr>
            <w:r w:rsidRPr="00847B84">
              <w:t>6</w:t>
            </w:r>
          </w:p>
        </w:tc>
      </w:tr>
      <w:tr w:rsidR="00EE40E3" w:rsidRPr="00847B84" w14:paraId="2BA39F8B" w14:textId="77777777" w:rsidTr="00A65112">
        <w:tc>
          <w:tcPr>
            <w:tcW w:w="7371" w:type="dxa"/>
          </w:tcPr>
          <w:p w14:paraId="47731705" w14:textId="77777777" w:rsidR="00EE40E3" w:rsidRPr="00847B84" w:rsidRDefault="00EE40E3" w:rsidP="006848BD">
            <w:pPr>
              <w:pStyle w:val="NormalWeb"/>
              <w:spacing w:after="0"/>
              <w:ind w:left="720" w:hanging="720"/>
              <w:jc w:val="both"/>
            </w:pPr>
            <w:proofErr w:type="spellStart"/>
            <w:r w:rsidRPr="00847B84">
              <w:rPr>
                <w:color w:val="000000"/>
              </w:rPr>
              <w:t>Tamàs</w:t>
            </w:r>
            <w:proofErr w:type="spellEnd"/>
            <w:r w:rsidRPr="00847B84">
              <w:rPr>
                <w:color w:val="000000"/>
              </w:rPr>
              <w:t xml:space="preserve"> </w:t>
            </w:r>
            <w:proofErr w:type="spellStart"/>
            <w:r w:rsidRPr="00847B84">
              <w:rPr>
                <w:color w:val="000000"/>
              </w:rPr>
              <w:t>Molnár</w:t>
            </w:r>
            <w:proofErr w:type="spellEnd"/>
            <w:r w:rsidRPr="00847B84">
              <w:rPr>
                <w:color w:val="000000"/>
              </w:rPr>
              <w:t xml:space="preserve">, </w:t>
            </w:r>
            <w:r w:rsidRPr="00847B84">
              <w:rPr>
                <w:i/>
                <w:iCs/>
                <w:color w:val="000000"/>
              </w:rPr>
              <w:t>The Prohibition of Arbitrary Deprivation of Nationality under International Law and EU Law: New Perspectives</w:t>
            </w:r>
            <w:r w:rsidRPr="00847B84">
              <w:rPr>
                <w:color w:val="000000"/>
              </w:rPr>
              <w:t>, Hungarian Yearbook of International Law and European Law (2014).</w:t>
            </w:r>
          </w:p>
        </w:tc>
        <w:tc>
          <w:tcPr>
            <w:tcW w:w="2127" w:type="dxa"/>
          </w:tcPr>
          <w:p w14:paraId="2546E3F3" w14:textId="77777777" w:rsidR="00EE40E3" w:rsidRPr="00847B84" w:rsidRDefault="00EE40E3" w:rsidP="006848BD">
            <w:pPr>
              <w:spacing w:after="0" w:line="240" w:lineRule="auto"/>
              <w:ind w:left="357" w:hanging="357"/>
              <w:jc w:val="center"/>
            </w:pPr>
            <w:r w:rsidRPr="00847B84">
              <w:t>11</w:t>
            </w:r>
          </w:p>
        </w:tc>
      </w:tr>
      <w:tr w:rsidR="00EE40E3" w:rsidRPr="00847B84" w14:paraId="7E960891" w14:textId="77777777" w:rsidTr="00A65112">
        <w:tc>
          <w:tcPr>
            <w:tcW w:w="7371" w:type="dxa"/>
          </w:tcPr>
          <w:p w14:paraId="3F2C6F2A" w14:textId="77777777" w:rsidR="00EE40E3" w:rsidRPr="00847B84" w:rsidRDefault="00EE40E3" w:rsidP="006848BD">
            <w:pPr>
              <w:pStyle w:val="NormalWeb"/>
              <w:spacing w:after="0"/>
              <w:ind w:left="720" w:hanging="720"/>
              <w:jc w:val="both"/>
            </w:pPr>
            <w:r w:rsidRPr="00847B84">
              <w:rPr>
                <w:color w:val="000000"/>
              </w:rPr>
              <w:lastRenderedPageBreak/>
              <w:t xml:space="preserve">Timothy Jacob-Owens and Jo Shaw, </w:t>
            </w:r>
            <w:r w:rsidRPr="00847B84">
              <w:rPr>
                <w:i/>
                <w:iCs/>
                <w:color w:val="000000"/>
              </w:rPr>
              <w:t>Soft Law and Citizenship Regimes,</w:t>
            </w:r>
            <w:r w:rsidRPr="00847B84">
              <w:rPr>
                <w:color w:val="000000"/>
              </w:rPr>
              <w:t xml:space="preserve"> Research Paper Series No. 2023/02,</w:t>
            </w:r>
            <w:r w:rsidRPr="00847B84">
              <w:rPr>
                <w:i/>
                <w:iCs/>
                <w:color w:val="000000"/>
              </w:rPr>
              <w:t xml:space="preserve"> </w:t>
            </w:r>
            <w:r w:rsidRPr="00847B84">
              <w:rPr>
                <w:smallCaps/>
                <w:color w:val="000000"/>
              </w:rPr>
              <w:t>Univ. of Edinburg (2023).</w:t>
            </w:r>
          </w:p>
        </w:tc>
        <w:tc>
          <w:tcPr>
            <w:tcW w:w="2127" w:type="dxa"/>
          </w:tcPr>
          <w:p w14:paraId="26B165AB" w14:textId="77777777" w:rsidR="00EE40E3" w:rsidRPr="00847B84" w:rsidRDefault="00EE40E3" w:rsidP="006848BD">
            <w:pPr>
              <w:spacing w:after="0" w:line="240" w:lineRule="auto"/>
              <w:ind w:left="357" w:hanging="357"/>
              <w:jc w:val="center"/>
            </w:pPr>
            <w:r w:rsidRPr="00847B84">
              <w:t>11</w:t>
            </w:r>
          </w:p>
        </w:tc>
      </w:tr>
      <w:tr w:rsidR="00EE40E3" w:rsidRPr="00847B84" w14:paraId="279D5535" w14:textId="77777777" w:rsidTr="00A65112">
        <w:tc>
          <w:tcPr>
            <w:tcW w:w="7371" w:type="dxa"/>
          </w:tcPr>
          <w:p w14:paraId="5CD38C66" w14:textId="77777777" w:rsidR="00EE40E3" w:rsidRPr="00847B84" w:rsidRDefault="00EE40E3" w:rsidP="006848BD">
            <w:pPr>
              <w:pStyle w:val="NormalWeb"/>
              <w:spacing w:after="0"/>
              <w:ind w:left="720" w:hanging="720"/>
              <w:jc w:val="both"/>
            </w:pPr>
            <w:r w:rsidRPr="00847B84">
              <w:rPr>
                <w:color w:val="000000"/>
              </w:rPr>
              <w:t xml:space="preserve">Tran Long, </w:t>
            </w:r>
            <w:r w:rsidRPr="00847B84">
              <w:rPr>
                <w:i/>
                <w:iCs/>
                <w:color w:val="000000"/>
              </w:rPr>
              <w:t xml:space="preserve">The Application of Estoppel in International Law and Experiences for Vietnam, </w:t>
            </w:r>
            <w:r w:rsidRPr="00847B84">
              <w:rPr>
                <w:color w:val="000000"/>
              </w:rPr>
              <w:t xml:space="preserve">1 </w:t>
            </w:r>
            <w:r w:rsidRPr="00847B84">
              <w:rPr>
                <w:smallCaps/>
                <w:color w:val="000000"/>
              </w:rPr>
              <w:t>Vietnamese j. of legal Sci. 1 (2019).</w:t>
            </w:r>
          </w:p>
        </w:tc>
        <w:tc>
          <w:tcPr>
            <w:tcW w:w="2127" w:type="dxa"/>
          </w:tcPr>
          <w:p w14:paraId="3ABE0A49" w14:textId="77777777" w:rsidR="00EE40E3" w:rsidRPr="00847B84" w:rsidRDefault="00EE40E3" w:rsidP="006848BD">
            <w:pPr>
              <w:spacing w:after="0" w:line="240" w:lineRule="auto"/>
              <w:ind w:left="357" w:hanging="357"/>
              <w:jc w:val="center"/>
            </w:pPr>
            <w:r w:rsidRPr="00847B84">
              <w:t>22</w:t>
            </w:r>
          </w:p>
        </w:tc>
      </w:tr>
      <w:tr w:rsidR="00EE40E3" w:rsidRPr="00847B84" w14:paraId="3D9F6ABE" w14:textId="77777777" w:rsidTr="00A65112">
        <w:tc>
          <w:tcPr>
            <w:tcW w:w="7371" w:type="dxa"/>
          </w:tcPr>
          <w:p w14:paraId="59DA9F0E" w14:textId="77777777" w:rsidR="00EE40E3" w:rsidRPr="00847B84" w:rsidRDefault="00EE40E3" w:rsidP="006848BD">
            <w:pPr>
              <w:pStyle w:val="NormalWeb"/>
              <w:spacing w:after="0"/>
              <w:ind w:left="720" w:hanging="720"/>
              <w:jc w:val="both"/>
            </w:pPr>
            <w:r w:rsidRPr="00847B84">
              <w:rPr>
                <w:color w:val="000000"/>
              </w:rPr>
              <w:t xml:space="preserve">White &amp; Case LLP, </w:t>
            </w:r>
            <w:r w:rsidRPr="00847B84">
              <w:rPr>
                <w:i/>
                <w:iCs/>
                <w:color w:val="000000"/>
              </w:rPr>
              <w:t>Can and Should the Security Council be Impartial in the Peaceful Settlement of Disputes?</w:t>
            </w:r>
            <w:r w:rsidRPr="00847B84">
              <w:rPr>
                <w:color w:val="000000"/>
              </w:rPr>
              <w:t xml:space="preserve"> (2022). </w:t>
            </w:r>
          </w:p>
        </w:tc>
        <w:tc>
          <w:tcPr>
            <w:tcW w:w="2127" w:type="dxa"/>
          </w:tcPr>
          <w:p w14:paraId="3314BCE5" w14:textId="77777777" w:rsidR="00EE40E3" w:rsidRPr="00847B84" w:rsidRDefault="00EE40E3" w:rsidP="006848BD">
            <w:pPr>
              <w:spacing w:after="0" w:line="240" w:lineRule="auto"/>
              <w:ind w:left="357" w:hanging="357"/>
              <w:jc w:val="center"/>
            </w:pPr>
            <w:r w:rsidRPr="00847B84">
              <w:t>6, 29</w:t>
            </w:r>
          </w:p>
        </w:tc>
      </w:tr>
      <w:tr w:rsidR="00EE40E3" w:rsidRPr="00847B84" w14:paraId="1EFBEEA5" w14:textId="77777777" w:rsidTr="00A65112">
        <w:tc>
          <w:tcPr>
            <w:tcW w:w="7371" w:type="dxa"/>
          </w:tcPr>
          <w:p w14:paraId="7E5EBBB6" w14:textId="77777777" w:rsidR="00EE40E3" w:rsidRPr="00847B84" w:rsidRDefault="00EE40E3" w:rsidP="006848BD">
            <w:pPr>
              <w:spacing w:after="0" w:line="240" w:lineRule="auto"/>
              <w:ind w:left="357" w:hanging="357"/>
              <w:jc w:val="center"/>
              <w:rPr>
                <w:b/>
                <w:bCs/>
                <w:smallCaps/>
              </w:rPr>
            </w:pPr>
          </w:p>
        </w:tc>
        <w:tc>
          <w:tcPr>
            <w:tcW w:w="2127" w:type="dxa"/>
          </w:tcPr>
          <w:p w14:paraId="13542AD5" w14:textId="77777777" w:rsidR="00EE40E3" w:rsidRPr="00847B84" w:rsidRDefault="00EE40E3" w:rsidP="006848BD">
            <w:pPr>
              <w:spacing w:after="0" w:line="240" w:lineRule="auto"/>
              <w:ind w:left="357" w:hanging="357"/>
              <w:jc w:val="center"/>
            </w:pPr>
          </w:p>
        </w:tc>
      </w:tr>
      <w:tr w:rsidR="00EE40E3" w:rsidRPr="00847B84" w14:paraId="17E9CA64" w14:textId="77777777" w:rsidTr="00A65112">
        <w:tc>
          <w:tcPr>
            <w:tcW w:w="7371" w:type="dxa"/>
          </w:tcPr>
          <w:p w14:paraId="41FEEB6F" w14:textId="77777777" w:rsidR="00EE40E3" w:rsidRPr="00847B84" w:rsidRDefault="00EE40E3" w:rsidP="006848BD">
            <w:pPr>
              <w:spacing w:after="0" w:line="240" w:lineRule="auto"/>
              <w:ind w:left="357" w:hanging="357"/>
              <w:jc w:val="center"/>
              <w:rPr>
                <w:b/>
                <w:bCs/>
                <w:smallCaps/>
              </w:rPr>
            </w:pPr>
            <w:r w:rsidRPr="00847B84">
              <w:rPr>
                <w:b/>
                <w:bCs/>
                <w:smallCaps/>
              </w:rPr>
              <w:t>United Nations Documents</w:t>
            </w:r>
          </w:p>
          <w:p w14:paraId="6B9AE3B4" w14:textId="77777777" w:rsidR="00EE40E3" w:rsidRPr="00847B84" w:rsidRDefault="00EE40E3" w:rsidP="006848BD">
            <w:pPr>
              <w:pStyle w:val="NormalWeb"/>
              <w:spacing w:after="0"/>
              <w:ind w:left="560" w:hanging="560"/>
              <w:jc w:val="both"/>
            </w:pPr>
            <w:r w:rsidRPr="00847B84">
              <w:rPr>
                <w:color w:val="000000"/>
              </w:rPr>
              <w:t>​</w:t>
            </w:r>
          </w:p>
        </w:tc>
        <w:tc>
          <w:tcPr>
            <w:tcW w:w="2127" w:type="dxa"/>
          </w:tcPr>
          <w:p w14:paraId="301E5D30" w14:textId="77777777" w:rsidR="00EE40E3" w:rsidRPr="00847B84" w:rsidRDefault="00EE40E3" w:rsidP="006848BD">
            <w:pPr>
              <w:spacing w:after="0" w:line="240" w:lineRule="auto"/>
              <w:ind w:left="357" w:hanging="357"/>
              <w:jc w:val="center"/>
            </w:pPr>
          </w:p>
        </w:tc>
      </w:tr>
      <w:tr w:rsidR="00EE40E3" w:rsidRPr="00847B84" w14:paraId="12C17E4D" w14:textId="77777777" w:rsidTr="00A65112">
        <w:tc>
          <w:tcPr>
            <w:tcW w:w="7371" w:type="dxa"/>
          </w:tcPr>
          <w:p w14:paraId="7F060A88" w14:textId="77777777" w:rsidR="00EE40E3" w:rsidRPr="00847B84" w:rsidRDefault="00EE40E3" w:rsidP="006848BD">
            <w:pPr>
              <w:pStyle w:val="NormalWeb"/>
              <w:spacing w:after="0"/>
              <w:ind w:left="720" w:hanging="720"/>
              <w:jc w:val="both"/>
              <w:rPr>
                <w:color w:val="000000"/>
              </w:rPr>
            </w:pPr>
            <w:r w:rsidRPr="00847B84">
              <w:rPr>
                <w:rFonts w:eastAsia="Times"/>
              </w:rPr>
              <w:t>Articles on Responsibility of States for Internationally Wrongful Acts, G.A. Res. 59/83, U.N. Doc. A/56/83, (2001).</w:t>
            </w:r>
          </w:p>
        </w:tc>
        <w:tc>
          <w:tcPr>
            <w:tcW w:w="2127" w:type="dxa"/>
          </w:tcPr>
          <w:p w14:paraId="25CF0A0E" w14:textId="77777777" w:rsidR="00EE40E3" w:rsidRPr="00847B84" w:rsidRDefault="00EE40E3" w:rsidP="006848BD">
            <w:pPr>
              <w:spacing w:after="0" w:line="240" w:lineRule="auto"/>
              <w:ind w:left="357" w:hanging="357"/>
              <w:jc w:val="center"/>
            </w:pPr>
            <w:r w:rsidRPr="00847B84">
              <w:t>22</w:t>
            </w:r>
          </w:p>
        </w:tc>
      </w:tr>
      <w:tr w:rsidR="00EE40E3" w:rsidRPr="00847B84" w14:paraId="679EAEFE" w14:textId="77777777" w:rsidTr="00A65112">
        <w:tc>
          <w:tcPr>
            <w:tcW w:w="7371" w:type="dxa"/>
          </w:tcPr>
          <w:p w14:paraId="241700D4" w14:textId="0B585343" w:rsidR="00EE40E3" w:rsidRPr="00847B84" w:rsidRDefault="00EE40E3" w:rsidP="006848BD">
            <w:pPr>
              <w:pStyle w:val="NormalWeb"/>
              <w:spacing w:after="0"/>
              <w:ind w:left="720" w:hanging="720"/>
              <w:jc w:val="both"/>
            </w:pPr>
            <w:r w:rsidRPr="00847B84">
              <w:rPr>
                <w:color w:val="000000"/>
              </w:rPr>
              <w:t xml:space="preserve">Book 25: Materials on the Responsibility of States for Internationally Wrongful Acts, </w:t>
            </w:r>
            <w:r w:rsidRPr="00847B84">
              <w:rPr>
                <w:smallCaps/>
                <w:color w:val="000000"/>
              </w:rPr>
              <w:t>United Nations Legislative Series</w:t>
            </w:r>
            <w:r w:rsidRPr="00847B84">
              <w:rPr>
                <w:color w:val="000000"/>
              </w:rPr>
              <w:t xml:space="preserve"> (2023)</w:t>
            </w:r>
          </w:p>
        </w:tc>
        <w:tc>
          <w:tcPr>
            <w:tcW w:w="2127" w:type="dxa"/>
          </w:tcPr>
          <w:p w14:paraId="218788FA" w14:textId="567EEA22" w:rsidR="00EE40E3" w:rsidRPr="00847B84" w:rsidRDefault="007D356C" w:rsidP="006848BD">
            <w:pPr>
              <w:spacing w:after="0" w:line="240" w:lineRule="auto"/>
              <w:ind w:left="357" w:hanging="357"/>
              <w:jc w:val="center"/>
            </w:pPr>
            <w:r w:rsidRPr="00847B84">
              <w:t>1</w:t>
            </w:r>
          </w:p>
        </w:tc>
      </w:tr>
      <w:tr w:rsidR="00EE40E3" w:rsidRPr="00847B84" w14:paraId="04D01E13" w14:textId="77777777" w:rsidTr="00A65112">
        <w:tc>
          <w:tcPr>
            <w:tcW w:w="7371" w:type="dxa"/>
          </w:tcPr>
          <w:p w14:paraId="678E370F" w14:textId="77777777" w:rsidR="00EE40E3" w:rsidRPr="00847B84" w:rsidRDefault="00EE40E3" w:rsidP="006848BD">
            <w:pPr>
              <w:pStyle w:val="NormalWeb"/>
              <w:spacing w:after="0"/>
              <w:ind w:left="720" w:hanging="720"/>
              <w:jc w:val="both"/>
            </w:pPr>
            <w:r w:rsidRPr="00847B84">
              <w:rPr>
                <w:color w:val="000000"/>
                <w:shd w:val="clear" w:color="auto" w:fill="FFFFFF"/>
              </w:rPr>
              <w:t>Dugard (Special Rapporteur), First report on diplomatic protection, U.N. Doc. A/CB.4/506 (2000).</w:t>
            </w:r>
          </w:p>
        </w:tc>
        <w:tc>
          <w:tcPr>
            <w:tcW w:w="2127" w:type="dxa"/>
          </w:tcPr>
          <w:p w14:paraId="55E31CAE" w14:textId="77777777" w:rsidR="00EE40E3" w:rsidRPr="00847B84" w:rsidRDefault="00EE40E3" w:rsidP="006848BD">
            <w:pPr>
              <w:spacing w:after="0" w:line="240" w:lineRule="auto"/>
              <w:ind w:left="357" w:hanging="357"/>
              <w:jc w:val="center"/>
            </w:pPr>
            <w:r w:rsidRPr="00847B84">
              <w:t>20</w:t>
            </w:r>
          </w:p>
        </w:tc>
      </w:tr>
      <w:tr w:rsidR="00EE40E3" w:rsidRPr="00847B84" w14:paraId="207FDE71" w14:textId="77777777" w:rsidTr="00A65112">
        <w:tc>
          <w:tcPr>
            <w:tcW w:w="7371" w:type="dxa"/>
          </w:tcPr>
          <w:p w14:paraId="3F1E70BB" w14:textId="77777777" w:rsidR="00EE40E3" w:rsidRPr="00847B84" w:rsidRDefault="00EE40E3" w:rsidP="006848BD">
            <w:pPr>
              <w:pStyle w:val="NormalWeb"/>
              <w:spacing w:after="0"/>
              <w:ind w:left="720" w:hanging="720"/>
              <w:jc w:val="both"/>
            </w:pPr>
            <w:r w:rsidRPr="00847B84">
              <w:rPr>
                <w:color w:val="000000"/>
              </w:rPr>
              <w:t>E.W. v. The Netherlands, Communications No. 429/1990, U.N. Doc. CCPR/C/45/D/429/1990 (1990). </w:t>
            </w:r>
          </w:p>
        </w:tc>
        <w:tc>
          <w:tcPr>
            <w:tcW w:w="2127" w:type="dxa"/>
          </w:tcPr>
          <w:p w14:paraId="0DD787C2" w14:textId="77777777" w:rsidR="00EE40E3" w:rsidRPr="00847B84" w:rsidRDefault="00EE40E3" w:rsidP="006848BD">
            <w:pPr>
              <w:spacing w:after="0" w:line="240" w:lineRule="auto"/>
              <w:ind w:left="357" w:hanging="357"/>
              <w:jc w:val="center"/>
            </w:pPr>
            <w:r w:rsidRPr="00847B84">
              <w:t>8</w:t>
            </w:r>
          </w:p>
        </w:tc>
      </w:tr>
      <w:tr w:rsidR="00EE40E3" w:rsidRPr="00847B84" w14:paraId="4EAF54DD" w14:textId="77777777" w:rsidTr="00A65112">
        <w:tc>
          <w:tcPr>
            <w:tcW w:w="7371" w:type="dxa"/>
          </w:tcPr>
          <w:p w14:paraId="64855B08" w14:textId="77777777" w:rsidR="00EE40E3" w:rsidRPr="00847B84" w:rsidRDefault="00EE40E3" w:rsidP="006848BD">
            <w:pPr>
              <w:pStyle w:val="NormalWeb"/>
              <w:spacing w:after="0"/>
              <w:ind w:left="720" w:hanging="720"/>
              <w:jc w:val="both"/>
            </w:pPr>
            <w:r w:rsidRPr="00847B84">
              <w:rPr>
                <w:color w:val="000000"/>
              </w:rPr>
              <w:t>G.A. Res.  50/152 (</w:t>
            </w:r>
            <w:r w:rsidRPr="00847B84">
              <w:t xml:space="preserve">Feb. 9, 199). </w:t>
            </w:r>
          </w:p>
        </w:tc>
        <w:tc>
          <w:tcPr>
            <w:tcW w:w="2127" w:type="dxa"/>
          </w:tcPr>
          <w:p w14:paraId="6B0234C5" w14:textId="77777777" w:rsidR="00EE40E3" w:rsidRPr="00847B84" w:rsidRDefault="00EE40E3" w:rsidP="006848BD">
            <w:pPr>
              <w:spacing w:after="0" w:line="240" w:lineRule="auto"/>
              <w:ind w:left="357" w:hanging="357"/>
              <w:jc w:val="center"/>
            </w:pPr>
            <w:r w:rsidRPr="00847B84">
              <w:t>11</w:t>
            </w:r>
          </w:p>
        </w:tc>
      </w:tr>
      <w:tr w:rsidR="00EE40E3" w:rsidRPr="00847B84" w14:paraId="3B6FCBE0" w14:textId="77777777" w:rsidTr="00A65112">
        <w:tc>
          <w:tcPr>
            <w:tcW w:w="7371" w:type="dxa"/>
          </w:tcPr>
          <w:p w14:paraId="37578052" w14:textId="77777777" w:rsidR="00EE40E3" w:rsidRPr="00847B84" w:rsidRDefault="00EE40E3" w:rsidP="006848BD">
            <w:pPr>
              <w:pStyle w:val="NormalWeb"/>
              <w:spacing w:after="0"/>
              <w:ind w:left="720" w:hanging="720"/>
              <w:jc w:val="both"/>
            </w:pPr>
            <w:r w:rsidRPr="00847B84">
              <w:rPr>
                <w:color w:val="000000"/>
              </w:rPr>
              <w:t>Human Rights Committee, G</w:t>
            </w:r>
            <w:r w:rsidRPr="00847B84">
              <w:rPr>
                <w:i/>
                <w:iCs/>
                <w:color w:val="000000"/>
              </w:rPr>
              <w:t>eneral Comment 24, Issues Relating to Reservations made upon Ratification or Accession to the Covenant or the Optional Protocols thereto, or in Relation to Declarations under Article 41 of the Covenant,</w:t>
            </w:r>
            <w:r w:rsidRPr="00847B84">
              <w:rPr>
                <w:color w:val="000000"/>
              </w:rPr>
              <w:t>  UN Doc CCPR/C/21/Rev.1/Add.6 (1994),</w:t>
            </w:r>
          </w:p>
        </w:tc>
        <w:tc>
          <w:tcPr>
            <w:tcW w:w="2127" w:type="dxa"/>
          </w:tcPr>
          <w:p w14:paraId="32E2A20E" w14:textId="77777777" w:rsidR="00EE40E3" w:rsidRPr="00847B84" w:rsidRDefault="00EE40E3" w:rsidP="006848BD">
            <w:pPr>
              <w:spacing w:after="0" w:line="240" w:lineRule="auto"/>
              <w:ind w:left="357" w:hanging="357"/>
              <w:jc w:val="center"/>
            </w:pPr>
            <w:r w:rsidRPr="00847B84">
              <w:t>1</w:t>
            </w:r>
          </w:p>
        </w:tc>
      </w:tr>
      <w:tr w:rsidR="00EE40E3" w:rsidRPr="00847B84" w14:paraId="2CA00164" w14:textId="77777777" w:rsidTr="00A65112">
        <w:tc>
          <w:tcPr>
            <w:tcW w:w="7371" w:type="dxa"/>
          </w:tcPr>
          <w:p w14:paraId="4AED3394" w14:textId="77777777" w:rsidR="00EE40E3" w:rsidRPr="00847B84" w:rsidRDefault="00EE40E3" w:rsidP="006848BD">
            <w:pPr>
              <w:pStyle w:val="NormalWeb"/>
              <w:spacing w:after="0"/>
              <w:ind w:left="720" w:hanging="720"/>
              <w:jc w:val="both"/>
            </w:pPr>
            <w:r w:rsidRPr="00847B84">
              <w:rPr>
                <w:color w:val="000000"/>
                <w:shd w:val="clear" w:color="auto" w:fill="FFFFFF"/>
              </w:rPr>
              <w:t>Human Rights Council, U.N. Doc.  A/HRC/25/28 (2013). </w:t>
            </w:r>
          </w:p>
        </w:tc>
        <w:tc>
          <w:tcPr>
            <w:tcW w:w="2127" w:type="dxa"/>
          </w:tcPr>
          <w:p w14:paraId="08E0A17E" w14:textId="77777777" w:rsidR="00EE40E3" w:rsidRPr="00847B84" w:rsidRDefault="00EE40E3" w:rsidP="006848BD">
            <w:pPr>
              <w:spacing w:after="0" w:line="240" w:lineRule="auto"/>
              <w:ind w:left="357" w:hanging="357"/>
              <w:jc w:val="center"/>
            </w:pPr>
            <w:r w:rsidRPr="00847B84">
              <w:t>12</w:t>
            </w:r>
          </w:p>
        </w:tc>
      </w:tr>
      <w:tr w:rsidR="00EE40E3" w:rsidRPr="00847B84" w14:paraId="683D193A" w14:textId="77777777" w:rsidTr="00A65112">
        <w:tc>
          <w:tcPr>
            <w:tcW w:w="7371" w:type="dxa"/>
          </w:tcPr>
          <w:p w14:paraId="11623006" w14:textId="77777777" w:rsidR="00EE40E3" w:rsidRPr="00847B84" w:rsidRDefault="00EE40E3" w:rsidP="006848BD">
            <w:pPr>
              <w:pStyle w:val="NormalWeb"/>
              <w:spacing w:after="0"/>
              <w:ind w:left="720" w:hanging="720"/>
              <w:jc w:val="both"/>
            </w:pPr>
            <w:r w:rsidRPr="00847B84">
              <w:rPr>
                <w:color w:val="000000"/>
              </w:rPr>
              <w:t xml:space="preserve">International Law Commission, </w:t>
            </w:r>
            <w:r w:rsidRPr="00847B84">
              <w:rPr>
                <w:color w:val="000000"/>
                <w:shd w:val="clear" w:color="auto" w:fill="FFFFFF"/>
              </w:rPr>
              <w:t>Comments by Governments on the Draft Convention on the Elimination of Future Statelessness and on the Draft Convention on the Reduction of Future Statelessness  A/C. N.4/82</w:t>
            </w:r>
            <w:r w:rsidRPr="00847B84">
              <w:rPr>
                <w:color w:val="000000"/>
              </w:rPr>
              <w:t xml:space="preserve"> (1954). </w:t>
            </w:r>
          </w:p>
        </w:tc>
        <w:tc>
          <w:tcPr>
            <w:tcW w:w="2127" w:type="dxa"/>
          </w:tcPr>
          <w:p w14:paraId="7ED90FB9" w14:textId="77777777" w:rsidR="00EE40E3" w:rsidRPr="00847B84" w:rsidRDefault="00EE40E3" w:rsidP="006848BD">
            <w:pPr>
              <w:spacing w:after="0" w:line="240" w:lineRule="auto"/>
              <w:ind w:left="357" w:hanging="357"/>
              <w:jc w:val="center"/>
            </w:pPr>
          </w:p>
        </w:tc>
      </w:tr>
      <w:tr w:rsidR="00EE40E3" w:rsidRPr="00847B84" w14:paraId="529257A2" w14:textId="77777777" w:rsidTr="00A65112">
        <w:tc>
          <w:tcPr>
            <w:tcW w:w="7371" w:type="dxa"/>
          </w:tcPr>
          <w:p w14:paraId="0AFDAB01"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International Law Commission, </w:t>
            </w:r>
            <w:r w:rsidRPr="00847B84">
              <w:rPr>
                <w:i/>
                <w:iCs/>
                <w:color w:val="000000"/>
                <w:shd w:val="clear" w:color="auto" w:fill="FFFFFF"/>
              </w:rPr>
              <w:t xml:space="preserve">Draft Articles on Consular Relations, </w:t>
            </w:r>
            <w:r w:rsidRPr="00847B84">
              <w:rPr>
                <w:color w:val="000000"/>
                <w:shd w:val="clear" w:color="auto" w:fill="FFFFFF"/>
              </w:rPr>
              <w:t xml:space="preserve">Y.B. </w:t>
            </w:r>
            <w:r w:rsidRPr="00847B84">
              <w:rPr>
                <w:smallCaps/>
                <w:color w:val="000000"/>
                <w:shd w:val="clear" w:color="auto" w:fill="FFFFFF"/>
              </w:rPr>
              <w:t>Int’l L. Comm’n</w:t>
            </w:r>
            <w:r w:rsidRPr="00847B84">
              <w:rPr>
                <w:color w:val="000000"/>
                <w:shd w:val="clear" w:color="auto" w:fill="FFFFFF"/>
              </w:rPr>
              <w:t xml:space="preserve"> Vol. II, art. 36, 112-13, U.N. Doc. A/CN.4/141 (1961).</w:t>
            </w:r>
          </w:p>
        </w:tc>
        <w:tc>
          <w:tcPr>
            <w:tcW w:w="2127" w:type="dxa"/>
          </w:tcPr>
          <w:p w14:paraId="4095EC2D" w14:textId="77777777" w:rsidR="00EE40E3" w:rsidRPr="00847B84" w:rsidRDefault="00EE40E3" w:rsidP="006848BD">
            <w:pPr>
              <w:spacing w:after="0" w:line="240" w:lineRule="auto"/>
              <w:ind w:left="357" w:hanging="357"/>
              <w:jc w:val="center"/>
            </w:pPr>
            <w:r w:rsidRPr="00847B84">
              <w:t>21</w:t>
            </w:r>
          </w:p>
        </w:tc>
      </w:tr>
      <w:tr w:rsidR="00EE40E3" w:rsidRPr="00847B84" w14:paraId="0014C9DE" w14:textId="77777777" w:rsidTr="00A65112">
        <w:tc>
          <w:tcPr>
            <w:tcW w:w="7371" w:type="dxa"/>
          </w:tcPr>
          <w:p w14:paraId="5338C129"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International Law Commission, </w:t>
            </w:r>
            <w:r w:rsidRPr="00847B84">
              <w:rPr>
                <w:i/>
                <w:iCs/>
                <w:color w:val="000000"/>
                <w:shd w:val="clear" w:color="auto" w:fill="FFFFFF"/>
              </w:rPr>
              <w:t>Draft Articles on Diplomatic Protection with Commentaries</w:t>
            </w:r>
            <w:r w:rsidRPr="00847B84">
              <w:rPr>
                <w:color w:val="000000"/>
                <w:shd w:val="clear" w:color="auto" w:fill="FFFFFF"/>
              </w:rPr>
              <w:t xml:space="preserve">, Y.B. </w:t>
            </w:r>
            <w:r w:rsidRPr="00847B84">
              <w:rPr>
                <w:smallCaps/>
                <w:color w:val="000000"/>
                <w:shd w:val="clear" w:color="auto" w:fill="FFFFFF"/>
              </w:rPr>
              <w:t>Int’l L. Comm’n</w:t>
            </w:r>
            <w:r w:rsidRPr="00847B84">
              <w:rPr>
                <w:color w:val="000000"/>
                <w:shd w:val="clear" w:color="auto" w:fill="FFFFFF"/>
              </w:rPr>
              <w:t xml:space="preserve"> Vol. II, Part 2, art. 1, U.N. Doc. A/61/10 (2006)</w:t>
            </w:r>
          </w:p>
        </w:tc>
        <w:tc>
          <w:tcPr>
            <w:tcW w:w="2127" w:type="dxa"/>
          </w:tcPr>
          <w:p w14:paraId="43571D88" w14:textId="77777777" w:rsidR="00EE40E3" w:rsidRPr="00847B84" w:rsidRDefault="00EE40E3" w:rsidP="006848BD">
            <w:pPr>
              <w:spacing w:after="0" w:line="240" w:lineRule="auto"/>
              <w:ind w:left="357" w:hanging="357"/>
              <w:jc w:val="center"/>
            </w:pPr>
            <w:r w:rsidRPr="00847B84">
              <w:t>8, 9, 18, 20</w:t>
            </w:r>
          </w:p>
        </w:tc>
      </w:tr>
      <w:tr w:rsidR="00EE40E3" w:rsidRPr="00847B84" w14:paraId="3B2ED5AD" w14:textId="77777777" w:rsidTr="00A65112">
        <w:tc>
          <w:tcPr>
            <w:tcW w:w="7371" w:type="dxa"/>
          </w:tcPr>
          <w:p w14:paraId="38910CDC" w14:textId="77777777" w:rsidR="00EE40E3" w:rsidRPr="00847B84" w:rsidRDefault="00EE40E3" w:rsidP="006848BD">
            <w:pPr>
              <w:pStyle w:val="NormalWeb"/>
              <w:spacing w:after="0"/>
              <w:ind w:left="720" w:hanging="720"/>
              <w:jc w:val="both"/>
            </w:pPr>
            <w:r w:rsidRPr="00847B84">
              <w:rPr>
                <w:color w:val="000000"/>
              </w:rPr>
              <w:t xml:space="preserve">International Law Commission, </w:t>
            </w:r>
            <w:r w:rsidRPr="00847B84">
              <w:rPr>
                <w:i/>
                <w:iCs/>
                <w:color w:val="000000"/>
              </w:rPr>
              <w:t>Draft Articles on Responsibility of States for Internationally Wrongful Ats, with commentaries,</w:t>
            </w:r>
            <w:r w:rsidRPr="00847B84">
              <w:rPr>
                <w:color w:val="000000"/>
              </w:rPr>
              <w:t xml:space="preserve"> Y.B. </w:t>
            </w:r>
            <w:r w:rsidRPr="00847B84">
              <w:rPr>
                <w:smallCaps/>
                <w:color w:val="000000"/>
              </w:rPr>
              <w:t>Int’l L. Comm’n</w:t>
            </w:r>
            <w:r w:rsidRPr="00847B84">
              <w:rPr>
                <w:color w:val="000000"/>
              </w:rPr>
              <w:t xml:space="preserve"> Vol. II U.N. Doc. A/56/10, (2001). </w:t>
            </w:r>
          </w:p>
        </w:tc>
        <w:tc>
          <w:tcPr>
            <w:tcW w:w="2127" w:type="dxa"/>
          </w:tcPr>
          <w:p w14:paraId="2FA72B24" w14:textId="77777777" w:rsidR="00EE40E3" w:rsidRPr="00847B84" w:rsidRDefault="00EE40E3" w:rsidP="006848BD">
            <w:pPr>
              <w:spacing w:after="0" w:line="240" w:lineRule="auto"/>
              <w:ind w:left="357" w:hanging="357"/>
              <w:jc w:val="center"/>
            </w:pPr>
            <w:r w:rsidRPr="00847B84">
              <w:t>1, 2, 4, 5</w:t>
            </w:r>
          </w:p>
        </w:tc>
      </w:tr>
      <w:tr w:rsidR="00EE40E3" w:rsidRPr="00847B84" w14:paraId="33E21335" w14:textId="77777777" w:rsidTr="00A65112">
        <w:tc>
          <w:tcPr>
            <w:tcW w:w="7371" w:type="dxa"/>
          </w:tcPr>
          <w:p w14:paraId="2EA47DF7" w14:textId="77777777" w:rsidR="00EE40E3" w:rsidRPr="00847B84" w:rsidRDefault="00EE40E3" w:rsidP="006848BD">
            <w:pPr>
              <w:pStyle w:val="NormalWeb"/>
              <w:spacing w:after="0"/>
              <w:ind w:left="720" w:hanging="720"/>
              <w:jc w:val="both"/>
            </w:pPr>
            <w:r w:rsidRPr="00847B84">
              <w:rPr>
                <w:color w:val="000000"/>
              </w:rPr>
              <w:t xml:space="preserve">International Law Commission, </w:t>
            </w:r>
            <w:r w:rsidRPr="00847B84">
              <w:rPr>
                <w:i/>
                <w:iCs/>
                <w:color w:val="000000"/>
              </w:rPr>
              <w:t>Draft Conclusion 5, Report of the International Law Commission on the work of its seventy-fourth session,</w:t>
            </w:r>
            <w:r w:rsidRPr="00847B84">
              <w:rPr>
                <w:color w:val="000000"/>
              </w:rPr>
              <w:t xml:space="preserve"> ILC Report A/78/10 (April 24 to June 2 and July 3 to Aug. 4, 2023) </w:t>
            </w:r>
          </w:p>
        </w:tc>
        <w:tc>
          <w:tcPr>
            <w:tcW w:w="2127" w:type="dxa"/>
          </w:tcPr>
          <w:p w14:paraId="77813BDA" w14:textId="77777777" w:rsidR="00EE40E3" w:rsidRPr="00847B84" w:rsidRDefault="00EE40E3" w:rsidP="006848BD">
            <w:pPr>
              <w:spacing w:after="0" w:line="240" w:lineRule="auto"/>
              <w:ind w:left="357" w:hanging="357"/>
              <w:jc w:val="center"/>
            </w:pPr>
            <w:r w:rsidRPr="00847B84">
              <w:t>5, 6</w:t>
            </w:r>
          </w:p>
        </w:tc>
      </w:tr>
      <w:tr w:rsidR="00EE40E3" w:rsidRPr="00847B84" w14:paraId="39F1C605" w14:textId="77777777" w:rsidTr="00A65112">
        <w:tc>
          <w:tcPr>
            <w:tcW w:w="7371" w:type="dxa"/>
          </w:tcPr>
          <w:p w14:paraId="03079939" w14:textId="77777777" w:rsidR="00EE40E3" w:rsidRPr="00847B84" w:rsidRDefault="00EE40E3" w:rsidP="006848BD">
            <w:pPr>
              <w:pStyle w:val="NormalWeb"/>
              <w:spacing w:after="0"/>
              <w:ind w:left="720" w:hanging="720"/>
              <w:jc w:val="both"/>
            </w:pPr>
            <w:r w:rsidRPr="00847B84">
              <w:rPr>
                <w:color w:val="000000"/>
              </w:rPr>
              <w:t xml:space="preserve">International Law Commission, Guide to Practice on Reservations to Treaties, II </w:t>
            </w:r>
            <w:r w:rsidRPr="00847B84">
              <w:rPr>
                <w:smallCaps/>
                <w:color w:val="000000"/>
              </w:rPr>
              <w:t xml:space="preserve">Y.B. Int’l L. Comm’n 7, </w:t>
            </w:r>
            <w:r w:rsidRPr="00847B84">
              <w:rPr>
                <w:color w:val="000000"/>
              </w:rPr>
              <w:t>U.N. Doc. A/66/10 (2011).</w:t>
            </w:r>
          </w:p>
        </w:tc>
        <w:tc>
          <w:tcPr>
            <w:tcW w:w="2127" w:type="dxa"/>
          </w:tcPr>
          <w:p w14:paraId="558DBF53" w14:textId="77777777" w:rsidR="00EE40E3" w:rsidRPr="00847B84" w:rsidRDefault="00EE40E3" w:rsidP="006848BD">
            <w:pPr>
              <w:spacing w:after="0" w:line="240" w:lineRule="auto"/>
              <w:ind w:left="357" w:hanging="357"/>
              <w:jc w:val="center"/>
            </w:pPr>
            <w:r w:rsidRPr="00847B84">
              <w:t>10</w:t>
            </w:r>
          </w:p>
        </w:tc>
      </w:tr>
      <w:tr w:rsidR="00EE40E3" w:rsidRPr="00847B84" w14:paraId="5067ACB8" w14:textId="77777777" w:rsidTr="00A65112">
        <w:tc>
          <w:tcPr>
            <w:tcW w:w="7371" w:type="dxa"/>
          </w:tcPr>
          <w:p w14:paraId="0B4689C2" w14:textId="77777777" w:rsidR="00EE40E3" w:rsidRPr="00847B84" w:rsidRDefault="00EE40E3" w:rsidP="006848BD">
            <w:pPr>
              <w:pStyle w:val="NormalWeb"/>
              <w:spacing w:after="0"/>
              <w:ind w:left="720" w:hanging="720"/>
              <w:jc w:val="both"/>
            </w:pPr>
            <w:r w:rsidRPr="00847B84">
              <w:rPr>
                <w:color w:val="000000"/>
                <w:shd w:val="clear" w:color="auto" w:fill="FFFFFF"/>
              </w:rPr>
              <w:t>Malcolm Ross v. Canada, Merits, U.N. Doc. CCPR/C/70/D/736/1997, (Oct. 18, 2000).</w:t>
            </w:r>
          </w:p>
        </w:tc>
        <w:tc>
          <w:tcPr>
            <w:tcW w:w="2127" w:type="dxa"/>
          </w:tcPr>
          <w:p w14:paraId="2C1F8615" w14:textId="77777777" w:rsidR="00EE40E3" w:rsidRPr="00847B84" w:rsidRDefault="00EE40E3" w:rsidP="006848BD">
            <w:pPr>
              <w:spacing w:after="0" w:line="240" w:lineRule="auto"/>
              <w:ind w:left="357" w:hanging="357"/>
              <w:jc w:val="center"/>
            </w:pPr>
            <w:r w:rsidRPr="00847B84">
              <w:t>15, 16</w:t>
            </w:r>
          </w:p>
        </w:tc>
      </w:tr>
      <w:tr w:rsidR="00EE40E3" w:rsidRPr="00847B84" w14:paraId="60A63CEA" w14:textId="77777777" w:rsidTr="00A65112">
        <w:tc>
          <w:tcPr>
            <w:tcW w:w="7371" w:type="dxa"/>
          </w:tcPr>
          <w:p w14:paraId="3459E78F" w14:textId="77777777" w:rsidR="00EE40E3" w:rsidRPr="00847B84" w:rsidRDefault="00EE40E3" w:rsidP="006848BD">
            <w:pPr>
              <w:pStyle w:val="NormalWeb"/>
              <w:spacing w:after="0"/>
              <w:ind w:left="720" w:hanging="720"/>
              <w:jc w:val="both"/>
            </w:pPr>
            <w:r w:rsidRPr="00847B84">
              <w:rPr>
                <w:color w:val="000000"/>
                <w:shd w:val="clear" w:color="auto" w:fill="FFFFFF"/>
              </w:rPr>
              <w:lastRenderedPageBreak/>
              <w:t>Marcelo Vázquez-</w:t>
            </w:r>
            <w:proofErr w:type="spellStart"/>
            <w:r w:rsidRPr="00847B84">
              <w:rPr>
                <w:color w:val="000000"/>
                <w:shd w:val="clear" w:color="auto" w:fill="FFFFFF"/>
              </w:rPr>
              <w:t>Bermúdez</w:t>
            </w:r>
            <w:proofErr w:type="spellEnd"/>
            <w:r w:rsidRPr="00847B84">
              <w:rPr>
                <w:color w:val="000000"/>
                <w:shd w:val="clear" w:color="auto" w:fill="FFFFFF"/>
              </w:rPr>
              <w:t xml:space="preserve"> (Special Rapporteur), Second Report on General Principles of Law, U.N. Doc. A/CN.4/741 (2021).</w:t>
            </w:r>
          </w:p>
        </w:tc>
        <w:tc>
          <w:tcPr>
            <w:tcW w:w="2127" w:type="dxa"/>
          </w:tcPr>
          <w:p w14:paraId="7815352F" w14:textId="77777777" w:rsidR="00EE40E3" w:rsidRPr="00847B84" w:rsidRDefault="00EE40E3" w:rsidP="006848BD">
            <w:pPr>
              <w:spacing w:after="0" w:line="240" w:lineRule="auto"/>
              <w:ind w:left="357" w:hanging="357"/>
              <w:jc w:val="center"/>
            </w:pPr>
            <w:r w:rsidRPr="00847B84">
              <w:t>6, 7</w:t>
            </w:r>
          </w:p>
        </w:tc>
      </w:tr>
      <w:tr w:rsidR="00EE40E3" w:rsidRPr="00847B84" w14:paraId="336CF76C" w14:textId="77777777" w:rsidTr="00A65112">
        <w:tc>
          <w:tcPr>
            <w:tcW w:w="7371" w:type="dxa"/>
          </w:tcPr>
          <w:p w14:paraId="647BCBFA"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Report of the Security Council, U.N. Doc. A/63/1 (2008). </w:t>
            </w:r>
          </w:p>
        </w:tc>
        <w:tc>
          <w:tcPr>
            <w:tcW w:w="2127" w:type="dxa"/>
          </w:tcPr>
          <w:p w14:paraId="7C4D1008" w14:textId="77777777" w:rsidR="00EE40E3" w:rsidRPr="00847B84" w:rsidRDefault="00EE40E3" w:rsidP="006848BD">
            <w:pPr>
              <w:spacing w:after="0" w:line="240" w:lineRule="auto"/>
              <w:ind w:left="357" w:hanging="357"/>
              <w:jc w:val="center"/>
            </w:pPr>
            <w:r w:rsidRPr="00847B84">
              <w:t>30</w:t>
            </w:r>
          </w:p>
        </w:tc>
      </w:tr>
      <w:tr w:rsidR="00EE40E3" w:rsidRPr="00847B84" w14:paraId="4D95B568" w14:textId="77777777" w:rsidTr="00A65112">
        <w:tc>
          <w:tcPr>
            <w:tcW w:w="7371" w:type="dxa"/>
          </w:tcPr>
          <w:p w14:paraId="765CAF17" w14:textId="77777777" w:rsidR="00EE40E3" w:rsidRPr="00847B84" w:rsidRDefault="00EE40E3" w:rsidP="006848BD">
            <w:pPr>
              <w:pStyle w:val="NormalWeb"/>
              <w:spacing w:after="0"/>
              <w:ind w:left="720" w:hanging="720"/>
              <w:jc w:val="both"/>
            </w:pPr>
            <w:r w:rsidRPr="00847B84">
              <w:rPr>
                <w:color w:val="000000"/>
                <w:shd w:val="clear" w:color="auto" w:fill="FFFFFF"/>
              </w:rPr>
              <w:t>Robert Gauthier v. Canada, Merits, U.N. Doc. CCPR/C/65/D/633/1995c (May 5, 1999). </w:t>
            </w:r>
          </w:p>
        </w:tc>
        <w:tc>
          <w:tcPr>
            <w:tcW w:w="2127" w:type="dxa"/>
          </w:tcPr>
          <w:p w14:paraId="5CB602C9" w14:textId="77777777" w:rsidR="00EE40E3" w:rsidRPr="00847B84" w:rsidRDefault="00EE40E3" w:rsidP="006848BD">
            <w:pPr>
              <w:spacing w:after="0" w:line="240" w:lineRule="auto"/>
              <w:ind w:left="357" w:hanging="357"/>
              <w:jc w:val="center"/>
            </w:pPr>
            <w:r w:rsidRPr="00847B84">
              <w:t>14</w:t>
            </w:r>
          </w:p>
        </w:tc>
      </w:tr>
      <w:tr w:rsidR="00EE40E3" w:rsidRPr="00847B84" w14:paraId="794C40CA" w14:textId="77777777" w:rsidTr="00A65112">
        <w:tc>
          <w:tcPr>
            <w:tcW w:w="7371" w:type="dxa"/>
          </w:tcPr>
          <w:p w14:paraId="035D2F33" w14:textId="77777777" w:rsidR="00EE40E3" w:rsidRPr="00847B84" w:rsidRDefault="00EE40E3" w:rsidP="006848BD">
            <w:pPr>
              <w:pStyle w:val="NormalWeb"/>
              <w:spacing w:after="0"/>
              <w:ind w:left="720" w:hanging="720"/>
              <w:jc w:val="both"/>
            </w:pPr>
            <w:r w:rsidRPr="00847B84">
              <w:rPr>
                <w:color w:val="000000"/>
                <w:shd w:val="clear" w:color="auto" w:fill="FFFFFF"/>
              </w:rPr>
              <w:t xml:space="preserve">United Nations High Commissioner for Refugees (UNHCR), Expert Meeting - Interpreting the 1961 Statelessness Convention and Avoiding Statelessness resulting from Loss and Deprivation of Nationality (Tunis Conclusions) </w:t>
            </w:r>
            <w:r w:rsidRPr="00847B84">
              <w:rPr>
                <w:color w:val="202124"/>
                <w:shd w:val="clear" w:color="auto" w:fill="FFFFFF"/>
              </w:rPr>
              <w:t>(2014). </w:t>
            </w:r>
          </w:p>
        </w:tc>
        <w:tc>
          <w:tcPr>
            <w:tcW w:w="2127" w:type="dxa"/>
          </w:tcPr>
          <w:p w14:paraId="28E877E4" w14:textId="77777777" w:rsidR="00EE40E3" w:rsidRPr="00847B84" w:rsidRDefault="00EE40E3" w:rsidP="006848BD">
            <w:pPr>
              <w:spacing w:after="0" w:line="240" w:lineRule="auto"/>
              <w:ind w:left="357" w:hanging="357"/>
              <w:jc w:val="center"/>
            </w:pPr>
            <w:r w:rsidRPr="00847B84">
              <w:t>12, 13</w:t>
            </w:r>
          </w:p>
        </w:tc>
      </w:tr>
      <w:tr w:rsidR="00EE40E3" w:rsidRPr="00847B84" w14:paraId="75D4A4ED" w14:textId="77777777" w:rsidTr="00A65112">
        <w:tc>
          <w:tcPr>
            <w:tcW w:w="7371" w:type="dxa"/>
          </w:tcPr>
          <w:p w14:paraId="7D5E72DA" w14:textId="77777777" w:rsidR="00EE40E3" w:rsidRPr="00847B84" w:rsidRDefault="00EE40E3" w:rsidP="006848BD">
            <w:pPr>
              <w:pStyle w:val="NormalWeb"/>
              <w:spacing w:after="0"/>
              <w:ind w:left="720" w:hanging="720"/>
              <w:jc w:val="both"/>
              <w:rPr>
                <w:rStyle w:val="Strong"/>
                <w:b w:val="0"/>
                <w:bCs w:val="0"/>
              </w:rPr>
            </w:pPr>
            <w:r w:rsidRPr="00847B84">
              <w:rPr>
                <w:color w:val="000000"/>
                <w:shd w:val="clear" w:color="auto" w:fill="FFFFFF"/>
              </w:rPr>
              <w:t>United Nations High Commissioner for Refugees (UNHCR), Guidelines on Statelessness No. 5: Loss and Deprivation of Nationality under Articles 5-9 of the 1961 Convention on the Reduction of Statelessness, HCR/GS/20/05 (2020). </w:t>
            </w:r>
          </w:p>
        </w:tc>
        <w:tc>
          <w:tcPr>
            <w:tcW w:w="2127" w:type="dxa"/>
          </w:tcPr>
          <w:p w14:paraId="2B68FD92" w14:textId="77777777" w:rsidR="00EE40E3" w:rsidRPr="00847B84" w:rsidRDefault="00EE40E3" w:rsidP="006848BD">
            <w:pPr>
              <w:spacing w:after="0" w:line="240" w:lineRule="auto"/>
              <w:ind w:left="357" w:hanging="357"/>
              <w:jc w:val="center"/>
            </w:pPr>
            <w:r w:rsidRPr="00847B84">
              <w:t>12, 13, 14</w:t>
            </w:r>
          </w:p>
        </w:tc>
      </w:tr>
      <w:tr w:rsidR="00EE40E3" w:rsidRPr="00847B84" w14:paraId="0FFB99E9" w14:textId="77777777" w:rsidTr="00A65112">
        <w:tc>
          <w:tcPr>
            <w:tcW w:w="7371" w:type="dxa"/>
          </w:tcPr>
          <w:p w14:paraId="79C7FE99" w14:textId="77777777" w:rsidR="00EE40E3" w:rsidRPr="00847B84" w:rsidRDefault="00EE40E3" w:rsidP="006848BD">
            <w:pPr>
              <w:pStyle w:val="NormalWeb"/>
              <w:spacing w:after="0"/>
              <w:ind w:left="720" w:hanging="720"/>
              <w:jc w:val="both"/>
              <w:rPr>
                <w:color w:val="000000"/>
                <w:shd w:val="clear" w:color="auto" w:fill="FFFFFF"/>
              </w:rPr>
            </w:pPr>
            <w:r w:rsidRPr="00847B84">
              <w:rPr>
                <w:color w:val="000000" w:themeColor="text1"/>
              </w:rPr>
              <w:t xml:space="preserve">United Nations Human Rights Committee, </w:t>
            </w:r>
            <w:r w:rsidRPr="00847B84">
              <w:rPr>
                <w:i/>
                <w:iCs/>
                <w:color w:val="000000" w:themeColor="text1"/>
              </w:rPr>
              <w:t>General Comment 24, Issues Relating to Reservations made upon Ratification or Accession to the Covenant or the Optional Protocols thereto, or in Relation to Declarations under Article 41 of the Covenant</w:t>
            </w:r>
            <w:r w:rsidRPr="00847B84">
              <w:rPr>
                <w:color w:val="000000" w:themeColor="text1"/>
              </w:rPr>
              <w:t xml:space="preserve">, </w:t>
            </w:r>
            <w:r w:rsidRPr="00847B84">
              <w:t xml:space="preserve"> UN Doc CCPR/C/21/Rev.1/Add.6 (1994).</w:t>
            </w:r>
          </w:p>
        </w:tc>
        <w:tc>
          <w:tcPr>
            <w:tcW w:w="2127" w:type="dxa"/>
          </w:tcPr>
          <w:p w14:paraId="087F2002" w14:textId="77777777" w:rsidR="00EE40E3" w:rsidRPr="00847B84" w:rsidRDefault="00EE40E3" w:rsidP="006848BD">
            <w:pPr>
              <w:spacing w:after="0" w:line="240" w:lineRule="auto"/>
              <w:ind w:left="357" w:hanging="357"/>
              <w:jc w:val="center"/>
            </w:pPr>
            <w:r w:rsidRPr="00847B84">
              <w:t>1, 2, 3</w:t>
            </w:r>
          </w:p>
        </w:tc>
      </w:tr>
      <w:tr w:rsidR="00EE40E3" w:rsidRPr="00847B84" w14:paraId="2111AB96" w14:textId="77777777" w:rsidTr="00A65112">
        <w:tc>
          <w:tcPr>
            <w:tcW w:w="7371" w:type="dxa"/>
          </w:tcPr>
          <w:p w14:paraId="424C476D" w14:textId="77777777" w:rsidR="00EE40E3" w:rsidRPr="00847B84" w:rsidRDefault="00EE40E3" w:rsidP="006848BD">
            <w:pPr>
              <w:pStyle w:val="NormalWeb"/>
              <w:spacing w:after="0"/>
              <w:ind w:left="720" w:hanging="720"/>
              <w:jc w:val="both"/>
              <w:rPr>
                <w:rStyle w:val="Strong"/>
                <w:b w:val="0"/>
                <w:bCs w:val="0"/>
              </w:rPr>
            </w:pPr>
            <w:r w:rsidRPr="00847B84">
              <w:rPr>
                <w:color w:val="000000"/>
              </w:rPr>
              <w:t xml:space="preserve">United Nations Human Rights Committee, </w:t>
            </w:r>
            <w:r w:rsidRPr="00847B84">
              <w:rPr>
                <w:i/>
                <w:iCs/>
                <w:color w:val="000000"/>
              </w:rPr>
              <w:t>General Comment 31, Nature of the General Legal Obligation on States Parties to the Covenant,</w:t>
            </w:r>
            <w:r w:rsidRPr="00847B84">
              <w:rPr>
                <w:color w:val="000000"/>
              </w:rPr>
              <w:t xml:space="preserve"> U.N. Doc. CCPR/C/21/Rev.1/Add.13 (2004).</w:t>
            </w:r>
          </w:p>
        </w:tc>
        <w:tc>
          <w:tcPr>
            <w:tcW w:w="2127" w:type="dxa"/>
          </w:tcPr>
          <w:p w14:paraId="035CFAE4" w14:textId="77777777" w:rsidR="00EE40E3" w:rsidRPr="00847B84" w:rsidRDefault="00EE40E3" w:rsidP="006848BD">
            <w:pPr>
              <w:spacing w:after="0" w:line="240" w:lineRule="auto"/>
              <w:ind w:left="357" w:hanging="357"/>
              <w:jc w:val="center"/>
            </w:pPr>
            <w:r w:rsidRPr="00847B84">
              <w:t>3</w:t>
            </w:r>
          </w:p>
        </w:tc>
      </w:tr>
      <w:tr w:rsidR="00EE40E3" w:rsidRPr="00847B84" w14:paraId="75C4E059" w14:textId="77777777" w:rsidTr="00A65112">
        <w:tc>
          <w:tcPr>
            <w:tcW w:w="7371" w:type="dxa"/>
          </w:tcPr>
          <w:p w14:paraId="3DF05A28" w14:textId="77777777" w:rsidR="00EE40E3" w:rsidRPr="00847B84" w:rsidRDefault="00EE40E3" w:rsidP="006848BD">
            <w:pPr>
              <w:pStyle w:val="NormalWeb"/>
              <w:spacing w:after="0"/>
              <w:ind w:left="720" w:hanging="720"/>
              <w:jc w:val="both"/>
            </w:pPr>
            <w:r w:rsidRPr="00847B84">
              <w:rPr>
                <w:color w:val="000000"/>
              </w:rPr>
              <w:t xml:space="preserve">United Nations Human Rights Committee, </w:t>
            </w:r>
            <w:r w:rsidRPr="00847B84">
              <w:rPr>
                <w:i/>
                <w:iCs/>
                <w:color w:val="000000"/>
              </w:rPr>
              <w:t xml:space="preserve">General Comment No. 32, Article 14: Right to equality before courts and tribunals and to a fair trial, </w:t>
            </w:r>
            <w:r w:rsidRPr="00847B84">
              <w:rPr>
                <w:color w:val="000000"/>
              </w:rPr>
              <w:t>U.N. Doc. CCPR/C/GC/32 (2007). </w:t>
            </w:r>
          </w:p>
        </w:tc>
        <w:tc>
          <w:tcPr>
            <w:tcW w:w="2127" w:type="dxa"/>
          </w:tcPr>
          <w:p w14:paraId="48BF8101" w14:textId="77777777" w:rsidR="00EE40E3" w:rsidRPr="00847B84" w:rsidRDefault="00EE40E3" w:rsidP="006848BD">
            <w:pPr>
              <w:spacing w:after="0" w:line="240" w:lineRule="auto"/>
              <w:ind w:left="357" w:hanging="357"/>
              <w:jc w:val="center"/>
            </w:pPr>
            <w:r w:rsidRPr="00847B84">
              <w:t>24</w:t>
            </w:r>
          </w:p>
        </w:tc>
      </w:tr>
      <w:tr w:rsidR="00EE40E3" w:rsidRPr="00847B84" w14:paraId="3C375622" w14:textId="77777777" w:rsidTr="00A65112">
        <w:tc>
          <w:tcPr>
            <w:tcW w:w="7371" w:type="dxa"/>
          </w:tcPr>
          <w:p w14:paraId="1CDFA022" w14:textId="77777777" w:rsidR="00EE40E3" w:rsidRPr="00847B84" w:rsidRDefault="00EE40E3" w:rsidP="006848BD">
            <w:pPr>
              <w:pStyle w:val="NormalWeb"/>
              <w:spacing w:after="0"/>
              <w:ind w:left="720" w:hanging="720"/>
              <w:jc w:val="both"/>
              <w:rPr>
                <w:color w:val="000000"/>
              </w:rPr>
            </w:pPr>
            <w:r w:rsidRPr="00847B84">
              <w:rPr>
                <w:color w:val="000000"/>
                <w:shd w:val="clear" w:color="auto" w:fill="FFFFFF"/>
              </w:rPr>
              <w:t xml:space="preserve">United Nations Human Rights Committee (HRC), </w:t>
            </w:r>
            <w:r w:rsidRPr="00847B84">
              <w:rPr>
                <w:i/>
                <w:iCs/>
                <w:color w:val="000000"/>
                <w:shd w:val="clear" w:color="auto" w:fill="FFFFFF"/>
              </w:rPr>
              <w:t>General Comment No. 34, Article 19, Freedoms of opinion and expression</w:t>
            </w:r>
            <w:r w:rsidRPr="00847B84">
              <w:rPr>
                <w:color w:val="000000"/>
                <w:shd w:val="clear" w:color="auto" w:fill="FFFFFF"/>
              </w:rPr>
              <w:t>, CCPR/C/GC/34 (2011).</w:t>
            </w:r>
          </w:p>
        </w:tc>
        <w:tc>
          <w:tcPr>
            <w:tcW w:w="2127" w:type="dxa"/>
          </w:tcPr>
          <w:p w14:paraId="4A0EFE1C" w14:textId="77777777" w:rsidR="00EE40E3" w:rsidRPr="00847B84" w:rsidRDefault="00EE40E3" w:rsidP="006848BD">
            <w:pPr>
              <w:spacing w:after="0" w:line="240" w:lineRule="auto"/>
              <w:ind w:left="357" w:hanging="357"/>
              <w:jc w:val="center"/>
            </w:pPr>
            <w:r w:rsidRPr="00847B84">
              <w:t>13, 15</w:t>
            </w:r>
          </w:p>
        </w:tc>
      </w:tr>
      <w:tr w:rsidR="00EE40E3" w:rsidRPr="00847B84" w14:paraId="2D3268D0" w14:textId="77777777" w:rsidTr="00A65112">
        <w:tc>
          <w:tcPr>
            <w:tcW w:w="7371" w:type="dxa"/>
          </w:tcPr>
          <w:p w14:paraId="31F027A6" w14:textId="77777777" w:rsidR="00EE40E3" w:rsidRPr="00847B84" w:rsidRDefault="00EE40E3" w:rsidP="006848BD">
            <w:pPr>
              <w:pStyle w:val="NormalWeb"/>
              <w:spacing w:after="0"/>
              <w:ind w:left="720" w:hanging="720"/>
              <w:jc w:val="both"/>
            </w:pPr>
            <w:r w:rsidRPr="00847B84">
              <w:rPr>
                <w:color w:val="000000"/>
              </w:rPr>
              <w:t xml:space="preserve">United Nations SC, </w:t>
            </w:r>
            <w:r w:rsidRPr="00847B84">
              <w:rPr>
                <w:i/>
                <w:iCs/>
                <w:color w:val="000000"/>
              </w:rPr>
              <w:t>Repertoire of the Practice of the Security Council 1946-1951</w:t>
            </w:r>
            <w:r w:rsidRPr="00847B84">
              <w:rPr>
                <w:color w:val="000000"/>
              </w:rPr>
              <w:t xml:space="preserve"> (1954).</w:t>
            </w:r>
          </w:p>
        </w:tc>
        <w:tc>
          <w:tcPr>
            <w:tcW w:w="2127" w:type="dxa"/>
          </w:tcPr>
          <w:p w14:paraId="652DE837" w14:textId="77777777" w:rsidR="00EE40E3" w:rsidRPr="00847B84" w:rsidRDefault="00EE40E3" w:rsidP="006848BD">
            <w:pPr>
              <w:spacing w:after="0" w:line="240" w:lineRule="auto"/>
              <w:ind w:left="357" w:hanging="357"/>
              <w:jc w:val="center"/>
            </w:pPr>
            <w:r w:rsidRPr="00847B84">
              <w:t>32</w:t>
            </w:r>
          </w:p>
        </w:tc>
      </w:tr>
      <w:tr w:rsidR="00EE40E3" w:rsidRPr="00847B84" w14:paraId="70E0C309" w14:textId="77777777" w:rsidTr="00A65112">
        <w:tc>
          <w:tcPr>
            <w:tcW w:w="7371" w:type="dxa"/>
          </w:tcPr>
          <w:p w14:paraId="01EBBD72" w14:textId="77777777" w:rsidR="00EE40E3" w:rsidRPr="00847B84" w:rsidRDefault="00EE40E3" w:rsidP="006848BD">
            <w:pPr>
              <w:pStyle w:val="NormalWeb"/>
              <w:spacing w:after="0"/>
              <w:ind w:left="720" w:hanging="720"/>
              <w:jc w:val="both"/>
            </w:pPr>
            <w:r w:rsidRPr="00847B84">
              <w:rPr>
                <w:color w:val="000000"/>
                <w:shd w:val="clear" w:color="auto" w:fill="FFFFFF"/>
              </w:rPr>
              <w:t>United Nations Security Council, Repertory Vol. I (1945-1954). </w:t>
            </w:r>
          </w:p>
        </w:tc>
        <w:tc>
          <w:tcPr>
            <w:tcW w:w="2127" w:type="dxa"/>
          </w:tcPr>
          <w:p w14:paraId="4BCF75A3" w14:textId="77777777" w:rsidR="00EE40E3" w:rsidRPr="00847B84" w:rsidRDefault="00EE40E3" w:rsidP="006848BD">
            <w:pPr>
              <w:spacing w:after="0" w:line="240" w:lineRule="auto"/>
              <w:ind w:left="357" w:hanging="357"/>
              <w:jc w:val="center"/>
            </w:pPr>
            <w:r w:rsidRPr="00847B84">
              <w:t>27</w:t>
            </w:r>
          </w:p>
        </w:tc>
      </w:tr>
      <w:tr w:rsidR="00EE40E3" w:rsidRPr="00847B84" w14:paraId="3A85ED7F" w14:textId="77777777" w:rsidTr="00A65112">
        <w:tc>
          <w:tcPr>
            <w:tcW w:w="7371" w:type="dxa"/>
          </w:tcPr>
          <w:p w14:paraId="66489F68" w14:textId="77777777" w:rsidR="00EE40E3" w:rsidRPr="00847B84" w:rsidRDefault="00EE40E3" w:rsidP="006848BD">
            <w:pPr>
              <w:spacing w:after="0" w:line="240" w:lineRule="auto"/>
            </w:pPr>
          </w:p>
        </w:tc>
        <w:tc>
          <w:tcPr>
            <w:tcW w:w="2127" w:type="dxa"/>
          </w:tcPr>
          <w:p w14:paraId="0B1833BF" w14:textId="77777777" w:rsidR="00EE40E3" w:rsidRPr="00847B84" w:rsidRDefault="00EE40E3" w:rsidP="006848BD">
            <w:pPr>
              <w:spacing w:after="0" w:line="240" w:lineRule="auto"/>
              <w:ind w:left="357" w:hanging="357"/>
            </w:pPr>
          </w:p>
        </w:tc>
      </w:tr>
      <w:tr w:rsidR="00EE40E3" w:rsidRPr="00847B84" w14:paraId="6CFF81CC" w14:textId="77777777" w:rsidTr="00A65112">
        <w:tc>
          <w:tcPr>
            <w:tcW w:w="7371" w:type="dxa"/>
          </w:tcPr>
          <w:p w14:paraId="3EF4E313" w14:textId="77777777" w:rsidR="00EE40E3" w:rsidRPr="00847B84" w:rsidRDefault="00EE40E3" w:rsidP="006848BD">
            <w:pPr>
              <w:spacing w:after="0" w:line="240" w:lineRule="auto"/>
              <w:ind w:left="357" w:hanging="357"/>
              <w:jc w:val="center"/>
              <w:rPr>
                <w:b/>
                <w:bCs/>
                <w:smallCaps/>
              </w:rPr>
            </w:pPr>
            <w:r w:rsidRPr="00847B84">
              <w:rPr>
                <w:b/>
                <w:bCs/>
                <w:smallCaps/>
              </w:rPr>
              <w:t>United Nations Security Council Resolutions</w:t>
            </w:r>
          </w:p>
          <w:p w14:paraId="53B823BF" w14:textId="77777777" w:rsidR="00EE40E3" w:rsidRPr="00847B84" w:rsidRDefault="00EE40E3" w:rsidP="006848BD">
            <w:pPr>
              <w:spacing w:after="0" w:line="240" w:lineRule="auto"/>
            </w:pPr>
          </w:p>
        </w:tc>
        <w:tc>
          <w:tcPr>
            <w:tcW w:w="2127" w:type="dxa"/>
          </w:tcPr>
          <w:p w14:paraId="5A403A0A" w14:textId="77777777" w:rsidR="00EE40E3" w:rsidRPr="00847B84" w:rsidRDefault="00EE40E3" w:rsidP="006848BD">
            <w:pPr>
              <w:spacing w:after="0" w:line="240" w:lineRule="auto"/>
              <w:ind w:left="357" w:hanging="357"/>
            </w:pPr>
          </w:p>
        </w:tc>
      </w:tr>
      <w:tr w:rsidR="00EE40E3" w:rsidRPr="00847B84" w14:paraId="1AB13964" w14:textId="77777777" w:rsidTr="00A65112">
        <w:tc>
          <w:tcPr>
            <w:tcW w:w="7371" w:type="dxa"/>
          </w:tcPr>
          <w:p w14:paraId="21236C18" w14:textId="77777777" w:rsidR="00EE40E3" w:rsidRPr="00847B84" w:rsidRDefault="00EE40E3" w:rsidP="006848BD">
            <w:pPr>
              <w:pStyle w:val="NormalWeb"/>
              <w:spacing w:after="0"/>
              <w:ind w:left="560" w:hanging="560"/>
              <w:jc w:val="both"/>
            </w:pPr>
            <w:r w:rsidRPr="00847B84">
              <w:rPr>
                <w:color w:val="000000"/>
              </w:rPr>
              <w:t>S.C. Res. 22 (April 9, 1947).</w:t>
            </w:r>
          </w:p>
        </w:tc>
        <w:tc>
          <w:tcPr>
            <w:tcW w:w="2127" w:type="dxa"/>
          </w:tcPr>
          <w:p w14:paraId="66F6874B" w14:textId="77777777" w:rsidR="00EE40E3" w:rsidRPr="00847B84" w:rsidRDefault="00EE40E3" w:rsidP="006848BD">
            <w:pPr>
              <w:spacing w:after="0" w:line="240" w:lineRule="auto"/>
              <w:ind w:left="357" w:hanging="357"/>
              <w:jc w:val="center"/>
            </w:pPr>
            <w:r w:rsidRPr="00847B84">
              <w:t>26</w:t>
            </w:r>
          </w:p>
        </w:tc>
      </w:tr>
      <w:tr w:rsidR="00EE40E3" w:rsidRPr="00847B84" w14:paraId="601B8517" w14:textId="77777777" w:rsidTr="00A65112">
        <w:tc>
          <w:tcPr>
            <w:tcW w:w="7371" w:type="dxa"/>
          </w:tcPr>
          <w:p w14:paraId="1BF36F72" w14:textId="77777777" w:rsidR="00EE40E3" w:rsidRPr="00847B84" w:rsidRDefault="00EE40E3" w:rsidP="006848BD">
            <w:pPr>
              <w:pStyle w:val="FootnoteText"/>
              <w:spacing w:after="0"/>
              <w:ind w:left="357" w:hanging="357"/>
              <w:rPr>
                <w:color w:val="000000" w:themeColor="text1"/>
                <w:sz w:val="24"/>
                <w:szCs w:val="24"/>
              </w:rPr>
            </w:pPr>
            <w:r w:rsidRPr="00847B84">
              <w:rPr>
                <w:color w:val="000000"/>
                <w:sz w:val="24"/>
                <w:szCs w:val="24"/>
                <w:shd w:val="clear" w:color="auto" w:fill="FFFFFF"/>
              </w:rPr>
              <w:t>S.C. Res. 295 (Aug. 3, 1971).</w:t>
            </w:r>
          </w:p>
        </w:tc>
        <w:tc>
          <w:tcPr>
            <w:tcW w:w="2127" w:type="dxa"/>
          </w:tcPr>
          <w:p w14:paraId="65073224" w14:textId="77777777" w:rsidR="00EE40E3" w:rsidRPr="00847B84" w:rsidRDefault="00EE40E3" w:rsidP="006848BD">
            <w:pPr>
              <w:spacing w:after="0" w:line="240" w:lineRule="auto"/>
              <w:ind w:left="357" w:hanging="357"/>
              <w:jc w:val="center"/>
            </w:pPr>
            <w:r w:rsidRPr="00847B84">
              <w:t>32</w:t>
            </w:r>
          </w:p>
        </w:tc>
      </w:tr>
      <w:tr w:rsidR="00EE40E3" w:rsidRPr="00847B84" w14:paraId="7674AC6D" w14:textId="77777777" w:rsidTr="00A65112">
        <w:tc>
          <w:tcPr>
            <w:tcW w:w="7371" w:type="dxa"/>
          </w:tcPr>
          <w:p w14:paraId="1ACDA06B" w14:textId="77777777" w:rsidR="00EE40E3" w:rsidRPr="00847B84" w:rsidRDefault="00EE40E3" w:rsidP="006848BD">
            <w:pPr>
              <w:pStyle w:val="NormalWeb"/>
              <w:spacing w:after="0"/>
              <w:ind w:left="560" w:hanging="560"/>
              <w:jc w:val="both"/>
            </w:pPr>
            <w:r w:rsidRPr="00847B84">
              <w:rPr>
                <w:color w:val="000000"/>
                <w:shd w:val="clear" w:color="auto" w:fill="FFFFFF"/>
              </w:rPr>
              <w:t>S.C. Res. 276 (Jan. 30, 1970). </w:t>
            </w:r>
          </w:p>
        </w:tc>
        <w:tc>
          <w:tcPr>
            <w:tcW w:w="2127" w:type="dxa"/>
          </w:tcPr>
          <w:p w14:paraId="5D8FF346" w14:textId="77777777" w:rsidR="00EE40E3" w:rsidRPr="00847B84" w:rsidRDefault="00EE40E3" w:rsidP="006848BD">
            <w:pPr>
              <w:spacing w:after="0" w:line="240" w:lineRule="auto"/>
              <w:ind w:left="357" w:hanging="357"/>
              <w:jc w:val="center"/>
            </w:pPr>
            <w:r w:rsidRPr="00847B84">
              <w:t>29</w:t>
            </w:r>
          </w:p>
        </w:tc>
      </w:tr>
      <w:tr w:rsidR="00EE40E3" w:rsidRPr="00847B84" w14:paraId="60535137" w14:textId="77777777" w:rsidTr="00A65112">
        <w:tc>
          <w:tcPr>
            <w:tcW w:w="7371" w:type="dxa"/>
          </w:tcPr>
          <w:p w14:paraId="7507D64B" w14:textId="77777777" w:rsidR="00EE40E3" w:rsidRPr="00847B84" w:rsidRDefault="00EE40E3" w:rsidP="006848BD">
            <w:pPr>
              <w:pStyle w:val="NormalWeb"/>
              <w:spacing w:after="0"/>
              <w:ind w:left="560" w:hanging="560"/>
              <w:jc w:val="both"/>
            </w:pPr>
            <w:r w:rsidRPr="00847B84">
              <w:rPr>
                <w:color w:val="000000"/>
                <w:shd w:val="clear" w:color="auto" w:fill="FFFFFF"/>
              </w:rPr>
              <w:t>S.C. Res. 294 (July 15, 1971).</w:t>
            </w:r>
          </w:p>
        </w:tc>
        <w:tc>
          <w:tcPr>
            <w:tcW w:w="2127" w:type="dxa"/>
          </w:tcPr>
          <w:p w14:paraId="48B4EF76" w14:textId="77777777" w:rsidR="00EE40E3" w:rsidRPr="00847B84" w:rsidRDefault="00EE40E3" w:rsidP="006848BD">
            <w:pPr>
              <w:spacing w:after="0" w:line="240" w:lineRule="auto"/>
              <w:ind w:left="357" w:hanging="357"/>
              <w:jc w:val="center"/>
            </w:pPr>
            <w:r w:rsidRPr="00847B84">
              <w:t>32</w:t>
            </w:r>
          </w:p>
        </w:tc>
      </w:tr>
      <w:tr w:rsidR="00EE40E3" w:rsidRPr="00847B84" w14:paraId="1BE691D3" w14:textId="77777777" w:rsidTr="00A65112">
        <w:tc>
          <w:tcPr>
            <w:tcW w:w="7371" w:type="dxa"/>
          </w:tcPr>
          <w:p w14:paraId="775F9287" w14:textId="77777777" w:rsidR="00EE40E3" w:rsidRPr="00847B84" w:rsidRDefault="00EE40E3" w:rsidP="006848BD">
            <w:pPr>
              <w:pStyle w:val="NormalWeb"/>
              <w:spacing w:after="0"/>
              <w:ind w:left="560" w:hanging="560"/>
              <w:jc w:val="both"/>
            </w:pPr>
            <w:r w:rsidRPr="00847B84">
              <w:rPr>
                <w:color w:val="000000"/>
                <w:shd w:val="clear" w:color="auto" w:fill="FFFFFF"/>
              </w:rPr>
              <w:t>S.C. Res. 289  (Nov. 23, 1970).</w:t>
            </w:r>
          </w:p>
        </w:tc>
        <w:tc>
          <w:tcPr>
            <w:tcW w:w="2127" w:type="dxa"/>
          </w:tcPr>
          <w:p w14:paraId="2885464C" w14:textId="77777777" w:rsidR="00EE40E3" w:rsidRPr="00847B84" w:rsidRDefault="00EE40E3" w:rsidP="006848BD">
            <w:pPr>
              <w:spacing w:after="0" w:line="240" w:lineRule="auto"/>
              <w:ind w:left="357" w:hanging="357"/>
              <w:jc w:val="center"/>
            </w:pPr>
            <w:r w:rsidRPr="00847B84">
              <w:t>32</w:t>
            </w:r>
          </w:p>
        </w:tc>
      </w:tr>
      <w:tr w:rsidR="00EE40E3" w:rsidRPr="00847B84" w14:paraId="63764793" w14:textId="77777777" w:rsidTr="00A65112">
        <w:tc>
          <w:tcPr>
            <w:tcW w:w="7371" w:type="dxa"/>
          </w:tcPr>
          <w:p w14:paraId="777518AD" w14:textId="77777777" w:rsidR="00EE40E3" w:rsidRPr="00847B84" w:rsidRDefault="00EE40E3" w:rsidP="006848BD">
            <w:pPr>
              <w:pStyle w:val="NormalWeb"/>
              <w:spacing w:after="0"/>
              <w:ind w:left="560" w:hanging="560"/>
              <w:jc w:val="both"/>
            </w:pPr>
            <w:r w:rsidRPr="00847B84">
              <w:rPr>
                <w:color w:val="000000"/>
                <w:shd w:val="clear" w:color="auto" w:fill="FFFFFF"/>
              </w:rPr>
              <w:t>S.C. Res. 298 (Sept. 25, 1971).</w:t>
            </w:r>
          </w:p>
        </w:tc>
        <w:tc>
          <w:tcPr>
            <w:tcW w:w="2127" w:type="dxa"/>
          </w:tcPr>
          <w:p w14:paraId="62409A8F" w14:textId="77777777" w:rsidR="00EE40E3" w:rsidRPr="00847B84" w:rsidRDefault="00EE40E3" w:rsidP="006848BD">
            <w:pPr>
              <w:spacing w:after="0" w:line="240" w:lineRule="auto"/>
              <w:ind w:left="357" w:hanging="357"/>
              <w:jc w:val="center"/>
            </w:pPr>
            <w:r w:rsidRPr="00847B84">
              <w:t>30</w:t>
            </w:r>
          </w:p>
        </w:tc>
      </w:tr>
      <w:tr w:rsidR="00EE40E3" w:rsidRPr="00847B84" w14:paraId="1CF9D1DB" w14:textId="77777777" w:rsidTr="00A65112">
        <w:tc>
          <w:tcPr>
            <w:tcW w:w="7371" w:type="dxa"/>
          </w:tcPr>
          <w:p w14:paraId="4BA4B442" w14:textId="77777777" w:rsidR="00EE40E3" w:rsidRPr="00847B84" w:rsidRDefault="00EE40E3" w:rsidP="006848BD">
            <w:pPr>
              <w:pStyle w:val="NormalWeb"/>
              <w:spacing w:after="0"/>
              <w:ind w:left="560" w:hanging="560"/>
              <w:jc w:val="both"/>
            </w:pPr>
            <w:r w:rsidRPr="00847B84">
              <w:rPr>
                <w:color w:val="000000"/>
                <w:shd w:val="clear" w:color="auto" w:fill="FFFFFF"/>
              </w:rPr>
              <w:t>S.C. Res. 446 (Mar. 22, 1979).</w:t>
            </w:r>
          </w:p>
        </w:tc>
        <w:tc>
          <w:tcPr>
            <w:tcW w:w="2127" w:type="dxa"/>
          </w:tcPr>
          <w:p w14:paraId="08A42A5C" w14:textId="77777777" w:rsidR="00EE40E3" w:rsidRPr="00847B84" w:rsidRDefault="00EE40E3" w:rsidP="006848BD">
            <w:pPr>
              <w:spacing w:after="0" w:line="240" w:lineRule="auto"/>
              <w:ind w:left="357" w:hanging="357"/>
              <w:jc w:val="center"/>
            </w:pPr>
            <w:r w:rsidRPr="00847B84">
              <w:t>30</w:t>
            </w:r>
          </w:p>
        </w:tc>
      </w:tr>
      <w:tr w:rsidR="00EE40E3" w:rsidRPr="00847B84" w14:paraId="662EE964" w14:textId="77777777" w:rsidTr="00A65112">
        <w:tc>
          <w:tcPr>
            <w:tcW w:w="7371" w:type="dxa"/>
          </w:tcPr>
          <w:p w14:paraId="36F48E82" w14:textId="77777777" w:rsidR="00EE40E3" w:rsidRPr="00847B84" w:rsidRDefault="00EE40E3" w:rsidP="006848BD">
            <w:pPr>
              <w:pStyle w:val="NormalWeb"/>
              <w:spacing w:after="0"/>
              <w:ind w:left="560" w:hanging="560"/>
              <w:jc w:val="both"/>
            </w:pPr>
            <w:r w:rsidRPr="00847B84">
              <w:rPr>
                <w:color w:val="000000"/>
                <w:shd w:val="clear" w:color="auto" w:fill="FFFFFF"/>
              </w:rPr>
              <w:t>S.C. Res. 568 (June 21, 1985).</w:t>
            </w:r>
          </w:p>
        </w:tc>
        <w:tc>
          <w:tcPr>
            <w:tcW w:w="2127" w:type="dxa"/>
          </w:tcPr>
          <w:p w14:paraId="5F0BE3CC" w14:textId="77777777" w:rsidR="00EE40E3" w:rsidRPr="00847B84" w:rsidRDefault="00EE40E3" w:rsidP="006848BD">
            <w:pPr>
              <w:spacing w:after="0" w:line="240" w:lineRule="auto"/>
              <w:ind w:left="357" w:hanging="357"/>
              <w:jc w:val="center"/>
            </w:pPr>
            <w:r w:rsidRPr="00847B84">
              <w:t>32</w:t>
            </w:r>
          </w:p>
        </w:tc>
      </w:tr>
      <w:tr w:rsidR="00EE40E3" w:rsidRPr="00847B84" w14:paraId="045173CA" w14:textId="77777777" w:rsidTr="00A65112">
        <w:tc>
          <w:tcPr>
            <w:tcW w:w="7371" w:type="dxa"/>
          </w:tcPr>
          <w:p w14:paraId="30BC8AD4" w14:textId="77777777" w:rsidR="00EE40E3" w:rsidRPr="00847B84" w:rsidRDefault="00EE40E3" w:rsidP="006848BD">
            <w:pPr>
              <w:pStyle w:val="NormalWeb"/>
              <w:spacing w:after="0"/>
              <w:ind w:left="560" w:hanging="560"/>
              <w:jc w:val="both"/>
            </w:pPr>
            <w:r w:rsidRPr="00847B84">
              <w:rPr>
                <w:color w:val="000000"/>
                <w:shd w:val="clear" w:color="auto" w:fill="FFFFFF"/>
              </w:rPr>
              <w:t>S.C. Res 582 (Feb. 24, 1986). </w:t>
            </w:r>
          </w:p>
        </w:tc>
        <w:tc>
          <w:tcPr>
            <w:tcW w:w="2127" w:type="dxa"/>
          </w:tcPr>
          <w:p w14:paraId="4C26B743" w14:textId="77777777" w:rsidR="00EE40E3" w:rsidRPr="00847B84" w:rsidRDefault="00EE40E3" w:rsidP="006848BD">
            <w:pPr>
              <w:spacing w:after="0" w:line="240" w:lineRule="auto"/>
              <w:ind w:left="357" w:hanging="357"/>
              <w:jc w:val="center"/>
            </w:pPr>
            <w:r w:rsidRPr="00847B84">
              <w:t>29</w:t>
            </w:r>
          </w:p>
        </w:tc>
      </w:tr>
      <w:tr w:rsidR="00EE40E3" w:rsidRPr="00847B84" w14:paraId="24042F43" w14:textId="77777777" w:rsidTr="00A65112">
        <w:tc>
          <w:tcPr>
            <w:tcW w:w="7371" w:type="dxa"/>
          </w:tcPr>
          <w:p w14:paraId="43D3B5D1" w14:textId="77777777" w:rsidR="00EE40E3" w:rsidRPr="00847B84" w:rsidRDefault="00EE40E3" w:rsidP="006848BD">
            <w:pPr>
              <w:pStyle w:val="NormalWeb"/>
              <w:spacing w:after="0"/>
              <w:ind w:left="560" w:hanging="560"/>
              <w:jc w:val="both"/>
            </w:pPr>
            <w:r w:rsidRPr="00847B84">
              <w:rPr>
                <w:color w:val="000000"/>
                <w:shd w:val="clear" w:color="auto" w:fill="FFFFFF"/>
              </w:rPr>
              <w:t>S.C. Res. 787 (Nov. 16, 1992). </w:t>
            </w:r>
          </w:p>
        </w:tc>
        <w:tc>
          <w:tcPr>
            <w:tcW w:w="2127" w:type="dxa"/>
          </w:tcPr>
          <w:p w14:paraId="2BF2FDED" w14:textId="77777777" w:rsidR="00EE40E3" w:rsidRPr="00847B84" w:rsidRDefault="00EE40E3" w:rsidP="006848BD">
            <w:pPr>
              <w:spacing w:after="0" w:line="240" w:lineRule="auto"/>
              <w:ind w:left="357" w:hanging="357"/>
              <w:jc w:val="center"/>
            </w:pPr>
            <w:r w:rsidRPr="00847B84">
              <w:t>30</w:t>
            </w:r>
          </w:p>
        </w:tc>
      </w:tr>
      <w:tr w:rsidR="00EE40E3" w:rsidRPr="00847B84" w14:paraId="074B1E38" w14:textId="77777777" w:rsidTr="00A65112">
        <w:tc>
          <w:tcPr>
            <w:tcW w:w="7371" w:type="dxa"/>
          </w:tcPr>
          <w:p w14:paraId="4F95DFBA" w14:textId="77777777" w:rsidR="00EE40E3" w:rsidRPr="00847B84" w:rsidRDefault="00EE40E3" w:rsidP="006848BD">
            <w:pPr>
              <w:pStyle w:val="NormalWeb"/>
              <w:spacing w:after="0"/>
              <w:ind w:left="560" w:hanging="560"/>
              <w:jc w:val="both"/>
              <w:rPr>
                <w:color w:val="000000"/>
                <w:shd w:val="clear" w:color="auto" w:fill="FFFFFF"/>
              </w:rPr>
            </w:pPr>
            <w:r w:rsidRPr="00847B84">
              <w:rPr>
                <w:color w:val="000000"/>
                <w:shd w:val="clear" w:color="auto" w:fill="FFFFFF"/>
              </w:rPr>
              <w:t>S.C. Res. 1141 (Nov. 8, 2002). </w:t>
            </w:r>
          </w:p>
        </w:tc>
        <w:tc>
          <w:tcPr>
            <w:tcW w:w="2127" w:type="dxa"/>
          </w:tcPr>
          <w:p w14:paraId="43B4B9DD" w14:textId="77777777" w:rsidR="00EE40E3" w:rsidRPr="00847B84" w:rsidRDefault="00EE40E3" w:rsidP="006848BD">
            <w:pPr>
              <w:spacing w:after="0" w:line="240" w:lineRule="auto"/>
              <w:ind w:left="357" w:hanging="357"/>
              <w:jc w:val="center"/>
            </w:pPr>
            <w:r w:rsidRPr="00847B84">
              <w:t>30</w:t>
            </w:r>
          </w:p>
        </w:tc>
      </w:tr>
      <w:tr w:rsidR="00EE40E3" w:rsidRPr="00847B84" w14:paraId="56F3C4E0" w14:textId="77777777" w:rsidTr="00A65112">
        <w:tc>
          <w:tcPr>
            <w:tcW w:w="7371" w:type="dxa"/>
          </w:tcPr>
          <w:p w14:paraId="67D2F008" w14:textId="77777777" w:rsidR="00EE40E3" w:rsidRPr="00847B84" w:rsidRDefault="00EE40E3" w:rsidP="006848BD">
            <w:pPr>
              <w:pStyle w:val="NormalWeb"/>
              <w:spacing w:after="0"/>
              <w:ind w:left="560" w:hanging="560"/>
              <w:jc w:val="both"/>
            </w:pPr>
            <w:r w:rsidRPr="00847B84">
              <w:rPr>
                <w:color w:val="000000"/>
                <w:shd w:val="clear" w:color="auto" w:fill="FFFFFF"/>
              </w:rPr>
              <w:t>S.C. Res. 1244 (June 10, 1999). </w:t>
            </w:r>
          </w:p>
        </w:tc>
        <w:tc>
          <w:tcPr>
            <w:tcW w:w="2127" w:type="dxa"/>
          </w:tcPr>
          <w:p w14:paraId="224F4AC2" w14:textId="77777777" w:rsidR="00EE40E3" w:rsidRPr="00847B84" w:rsidRDefault="00EE40E3" w:rsidP="006848BD">
            <w:pPr>
              <w:spacing w:after="0" w:line="240" w:lineRule="auto"/>
              <w:ind w:left="357" w:hanging="357"/>
              <w:jc w:val="center"/>
            </w:pPr>
            <w:r w:rsidRPr="00847B84">
              <w:t>30</w:t>
            </w:r>
          </w:p>
        </w:tc>
      </w:tr>
      <w:tr w:rsidR="00EE40E3" w:rsidRPr="00847B84" w14:paraId="3B5311A2" w14:textId="77777777" w:rsidTr="00A65112">
        <w:tc>
          <w:tcPr>
            <w:tcW w:w="7371" w:type="dxa"/>
          </w:tcPr>
          <w:p w14:paraId="60D49B64" w14:textId="77777777" w:rsidR="00EE40E3" w:rsidRPr="00847B84" w:rsidRDefault="00EE40E3" w:rsidP="006848BD">
            <w:pPr>
              <w:pStyle w:val="NormalWeb"/>
              <w:spacing w:after="0"/>
              <w:ind w:left="560" w:hanging="560"/>
              <w:jc w:val="both"/>
            </w:pPr>
            <w:r w:rsidRPr="00847B84">
              <w:rPr>
                <w:color w:val="000000"/>
                <w:shd w:val="clear" w:color="auto" w:fill="FFFFFF"/>
              </w:rPr>
              <w:t>S.C. Res 1267 (July 15, 2006)</w:t>
            </w:r>
          </w:p>
        </w:tc>
        <w:tc>
          <w:tcPr>
            <w:tcW w:w="2127" w:type="dxa"/>
          </w:tcPr>
          <w:p w14:paraId="575A393F" w14:textId="77777777" w:rsidR="00EE40E3" w:rsidRPr="00847B84" w:rsidRDefault="00EE40E3" w:rsidP="006848BD">
            <w:pPr>
              <w:spacing w:after="0" w:line="240" w:lineRule="auto"/>
              <w:ind w:left="357" w:hanging="357"/>
              <w:jc w:val="center"/>
            </w:pPr>
            <w:r w:rsidRPr="00847B84">
              <w:t>31</w:t>
            </w:r>
          </w:p>
        </w:tc>
      </w:tr>
      <w:tr w:rsidR="00EE40E3" w:rsidRPr="00847B84" w14:paraId="69226AB1" w14:textId="77777777" w:rsidTr="00A65112">
        <w:tc>
          <w:tcPr>
            <w:tcW w:w="7371" w:type="dxa"/>
          </w:tcPr>
          <w:p w14:paraId="7CD85554" w14:textId="77777777" w:rsidR="00EE40E3" w:rsidRPr="00847B84" w:rsidRDefault="00EE40E3" w:rsidP="006848BD">
            <w:pPr>
              <w:pStyle w:val="NormalWeb"/>
              <w:spacing w:after="0"/>
              <w:ind w:left="560" w:hanging="560"/>
              <w:jc w:val="both"/>
            </w:pPr>
            <w:r w:rsidRPr="00847B84">
              <w:rPr>
                <w:color w:val="000000"/>
                <w:shd w:val="clear" w:color="auto" w:fill="FFFFFF"/>
              </w:rPr>
              <w:lastRenderedPageBreak/>
              <w:t>S.C. Res 1312  (July 31, 2000). </w:t>
            </w:r>
          </w:p>
        </w:tc>
        <w:tc>
          <w:tcPr>
            <w:tcW w:w="2127" w:type="dxa"/>
          </w:tcPr>
          <w:p w14:paraId="124E83C9" w14:textId="77777777" w:rsidR="00EE40E3" w:rsidRPr="00847B84" w:rsidRDefault="00EE40E3" w:rsidP="006848BD">
            <w:pPr>
              <w:spacing w:after="0" w:line="240" w:lineRule="auto"/>
              <w:ind w:left="357" w:hanging="357"/>
              <w:jc w:val="center"/>
            </w:pPr>
            <w:r w:rsidRPr="00847B84">
              <w:t>32</w:t>
            </w:r>
          </w:p>
        </w:tc>
      </w:tr>
      <w:tr w:rsidR="00EE40E3" w:rsidRPr="00847B84" w14:paraId="62B68653" w14:textId="77777777" w:rsidTr="00A65112">
        <w:tc>
          <w:tcPr>
            <w:tcW w:w="7371" w:type="dxa"/>
          </w:tcPr>
          <w:p w14:paraId="6863FCBD" w14:textId="77777777" w:rsidR="00EE40E3" w:rsidRPr="00847B84" w:rsidRDefault="00EE40E3" w:rsidP="006848BD">
            <w:pPr>
              <w:pStyle w:val="NormalWeb"/>
              <w:spacing w:after="0"/>
              <w:ind w:left="560" w:hanging="560"/>
              <w:jc w:val="both"/>
              <w:rPr>
                <w:color w:val="000000"/>
                <w:shd w:val="clear" w:color="auto" w:fill="FFFFFF"/>
              </w:rPr>
            </w:pPr>
            <w:r w:rsidRPr="00847B84">
              <w:rPr>
                <w:color w:val="000000"/>
                <w:shd w:val="clear" w:color="auto" w:fill="FFFFFF"/>
              </w:rPr>
              <w:t>S.C. Res. 1965 (July 15, 2006). </w:t>
            </w:r>
          </w:p>
        </w:tc>
        <w:tc>
          <w:tcPr>
            <w:tcW w:w="2127" w:type="dxa"/>
          </w:tcPr>
          <w:p w14:paraId="5EE3C2D6" w14:textId="77777777" w:rsidR="00EE40E3" w:rsidRPr="00847B84" w:rsidRDefault="00EE40E3" w:rsidP="006848BD">
            <w:pPr>
              <w:spacing w:after="0" w:line="240" w:lineRule="auto"/>
              <w:ind w:left="357" w:hanging="357"/>
              <w:jc w:val="center"/>
            </w:pPr>
            <w:r w:rsidRPr="00847B84">
              <w:t>30</w:t>
            </w:r>
          </w:p>
        </w:tc>
      </w:tr>
      <w:tr w:rsidR="00EE40E3" w:rsidRPr="00847B84" w14:paraId="1A2D881F" w14:textId="77777777" w:rsidTr="00A65112">
        <w:tc>
          <w:tcPr>
            <w:tcW w:w="7371" w:type="dxa"/>
          </w:tcPr>
          <w:p w14:paraId="0F4BFE4A" w14:textId="77777777" w:rsidR="00EE40E3" w:rsidRPr="00847B84" w:rsidRDefault="00EE40E3" w:rsidP="006848BD">
            <w:pPr>
              <w:pStyle w:val="NormalWeb"/>
              <w:spacing w:after="0"/>
              <w:ind w:left="560" w:hanging="560"/>
              <w:jc w:val="both"/>
            </w:pPr>
            <w:r w:rsidRPr="00847B84">
              <w:rPr>
                <w:color w:val="000000"/>
                <w:shd w:val="clear" w:color="auto" w:fill="FFFFFF"/>
              </w:rPr>
              <w:t>S.C. Res. 2379 (Sept. 21, 2017). </w:t>
            </w:r>
          </w:p>
        </w:tc>
        <w:tc>
          <w:tcPr>
            <w:tcW w:w="2127" w:type="dxa"/>
          </w:tcPr>
          <w:p w14:paraId="71671214" w14:textId="77777777" w:rsidR="00EE40E3" w:rsidRPr="00847B84" w:rsidRDefault="00EE40E3" w:rsidP="006848BD">
            <w:pPr>
              <w:spacing w:after="0" w:line="240" w:lineRule="auto"/>
              <w:ind w:left="357" w:hanging="357"/>
              <w:jc w:val="center"/>
            </w:pPr>
            <w:r w:rsidRPr="00847B84">
              <w:t>30, 31</w:t>
            </w:r>
          </w:p>
        </w:tc>
      </w:tr>
      <w:tr w:rsidR="00EE40E3" w:rsidRPr="00847B84" w14:paraId="0D477130" w14:textId="77777777" w:rsidTr="00A65112">
        <w:tc>
          <w:tcPr>
            <w:tcW w:w="7371" w:type="dxa"/>
          </w:tcPr>
          <w:p w14:paraId="5FCBD4AB" w14:textId="77777777" w:rsidR="00EE40E3" w:rsidRPr="00847B84" w:rsidRDefault="00EE40E3" w:rsidP="006848BD">
            <w:pPr>
              <w:pStyle w:val="NormalWeb"/>
              <w:spacing w:after="0"/>
              <w:ind w:left="560" w:hanging="560"/>
              <w:jc w:val="both"/>
            </w:pPr>
            <w:r w:rsidRPr="00847B84">
              <w:rPr>
                <w:color w:val="000000"/>
                <w:shd w:val="clear" w:color="auto" w:fill="FFFFFF"/>
              </w:rPr>
              <w:t xml:space="preserve">S.C. Res 2396 (Dec. 21, 2017). </w:t>
            </w:r>
          </w:p>
        </w:tc>
        <w:tc>
          <w:tcPr>
            <w:tcW w:w="2127" w:type="dxa"/>
          </w:tcPr>
          <w:p w14:paraId="29AA81EF" w14:textId="77777777" w:rsidR="00EE40E3" w:rsidRPr="00847B84" w:rsidRDefault="00EE40E3" w:rsidP="006848BD">
            <w:pPr>
              <w:spacing w:after="0" w:line="240" w:lineRule="auto"/>
              <w:ind w:left="357" w:hanging="357"/>
              <w:jc w:val="center"/>
            </w:pPr>
            <w:r w:rsidRPr="00847B84">
              <w:t>30</w:t>
            </w:r>
          </w:p>
        </w:tc>
      </w:tr>
      <w:tr w:rsidR="00EE40E3" w:rsidRPr="00847B84" w14:paraId="663FB517" w14:textId="77777777" w:rsidTr="00A65112">
        <w:tc>
          <w:tcPr>
            <w:tcW w:w="7371" w:type="dxa"/>
          </w:tcPr>
          <w:p w14:paraId="08CDFD3B" w14:textId="77777777" w:rsidR="00EE40E3" w:rsidRPr="00847B84" w:rsidRDefault="00EE40E3" w:rsidP="006848BD">
            <w:pPr>
              <w:pStyle w:val="NormalWeb"/>
              <w:spacing w:after="0"/>
              <w:ind w:left="560" w:hanging="560"/>
              <w:jc w:val="both"/>
              <w:rPr>
                <w:color w:val="000000"/>
                <w:shd w:val="clear" w:color="auto" w:fill="FFFFFF"/>
              </w:rPr>
            </w:pPr>
            <w:r w:rsidRPr="00847B84">
              <w:rPr>
                <w:color w:val="000000"/>
                <w:shd w:val="clear" w:color="auto" w:fill="FFFFFF"/>
              </w:rPr>
              <w:t>S.C. Res 2518 (Mar. 30, 2020). </w:t>
            </w:r>
          </w:p>
        </w:tc>
        <w:tc>
          <w:tcPr>
            <w:tcW w:w="2127" w:type="dxa"/>
          </w:tcPr>
          <w:p w14:paraId="61787C26" w14:textId="77777777" w:rsidR="00EE40E3" w:rsidRPr="00847B84" w:rsidRDefault="00EE40E3" w:rsidP="006848BD">
            <w:pPr>
              <w:spacing w:after="0" w:line="240" w:lineRule="auto"/>
              <w:ind w:left="357" w:hanging="357"/>
              <w:jc w:val="center"/>
            </w:pPr>
            <w:r w:rsidRPr="00847B84">
              <w:t>32</w:t>
            </w:r>
          </w:p>
        </w:tc>
      </w:tr>
      <w:tr w:rsidR="00EE40E3" w:rsidRPr="00847B84" w14:paraId="4D0A3982" w14:textId="77777777" w:rsidTr="00A65112">
        <w:tc>
          <w:tcPr>
            <w:tcW w:w="7371" w:type="dxa"/>
          </w:tcPr>
          <w:p w14:paraId="351313CA" w14:textId="77777777" w:rsidR="00EE40E3" w:rsidRPr="00847B84" w:rsidRDefault="00EE40E3" w:rsidP="006848BD">
            <w:pPr>
              <w:pStyle w:val="NormalWeb"/>
              <w:spacing w:after="0"/>
              <w:ind w:left="560" w:hanging="560"/>
              <w:jc w:val="both"/>
            </w:pPr>
            <w:r w:rsidRPr="00847B84">
              <w:rPr>
                <w:color w:val="000000"/>
                <w:shd w:val="clear" w:color="auto" w:fill="FFFFFF"/>
              </w:rPr>
              <w:t>S.C. Res. 2625  (Mar. 15, 2022).</w:t>
            </w:r>
          </w:p>
        </w:tc>
        <w:tc>
          <w:tcPr>
            <w:tcW w:w="2127" w:type="dxa"/>
          </w:tcPr>
          <w:p w14:paraId="37EAFD75" w14:textId="77777777" w:rsidR="00EE40E3" w:rsidRPr="00847B84" w:rsidRDefault="00EE40E3" w:rsidP="006848BD">
            <w:pPr>
              <w:spacing w:after="0" w:line="240" w:lineRule="auto"/>
              <w:ind w:left="357" w:hanging="357"/>
              <w:jc w:val="center"/>
            </w:pPr>
            <w:r w:rsidRPr="00847B84">
              <w:t>31</w:t>
            </w:r>
          </w:p>
        </w:tc>
      </w:tr>
      <w:tr w:rsidR="00EE40E3" w:rsidRPr="00847B84" w14:paraId="0AD2E410" w14:textId="77777777" w:rsidTr="00A65112">
        <w:tc>
          <w:tcPr>
            <w:tcW w:w="7371" w:type="dxa"/>
          </w:tcPr>
          <w:p w14:paraId="1C4D1F6C" w14:textId="77777777" w:rsidR="00EE40E3" w:rsidRPr="00847B84" w:rsidRDefault="00EE40E3" w:rsidP="006848BD">
            <w:pPr>
              <w:pStyle w:val="NormalWeb"/>
              <w:spacing w:after="0"/>
              <w:ind w:left="560" w:hanging="560"/>
              <w:jc w:val="both"/>
            </w:pPr>
            <w:r w:rsidRPr="00847B84">
              <w:rPr>
                <w:color w:val="000000"/>
                <w:shd w:val="clear" w:color="auto" w:fill="FFFFFF"/>
              </w:rPr>
              <w:t xml:space="preserve">S.C. Res. 2640  (June 29, 2022). </w:t>
            </w:r>
          </w:p>
        </w:tc>
        <w:tc>
          <w:tcPr>
            <w:tcW w:w="2127" w:type="dxa"/>
          </w:tcPr>
          <w:p w14:paraId="55BB3AFD" w14:textId="77777777" w:rsidR="00EE40E3" w:rsidRPr="00847B84" w:rsidRDefault="00EE40E3" w:rsidP="006848BD">
            <w:pPr>
              <w:spacing w:after="0" w:line="240" w:lineRule="auto"/>
              <w:ind w:left="357" w:hanging="357"/>
              <w:jc w:val="center"/>
            </w:pPr>
            <w:r w:rsidRPr="00847B84">
              <w:t>31</w:t>
            </w:r>
          </w:p>
        </w:tc>
      </w:tr>
      <w:tr w:rsidR="00EE40E3" w:rsidRPr="00847B84" w14:paraId="66793F14" w14:textId="77777777" w:rsidTr="00A65112">
        <w:tc>
          <w:tcPr>
            <w:tcW w:w="7371" w:type="dxa"/>
          </w:tcPr>
          <w:p w14:paraId="5783FFB8" w14:textId="77777777" w:rsidR="00EE40E3" w:rsidRPr="00847B84" w:rsidRDefault="00EE40E3" w:rsidP="006848BD">
            <w:pPr>
              <w:pStyle w:val="FootnoteText"/>
              <w:spacing w:after="0"/>
              <w:rPr>
                <w:color w:val="000000" w:themeColor="text1"/>
                <w:sz w:val="24"/>
                <w:szCs w:val="24"/>
                <w:lang w:val="en-US"/>
              </w:rPr>
            </w:pPr>
          </w:p>
        </w:tc>
        <w:tc>
          <w:tcPr>
            <w:tcW w:w="2127" w:type="dxa"/>
          </w:tcPr>
          <w:p w14:paraId="7DF621BD" w14:textId="77777777" w:rsidR="00EE40E3" w:rsidRPr="00847B84" w:rsidRDefault="00EE40E3" w:rsidP="006848BD">
            <w:pPr>
              <w:spacing w:after="0" w:line="240" w:lineRule="auto"/>
              <w:ind w:left="357" w:hanging="357"/>
              <w:jc w:val="center"/>
            </w:pPr>
          </w:p>
        </w:tc>
      </w:tr>
      <w:tr w:rsidR="00EE40E3" w:rsidRPr="00847B84" w14:paraId="71304AAB" w14:textId="77777777" w:rsidTr="00A65112">
        <w:tc>
          <w:tcPr>
            <w:tcW w:w="7371" w:type="dxa"/>
          </w:tcPr>
          <w:p w14:paraId="5475C000" w14:textId="77777777" w:rsidR="00EE40E3" w:rsidRPr="00847B84" w:rsidRDefault="00EE40E3" w:rsidP="006848BD">
            <w:pPr>
              <w:spacing w:after="0" w:line="240" w:lineRule="auto"/>
              <w:ind w:left="357" w:hanging="357"/>
              <w:jc w:val="center"/>
              <w:rPr>
                <w:b/>
                <w:bCs/>
                <w:smallCaps/>
              </w:rPr>
            </w:pPr>
            <w:r w:rsidRPr="00847B84">
              <w:rPr>
                <w:b/>
                <w:bCs/>
                <w:smallCaps/>
              </w:rPr>
              <w:t>Miscellaneous</w:t>
            </w:r>
          </w:p>
          <w:p w14:paraId="4453A2C1" w14:textId="77777777" w:rsidR="00EE40E3" w:rsidRPr="00847B84" w:rsidRDefault="00EE40E3" w:rsidP="006848BD">
            <w:pPr>
              <w:autoSpaceDE w:val="0"/>
              <w:autoSpaceDN w:val="0"/>
              <w:adjustRightInd w:val="0"/>
              <w:spacing w:after="0" w:line="240" w:lineRule="auto"/>
              <w:rPr>
                <w:color w:val="000000" w:themeColor="text1"/>
                <w:lang w:val="en-US"/>
              </w:rPr>
            </w:pPr>
          </w:p>
        </w:tc>
        <w:tc>
          <w:tcPr>
            <w:tcW w:w="2127" w:type="dxa"/>
          </w:tcPr>
          <w:p w14:paraId="5797AF63" w14:textId="77777777" w:rsidR="00EE40E3" w:rsidRPr="00847B84" w:rsidRDefault="00EE40E3" w:rsidP="006848BD">
            <w:pPr>
              <w:spacing w:after="0" w:line="240" w:lineRule="auto"/>
              <w:ind w:left="357" w:hanging="357"/>
              <w:jc w:val="center"/>
            </w:pPr>
          </w:p>
        </w:tc>
      </w:tr>
      <w:tr w:rsidR="00EE40E3" w:rsidRPr="00847B84" w14:paraId="52693EC9" w14:textId="77777777" w:rsidTr="00A65112">
        <w:tc>
          <w:tcPr>
            <w:tcW w:w="7371" w:type="dxa"/>
          </w:tcPr>
          <w:p w14:paraId="64AD7CED"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Act No. XXXVIII of 2020, Maltese Citizenship (Amendment No. 2) Act, Ch. 188 (2020).</w:t>
            </w:r>
          </w:p>
        </w:tc>
        <w:tc>
          <w:tcPr>
            <w:tcW w:w="2127" w:type="dxa"/>
          </w:tcPr>
          <w:p w14:paraId="6E9E8535" w14:textId="77777777" w:rsidR="00EE40E3" w:rsidRPr="00847B84" w:rsidRDefault="00EE40E3" w:rsidP="006848BD">
            <w:pPr>
              <w:spacing w:after="0" w:line="240" w:lineRule="auto"/>
              <w:ind w:left="357" w:hanging="357"/>
              <w:jc w:val="center"/>
            </w:pPr>
            <w:r w:rsidRPr="00847B84">
              <w:t>19</w:t>
            </w:r>
          </w:p>
        </w:tc>
      </w:tr>
      <w:tr w:rsidR="00355D5A" w:rsidRPr="00847B84" w14:paraId="1D64DA4A" w14:textId="77777777" w:rsidTr="00A65112">
        <w:tc>
          <w:tcPr>
            <w:tcW w:w="7371" w:type="dxa"/>
          </w:tcPr>
          <w:p w14:paraId="4B1AFCF6" w14:textId="77777777" w:rsidR="00355D5A" w:rsidRPr="00847B84" w:rsidRDefault="00355D5A" w:rsidP="006848BD">
            <w:pPr>
              <w:pStyle w:val="FootnoteText"/>
              <w:spacing w:afterLines="30" w:after="72"/>
              <w:ind w:left="567" w:hanging="567"/>
              <w:rPr>
                <w:sz w:val="24"/>
                <w:szCs w:val="24"/>
              </w:rPr>
            </w:pPr>
            <w:proofErr w:type="spellStart"/>
            <w:r w:rsidRPr="00847B84">
              <w:rPr>
                <w:smallCaps/>
                <w:sz w:val="24"/>
                <w:szCs w:val="24"/>
              </w:rPr>
              <w:t>Assn’n</w:t>
            </w:r>
            <w:proofErr w:type="spellEnd"/>
            <w:r w:rsidRPr="00847B84">
              <w:rPr>
                <w:smallCaps/>
                <w:sz w:val="24"/>
                <w:szCs w:val="24"/>
              </w:rPr>
              <w:t xml:space="preserve"> of Se. Asian nations (ASEAN), </w:t>
            </w:r>
            <w:r w:rsidRPr="00847B84">
              <w:rPr>
                <w:sz w:val="24"/>
                <w:szCs w:val="24"/>
              </w:rPr>
              <w:t>Human Rights Declaration, art. 18.,</w:t>
            </w:r>
            <w:r w:rsidRPr="00847B84">
              <w:rPr>
                <w:color w:val="000000"/>
                <w:sz w:val="24"/>
                <w:szCs w:val="24"/>
              </w:rPr>
              <w:t xml:space="preserve"> </w:t>
            </w:r>
            <w:r w:rsidRPr="00847B84">
              <w:rPr>
                <w:sz w:val="24"/>
                <w:szCs w:val="24"/>
              </w:rPr>
              <w:t xml:space="preserve">(2012). </w:t>
            </w:r>
          </w:p>
          <w:p w14:paraId="1C017983" w14:textId="30A1D475" w:rsidR="00355D5A" w:rsidRPr="00847B84" w:rsidRDefault="00355D5A" w:rsidP="006848BD">
            <w:pPr>
              <w:pStyle w:val="FootnoteText"/>
              <w:spacing w:afterLines="30" w:after="72"/>
              <w:ind w:left="567" w:hanging="567"/>
              <w:rPr>
                <w:sz w:val="24"/>
                <w:szCs w:val="24"/>
                <w:lang w:val="en-US"/>
              </w:rPr>
            </w:pPr>
          </w:p>
        </w:tc>
        <w:tc>
          <w:tcPr>
            <w:tcW w:w="2127" w:type="dxa"/>
          </w:tcPr>
          <w:p w14:paraId="7F9F4D49" w14:textId="45D7B66F" w:rsidR="00355D5A" w:rsidRPr="00847B84" w:rsidRDefault="00355D5A" w:rsidP="006848BD">
            <w:pPr>
              <w:spacing w:after="0" w:line="240" w:lineRule="auto"/>
              <w:ind w:left="357" w:hanging="357"/>
              <w:jc w:val="center"/>
            </w:pPr>
            <w:r w:rsidRPr="00847B84">
              <w:t>11</w:t>
            </w:r>
          </w:p>
        </w:tc>
      </w:tr>
      <w:tr w:rsidR="00EE40E3" w:rsidRPr="00847B84" w14:paraId="4EFA95F3" w14:textId="77777777" w:rsidTr="00A65112">
        <w:tc>
          <w:tcPr>
            <w:tcW w:w="7371" w:type="dxa"/>
          </w:tcPr>
          <w:p w14:paraId="2A9A7A84"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British Nationality Act (1981)</w:t>
            </w:r>
          </w:p>
        </w:tc>
        <w:tc>
          <w:tcPr>
            <w:tcW w:w="2127" w:type="dxa"/>
          </w:tcPr>
          <w:p w14:paraId="035AD719" w14:textId="77777777" w:rsidR="00EE40E3" w:rsidRPr="00847B84" w:rsidRDefault="00EE40E3" w:rsidP="006848BD">
            <w:pPr>
              <w:spacing w:after="0" w:line="240" w:lineRule="auto"/>
              <w:ind w:left="357" w:hanging="357"/>
              <w:jc w:val="center"/>
            </w:pPr>
            <w:r w:rsidRPr="00847B84">
              <w:t>12</w:t>
            </w:r>
          </w:p>
        </w:tc>
      </w:tr>
      <w:tr w:rsidR="00EE40E3" w:rsidRPr="00847B84" w14:paraId="71E9CE2D" w14:textId="77777777" w:rsidTr="00A65112">
        <w:tc>
          <w:tcPr>
            <w:tcW w:w="7371" w:type="dxa"/>
          </w:tcPr>
          <w:p w14:paraId="7E576A22"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 xml:space="preserve">Burma Citizenship Law (1982); </w:t>
            </w:r>
          </w:p>
        </w:tc>
        <w:tc>
          <w:tcPr>
            <w:tcW w:w="2127" w:type="dxa"/>
          </w:tcPr>
          <w:p w14:paraId="7A8F98E7" w14:textId="77777777" w:rsidR="00EE40E3" w:rsidRPr="00847B84" w:rsidRDefault="00EE40E3" w:rsidP="006848BD">
            <w:pPr>
              <w:spacing w:after="0" w:line="240" w:lineRule="auto"/>
              <w:ind w:left="357" w:hanging="357"/>
              <w:jc w:val="center"/>
            </w:pPr>
            <w:r w:rsidRPr="00847B84">
              <w:t>11</w:t>
            </w:r>
          </w:p>
        </w:tc>
      </w:tr>
      <w:tr w:rsidR="00EE40E3" w:rsidRPr="00847B84" w14:paraId="3F43B679" w14:textId="77777777" w:rsidTr="00A65112">
        <w:tc>
          <w:tcPr>
            <w:tcW w:w="7371" w:type="dxa"/>
          </w:tcPr>
          <w:p w14:paraId="319782B8" w14:textId="77777777" w:rsidR="00EE40E3" w:rsidRPr="00847B84" w:rsidRDefault="00EE40E3" w:rsidP="006848BD">
            <w:pPr>
              <w:autoSpaceDE w:val="0"/>
              <w:autoSpaceDN w:val="0"/>
              <w:adjustRightInd w:val="0"/>
              <w:spacing w:after="0" w:line="240" w:lineRule="auto"/>
              <w:ind w:left="720" w:hanging="720"/>
              <w:rPr>
                <w:rFonts w:eastAsiaTheme="minorHAnsi"/>
                <w14:ligatures w14:val="standardContextual"/>
              </w:rPr>
            </w:pPr>
            <w:r w:rsidRPr="00847B84">
              <w:rPr>
                <w:rFonts w:eastAsiaTheme="minorHAnsi"/>
                <w14:ligatures w14:val="standardContextual"/>
              </w:rPr>
              <w:t>Citizenship by Investment Act of 2014, Citizenship by Investment Act of Antigua and Barbuda, Sec. 6 (2014)</w:t>
            </w:r>
          </w:p>
        </w:tc>
        <w:tc>
          <w:tcPr>
            <w:tcW w:w="2127" w:type="dxa"/>
          </w:tcPr>
          <w:p w14:paraId="1C7E95C0" w14:textId="77777777" w:rsidR="00EE40E3" w:rsidRPr="00847B84" w:rsidRDefault="00EE40E3" w:rsidP="006848BD">
            <w:pPr>
              <w:spacing w:after="0" w:line="240" w:lineRule="auto"/>
              <w:ind w:left="357" w:hanging="357"/>
              <w:jc w:val="center"/>
            </w:pPr>
            <w:r w:rsidRPr="00847B84">
              <w:t>19</w:t>
            </w:r>
          </w:p>
        </w:tc>
      </w:tr>
      <w:tr w:rsidR="00EE40E3" w:rsidRPr="00847B84" w14:paraId="142CAB2E" w14:textId="77777777" w:rsidTr="00A65112">
        <w:tc>
          <w:tcPr>
            <w:tcW w:w="7371" w:type="dxa"/>
          </w:tcPr>
          <w:p w14:paraId="23BC23FD"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 xml:space="preserve">Citizenship of Zimbabwe Act (1984); </w:t>
            </w:r>
          </w:p>
        </w:tc>
        <w:tc>
          <w:tcPr>
            <w:tcW w:w="2127" w:type="dxa"/>
          </w:tcPr>
          <w:p w14:paraId="03BD6732" w14:textId="77777777" w:rsidR="00EE40E3" w:rsidRPr="00847B84" w:rsidRDefault="00EE40E3" w:rsidP="006848BD">
            <w:pPr>
              <w:spacing w:after="0" w:line="240" w:lineRule="auto"/>
              <w:ind w:left="357" w:hanging="357"/>
              <w:jc w:val="center"/>
            </w:pPr>
            <w:r w:rsidRPr="00847B84">
              <w:t>11</w:t>
            </w:r>
          </w:p>
        </w:tc>
      </w:tr>
      <w:tr w:rsidR="00EE40E3" w:rsidRPr="00847B84" w14:paraId="606D3223" w14:textId="77777777" w:rsidTr="00A65112">
        <w:tc>
          <w:tcPr>
            <w:tcW w:w="7371" w:type="dxa"/>
          </w:tcPr>
          <w:p w14:paraId="10AFB82A"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Commonwealth of Dominica Citizenship Act of 2014, Ch. 1:10 (2014).</w:t>
            </w:r>
          </w:p>
        </w:tc>
        <w:tc>
          <w:tcPr>
            <w:tcW w:w="2127" w:type="dxa"/>
          </w:tcPr>
          <w:p w14:paraId="4038DC6E" w14:textId="77777777" w:rsidR="00EE40E3" w:rsidRPr="00847B84" w:rsidRDefault="00EE40E3" w:rsidP="006848BD">
            <w:pPr>
              <w:spacing w:after="0" w:line="240" w:lineRule="auto"/>
              <w:ind w:left="357" w:hanging="357"/>
              <w:jc w:val="center"/>
            </w:pPr>
            <w:r w:rsidRPr="00847B84">
              <w:t>19</w:t>
            </w:r>
          </w:p>
        </w:tc>
      </w:tr>
      <w:tr w:rsidR="00EE40E3" w:rsidRPr="00847B84" w14:paraId="3A61323A" w14:textId="77777777" w:rsidTr="00A65112">
        <w:tc>
          <w:tcPr>
            <w:tcW w:w="7371" w:type="dxa"/>
          </w:tcPr>
          <w:p w14:paraId="5829622C"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Explanatory Report to the European Convention on Nationality, E.T.S. No. 166, 6.XI., (1997)</w:t>
            </w:r>
          </w:p>
        </w:tc>
        <w:tc>
          <w:tcPr>
            <w:tcW w:w="2127" w:type="dxa"/>
          </w:tcPr>
          <w:p w14:paraId="46A81CAF" w14:textId="77777777" w:rsidR="00EE40E3" w:rsidRPr="00847B84" w:rsidRDefault="00EE40E3" w:rsidP="006848BD">
            <w:pPr>
              <w:spacing w:after="0" w:line="240" w:lineRule="auto"/>
              <w:ind w:left="357" w:hanging="357"/>
              <w:jc w:val="center"/>
            </w:pPr>
            <w:r w:rsidRPr="00847B84">
              <w:t>18</w:t>
            </w:r>
          </w:p>
        </w:tc>
      </w:tr>
      <w:tr w:rsidR="00EE40E3" w:rsidRPr="00847B84" w14:paraId="6B8524FB" w14:textId="77777777" w:rsidTr="00A65112">
        <w:tc>
          <w:tcPr>
            <w:tcW w:w="7371" w:type="dxa"/>
          </w:tcPr>
          <w:p w14:paraId="3DD0ADF1"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Global Citizenship Observatory, ‘Global Database on Modes of Acquisition of Citizenship, Version 1.0 (GLOBALCIT 2017).</w:t>
            </w:r>
          </w:p>
        </w:tc>
        <w:tc>
          <w:tcPr>
            <w:tcW w:w="2127" w:type="dxa"/>
          </w:tcPr>
          <w:p w14:paraId="09ADCC59" w14:textId="77777777" w:rsidR="00EE40E3" w:rsidRPr="00847B84" w:rsidRDefault="00EE40E3" w:rsidP="006848BD">
            <w:pPr>
              <w:spacing w:after="0" w:line="240" w:lineRule="auto"/>
              <w:ind w:left="357" w:hanging="357"/>
              <w:jc w:val="center"/>
            </w:pPr>
            <w:r w:rsidRPr="00847B84">
              <w:t>18</w:t>
            </w:r>
          </w:p>
        </w:tc>
      </w:tr>
      <w:tr w:rsidR="00EE40E3" w:rsidRPr="00847B84" w14:paraId="2EA91E5C" w14:textId="77777777" w:rsidTr="00A65112">
        <w:tc>
          <w:tcPr>
            <w:tcW w:w="7371" w:type="dxa"/>
          </w:tcPr>
          <w:p w14:paraId="6DE8A94B"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Jensen, Report from Denmark, ACA-Europe, 140 (1986).</w:t>
            </w:r>
          </w:p>
        </w:tc>
        <w:tc>
          <w:tcPr>
            <w:tcW w:w="2127" w:type="dxa"/>
          </w:tcPr>
          <w:p w14:paraId="11B382AF" w14:textId="77777777" w:rsidR="00EE40E3" w:rsidRPr="00847B84" w:rsidRDefault="00EE40E3" w:rsidP="006848BD">
            <w:pPr>
              <w:spacing w:after="0" w:line="240" w:lineRule="auto"/>
              <w:ind w:left="357" w:hanging="357"/>
              <w:jc w:val="center"/>
            </w:pPr>
            <w:r w:rsidRPr="00847B84">
              <w:t>6</w:t>
            </w:r>
          </w:p>
        </w:tc>
      </w:tr>
      <w:tr w:rsidR="00EE40E3" w:rsidRPr="00847B84" w14:paraId="331FCF56" w14:textId="77777777" w:rsidTr="00A65112">
        <w:tc>
          <w:tcPr>
            <w:tcW w:w="7371" w:type="dxa"/>
          </w:tcPr>
          <w:p w14:paraId="28FE7E66" w14:textId="77777777" w:rsidR="00EE40E3" w:rsidRPr="00847B84" w:rsidRDefault="00EE40E3" w:rsidP="006848BD">
            <w:pPr>
              <w:spacing w:after="0" w:line="240" w:lineRule="auto"/>
              <w:ind w:left="357" w:hanging="357"/>
              <w:rPr>
                <w:b/>
                <w:bCs/>
                <w:smallCaps/>
              </w:rPr>
            </w:pPr>
            <w:r w:rsidRPr="00847B84">
              <w:rPr>
                <w:rFonts w:eastAsiaTheme="minorHAnsi"/>
                <w14:ligatures w14:val="standardContextual"/>
              </w:rPr>
              <w:t>Kuwait Nationality Law (1959).</w:t>
            </w:r>
          </w:p>
        </w:tc>
        <w:tc>
          <w:tcPr>
            <w:tcW w:w="2127" w:type="dxa"/>
          </w:tcPr>
          <w:p w14:paraId="4643D3C4" w14:textId="77777777" w:rsidR="00EE40E3" w:rsidRPr="00847B84" w:rsidRDefault="00EE40E3" w:rsidP="006848BD">
            <w:pPr>
              <w:spacing w:after="0" w:line="240" w:lineRule="auto"/>
              <w:ind w:left="357" w:hanging="357"/>
              <w:jc w:val="center"/>
            </w:pPr>
            <w:r w:rsidRPr="00847B84">
              <w:t>11</w:t>
            </w:r>
          </w:p>
        </w:tc>
      </w:tr>
      <w:tr w:rsidR="00EE40E3" w:rsidRPr="00847B84" w14:paraId="0A6C569A" w14:textId="77777777" w:rsidTr="00A65112">
        <w:tc>
          <w:tcPr>
            <w:tcW w:w="7371" w:type="dxa"/>
          </w:tcPr>
          <w:p w14:paraId="6661D481"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Law No. 26 of 2023, Saint Christopher and Nevis Citizenship by Substantial Investment Regulations (2023).</w:t>
            </w:r>
          </w:p>
        </w:tc>
        <w:tc>
          <w:tcPr>
            <w:tcW w:w="2127" w:type="dxa"/>
          </w:tcPr>
          <w:p w14:paraId="522256E4" w14:textId="77777777" w:rsidR="00EE40E3" w:rsidRPr="00847B84" w:rsidRDefault="00EE40E3" w:rsidP="006848BD">
            <w:pPr>
              <w:spacing w:after="0" w:line="240" w:lineRule="auto"/>
              <w:ind w:left="357" w:hanging="357"/>
              <w:jc w:val="center"/>
            </w:pPr>
            <w:r w:rsidRPr="00847B84">
              <w:t>19</w:t>
            </w:r>
          </w:p>
        </w:tc>
      </w:tr>
      <w:tr w:rsidR="00EE40E3" w:rsidRPr="00847B84" w14:paraId="029C76F4" w14:textId="77777777" w:rsidTr="00A65112">
        <w:tc>
          <w:tcPr>
            <w:tcW w:w="7371" w:type="dxa"/>
          </w:tcPr>
          <w:p w14:paraId="79430964"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Law No. 5901 of 2018, Turkish Citizenship by Investment Law (2018).</w:t>
            </w:r>
          </w:p>
        </w:tc>
        <w:tc>
          <w:tcPr>
            <w:tcW w:w="2127" w:type="dxa"/>
          </w:tcPr>
          <w:p w14:paraId="1BCC2B0E" w14:textId="77777777" w:rsidR="00EE40E3" w:rsidRPr="00847B84" w:rsidRDefault="00EE40E3" w:rsidP="006848BD">
            <w:pPr>
              <w:spacing w:after="0" w:line="240" w:lineRule="auto"/>
              <w:ind w:left="357" w:hanging="357"/>
              <w:jc w:val="center"/>
            </w:pPr>
            <w:r w:rsidRPr="00847B84">
              <w:t>19</w:t>
            </w:r>
          </w:p>
        </w:tc>
      </w:tr>
      <w:tr w:rsidR="00EE40E3" w:rsidRPr="00847B84" w14:paraId="74438B3C" w14:textId="77777777" w:rsidTr="00A65112">
        <w:tc>
          <w:tcPr>
            <w:tcW w:w="7371" w:type="dxa"/>
          </w:tcPr>
          <w:p w14:paraId="478C3154"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rFonts w:eastAsiaTheme="minorHAnsi"/>
                <w14:ligatures w14:val="standardContextual"/>
              </w:rPr>
              <w:t xml:space="preserve">Liberia Aliens and Nationality Law (1973). </w:t>
            </w:r>
          </w:p>
        </w:tc>
        <w:tc>
          <w:tcPr>
            <w:tcW w:w="2127" w:type="dxa"/>
          </w:tcPr>
          <w:p w14:paraId="684D3051" w14:textId="77777777" w:rsidR="00EE40E3" w:rsidRPr="00847B84" w:rsidRDefault="00EE40E3" w:rsidP="006848BD">
            <w:pPr>
              <w:spacing w:after="0" w:line="240" w:lineRule="auto"/>
              <w:ind w:left="357" w:hanging="357"/>
              <w:jc w:val="center"/>
            </w:pPr>
            <w:r w:rsidRPr="00847B84">
              <w:t>11</w:t>
            </w:r>
          </w:p>
        </w:tc>
      </w:tr>
      <w:tr w:rsidR="00EE40E3" w:rsidRPr="00847B84" w14:paraId="2F24CF09" w14:textId="77777777" w:rsidTr="00A65112">
        <w:tc>
          <w:tcPr>
            <w:tcW w:w="7371" w:type="dxa"/>
          </w:tcPr>
          <w:p w14:paraId="5E4167A5" w14:textId="77777777" w:rsidR="00EE40E3" w:rsidRPr="00847B84" w:rsidRDefault="00EE40E3" w:rsidP="006848BD">
            <w:pPr>
              <w:autoSpaceDE w:val="0"/>
              <w:autoSpaceDN w:val="0"/>
              <w:adjustRightInd w:val="0"/>
              <w:spacing w:after="0" w:line="240" w:lineRule="auto"/>
              <w:rPr>
                <w:rFonts w:eastAsiaTheme="minorHAnsi"/>
                <w14:ligatures w14:val="standardContextual"/>
              </w:rPr>
            </w:pPr>
            <w:r w:rsidRPr="00847B84">
              <w:rPr>
                <w:smallCaps/>
                <w:color w:val="000000" w:themeColor="text1"/>
              </w:rPr>
              <w:t>Revised Report on Individual Access to Constitutional Justice, European Commission for Democracy through Law (Venice Commission) Opinion No. 1004/3030, ¶40(2021).</w:t>
            </w:r>
          </w:p>
        </w:tc>
        <w:tc>
          <w:tcPr>
            <w:tcW w:w="2127" w:type="dxa"/>
          </w:tcPr>
          <w:p w14:paraId="0E31FF88" w14:textId="77777777" w:rsidR="00EE40E3" w:rsidRPr="00847B84" w:rsidRDefault="00EE40E3" w:rsidP="006848BD">
            <w:pPr>
              <w:spacing w:after="0" w:line="240" w:lineRule="auto"/>
              <w:ind w:left="357" w:hanging="357"/>
              <w:jc w:val="center"/>
            </w:pPr>
            <w:r w:rsidRPr="00847B84">
              <w:t>8</w:t>
            </w:r>
          </w:p>
        </w:tc>
      </w:tr>
      <w:tr w:rsidR="00EE40E3" w:rsidRPr="00847B84" w14:paraId="13F031AC" w14:textId="77777777" w:rsidTr="00A65112">
        <w:tc>
          <w:tcPr>
            <w:tcW w:w="7371" w:type="dxa"/>
          </w:tcPr>
          <w:p w14:paraId="322762D0" w14:textId="77777777" w:rsidR="00EE40E3" w:rsidRPr="00847B84" w:rsidRDefault="00EE40E3" w:rsidP="006848BD">
            <w:pPr>
              <w:autoSpaceDE w:val="0"/>
              <w:autoSpaceDN w:val="0"/>
              <w:adjustRightInd w:val="0"/>
              <w:spacing w:after="0" w:line="240" w:lineRule="auto"/>
              <w:rPr>
                <w:smallCaps/>
                <w:color w:val="000000" w:themeColor="text1"/>
              </w:rPr>
            </w:pPr>
            <w:proofErr w:type="spellStart"/>
            <w:r w:rsidRPr="00847B84">
              <w:t>Vink</w:t>
            </w:r>
            <w:proofErr w:type="spellEnd"/>
            <w:r w:rsidRPr="00847B84">
              <w:t>, “Global Citizenship Observatory – Citizenship Law Dataset, v. 1, Country-Year Data,</w:t>
            </w:r>
            <w:r w:rsidRPr="00847B84">
              <w:rPr>
                <w:i/>
                <w:iCs/>
              </w:rPr>
              <w:t xml:space="preserve"> </w:t>
            </w:r>
            <w:r w:rsidRPr="00847B84">
              <w:t>Global Citizenship Observatory” (2021).</w:t>
            </w:r>
          </w:p>
        </w:tc>
        <w:tc>
          <w:tcPr>
            <w:tcW w:w="2127" w:type="dxa"/>
          </w:tcPr>
          <w:p w14:paraId="2C069789" w14:textId="77777777" w:rsidR="00EE40E3" w:rsidRPr="00847B84" w:rsidRDefault="00EE40E3" w:rsidP="006848BD">
            <w:pPr>
              <w:spacing w:after="0" w:line="240" w:lineRule="auto"/>
              <w:ind w:left="357" w:hanging="357"/>
              <w:jc w:val="center"/>
            </w:pPr>
            <w:r w:rsidRPr="00847B84">
              <w:t>20</w:t>
            </w:r>
          </w:p>
        </w:tc>
      </w:tr>
    </w:tbl>
    <w:p w14:paraId="0C90C032" w14:textId="3376DAA5" w:rsidR="005A62A6" w:rsidRPr="00847B84" w:rsidRDefault="005A62A6" w:rsidP="00E442BE">
      <w:pPr>
        <w:spacing w:line="240" w:lineRule="auto"/>
      </w:pPr>
      <w:r w:rsidRPr="00847B84">
        <w:br w:type="page"/>
      </w:r>
    </w:p>
    <w:p w14:paraId="2829FBC2" w14:textId="77777777" w:rsidR="005A62A6" w:rsidRPr="00847B84" w:rsidRDefault="005A62A6" w:rsidP="005A62A6">
      <w:pPr>
        <w:pStyle w:val="Heading1"/>
      </w:pPr>
      <w:bookmarkStart w:id="9" w:name="_Toc92780816"/>
      <w:bookmarkStart w:id="10" w:name="_Toc92907295"/>
      <w:bookmarkStart w:id="11" w:name="_Toc92947723"/>
      <w:bookmarkStart w:id="12" w:name="_Toc92949298"/>
      <w:bookmarkStart w:id="13" w:name="_Toc156019701"/>
      <w:r w:rsidRPr="00847B84">
        <w:lastRenderedPageBreak/>
        <w:t>STATEMENT OF JURISDICTION</w:t>
      </w:r>
      <w:bookmarkEnd w:id="9"/>
      <w:bookmarkEnd w:id="10"/>
      <w:bookmarkEnd w:id="11"/>
      <w:bookmarkEnd w:id="12"/>
      <w:bookmarkEnd w:id="13"/>
    </w:p>
    <w:p w14:paraId="39E35E3F" w14:textId="04D02D56" w:rsidR="00DE0400" w:rsidRPr="00847B84" w:rsidRDefault="00DE0400" w:rsidP="00DE0400">
      <w:pPr>
        <w:ind w:firstLine="720"/>
      </w:pPr>
      <w:r w:rsidRPr="00847B84">
        <w:t xml:space="preserve">The Republic of </w:t>
      </w:r>
      <w:proofErr w:type="spellStart"/>
      <w:r w:rsidRPr="00847B84">
        <w:t>Antrano</w:t>
      </w:r>
      <w:proofErr w:type="spellEnd"/>
      <w:r w:rsidRPr="00847B84">
        <w:t xml:space="preserve"> and the Kingdom of </w:t>
      </w:r>
      <w:proofErr w:type="spellStart"/>
      <w:r w:rsidRPr="00847B84">
        <w:t>Remisia</w:t>
      </w:r>
      <w:proofErr w:type="spellEnd"/>
      <w:r w:rsidRPr="00847B84">
        <w:t xml:space="preserve"> have agreed to submit, by way of </w:t>
      </w:r>
      <w:proofErr w:type="spellStart"/>
      <w:r w:rsidRPr="00847B84">
        <w:rPr>
          <w:i/>
        </w:rPr>
        <w:t>compromis</w:t>
      </w:r>
      <w:proofErr w:type="spellEnd"/>
      <w:r w:rsidRPr="00847B84">
        <w:rPr>
          <w:i/>
        </w:rPr>
        <w:t>,</w:t>
      </w:r>
      <w:r w:rsidRPr="00847B84">
        <w:t xml:space="preserve"> their differences concerning the </w:t>
      </w:r>
      <w:proofErr w:type="spellStart"/>
      <w:r w:rsidRPr="00847B84">
        <w:t>Sterren</w:t>
      </w:r>
      <w:proofErr w:type="spellEnd"/>
      <w:r w:rsidRPr="00847B84">
        <w:t xml:space="preserve"> Forty and other matters to this Court, in accordance with Article 40(1) of the Statute of the International Court of Justice </w:t>
      </w:r>
      <w:r w:rsidR="00B82810" w:rsidRPr="00847B84">
        <w:t>[</w:t>
      </w:r>
      <w:r w:rsidRPr="00847B84">
        <w:t>“</w:t>
      </w:r>
      <w:r w:rsidRPr="00847B84">
        <w:rPr>
          <w:b/>
          <w:bCs/>
        </w:rPr>
        <w:t>ICJ</w:t>
      </w:r>
      <w:r w:rsidRPr="00847B84">
        <w:t>”</w:t>
      </w:r>
      <w:r w:rsidR="00B82810" w:rsidRPr="00847B84">
        <w:t>]</w:t>
      </w:r>
      <w:r w:rsidRPr="00847B84">
        <w:t>.</w:t>
      </w:r>
      <w:r w:rsidRPr="00847B84">
        <w:rPr>
          <w:b/>
        </w:rPr>
        <w:t xml:space="preserve"> </w:t>
      </w:r>
      <w:r w:rsidRPr="00847B84">
        <w:t>An original copy thereof was transmitted to the Registrar on 15 September 2023. Thus, both parties have accepted the jurisdiction of the Court pursuant to Article 36(1) of the Statute of the ICJ.</w:t>
      </w:r>
    </w:p>
    <w:p w14:paraId="62A36ABB" w14:textId="5C404A00" w:rsidR="00DE0400" w:rsidRPr="00847B84" w:rsidRDefault="00DE0400" w:rsidP="00DE0400">
      <w:pPr>
        <w:ind w:firstLine="720"/>
      </w:pPr>
      <w:proofErr w:type="spellStart"/>
      <w:r w:rsidRPr="00847B84">
        <w:rPr>
          <w:rFonts w:eastAsia="Times"/>
        </w:rPr>
        <w:t>Remisia</w:t>
      </w:r>
      <w:proofErr w:type="spellEnd"/>
      <w:r w:rsidRPr="00847B84">
        <w:rPr>
          <w:rFonts w:eastAsia="Times"/>
        </w:rPr>
        <w:t xml:space="preserve"> has undertaken to accept the judgment of this Court as final and binding, and shall execute it in its entirely and in good faith. </w:t>
      </w:r>
    </w:p>
    <w:p w14:paraId="7B315F2C" w14:textId="77777777" w:rsidR="005A62A6" w:rsidRPr="00847B84" w:rsidRDefault="005A62A6" w:rsidP="00DE0400"/>
    <w:p w14:paraId="301D247B" w14:textId="77777777" w:rsidR="005A62A6" w:rsidRPr="00847B84" w:rsidRDefault="005A62A6" w:rsidP="005A62A6">
      <w:r w:rsidRPr="00847B84">
        <w:br w:type="page"/>
      </w:r>
    </w:p>
    <w:p w14:paraId="690D4225" w14:textId="13D7D7A4" w:rsidR="005A62A6" w:rsidRPr="00847B84" w:rsidRDefault="005A62A6" w:rsidP="005A62A6">
      <w:pPr>
        <w:pStyle w:val="Heading1"/>
      </w:pPr>
      <w:bookmarkStart w:id="14" w:name="_Toc92780817"/>
      <w:bookmarkStart w:id="15" w:name="_Toc92907296"/>
      <w:bookmarkStart w:id="16" w:name="_Toc92947724"/>
      <w:bookmarkStart w:id="17" w:name="_Toc92949299"/>
      <w:bookmarkStart w:id="18" w:name="_Toc156019702"/>
      <w:r w:rsidRPr="00847B84">
        <w:lastRenderedPageBreak/>
        <w:t>QUESTION</w:t>
      </w:r>
      <w:r w:rsidR="00B617F2" w:rsidRPr="00847B84">
        <w:t>S</w:t>
      </w:r>
      <w:r w:rsidR="00FC5B8F" w:rsidRPr="00847B84">
        <w:t xml:space="preserve"> </w:t>
      </w:r>
      <w:r w:rsidRPr="00847B84">
        <w:t>PRESENTED</w:t>
      </w:r>
      <w:bookmarkEnd w:id="14"/>
      <w:bookmarkEnd w:id="15"/>
      <w:bookmarkEnd w:id="16"/>
      <w:bookmarkEnd w:id="17"/>
      <w:bookmarkEnd w:id="18"/>
    </w:p>
    <w:p w14:paraId="3F8FFF4E" w14:textId="63954CFA" w:rsidR="00DE0400" w:rsidRPr="00847B84" w:rsidRDefault="00DE0400" w:rsidP="00DE0400">
      <w:pPr>
        <w:numPr>
          <w:ilvl w:val="0"/>
          <w:numId w:val="45"/>
        </w:numPr>
        <w:pBdr>
          <w:top w:val="nil"/>
          <w:left w:val="nil"/>
          <w:bottom w:val="nil"/>
          <w:right w:val="nil"/>
          <w:between w:val="nil"/>
        </w:pBdr>
        <w:spacing w:after="0"/>
        <w:rPr>
          <w:b/>
          <w:color w:val="000000"/>
        </w:rPr>
      </w:pPr>
      <w:r w:rsidRPr="00847B84">
        <w:rPr>
          <w:i/>
          <w:color w:val="000000"/>
        </w:rPr>
        <w:t>Whether</w:t>
      </w:r>
      <w:r w:rsidRPr="00847B84">
        <w:rPr>
          <w:color w:val="000000"/>
        </w:rPr>
        <w:t xml:space="preserve"> </w:t>
      </w:r>
      <w:proofErr w:type="spellStart"/>
      <w:r w:rsidRPr="00847B84">
        <w:rPr>
          <w:color w:val="000000"/>
        </w:rPr>
        <w:t>Antrano</w:t>
      </w:r>
      <w:proofErr w:type="spellEnd"/>
      <w:r w:rsidRPr="00847B84">
        <w:rPr>
          <w:color w:val="000000"/>
        </w:rPr>
        <w:t xml:space="preserve"> has standing to bring the matter of the deprivation of nationality of the “</w:t>
      </w:r>
      <w:proofErr w:type="spellStart"/>
      <w:r w:rsidRPr="00847B84">
        <w:rPr>
          <w:color w:val="000000"/>
        </w:rPr>
        <w:t>Sterren</w:t>
      </w:r>
      <w:proofErr w:type="spellEnd"/>
      <w:r w:rsidRPr="00847B84">
        <w:rPr>
          <w:color w:val="000000"/>
        </w:rPr>
        <w:t xml:space="preserve"> Forty” to this Court; </w:t>
      </w:r>
    </w:p>
    <w:p w14:paraId="156A957D" w14:textId="77777777" w:rsidR="00DE0400" w:rsidRPr="00847B84" w:rsidRDefault="00DE0400" w:rsidP="00DE0400">
      <w:pPr>
        <w:pBdr>
          <w:top w:val="nil"/>
          <w:left w:val="nil"/>
          <w:bottom w:val="nil"/>
          <w:right w:val="nil"/>
          <w:between w:val="nil"/>
        </w:pBdr>
        <w:spacing w:after="0"/>
        <w:ind w:left="360"/>
        <w:rPr>
          <w:b/>
          <w:color w:val="000000"/>
        </w:rPr>
      </w:pPr>
    </w:p>
    <w:p w14:paraId="1072A186" w14:textId="1FF22769" w:rsidR="00DE0400" w:rsidRPr="00847B84" w:rsidRDefault="00DE0400" w:rsidP="00DE0400">
      <w:pPr>
        <w:numPr>
          <w:ilvl w:val="0"/>
          <w:numId w:val="45"/>
        </w:numPr>
        <w:pBdr>
          <w:top w:val="nil"/>
          <w:left w:val="nil"/>
          <w:bottom w:val="nil"/>
          <w:right w:val="nil"/>
          <w:between w:val="nil"/>
        </w:pBdr>
        <w:spacing w:after="0"/>
        <w:rPr>
          <w:b/>
          <w:color w:val="000000"/>
        </w:rPr>
      </w:pPr>
      <w:r w:rsidRPr="00847B84">
        <w:rPr>
          <w:i/>
          <w:color w:val="000000"/>
        </w:rPr>
        <w:t>Whether</w:t>
      </w:r>
      <w:r w:rsidRPr="00847B84">
        <w:rPr>
          <w:color w:val="000000"/>
        </w:rPr>
        <w:t xml:space="preserve"> </w:t>
      </w:r>
      <w:proofErr w:type="spellStart"/>
      <w:r w:rsidRPr="00847B84">
        <w:rPr>
          <w:color w:val="000000"/>
        </w:rPr>
        <w:t>Remisia</w:t>
      </w:r>
      <w:proofErr w:type="spellEnd"/>
      <w:r w:rsidRPr="00847B84">
        <w:rPr>
          <w:color w:val="000000"/>
        </w:rPr>
        <w:t xml:space="preserve"> violated international law when it deprived the “</w:t>
      </w:r>
      <w:proofErr w:type="spellStart"/>
      <w:r w:rsidRPr="00847B84">
        <w:rPr>
          <w:color w:val="000000"/>
        </w:rPr>
        <w:t>Sterren</w:t>
      </w:r>
      <w:proofErr w:type="spellEnd"/>
      <w:r w:rsidRPr="00847B84">
        <w:rPr>
          <w:color w:val="000000"/>
        </w:rPr>
        <w:t xml:space="preserve"> Forty” of their </w:t>
      </w:r>
      <w:proofErr w:type="spellStart"/>
      <w:r w:rsidRPr="00847B84">
        <w:rPr>
          <w:color w:val="000000"/>
        </w:rPr>
        <w:t>Remisian</w:t>
      </w:r>
      <w:proofErr w:type="spellEnd"/>
      <w:r w:rsidRPr="00847B84">
        <w:rPr>
          <w:color w:val="000000"/>
        </w:rPr>
        <w:t xml:space="preserve"> citizenship in accordance with the Disrespect</w:t>
      </w:r>
      <w:r w:rsidR="00196549" w:rsidRPr="00847B84">
        <w:rPr>
          <w:color w:val="000000"/>
        </w:rPr>
        <w:t xml:space="preserve"> to</w:t>
      </w:r>
      <w:r w:rsidRPr="00847B84">
        <w:rPr>
          <w:color w:val="000000"/>
        </w:rPr>
        <w:t xml:space="preserve"> the Crown Act </w:t>
      </w:r>
      <w:r w:rsidR="00196549" w:rsidRPr="00847B84">
        <w:rPr>
          <w:color w:val="000000"/>
        </w:rPr>
        <w:t>[</w:t>
      </w:r>
      <w:r w:rsidRPr="00847B84">
        <w:rPr>
          <w:color w:val="000000"/>
        </w:rPr>
        <w:t>“</w:t>
      </w:r>
      <w:r w:rsidRPr="00847B84">
        <w:rPr>
          <w:b/>
          <w:bCs/>
          <w:color w:val="000000"/>
        </w:rPr>
        <w:t>DCA</w:t>
      </w:r>
      <w:r w:rsidRPr="00847B84">
        <w:rPr>
          <w:color w:val="000000"/>
        </w:rPr>
        <w:t>”</w:t>
      </w:r>
      <w:r w:rsidR="00196549" w:rsidRPr="00847B84">
        <w:rPr>
          <w:color w:val="000000"/>
        </w:rPr>
        <w:t>]</w:t>
      </w:r>
      <w:r w:rsidRPr="00847B84">
        <w:rPr>
          <w:color w:val="000000"/>
        </w:rPr>
        <w:t xml:space="preserve">; </w:t>
      </w:r>
    </w:p>
    <w:p w14:paraId="232E840C" w14:textId="77777777" w:rsidR="00DE0400" w:rsidRPr="00847B84" w:rsidRDefault="00DE0400" w:rsidP="00DE0400">
      <w:pPr>
        <w:pBdr>
          <w:top w:val="nil"/>
          <w:left w:val="nil"/>
          <w:bottom w:val="nil"/>
          <w:right w:val="nil"/>
          <w:between w:val="nil"/>
        </w:pBdr>
        <w:spacing w:after="0"/>
        <w:rPr>
          <w:b/>
          <w:color w:val="000000"/>
        </w:rPr>
      </w:pPr>
    </w:p>
    <w:p w14:paraId="7C24713C" w14:textId="41FBBB9F" w:rsidR="00DE0400" w:rsidRPr="00847B84" w:rsidRDefault="00DE0400" w:rsidP="00DE0400">
      <w:pPr>
        <w:numPr>
          <w:ilvl w:val="0"/>
          <w:numId w:val="45"/>
        </w:numPr>
        <w:pBdr>
          <w:top w:val="nil"/>
          <w:left w:val="nil"/>
          <w:bottom w:val="nil"/>
          <w:right w:val="nil"/>
          <w:between w:val="nil"/>
        </w:pBdr>
        <w:spacing w:after="0"/>
        <w:rPr>
          <w:b/>
          <w:color w:val="000000"/>
        </w:rPr>
      </w:pPr>
      <w:r w:rsidRPr="00847B84">
        <w:rPr>
          <w:i/>
          <w:color w:val="000000"/>
        </w:rPr>
        <w:t>Whether</w:t>
      </w:r>
      <w:r w:rsidRPr="00847B84">
        <w:rPr>
          <w:color w:val="000000"/>
        </w:rPr>
        <w:t xml:space="preserve"> </w:t>
      </w:r>
      <w:proofErr w:type="spellStart"/>
      <w:r w:rsidRPr="00847B84">
        <w:rPr>
          <w:color w:val="000000"/>
        </w:rPr>
        <w:t>Antrano</w:t>
      </w:r>
      <w:proofErr w:type="spellEnd"/>
      <w:r w:rsidRPr="00847B84">
        <w:rPr>
          <w:color w:val="000000"/>
        </w:rPr>
        <w:t xml:space="preserve"> violated international law when it denied Saki Shaw, a </w:t>
      </w:r>
      <w:proofErr w:type="spellStart"/>
      <w:r w:rsidRPr="00847B84">
        <w:rPr>
          <w:color w:val="000000"/>
        </w:rPr>
        <w:t>Remisian</w:t>
      </w:r>
      <w:proofErr w:type="spellEnd"/>
      <w:r w:rsidRPr="00847B84">
        <w:rPr>
          <w:color w:val="000000"/>
        </w:rPr>
        <w:t xml:space="preserve"> citizen, access to </w:t>
      </w:r>
      <w:proofErr w:type="spellStart"/>
      <w:r w:rsidRPr="00847B84">
        <w:rPr>
          <w:color w:val="000000"/>
        </w:rPr>
        <w:t>Remisian</w:t>
      </w:r>
      <w:proofErr w:type="spellEnd"/>
      <w:r w:rsidRPr="00847B84">
        <w:rPr>
          <w:color w:val="000000"/>
        </w:rPr>
        <w:t xml:space="preserve"> consular representatives while she was held prisoner in </w:t>
      </w:r>
      <w:proofErr w:type="spellStart"/>
      <w:r w:rsidRPr="00847B84">
        <w:rPr>
          <w:color w:val="000000"/>
        </w:rPr>
        <w:t>Antrano</w:t>
      </w:r>
      <w:proofErr w:type="spellEnd"/>
      <w:r w:rsidRPr="00847B84">
        <w:rPr>
          <w:color w:val="000000"/>
        </w:rPr>
        <w:t xml:space="preserve">; and </w:t>
      </w:r>
    </w:p>
    <w:p w14:paraId="316F7F70" w14:textId="77777777" w:rsidR="00DE0400" w:rsidRPr="00847B84" w:rsidRDefault="00DE0400" w:rsidP="00DE0400">
      <w:pPr>
        <w:pBdr>
          <w:top w:val="nil"/>
          <w:left w:val="nil"/>
          <w:bottom w:val="nil"/>
          <w:right w:val="nil"/>
          <w:between w:val="nil"/>
        </w:pBdr>
        <w:spacing w:after="0"/>
        <w:rPr>
          <w:b/>
          <w:color w:val="000000"/>
        </w:rPr>
      </w:pPr>
    </w:p>
    <w:p w14:paraId="1D1916D7" w14:textId="77777777" w:rsidR="00DE0400" w:rsidRPr="00847B84" w:rsidRDefault="00DE0400" w:rsidP="00DE0400">
      <w:pPr>
        <w:numPr>
          <w:ilvl w:val="0"/>
          <w:numId w:val="45"/>
        </w:numPr>
        <w:pBdr>
          <w:top w:val="nil"/>
          <w:left w:val="nil"/>
          <w:bottom w:val="nil"/>
          <w:right w:val="nil"/>
          <w:between w:val="nil"/>
        </w:pBdr>
        <w:spacing w:after="0"/>
        <w:rPr>
          <w:b/>
          <w:color w:val="000000"/>
        </w:rPr>
      </w:pPr>
      <w:r w:rsidRPr="00847B84">
        <w:rPr>
          <w:i/>
          <w:color w:val="000000"/>
        </w:rPr>
        <w:t>Whether</w:t>
      </w:r>
      <w:r w:rsidRPr="00847B84">
        <w:rPr>
          <w:color w:val="000000"/>
        </w:rPr>
        <w:t xml:space="preserve"> </w:t>
      </w:r>
      <w:proofErr w:type="spellStart"/>
      <w:r w:rsidRPr="00847B84">
        <w:rPr>
          <w:color w:val="000000"/>
        </w:rPr>
        <w:t>Remisia</w:t>
      </w:r>
      <w:proofErr w:type="spellEnd"/>
      <w:r w:rsidRPr="00847B84">
        <w:rPr>
          <w:color w:val="000000"/>
        </w:rPr>
        <w:t xml:space="preserve"> violated international law by refusing to allow Dr. </w:t>
      </w:r>
      <w:proofErr w:type="spellStart"/>
      <w:r w:rsidRPr="00847B84">
        <w:rPr>
          <w:color w:val="000000"/>
        </w:rPr>
        <w:t>Malex</w:t>
      </w:r>
      <w:proofErr w:type="spellEnd"/>
      <w:r w:rsidRPr="00847B84">
        <w:rPr>
          <w:color w:val="000000"/>
        </w:rPr>
        <w:t xml:space="preserve"> to enter </w:t>
      </w:r>
      <w:proofErr w:type="spellStart"/>
      <w:r w:rsidRPr="00847B84">
        <w:rPr>
          <w:color w:val="000000"/>
        </w:rPr>
        <w:t>Remisia</w:t>
      </w:r>
      <w:proofErr w:type="spellEnd"/>
      <w:r w:rsidRPr="00847B84">
        <w:rPr>
          <w:color w:val="000000"/>
        </w:rPr>
        <w:t xml:space="preserve">. </w:t>
      </w:r>
    </w:p>
    <w:p w14:paraId="2A5D0BDD" w14:textId="1AB3A3E9" w:rsidR="005A62A6" w:rsidRPr="00847B84" w:rsidRDefault="005A62A6" w:rsidP="005A62A6"/>
    <w:p w14:paraId="4E9CEAC3" w14:textId="77777777" w:rsidR="005A62A6" w:rsidRPr="00847B84" w:rsidRDefault="005A62A6" w:rsidP="005A62A6">
      <w:r w:rsidRPr="00847B84">
        <w:br w:type="page"/>
      </w:r>
    </w:p>
    <w:p w14:paraId="74E70DA2" w14:textId="0B55FE62" w:rsidR="005A62A6" w:rsidRPr="00847B84" w:rsidRDefault="00B617F2" w:rsidP="005A62A6">
      <w:pPr>
        <w:pStyle w:val="Heading1"/>
      </w:pPr>
      <w:bookmarkStart w:id="19" w:name="_Toc156019703"/>
      <w:r w:rsidRPr="00847B84">
        <w:lastRenderedPageBreak/>
        <w:t>STATEMENT OF FACTS</w:t>
      </w:r>
      <w:bookmarkEnd w:id="19"/>
    </w:p>
    <w:p w14:paraId="743AE005" w14:textId="77777777" w:rsidR="00B82810" w:rsidRPr="00847B84" w:rsidRDefault="00B82810" w:rsidP="00B82810">
      <w:pPr>
        <w:rPr>
          <w:b/>
          <w:smallCaps/>
        </w:rPr>
      </w:pPr>
      <w:bookmarkStart w:id="20" w:name="_Toc92780819"/>
      <w:bookmarkStart w:id="21" w:name="_Toc92907298"/>
      <w:bookmarkStart w:id="22" w:name="_Toc92947726"/>
      <w:bookmarkStart w:id="23" w:name="_Toc92949301"/>
      <w:r w:rsidRPr="00847B84">
        <w:rPr>
          <w:b/>
          <w:smallCaps/>
        </w:rPr>
        <w:t>Background</w:t>
      </w:r>
    </w:p>
    <w:p w14:paraId="543A2526" w14:textId="22469A81" w:rsidR="00B82810" w:rsidRPr="00847B84" w:rsidRDefault="00B82810" w:rsidP="00B82810">
      <w:pPr>
        <w:ind w:firstLine="720"/>
        <w:rPr>
          <w:rFonts w:eastAsia="Times"/>
        </w:rPr>
      </w:pPr>
      <w:r w:rsidRPr="00847B84">
        <w:rPr>
          <w:rFonts w:eastAsia="Times"/>
        </w:rPr>
        <w:t xml:space="preserve">The Republic of </w:t>
      </w:r>
      <w:proofErr w:type="spellStart"/>
      <w:r w:rsidRPr="00847B84">
        <w:rPr>
          <w:rFonts w:eastAsia="Times"/>
        </w:rPr>
        <w:t>Antrano</w:t>
      </w:r>
      <w:proofErr w:type="spellEnd"/>
      <w:r w:rsidRPr="00847B84">
        <w:rPr>
          <w:rFonts w:eastAsia="Times"/>
        </w:rPr>
        <w:t xml:space="preserve"> [</w:t>
      </w:r>
      <w:r w:rsidRPr="00847B84">
        <w:rPr>
          <w:rFonts w:eastAsia="Times"/>
          <w:b/>
        </w:rPr>
        <w:t>“</w:t>
      </w:r>
      <w:proofErr w:type="spellStart"/>
      <w:r w:rsidRPr="00847B84">
        <w:rPr>
          <w:rFonts w:eastAsia="Times"/>
          <w:b/>
        </w:rPr>
        <w:t>Antrano</w:t>
      </w:r>
      <w:proofErr w:type="spellEnd"/>
      <w:r w:rsidRPr="00847B84">
        <w:rPr>
          <w:rFonts w:eastAsia="Times"/>
          <w:b/>
        </w:rPr>
        <w:t>”</w:t>
      </w:r>
      <w:r w:rsidRPr="00847B84">
        <w:rPr>
          <w:rFonts w:eastAsia="Times"/>
        </w:rPr>
        <w:t xml:space="preserve">], a constitutional republic, is </w:t>
      </w:r>
      <w:r w:rsidR="00C04D7C" w:rsidRPr="00847B84">
        <w:rPr>
          <w:rFonts w:eastAsia="Times"/>
        </w:rPr>
        <w:t xml:space="preserve">an island </w:t>
      </w:r>
      <w:r w:rsidRPr="00847B84">
        <w:rPr>
          <w:rFonts w:eastAsia="Times"/>
        </w:rPr>
        <w:t xml:space="preserve">within the </w:t>
      </w:r>
      <w:proofErr w:type="spellStart"/>
      <w:r w:rsidRPr="00847B84">
        <w:rPr>
          <w:rFonts w:eastAsia="Times"/>
        </w:rPr>
        <w:t>Mahali</w:t>
      </w:r>
      <w:proofErr w:type="spellEnd"/>
      <w:r w:rsidRPr="00847B84">
        <w:rPr>
          <w:rFonts w:eastAsia="Times"/>
        </w:rPr>
        <w:t xml:space="preserve"> Archipelago. </w:t>
      </w:r>
      <w:proofErr w:type="spellStart"/>
      <w:r w:rsidRPr="00847B84">
        <w:rPr>
          <w:rFonts w:eastAsia="Times"/>
        </w:rPr>
        <w:t>Antrano</w:t>
      </w:r>
      <w:proofErr w:type="spellEnd"/>
      <w:r w:rsidRPr="00847B84">
        <w:rPr>
          <w:rFonts w:eastAsia="Times"/>
        </w:rPr>
        <w:t xml:space="preserve"> was primarily a homeland for nomadic peoples and remains to be home to a mix of races and ethnicities. The Kingdom of </w:t>
      </w:r>
      <w:proofErr w:type="spellStart"/>
      <w:r w:rsidRPr="00847B84">
        <w:rPr>
          <w:rFonts w:eastAsia="Times"/>
        </w:rPr>
        <w:t>Remisia</w:t>
      </w:r>
      <w:proofErr w:type="spellEnd"/>
      <w:r w:rsidRPr="00847B84">
        <w:rPr>
          <w:rFonts w:eastAsia="Times"/>
        </w:rPr>
        <w:t xml:space="preserve"> [</w:t>
      </w:r>
      <w:r w:rsidRPr="00847B84">
        <w:rPr>
          <w:rFonts w:eastAsia="Times"/>
          <w:b/>
        </w:rPr>
        <w:t>“</w:t>
      </w:r>
      <w:proofErr w:type="spellStart"/>
      <w:r w:rsidRPr="00847B84">
        <w:rPr>
          <w:rFonts w:eastAsia="Times"/>
          <w:b/>
        </w:rPr>
        <w:t>Remisia</w:t>
      </w:r>
      <w:proofErr w:type="spellEnd"/>
      <w:r w:rsidRPr="00847B84">
        <w:rPr>
          <w:rFonts w:eastAsia="Times"/>
          <w:b/>
        </w:rPr>
        <w:t>”</w:t>
      </w:r>
      <w:r w:rsidRPr="00847B84">
        <w:rPr>
          <w:rFonts w:eastAsia="Times"/>
        </w:rPr>
        <w:t xml:space="preserve">], a constitutional monarchy, is a land-locked country 11,000 kilometers away from the </w:t>
      </w:r>
      <w:proofErr w:type="spellStart"/>
      <w:r w:rsidRPr="00847B84">
        <w:rPr>
          <w:rFonts w:eastAsia="Times"/>
        </w:rPr>
        <w:t>Mahali</w:t>
      </w:r>
      <w:proofErr w:type="spellEnd"/>
      <w:r w:rsidRPr="00847B84">
        <w:rPr>
          <w:rFonts w:eastAsia="Times"/>
        </w:rPr>
        <w:t xml:space="preserve"> Archipelago. Its current head of state is Queen </w:t>
      </w:r>
      <w:proofErr w:type="spellStart"/>
      <w:r w:rsidRPr="00847B84">
        <w:rPr>
          <w:rFonts w:eastAsia="Times"/>
        </w:rPr>
        <w:t>Khasat</w:t>
      </w:r>
      <w:proofErr w:type="spellEnd"/>
      <w:r w:rsidRPr="00847B84">
        <w:rPr>
          <w:rFonts w:eastAsia="Times"/>
        </w:rPr>
        <w:t>.</w:t>
      </w:r>
    </w:p>
    <w:p w14:paraId="55AFF72C" w14:textId="77777777" w:rsidR="00B82810" w:rsidRPr="00847B84" w:rsidRDefault="00B82810" w:rsidP="00B82810">
      <w:pPr>
        <w:rPr>
          <w:b/>
          <w:smallCaps/>
        </w:rPr>
      </w:pPr>
      <w:r w:rsidRPr="00847B84">
        <w:rPr>
          <w:b/>
          <w:smallCaps/>
        </w:rPr>
        <w:t>Disrespect to the Crown Act [“DCA”]</w:t>
      </w:r>
    </w:p>
    <w:p w14:paraId="508E8968" w14:textId="51142D3D" w:rsidR="00B82810" w:rsidRPr="00847B84" w:rsidRDefault="00B82810" w:rsidP="00B82810">
      <w:pPr>
        <w:ind w:firstLine="720"/>
        <w:rPr>
          <w:rFonts w:eastAsia="Times"/>
        </w:rPr>
      </w:pPr>
      <w:r w:rsidRPr="00847B84">
        <w:rPr>
          <w:rFonts w:eastAsia="Times"/>
        </w:rPr>
        <w:t xml:space="preserve">The monarchy has always been venerated by </w:t>
      </w:r>
      <w:proofErr w:type="spellStart"/>
      <w:r w:rsidRPr="00847B84">
        <w:rPr>
          <w:rFonts w:eastAsia="Times"/>
        </w:rPr>
        <w:t>Remisia’s</w:t>
      </w:r>
      <w:proofErr w:type="spellEnd"/>
      <w:r w:rsidRPr="00847B84">
        <w:rPr>
          <w:rFonts w:eastAsia="Times"/>
        </w:rPr>
        <w:t xml:space="preserve"> citizens. </w:t>
      </w:r>
      <w:proofErr w:type="spellStart"/>
      <w:r w:rsidRPr="00847B84">
        <w:rPr>
          <w:rFonts w:eastAsia="Times"/>
        </w:rPr>
        <w:t>Remisia’s</w:t>
      </w:r>
      <w:proofErr w:type="spellEnd"/>
      <w:r w:rsidRPr="00847B84">
        <w:rPr>
          <w:rFonts w:eastAsia="Times"/>
        </w:rPr>
        <w:t xml:space="preserve"> Constitution provides that the monarch is entitled to reverence and that insulting the monarch is a crime. In 1955, </w:t>
      </w:r>
      <w:proofErr w:type="spellStart"/>
      <w:r w:rsidRPr="00847B84">
        <w:rPr>
          <w:rFonts w:eastAsia="Times"/>
        </w:rPr>
        <w:t>Remisia</w:t>
      </w:r>
      <w:proofErr w:type="spellEnd"/>
      <w:r w:rsidRPr="00847B84">
        <w:rPr>
          <w:rFonts w:eastAsia="Times"/>
        </w:rPr>
        <w:t xml:space="preserve"> enacted the DCA which punishes anyone who defames, insults, or threatens the reigning monarch with imprisonment of up to five years and, if found by a court to be disloyal to the Crown, the deprivation of his/her </w:t>
      </w:r>
      <w:proofErr w:type="spellStart"/>
      <w:r w:rsidRPr="00847B84">
        <w:rPr>
          <w:rFonts w:eastAsia="Times"/>
        </w:rPr>
        <w:t>Remisian</w:t>
      </w:r>
      <w:proofErr w:type="spellEnd"/>
      <w:r w:rsidRPr="00847B84">
        <w:rPr>
          <w:rFonts w:eastAsia="Times"/>
        </w:rPr>
        <w:t xml:space="preserve"> citizenship. </w:t>
      </w:r>
    </w:p>
    <w:p w14:paraId="073A3406" w14:textId="77777777" w:rsidR="00B82810" w:rsidRPr="00847B84" w:rsidRDefault="00B82810" w:rsidP="00B82810">
      <w:pPr>
        <w:rPr>
          <w:b/>
          <w:smallCaps/>
        </w:rPr>
      </w:pPr>
      <w:r w:rsidRPr="00847B84">
        <w:rPr>
          <w:b/>
          <w:smallCaps/>
        </w:rPr>
        <w:t>Naturalization by Investment Act [“NIA”]</w:t>
      </w:r>
    </w:p>
    <w:p w14:paraId="5EEA8A77" w14:textId="560B0389" w:rsidR="00B82810" w:rsidRPr="00847B84" w:rsidRDefault="00B82810" w:rsidP="00B82810">
      <w:pPr>
        <w:ind w:firstLine="720"/>
      </w:pPr>
      <w:r w:rsidRPr="00847B84">
        <w:rPr>
          <w:rFonts w:eastAsia="Times"/>
        </w:rPr>
        <w:t xml:space="preserve">For </w:t>
      </w:r>
      <w:proofErr w:type="spellStart"/>
      <w:r w:rsidRPr="00847B84">
        <w:rPr>
          <w:rFonts w:eastAsia="Times"/>
        </w:rPr>
        <w:t>Remisia</w:t>
      </w:r>
      <w:proofErr w:type="spellEnd"/>
      <w:r w:rsidRPr="00847B84">
        <w:rPr>
          <w:rFonts w:eastAsia="Times"/>
        </w:rPr>
        <w:t xml:space="preserve"> to be among the leading nations in the region, Queen </w:t>
      </w:r>
      <w:proofErr w:type="spellStart"/>
      <w:r w:rsidRPr="00847B84">
        <w:rPr>
          <w:rFonts w:eastAsia="Times"/>
        </w:rPr>
        <w:t>Khasat</w:t>
      </w:r>
      <w:proofErr w:type="spellEnd"/>
      <w:r w:rsidRPr="00847B84">
        <w:rPr>
          <w:rFonts w:eastAsia="Times"/>
        </w:rPr>
        <w:t xml:space="preserve"> promised that her government would encourage foreign investment and international commerce to raise revenue. Thus, in 2008, Her Majesty signed into law the NIA, which grants citizenship to any applicant who purchases real property, contributes to the National In</w:t>
      </w:r>
      <w:r w:rsidR="001C5016" w:rsidRPr="00847B84">
        <w:rPr>
          <w:rFonts w:eastAsia="Times"/>
        </w:rPr>
        <w:t>f</w:t>
      </w:r>
      <w:r w:rsidRPr="00847B84">
        <w:rPr>
          <w:rFonts w:eastAsia="Times"/>
        </w:rPr>
        <w:t xml:space="preserve">rastructure Development </w:t>
      </w:r>
      <w:r w:rsidR="001C5016" w:rsidRPr="00847B84">
        <w:rPr>
          <w:rFonts w:eastAsia="Times"/>
        </w:rPr>
        <w:t>F</w:t>
      </w:r>
      <w:r w:rsidRPr="00847B84">
        <w:rPr>
          <w:rFonts w:eastAsia="Times"/>
        </w:rPr>
        <w:t xml:space="preserve">und, or otherwise makes a direct investment in the </w:t>
      </w:r>
      <w:proofErr w:type="spellStart"/>
      <w:r w:rsidRPr="00847B84">
        <w:rPr>
          <w:rFonts w:eastAsia="Times"/>
        </w:rPr>
        <w:t>Remisian</w:t>
      </w:r>
      <w:proofErr w:type="spellEnd"/>
      <w:r w:rsidRPr="00847B84">
        <w:rPr>
          <w:rFonts w:eastAsia="Times"/>
        </w:rPr>
        <w:t xml:space="preserve"> economy of </w:t>
      </w:r>
      <w:r w:rsidRPr="00847B84">
        <w:t xml:space="preserve">€500,000 or more. Dual citizenship is permitted in </w:t>
      </w:r>
      <w:proofErr w:type="spellStart"/>
      <w:r w:rsidRPr="00847B84">
        <w:t>Remisia</w:t>
      </w:r>
      <w:proofErr w:type="spellEnd"/>
      <w:r w:rsidRPr="00847B84">
        <w:t xml:space="preserve"> and there is no residency requirement to qualify for the NIA.</w:t>
      </w:r>
    </w:p>
    <w:p w14:paraId="2CC358F4" w14:textId="5A469DE7" w:rsidR="00B82810" w:rsidRPr="00847B84" w:rsidRDefault="00B82810" w:rsidP="00B82810">
      <w:pPr>
        <w:ind w:firstLine="720"/>
      </w:pPr>
      <w:r w:rsidRPr="00847B84">
        <w:t xml:space="preserve">Subsequently, </w:t>
      </w:r>
      <w:proofErr w:type="spellStart"/>
      <w:r w:rsidRPr="00847B84">
        <w:t>Remisia</w:t>
      </w:r>
      <w:proofErr w:type="spellEnd"/>
      <w:r w:rsidRPr="00847B84">
        <w:t xml:space="preserve"> </w:t>
      </w:r>
      <w:r w:rsidR="002C0B06" w:rsidRPr="00847B84">
        <w:t>implemented</w:t>
      </w:r>
      <w:r w:rsidRPr="00847B84">
        <w:t xml:space="preserve"> the Naturalization by Investment Program [“</w:t>
      </w:r>
      <w:r w:rsidRPr="00847B84">
        <w:rPr>
          <w:b/>
        </w:rPr>
        <w:t>NIP</w:t>
      </w:r>
      <w:r w:rsidRPr="00847B84">
        <w:rPr>
          <w:bCs/>
        </w:rPr>
        <w:t>”]</w:t>
      </w:r>
      <w:r w:rsidRPr="00847B84">
        <w:t xml:space="preserve">, a worldwide marketing campaign which invites individuals to apply for citizenship under the NIA. The program was considered extremely successful, generating over €1.5 billion in gross revenue for </w:t>
      </w:r>
      <w:proofErr w:type="spellStart"/>
      <w:r w:rsidRPr="00847B84">
        <w:t>Remisia</w:t>
      </w:r>
      <w:proofErr w:type="spellEnd"/>
      <w:r w:rsidRPr="00847B84">
        <w:t xml:space="preserve"> from its inception through 2021. </w:t>
      </w:r>
    </w:p>
    <w:p w14:paraId="3A01D3AE" w14:textId="77777777" w:rsidR="00B82810" w:rsidRPr="00847B84" w:rsidRDefault="00B82810" w:rsidP="00B82810">
      <w:pPr>
        <w:ind w:firstLine="720"/>
      </w:pPr>
    </w:p>
    <w:p w14:paraId="0EBF1D9B" w14:textId="77777777" w:rsidR="00B82810" w:rsidRPr="00847B84" w:rsidRDefault="00B82810" w:rsidP="00B82810">
      <w:pPr>
        <w:ind w:firstLine="720"/>
      </w:pPr>
    </w:p>
    <w:p w14:paraId="5D385A89" w14:textId="77777777" w:rsidR="00B82810" w:rsidRPr="00847B84" w:rsidRDefault="00B82810" w:rsidP="00B82810">
      <w:pPr>
        <w:rPr>
          <w:b/>
          <w:smallCaps/>
        </w:rPr>
      </w:pPr>
      <w:r w:rsidRPr="00847B84">
        <w:rPr>
          <w:b/>
          <w:smallCaps/>
        </w:rPr>
        <w:lastRenderedPageBreak/>
        <w:t>Saki Shaw</w:t>
      </w:r>
    </w:p>
    <w:p w14:paraId="55F62810" w14:textId="60A2BE39" w:rsidR="00B82810" w:rsidRPr="00847B84" w:rsidRDefault="00B82810" w:rsidP="00B82810">
      <w:pPr>
        <w:ind w:firstLine="720"/>
      </w:pPr>
      <w:r w:rsidRPr="00847B84">
        <w:t xml:space="preserve">Saki Shaw was born in, and is a citizen of, </w:t>
      </w:r>
      <w:proofErr w:type="spellStart"/>
      <w:r w:rsidRPr="00847B84">
        <w:t>Molvania</w:t>
      </w:r>
      <w:proofErr w:type="spellEnd"/>
      <w:r w:rsidRPr="00847B84">
        <w:t xml:space="preserve">. </w:t>
      </w:r>
      <w:r w:rsidR="0083151B" w:rsidRPr="00847B84">
        <w:t>I</w:t>
      </w:r>
      <w:r w:rsidRPr="00847B84">
        <w:t xml:space="preserve">n 1988, Saki Shaw formed a close personal friendship with then-Princess </w:t>
      </w:r>
      <w:proofErr w:type="spellStart"/>
      <w:r w:rsidRPr="00847B84">
        <w:t>Khasat</w:t>
      </w:r>
      <w:proofErr w:type="spellEnd"/>
      <w:r w:rsidRPr="00847B84">
        <w:t xml:space="preserve">. The two remained close as Saki Shaw would visit Kamil (the capital of </w:t>
      </w:r>
      <w:proofErr w:type="spellStart"/>
      <w:r w:rsidRPr="00847B84">
        <w:t>Remisia</w:t>
      </w:r>
      <w:proofErr w:type="spellEnd"/>
      <w:r w:rsidRPr="00847B84">
        <w:t xml:space="preserve">) during her undergraduate years and even attended Queen </w:t>
      </w:r>
      <w:proofErr w:type="spellStart"/>
      <w:r w:rsidRPr="00847B84">
        <w:t>Khasat’s</w:t>
      </w:r>
      <w:proofErr w:type="spellEnd"/>
      <w:r w:rsidRPr="00847B84">
        <w:t xml:space="preserve"> coronation. </w:t>
      </w:r>
    </w:p>
    <w:p w14:paraId="5F6BD609" w14:textId="77777777" w:rsidR="00B82810" w:rsidRPr="00847B84" w:rsidRDefault="00B82810" w:rsidP="00B82810">
      <w:pPr>
        <w:ind w:firstLine="720"/>
      </w:pPr>
      <w:r w:rsidRPr="00847B84">
        <w:t xml:space="preserve">Saki Shaw was appointed the head of </w:t>
      </w:r>
      <w:proofErr w:type="spellStart"/>
      <w:r w:rsidRPr="00847B84">
        <w:t>Lithos</w:t>
      </w:r>
      <w:proofErr w:type="spellEnd"/>
      <w:r w:rsidRPr="00847B84">
        <w:t xml:space="preserve"> Limited [“</w:t>
      </w:r>
      <w:proofErr w:type="spellStart"/>
      <w:r w:rsidRPr="00847B84">
        <w:rPr>
          <w:b/>
        </w:rPr>
        <w:t>Lithos</w:t>
      </w:r>
      <w:proofErr w:type="spellEnd"/>
      <w:r w:rsidRPr="00847B84">
        <w:rPr>
          <w:bCs/>
        </w:rPr>
        <w:t>”]</w:t>
      </w:r>
      <w:r w:rsidRPr="00847B84">
        <w:t>, a wholly owned subsidiary of multinational minerals and mining conglomerate — Shaw Corporation [“</w:t>
      </w:r>
      <w:proofErr w:type="spellStart"/>
      <w:r w:rsidRPr="00847B84">
        <w:rPr>
          <w:b/>
        </w:rPr>
        <w:t>ShawCorp</w:t>
      </w:r>
      <w:proofErr w:type="spellEnd"/>
      <w:r w:rsidRPr="00847B84">
        <w:rPr>
          <w:bCs/>
        </w:rPr>
        <w:t>”]</w:t>
      </w:r>
      <w:r w:rsidRPr="00847B84">
        <w:t xml:space="preserve">. </w:t>
      </w:r>
      <w:proofErr w:type="spellStart"/>
      <w:r w:rsidRPr="00847B84">
        <w:t>Lithos</w:t>
      </w:r>
      <w:proofErr w:type="spellEnd"/>
      <w:r w:rsidRPr="00847B84">
        <w:t xml:space="preserve"> ventured into the leasing and operation of cobalt mines along with the refinement of ore.</w:t>
      </w:r>
    </w:p>
    <w:p w14:paraId="46FF0A82" w14:textId="77777777" w:rsidR="00B82810" w:rsidRPr="00847B84" w:rsidRDefault="00B82810" w:rsidP="00B82810">
      <w:pPr>
        <w:ind w:firstLine="720"/>
      </w:pPr>
      <w:r w:rsidRPr="00847B84">
        <w:t xml:space="preserve">In 2014, </w:t>
      </w:r>
      <w:proofErr w:type="spellStart"/>
      <w:r w:rsidRPr="00847B84">
        <w:t>Lithos</w:t>
      </w:r>
      <w:proofErr w:type="spellEnd"/>
      <w:r w:rsidRPr="00847B84">
        <w:t xml:space="preserve"> and the </w:t>
      </w:r>
      <w:proofErr w:type="spellStart"/>
      <w:r w:rsidRPr="00847B84">
        <w:t>Remisian</w:t>
      </w:r>
      <w:proofErr w:type="spellEnd"/>
      <w:r w:rsidRPr="00847B84">
        <w:t xml:space="preserve"> Government agreed to form a joint venture, called the </w:t>
      </w:r>
      <w:proofErr w:type="spellStart"/>
      <w:r w:rsidRPr="00847B84">
        <w:t>Lithos-Remisia</w:t>
      </w:r>
      <w:proofErr w:type="spellEnd"/>
      <w:r w:rsidRPr="00847B84">
        <w:t xml:space="preserve"> Cooperative [“</w:t>
      </w:r>
      <w:r w:rsidRPr="00847B84">
        <w:rPr>
          <w:b/>
        </w:rPr>
        <w:t>LRC</w:t>
      </w:r>
      <w:r w:rsidRPr="00847B84">
        <w:rPr>
          <w:bCs/>
        </w:rPr>
        <w:t>”]</w:t>
      </w:r>
      <w:r w:rsidRPr="00847B84">
        <w:t xml:space="preserve">, for the purpose of undertaking cobalt mining operations. As part of the agreement, Saki Shaw applied for citizenship under the NIP after contributing €500,000 to the National Infrastructure Development Fund. Having met the requirements, the </w:t>
      </w:r>
      <w:proofErr w:type="spellStart"/>
      <w:r w:rsidRPr="00847B84">
        <w:t>Remisian</w:t>
      </w:r>
      <w:proofErr w:type="spellEnd"/>
      <w:r w:rsidRPr="00847B84">
        <w:t xml:space="preserve"> government approved Saki Shaw’s application and she was naturalized as a </w:t>
      </w:r>
      <w:proofErr w:type="spellStart"/>
      <w:r w:rsidRPr="00847B84">
        <w:t>Remisian</w:t>
      </w:r>
      <w:proofErr w:type="spellEnd"/>
      <w:r w:rsidRPr="00847B84">
        <w:t xml:space="preserve"> citizen. </w:t>
      </w:r>
    </w:p>
    <w:p w14:paraId="4323C0CB" w14:textId="6724CDE3" w:rsidR="00B82810" w:rsidRPr="00847B84" w:rsidRDefault="00B82810" w:rsidP="00B82810">
      <w:pPr>
        <w:ind w:firstLine="720"/>
      </w:pPr>
      <w:r w:rsidRPr="00847B84">
        <w:t xml:space="preserve">Meanwhile, </w:t>
      </w:r>
      <w:proofErr w:type="spellStart"/>
      <w:r w:rsidRPr="00847B84">
        <w:t>Remisia’s</w:t>
      </w:r>
      <w:proofErr w:type="spellEnd"/>
      <w:r w:rsidRPr="00847B84">
        <w:t xml:space="preserve"> Ministry of Mines granted the LRC permits to </w:t>
      </w:r>
      <w:r w:rsidR="00040C9D" w:rsidRPr="00847B84">
        <w:t>initiate</w:t>
      </w:r>
      <w:r w:rsidRPr="00847B84">
        <w:t xml:space="preserve"> its cobalt mining operations after conducting standard due diligence and finding no substantial negative environmental consequences. LRC’s mines employed more than 4,000 </w:t>
      </w:r>
      <w:proofErr w:type="spellStart"/>
      <w:r w:rsidRPr="00847B84">
        <w:t>Remisians</w:t>
      </w:r>
      <w:proofErr w:type="spellEnd"/>
      <w:r w:rsidRPr="00847B84">
        <w:t xml:space="preserve"> and generated substantial public income through export tariffs. </w:t>
      </w:r>
    </w:p>
    <w:p w14:paraId="4DA805E2" w14:textId="77777777" w:rsidR="00B82810" w:rsidRPr="00847B84" w:rsidRDefault="00B82810" w:rsidP="00B82810">
      <w:pPr>
        <w:rPr>
          <w:b/>
          <w:smallCaps/>
        </w:rPr>
      </w:pPr>
      <w:r w:rsidRPr="00847B84">
        <w:rPr>
          <w:b/>
          <w:smallCaps/>
        </w:rPr>
        <w:t xml:space="preserve">The </w:t>
      </w:r>
      <w:proofErr w:type="spellStart"/>
      <w:r w:rsidRPr="00847B84">
        <w:rPr>
          <w:b/>
          <w:smallCaps/>
        </w:rPr>
        <w:t>Sterren</w:t>
      </w:r>
      <w:proofErr w:type="spellEnd"/>
      <w:r w:rsidRPr="00847B84">
        <w:rPr>
          <w:b/>
          <w:smallCaps/>
        </w:rPr>
        <w:t xml:space="preserve"> Forty </w:t>
      </w:r>
    </w:p>
    <w:p w14:paraId="41F69CA6" w14:textId="6CA49A25" w:rsidR="00B82810" w:rsidRPr="00847B84" w:rsidRDefault="00B82810" w:rsidP="00B82810">
      <w:pPr>
        <w:ind w:firstLine="720"/>
      </w:pPr>
      <w:r w:rsidRPr="00847B84">
        <w:t xml:space="preserve">In 2019, locals began complaining about a “cobalt curse” — a persistent hacking cough accompanied by an itchy skin rash, which was believed to be caused by contact with the dust and metallic minerals </w:t>
      </w:r>
      <w:r w:rsidR="00F41495" w:rsidRPr="00847B84">
        <w:t>originating</w:t>
      </w:r>
      <w:r w:rsidRPr="00847B84">
        <w:t xml:space="preserve"> from LRC’s facilities. Demonstrators started holding rallies and calling for the halt of LRC’s cobalt mining operations in </w:t>
      </w:r>
      <w:proofErr w:type="spellStart"/>
      <w:r w:rsidRPr="00847B84">
        <w:t>Remisia</w:t>
      </w:r>
      <w:proofErr w:type="spellEnd"/>
      <w:r w:rsidRPr="00847B84">
        <w:t xml:space="preserve">. Nevertheless, </w:t>
      </w:r>
      <w:proofErr w:type="spellStart"/>
      <w:r w:rsidRPr="00847B84">
        <w:t>Remisia’s</w:t>
      </w:r>
      <w:proofErr w:type="spellEnd"/>
      <w:r w:rsidRPr="00847B84">
        <w:t xml:space="preserve"> Ministry of Mines approved four more licenses in favor of LRC</w:t>
      </w:r>
      <w:r w:rsidR="00AE208D" w:rsidRPr="00847B84">
        <w:t>,</w:t>
      </w:r>
      <w:r w:rsidRPr="00847B84">
        <w:t xml:space="preserve"> stating that claims of potential threats to public health lacked substantiation.</w:t>
      </w:r>
    </w:p>
    <w:p w14:paraId="2CE45536" w14:textId="7661EC7A" w:rsidR="00B82810" w:rsidRPr="00847B84" w:rsidRDefault="00B82810" w:rsidP="00B82810">
      <w:pPr>
        <w:ind w:firstLine="720"/>
      </w:pPr>
      <w:r w:rsidRPr="00847B84">
        <w:lastRenderedPageBreak/>
        <w:t xml:space="preserve">As the government did not retract the permits granted to LRC, protests resumed throughout </w:t>
      </w:r>
      <w:proofErr w:type="spellStart"/>
      <w:r w:rsidRPr="00847B84">
        <w:t>Remisia</w:t>
      </w:r>
      <w:proofErr w:type="spellEnd"/>
      <w:r w:rsidRPr="00847B84">
        <w:t xml:space="preserve">. Despite prior warning from police officers that insulting the Queen </w:t>
      </w:r>
      <w:r w:rsidR="00EA1292" w:rsidRPr="00847B84">
        <w:t>is</w:t>
      </w:r>
      <w:r w:rsidR="001B38C3" w:rsidRPr="00847B84">
        <w:t xml:space="preserve"> considered</w:t>
      </w:r>
      <w:r w:rsidR="00EA1292" w:rsidRPr="00847B84">
        <w:t xml:space="preserve"> a</w:t>
      </w:r>
      <w:r w:rsidRPr="00847B84">
        <w:t xml:space="preserve"> ground for arrest, demonstrators continued to chant and display placards with direct statements against the Queen, insinuating that Her Majesty’s close association with Saki Shaw </w:t>
      </w:r>
      <w:r w:rsidR="00040062" w:rsidRPr="00847B84">
        <w:t>was</w:t>
      </w:r>
      <w:r w:rsidRPr="00847B84">
        <w:t xml:space="preserve"> the primary factor </w:t>
      </w:r>
      <w:r w:rsidR="00040062" w:rsidRPr="00847B84">
        <w:t>for</w:t>
      </w:r>
      <w:r w:rsidRPr="00847B84">
        <w:t xml:space="preserve"> the issuance of permits. </w:t>
      </w:r>
    </w:p>
    <w:p w14:paraId="4EA5C857" w14:textId="73A56397" w:rsidR="00B82810" w:rsidRPr="00847B84" w:rsidRDefault="00B82810" w:rsidP="00B82810">
      <w:r w:rsidRPr="00847B84">
        <w:tab/>
        <w:t xml:space="preserve">In 2020, the protests intensified with students shifting from campus demonstrations to the blocking of access roads leading to the mining facilities. Some went to the extent of chaining themselves to entrance gates and machinery in the facilities. This disruption persisted for weeks and </w:t>
      </w:r>
      <w:r w:rsidR="00C52B06" w:rsidRPr="00847B84">
        <w:t>effectively crippled</w:t>
      </w:r>
      <w:r w:rsidRPr="00847B84">
        <w:t xml:space="preserve"> mining operations. After the students disregarded requests to peacefully leave the mine sites, authorities resorted to making arrests. Forty protesters, who had created a human chain at the </w:t>
      </w:r>
      <w:proofErr w:type="spellStart"/>
      <w:r w:rsidRPr="00847B84">
        <w:t>Sterren</w:t>
      </w:r>
      <w:proofErr w:type="spellEnd"/>
      <w:r w:rsidRPr="00847B84">
        <w:t xml:space="preserve"> Palace gates, were apprehended and later referred to as “the </w:t>
      </w:r>
      <w:proofErr w:type="spellStart"/>
      <w:r w:rsidRPr="00847B84">
        <w:t>Sterren</w:t>
      </w:r>
      <w:proofErr w:type="spellEnd"/>
      <w:r w:rsidRPr="00847B84">
        <w:t xml:space="preserve"> Forty”.</w:t>
      </w:r>
    </w:p>
    <w:p w14:paraId="29905480" w14:textId="0A6AEAC0" w:rsidR="00B82810" w:rsidRPr="00847B84" w:rsidRDefault="00B82810" w:rsidP="00B82810">
      <w:r w:rsidRPr="00847B84">
        <w:tab/>
        <w:t>All protesters face</w:t>
      </w:r>
      <w:r w:rsidR="00CB4FC8" w:rsidRPr="00847B84">
        <w:t>d</w:t>
      </w:r>
      <w:r w:rsidRPr="00847B84">
        <w:t xml:space="preserve"> charges under the DCA, with an option to have the charges dropped by signing a written apology to Her Majesty. The </w:t>
      </w:r>
      <w:proofErr w:type="spellStart"/>
      <w:r w:rsidRPr="00847B84">
        <w:t>Sterren</w:t>
      </w:r>
      <w:proofErr w:type="spellEnd"/>
      <w:r w:rsidRPr="00847B84">
        <w:t xml:space="preserve"> Forty declined to apologize. During the trial, none of the defendants denied </w:t>
      </w:r>
      <w:r w:rsidR="00081CDD" w:rsidRPr="00847B84">
        <w:t>being involved</w:t>
      </w:r>
      <w:r w:rsidRPr="00847B84">
        <w:t xml:space="preserve"> in the protests, chanting slogans, and displaying signs declaring that Queen </w:t>
      </w:r>
      <w:proofErr w:type="spellStart"/>
      <w:r w:rsidRPr="00847B84">
        <w:t>Khasat</w:t>
      </w:r>
      <w:proofErr w:type="spellEnd"/>
      <w:r w:rsidRPr="00847B84">
        <w:t xml:space="preserve"> was responsible for permitting risky mining operations. All were pronounced guilty, leading to five-year sentences and revocation of citizenship. </w:t>
      </w:r>
      <w:proofErr w:type="spellStart"/>
      <w:r w:rsidRPr="00847B84">
        <w:t>Remisia’s</w:t>
      </w:r>
      <w:proofErr w:type="spellEnd"/>
      <w:r w:rsidRPr="00847B84">
        <w:t xml:space="preserve"> Supreme Court unanimously denied the </w:t>
      </w:r>
      <w:proofErr w:type="spellStart"/>
      <w:r w:rsidRPr="00847B84">
        <w:t>Sterren</w:t>
      </w:r>
      <w:proofErr w:type="spellEnd"/>
      <w:r w:rsidRPr="00847B84">
        <w:t xml:space="preserve"> Forty’s appeal, citing that evidence of the </w:t>
      </w:r>
      <w:proofErr w:type="spellStart"/>
      <w:r w:rsidRPr="00847B84">
        <w:t>Sterren</w:t>
      </w:r>
      <w:proofErr w:type="spellEnd"/>
      <w:r w:rsidRPr="00847B84">
        <w:t xml:space="preserve"> Forty’s disloyalty was manifest and that the sentences complied with domestic and international law. </w:t>
      </w:r>
    </w:p>
    <w:p w14:paraId="21067484" w14:textId="36469E48" w:rsidR="00B82810" w:rsidRPr="00847B84" w:rsidRDefault="00B82810" w:rsidP="00B82810">
      <w:pPr>
        <w:rPr>
          <w:b/>
          <w:smallCaps/>
        </w:rPr>
      </w:pPr>
      <w:proofErr w:type="spellStart"/>
      <w:r w:rsidRPr="00847B84">
        <w:rPr>
          <w:b/>
          <w:smallCaps/>
        </w:rPr>
        <w:t>Antrano’s</w:t>
      </w:r>
      <w:proofErr w:type="spellEnd"/>
      <w:r w:rsidRPr="00847B84">
        <w:rPr>
          <w:b/>
          <w:smallCaps/>
        </w:rPr>
        <w:t xml:space="preserve"> Denial of </w:t>
      </w:r>
      <w:proofErr w:type="spellStart"/>
      <w:r w:rsidRPr="00847B84">
        <w:rPr>
          <w:b/>
          <w:smallCaps/>
        </w:rPr>
        <w:t>Remisian</w:t>
      </w:r>
      <w:proofErr w:type="spellEnd"/>
      <w:r w:rsidRPr="00847B84">
        <w:rPr>
          <w:b/>
          <w:smallCaps/>
        </w:rPr>
        <w:t xml:space="preserve"> </w:t>
      </w:r>
      <w:r w:rsidR="00552EA3" w:rsidRPr="00847B84">
        <w:rPr>
          <w:b/>
          <w:smallCaps/>
        </w:rPr>
        <w:t>C</w:t>
      </w:r>
      <w:r w:rsidRPr="00847B84">
        <w:rPr>
          <w:b/>
          <w:smallCaps/>
        </w:rPr>
        <w:t xml:space="preserve">onsular Access </w:t>
      </w:r>
    </w:p>
    <w:p w14:paraId="0FB0A068" w14:textId="7C38B000" w:rsidR="00B82810" w:rsidRPr="00847B84" w:rsidRDefault="00B82810" w:rsidP="00B82810">
      <w:r w:rsidRPr="00847B84">
        <w:rPr>
          <w:b/>
          <w:smallCaps/>
        </w:rPr>
        <w:tab/>
      </w:r>
      <w:r w:rsidR="00AB079F" w:rsidRPr="00847B84">
        <w:t xml:space="preserve">In </w:t>
      </w:r>
      <w:r w:rsidRPr="00847B84">
        <w:t xml:space="preserve">March 2022, </w:t>
      </w:r>
      <w:proofErr w:type="spellStart"/>
      <w:r w:rsidRPr="00847B84">
        <w:t>Molvania</w:t>
      </w:r>
      <w:proofErr w:type="spellEnd"/>
      <w:r w:rsidRPr="00847B84">
        <w:t xml:space="preserve"> issued an arrest warrant against Saki Shaw charging her </w:t>
      </w:r>
      <w:r w:rsidR="00552EA3" w:rsidRPr="00847B84">
        <w:t>with</w:t>
      </w:r>
      <w:r w:rsidRPr="00847B84">
        <w:t xml:space="preserve"> </w:t>
      </w:r>
      <w:r w:rsidR="00552EA3" w:rsidRPr="00847B84">
        <w:t xml:space="preserve">bank </w:t>
      </w:r>
      <w:r w:rsidRPr="00847B84">
        <w:t xml:space="preserve">fraud, money laundering, and </w:t>
      </w:r>
      <w:r w:rsidR="00552EA3" w:rsidRPr="00847B84">
        <w:t>obstruction of justice.</w:t>
      </w:r>
    </w:p>
    <w:p w14:paraId="3FDB50D2" w14:textId="742BAA9A" w:rsidR="00B82810" w:rsidRPr="00847B84" w:rsidRDefault="00B82810" w:rsidP="00B82810">
      <w:pPr>
        <w:ind w:firstLine="720"/>
      </w:pPr>
      <w:r w:rsidRPr="00847B84">
        <w:t xml:space="preserve">Shortly thereafter, Saki Shaw arrived in </w:t>
      </w:r>
      <w:proofErr w:type="spellStart"/>
      <w:r w:rsidRPr="00847B84">
        <w:t>Duniya</w:t>
      </w:r>
      <w:proofErr w:type="spellEnd"/>
      <w:r w:rsidRPr="00847B84">
        <w:t xml:space="preserve"> (capital of </w:t>
      </w:r>
      <w:proofErr w:type="spellStart"/>
      <w:r w:rsidRPr="00847B84">
        <w:t>Antrano</w:t>
      </w:r>
      <w:proofErr w:type="spellEnd"/>
      <w:r w:rsidRPr="00847B84">
        <w:t xml:space="preserve">) for a </w:t>
      </w:r>
      <w:proofErr w:type="spellStart"/>
      <w:r w:rsidRPr="00847B84">
        <w:t>ShawCorp</w:t>
      </w:r>
      <w:proofErr w:type="spellEnd"/>
      <w:r w:rsidRPr="00847B84">
        <w:t xml:space="preserve"> board meeting. She was cleared for entry at the immigration checkpoint after </w:t>
      </w:r>
      <w:r w:rsidR="000619C2" w:rsidRPr="00847B84">
        <w:t>presenting</w:t>
      </w:r>
      <w:r w:rsidRPr="00847B84">
        <w:t xml:space="preserve"> her </w:t>
      </w:r>
      <w:proofErr w:type="spellStart"/>
      <w:r w:rsidRPr="00847B84">
        <w:t>Remisian</w:t>
      </w:r>
      <w:proofErr w:type="spellEnd"/>
      <w:r w:rsidRPr="00847B84">
        <w:t xml:space="preserve"> passport, which was stamped by the </w:t>
      </w:r>
      <w:proofErr w:type="spellStart"/>
      <w:r w:rsidRPr="00847B84">
        <w:t>Antranan</w:t>
      </w:r>
      <w:proofErr w:type="spellEnd"/>
      <w:r w:rsidRPr="00847B84">
        <w:t xml:space="preserve"> authorities. The next morning, </w:t>
      </w:r>
      <w:proofErr w:type="spellStart"/>
      <w:r w:rsidRPr="00847B84">
        <w:t>Antranan</w:t>
      </w:r>
      <w:proofErr w:type="spellEnd"/>
      <w:r w:rsidRPr="00847B84">
        <w:t xml:space="preserve"> police arrested and detained her </w:t>
      </w:r>
      <w:r w:rsidR="004923F1" w:rsidRPr="00847B84">
        <w:t xml:space="preserve">pursuant to </w:t>
      </w:r>
      <w:proofErr w:type="spellStart"/>
      <w:r w:rsidR="004923F1" w:rsidRPr="00847B84">
        <w:t>Molvania’s</w:t>
      </w:r>
      <w:proofErr w:type="spellEnd"/>
      <w:r w:rsidRPr="00847B84">
        <w:t xml:space="preserve"> extradition request. Despite identifying as a </w:t>
      </w:r>
      <w:proofErr w:type="spellStart"/>
      <w:r w:rsidRPr="00847B84">
        <w:t>Remisian</w:t>
      </w:r>
      <w:proofErr w:type="spellEnd"/>
      <w:r w:rsidRPr="00847B84">
        <w:t xml:space="preserve"> and requesting access to </w:t>
      </w:r>
      <w:proofErr w:type="spellStart"/>
      <w:r w:rsidRPr="00847B84">
        <w:t>Remisian</w:t>
      </w:r>
      <w:proofErr w:type="spellEnd"/>
      <w:r w:rsidRPr="00847B84">
        <w:t xml:space="preserve"> consular officials, </w:t>
      </w:r>
      <w:proofErr w:type="spellStart"/>
      <w:r w:rsidRPr="00847B84">
        <w:t>Antranan</w:t>
      </w:r>
      <w:proofErr w:type="spellEnd"/>
      <w:r w:rsidRPr="00847B84">
        <w:t xml:space="preserve"> authorities denied her </w:t>
      </w:r>
      <w:r w:rsidRPr="00847B84">
        <w:lastRenderedPageBreak/>
        <w:t>plea</w:t>
      </w:r>
      <w:r w:rsidR="00FB69DA" w:rsidRPr="00847B84">
        <w:t>,</w:t>
      </w:r>
      <w:r w:rsidRPr="00847B84">
        <w:t xml:space="preserve"> stating that they do not recognize purchased citizenship. </w:t>
      </w:r>
      <w:proofErr w:type="spellStart"/>
      <w:r w:rsidRPr="00847B84">
        <w:t>Remisia</w:t>
      </w:r>
      <w:proofErr w:type="spellEnd"/>
      <w:r w:rsidRPr="00847B84">
        <w:t xml:space="preserve"> persistently sought access</w:t>
      </w:r>
      <w:r w:rsidR="00FB69DA" w:rsidRPr="00847B84">
        <w:t xml:space="preserve"> to Saki Shaw</w:t>
      </w:r>
      <w:r w:rsidRPr="00847B84">
        <w:t xml:space="preserve">, but </w:t>
      </w:r>
      <w:proofErr w:type="spellStart"/>
      <w:r w:rsidRPr="00847B84">
        <w:t>Antrano</w:t>
      </w:r>
      <w:proofErr w:type="spellEnd"/>
      <w:r w:rsidRPr="00847B84">
        <w:t xml:space="preserve"> refused.</w:t>
      </w:r>
    </w:p>
    <w:p w14:paraId="5BB85B62" w14:textId="77777777" w:rsidR="00B82810" w:rsidRPr="00847B84" w:rsidRDefault="00B82810" w:rsidP="00B82810">
      <w:r w:rsidRPr="00847B84">
        <w:rPr>
          <w:b/>
          <w:smallCaps/>
        </w:rPr>
        <w:t xml:space="preserve">UN Security Council </w:t>
      </w:r>
      <w:r w:rsidRPr="00847B84">
        <w:t>[“</w:t>
      </w:r>
      <w:r w:rsidRPr="00847B84">
        <w:rPr>
          <w:b/>
          <w:bCs/>
        </w:rPr>
        <w:t>UNSC</w:t>
      </w:r>
      <w:r w:rsidRPr="00847B84">
        <w:t xml:space="preserve">”] </w:t>
      </w:r>
      <w:r w:rsidRPr="00847B84">
        <w:rPr>
          <w:b/>
          <w:bCs/>
          <w:smallCaps/>
        </w:rPr>
        <w:t>Resolution 99997</w:t>
      </w:r>
    </w:p>
    <w:p w14:paraId="4A96A94D" w14:textId="5429262D" w:rsidR="00B82810" w:rsidRPr="00847B84" w:rsidRDefault="00B82810" w:rsidP="00B82810">
      <w:pPr>
        <w:ind w:firstLine="720"/>
      </w:pPr>
      <w:r w:rsidRPr="00847B84">
        <w:t>The UNSC</w:t>
      </w:r>
      <w:r w:rsidR="00E766B8" w:rsidRPr="00847B84">
        <w:t xml:space="preserve">, with </w:t>
      </w:r>
      <w:proofErr w:type="spellStart"/>
      <w:r w:rsidR="00E766B8" w:rsidRPr="00847B84">
        <w:t>Antrano</w:t>
      </w:r>
      <w:proofErr w:type="spellEnd"/>
      <w:r w:rsidR="00E766B8" w:rsidRPr="00847B84">
        <w:t xml:space="preserve"> as President,</w:t>
      </w:r>
      <w:r w:rsidRPr="00847B84">
        <w:t xml:space="preserve"> unanimously passed Resolution 99997, establishing the UN Inspection Mission to </w:t>
      </w:r>
      <w:proofErr w:type="spellStart"/>
      <w:r w:rsidRPr="00847B84">
        <w:t>Remisia</w:t>
      </w:r>
      <w:proofErr w:type="spellEnd"/>
      <w:r w:rsidRPr="00847B84">
        <w:t xml:space="preserve"> [“</w:t>
      </w:r>
      <w:r w:rsidRPr="00847B84">
        <w:rPr>
          <w:b/>
        </w:rPr>
        <w:t>UNIMR</w:t>
      </w:r>
      <w:r w:rsidRPr="00847B84">
        <w:rPr>
          <w:bCs/>
        </w:rPr>
        <w:t>”]</w:t>
      </w:r>
      <w:r w:rsidRPr="00847B84">
        <w:t xml:space="preserve"> for the purpose of investigating the </w:t>
      </w:r>
      <w:proofErr w:type="spellStart"/>
      <w:r w:rsidRPr="00847B84">
        <w:t>Sterren</w:t>
      </w:r>
      <w:proofErr w:type="spellEnd"/>
      <w:r w:rsidRPr="00847B84">
        <w:t xml:space="preserve"> Forty’s imprisonment and deprivation of citizenship. </w:t>
      </w:r>
    </w:p>
    <w:p w14:paraId="10E9BBA1" w14:textId="4524DC79" w:rsidR="00B82810" w:rsidRPr="00847B84" w:rsidRDefault="00B82810" w:rsidP="00B82810">
      <w:pPr>
        <w:ind w:firstLine="720"/>
      </w:pPr>
      <w:proofErr w:type="spellStart"/>
      <w:r w:rsidRPr="00847B84">
        <w:t>Remisia</w:t>
      </w:r>
      <w:proofErr w:type="spellEnd"/>
      <w:r w:rsidRPr="00847B84">
        <w:t xml:space="preserve"> asserted, however, that the prosecution and punishment of </w:t>
      </w:r>
      <w:r w:rsidR="000C75AF" w:rsidRPr="00847B84">
        <w:t xml:space="preserve">the </w:t>
      </w:r>
      <w:proofErr w:type="spellStart"/>
      <w:r w:rsidR="000C75AF" w:rsidRPr="00847B84">
        <w:t>Sterren</w:t>
      </w:r>
      <w:proofErr w:type="spellEnd"/>
      <w:r w:rsidR="000C75AF" w:rsidRPr="00847B84">
        <w:t xml:space="preserve"> Forty </w:t>
      </w:r>
      <w:r w:rsidRPr="00847B84">
        <w:t xml:space="preserve">were internal matters beyond the purview of the UNSC. To safeguard its sovereignty, </w:t>
      </w:r>
      <w:proofErr w:type="spellStart"/>
      <w:r w:rsidRPr="00847B84">
        <w:t>Remisia</w:t>
      </w:r>
      <w:proofErr w:type="spellEnd"/>
      <w:r w:rsidRPr="00847B84">
        <w:t xml:space="preserve"> denied entry to Dr. </w:t>
      </w:r>
      <w:proofErr w:type="spellStart"/>
      <w:r w:rsidRPr="00847B84">
        <w:t>Tulous</w:t>
      </w:r>
      <w:proofErr w:type="spellEnd"/>
      <w:r w:rsidRPr="00847B84">
        <w:t xml:space="preserve"> </w:t>
      </w:r>
      <w:proofErr w:type="spellStart"/>
      <w:r w:rsidRPr="00847B84">
        <w:t>Malex</w:t>
      </w:r>
      <w:proofErr w:type="spellEnd"/>
      <w:r w:rsidRPr="00847B84">
        <w:t xml:space="preserve">, appointed leader of the UNIMR, from meeting with the </w:t>
      </w:r>
      <w:proofErr w:type="spellStart"/>
      <w:r w:rsidRPr="00847B84">
        <w:t>Sterren</w:t>
      </w:r>
      <w:proofErr w:type="spellEnd"/>
      <w:r w:rsidRPr="00847B84">
        <w:t xml:space="preserve"> Forty. </w:t>
      </w:r>
      <w:proofErr w:type="spellStart"/>
      <w:r w:rsidRPr="00847B84">
        <w:t>Remisia</w:t>
      </w:r>
      <w:proofErr w:type="spellEnd"/>
      <w:r w:rsidRPr="00847B84">
        <w:t xml:space="preserve"> asserted that Resolution 99997 did not impose legal obligations</w:t>
      </w:r>
      <w:r w:rsidR="00E45B04" w:rsidRPr="00847B84">
        <w:t>,</w:t>
      </w:r>
      <w:r w:rsidRPr="00847B84">
        <w:t xml:space="preserve"> and </w:t>
      </w:r>
      <w:r w:rsidR="00E45B04" w:rsidRPr="00847B84">
        <w:t xml:space="preserve">the </w:t>
      </w:r>
      <w:r w:rsidRPr="00847B84">
        <w:t xml:space="preserve">decision to allow or deny entry was a sovereign prerogative. </w:t>
      </w:r>
    </w:p>
    <w:p w14:paraId="496BFB6E" w14:textId="225BA8D1" w:rsidR="00B82810" w:rsidRPr="00847B84" w:rsidRDefault="00B82810" w:rsidP="00B82810">
      <w:pPr>
        <w:ind w:firstLine="720"/>
      </w:pPr>
      <w:r w:rsidRPr="00847B84">
        <w:t xml:space="preserve">Despite </w:t>
      </w:r>
      <w:proofErr w:type="spellStart"/>
      <w:r w:rsidRPr="00847B84">
        <w:t>Antrano’s</w:t>
      </w:r>
      <w:proofErr w:type="spellEnd"/>
      <w:r w:rsidRPr="00847B84">
        <w:t xml:space="preserve"> calls for additional measures against </w:t>
      </w:r>
      <w:proofErr w:type="spellStart"/>
      <w:r w:rsidRPr="00847B84">
        <w:t>Remisia</w:t>
      </w:r>
      <w:proofErr w:type="spellEnd"/>
      <w:r w:rsidRPr="00847B84">
        <w:t xml:space="preserve"> following the latter’s refusal to allow Dr. </w:t>
      </w:r>
      <w:proofErr w:type="spellStart"/>
      <w:r w:rsidRPr="00847B84">
        <w:t>Malex’s</w:t>
      </w:r>
      <w:proofErr w:type="spellEnd"/>
      <w:r w:rsidRPr="00847B84">
        <w:t xml:space="preserve"> entry, the UNSC failed to adopt such measures. </w:t>
      </w:r>
    </w:p>
    <w:p w14:paraId="4E99840D" w14:textId="77777777" w:rsidR="00B82810" w:rsidRPr="00847B84" w:rsidRDefault="00B82810" w:rsidP="00B82810">
      <w:pPr>
        <w:rPr>
          <w:b/>
          <w:smallCaps/>
        </w:rPr>
      </w:pPr>
      <w:r w:rsidRPr="00847B84">
        <w:rPr>
          <w:b/>
          <w:smallCaps/>
        </w:rPr>
        <w:t>Relevant Conventions</w:t>
      </w:r>
    </w:p>
    <w:p w14:paraId="726BBF6F" w14:textId="716921A1" w:rsidR="00B82810" w:rsidRPr="00847B84" w:rsidRDefault="00B82810" w:rsidP="00B82810">
      <w:pPr>
        <w:ind w:firstLine="720"/>
      </w:pPr>
      <w:proofErr w:type="spellStart"/>
      <w:r w:rsidRPr="00847B84">
        <w:t>Antrano</w:t>
      </w:r>
      <w:proofErr w:type="spellEnd"/>
      <w:r w:rsidRPr="00847B84">
        <w:t xml:space="preserve"> and </w:t>
      </w:r>
      <w:proofErr w:type="spellStart"/>
      <w:r w:rsidRPr="00847B84">
        <w:t>Remisia</w:t>
      </w:r>
      <w:proofErr w:type="spellEnd"/>
      <w:r w:rsidRPr="00847B84">
        <w:t xml:space="preserve"> are members of the UN and acceded to the Statute of the International Court of Justice.</w:t>
      </w:r>
    </w:p>
    <w:p w14:paraId="2A9C07ED" w14:textId="3ED688E1" w:rsidR="00B82810" w:rsidRPr="00847B84" w:rsidRDefault="00B82810" w:rsidP="00B82810">
      <w:pPr>
        <w:ind w:firstLine="720"/>
      </w:pPr>
      <w:r w:rsidRPr="00847B84">
        <w:t>Both States are parties to the Vienna Convention on the Law of Treaties, the Vienna Convention on Diplomatic Relations, the Vienna Convention on Consular Relations, the International Covenant on Civil and Political Rights, the International Covenant on Economic, Social and Cultural Rights, the 1946 Convention on the Privileges and Immunities of the United Nations, the 1954 Convention Relating to the Status of Stateless Persons, and the 1961 Convention on the Reduction of Statelessness [“</w:t>
      </w:r>
      <w:r w:rsidRPr="00847B84">
        <w:rPr>
          <w:b/>
          <w:bCs/>
        </w:rPr>
        <w:t>CRS</w:t>
      </w:r>
      <w:r w:rsidRPr="00847B84">
        <w:t xml:space="preserve">”]. </w:t>
      </w:r>
    </w:p>
    <w:p w14:paraId="7A5BF9BB" w14:textId="2A78D219" w:rsidR="00DE0400" w:rsidRPr="00847B84" w:rsidRDefault="00215B2B" w:rsidP="00B82810">
      <w:pPr>
        <w:ind w:firstLine="720"/>
      </w:pPr>
      <w:r w:rsidRPr="00847B84">
        <w:t xml:space="preserve">When </w:t>
      </w:r>
      <w:proofErr w:type="spellStart"/>
      <w:r w:rsidRPr="00847B84">
        <w:t>Remisia</w:t>
      </w:r>
      <w:proofErr w:type="spellEnd"/>
      <w:r w:rsidRPr="00847B84">
        <w:t xml:space="preserve"> ratified</w:t>
      </w:r>
      <w:r w:rsidR="00B82810" w:rsidRPr="00847B84">
        <w:t xml:space="preserve"> the CRS, it submitted a declaration stating that “it retains the right to deprive a person of his nationality in accordance with Article 8.3 of the Convention if such person has been convicted of an offense under the [DCA] and satisfies such other criteria as are laid out in that statute.”</w:t>
      </w:r>
    </w:p>
    <w:p w14:paraId="4451DBC5" w14:textId="1B56333D" w:rsidR="005A62A6" w:rsidRPr="00847B84" w:rsidRDefault="00004279" w:rsidP="005A62A6">
      <w:pPr>
        <w:pStyle w:val="Heading1"/>
      </w:pPr>
      <w:bookmarkStart w:id="24" w:name="_Toc156019704"/>
      <w:bookmarkEnd w:id="20"/>
      <w:bookmarkEnd w:id="21"/>
      <w:bookmarkEnd w:id="22"/>
      <w:bookmarkEnd w:id="23"/>
      <w:r w:rsidRPr="00847B84">
        <w:lastRenderedPageBreak/>
        <w:t>SUMMARY OF PLEADINGS</w:t>
      </w:r>
      <w:bookmarkEnd w:id="24"/>
    </w:p>
    <w:p w14:paraId="1368E604" w14:textId="7E9CDFA7" w:rsidR="005A62A6" w:rsidRPr="00847B84" w:rsidRDefault="00DB7E72" w:rsidP="00DB7E72">
      <w:pPr>
        <w:rPr>
          <w:b/>
          <w:bCs/>
        </w:rPr>
      </w:pPr>
      <w:r w:rsidRPr="00847B84">
        <w:rPr>
          <w:b/>
          <w:bCs/>
        </w:rPr>
        <w:t xml:space="preserve">I. ANTRANO DOES NOT HAVE STANDING TO BRING THE CLAIM CONCERNING REMISIA’S DEPRIVATION OF THE STERREN FORTY’S CITIZENSHIP. </w:t>
      </w:r>
    </w:p>
    <w:p w14:paraId="597BDA23" w14:textId="3258CA6B" w:rsidR="00322595" w:rsidRPr="00847B84" w:rsidRDefault="00754BC7" w:rsidP="00EA71B7">
      <w:pPr>
        <w:ind w:firstLine="720"/>
        <w:rPr>
          <w:lang w:val="en-US"/>
        </w:rPr>
      </w:pPr>
      <w:proofErr w:type="spellStart"/>
      <w:r w:rsidRPr="00847B84">
        <w:rPr>
          <w:lang w:val="en-US"/>
        </w:rPr>
        <w:t>Antrano</w:t>
      </w:r>
      <w:proofErr w:type="spellEnd"/>
      <w:r w:rsidRPr="00847B84">
        <w:rPr>
          <w:lang w:val="en-US"/>
        </w:rPr>
        <w:t xml:space="preserve"> </w:t>
      </w:r>
      <w:r w:rsidR="00322595" w:rsidRPr="00847B84">
        <w:rPr>
          <w:lang w:val="en-US"/>
        </w:rPr>
        <w:t>lacks</w:t>
      </w:r>
      <w:r w:rsidR="00EA71B7" w:rsidRPr="00847B84">
        <w:rPr>
          <w:lang w:val="en-US"/>
        </w:rPr>
        <w:t xml:space="preserve"> standing to invoke </w:t>
      </w:r>
      <w:proofErr w:type="spellStart"/>
      <w:r w:rsidR="00EA71B7" w:rsidRPr="00847B84">
        <w:rPr>
          <w:lang w:val="en-US"/>
        </w:rPr>
        <w:t>Remisia’s</w:t>
      </w:r>
      <w:proofErr w:type="spellEnd"/>
      <w:r w:rsidR="00EA71B7" w:rsidRPr="00847B84">
        <w:rPr>
          <w:lang w:val="en-US"/>
        </w:rPr>
        <w:t xml:space="preserve"> responsibility, if any, as </w:t>
      </w:r>
      <w:proofErr w:type="spellStart"/>
      <w:r w:rsidR="00EA71B7" w:rsidRPr="00847B84">
        <w:rPr>
          <w:lang w:val="en-US"/>
        </w:rPr>
        <w:t>Antrano</w:t>
      </w:r>
      <w:proofErr w:type="spellEnd"/>
      <w:r w:rsidR="00EA71B7" w:rsidRPr="00847B84">
        <w:rPr>
          <w:lang w:val="en-US"/>
        </w:rPr>
        <w:t xml:space="preserve"> </w:t>
      </w:r>
      <w:r w:rsidR="00322595" w:rsidRPr="00847B84">
        <w:rPr>
          <w:lang w:val="en-US"/>
        </w:rPr>
        <w:t>is</w:t>
      </w:r>
      <w:r w:rsidR="00EA71B7" w:rsidRPr="00847B84">
        <w:rPr>
          <w:lang w:val="en-US"/>
        </w:rPr>
        <w:t xml:space="preserve"> not </w:t>
      </w:r>
      <w:r w:rsidR="00322595" w:rsidRPr="00847B84">
        <w:rPr>
          <w:lang w:val="en-US"/>
        </w:rPr>
        <w:t xml:space="preserve">a </w:t>
      </w:r>
      <w:r w:rsidR="00EA71B7" w:rsidRPr="00847B84">
        <w:rPr>
          <w:lang w:val="en-US"/>
        </w:rPr>
        <w:t xml:space="preserve">directly injured </w:t>
      </w:r>
      <w:r w:rsidR="00322595" w:rsidRPr="00847B84">
        <w:rPr>
          <w:lang w:val="en-US"/>
        </w:rPr>
        <w:t>State. The human rights obligations involved here are owed to individuals and not to States</w:t>
      </w:r>
      <w:r w:rsidR="009F2753" w:rsidRPr="00847B84">
        <w:rPr>
          <w:lang w:val="en-US"/>
        </w:rPr>
        <w:t xml:space="preserve">. </w:t>
      </w:r>
      <w:r w:rsidR="00322595" w:rsidRPr="00847B84">
        <w:rPr>
          <w:lang w:val="en-US"/>
        </w:rPr>
        <w:t xml:space="preserve">Neither can </w:t>
      </w:r>
      <w:proofErr w:type="spellStart"/>
      <w:r w:rsidR="00322595" w:rsidRPr="00847B84">
        <w:rPr>
          <w:lang w:val="en-US"/>
        </w:rPr>
        <w:t>Antrano</w:t>
      </w:r>
      <w:proofErr w:type="spellEnd"/>
      <w:r w:rsidR="00322595" w:rsidRPr="00847B84">
        <w:rPr>
          <w:lang w:val="en-US"/>
        </w:rPr>
        <w:t xml:space="preserve"> claim to be a ‘specially affected’ State</w:t>
      </w:r>
      <w:r w:rsidR="00FD3315" w:rsidRPr="00847B84">
        <w:rPr>
          <w:lang w:val="en-US"/>
        </w:rPr>
        <w:t>,</w:t>
      </w:r>
      <w:r w:rsidR="00322595" w:rsidRPr="00847B84">
        <w:rPr>
          <w:lang w:val="en-US"/>
        </w:rPr>
        <w:t xml:space="preserve"> as it lacks a personal and concrete interest in the matter of the </w:t>
      </w:r>
      <w:proofErr w:type="spellStart"/>
      <w:r w:rsidR="00322595" w:rsidRPr="00847B84">
        <w:rPr>
          <w:lang w:val="en-US"/>
        </w:rPr>
        <w:t>Sterren</w:t>
      </w:r>
      <w:proofErr w:type="spellEnd"/>
      <w:r w:rsidR="00322595" w:rsidRPr="00847B84">
        <w:rPr>
          <w:lang w:val="en-US"/>
        </w:rPr>
        <w:t xml:space="preserve"> Forty.</w:t>
      </w:r>
    </w:p>
    <w:p w14:paraId="20401098" w14:textId="1E35392D" w:rsidR="00754BC7" w:rsidRPr="00847B84" w:rsidRDefault="00754BC7" w:rsidP="008254F4">
      <w:pPr>
        <w:ind w:firstLine="720"/>
        <w:rPr>
          <w:lang w:val="en-US"/>
        </w:rPr>
      </w:pPr>
      <w:proofErr w:type="spellStart"/>
      <w:r w:rsidRPr="00847B84">
        <w:rPr>
          <w:lang w:val="en-US"/>
        </w:rPr>
        <w:t>Antrano</w:t>
      </w:r>
      <w:proofErr w:type="spellEnd"/>
      <w:r w:rsidRPr="00847B84">
        <w:rPr>
          <w:lang w:val="en-US"/>
        </w:rPr>
        <w:t xml:space="preserve"> </w:t>
      </w:r>
      <w:r w:rsidR="002D2F7F" w:rsidRPr="00847B84">
        <w:rPr>
          <w:lang w:val="en-US"/>
        </w:rPr>
        <w:t>is likely to argue</w:t>
      </w:r>
      <w:r w:rsidRPr="00847B84">
        <w:rPr>
          <w:lang w:val="en-US"/>
        </w:rPr>
        <w:t xml:space="preserve"> standing </w:t>
      </w:r>
      <w:r w:rsidR="00B14D38" w:rsidRPr="00847B84">
        <w:rPr>
          <w:lang w:val="en-US"/>
        </w:rPr>
        <w:t>to institute</w:t>
      </w:r>
      <w:r w:rsidRPr="00847B84">
        <w:rPr>
          <w:lang w:val="en-US"/>
        </w:rPr>
        <w:t xml:space="preserve">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00322595" w:rsidRPr="00847B84">
        <w:rPr>
          <w:i/>
          <w:iCs/>
          <w:lang w:val="en-US"/>
        </w:rPr>
        <w:t xml:space="preserve"> </w:t>
      </w:r>
      <w:r w:rsidR="00322595" w:rsidRPr="00847B84">
        <w:rPr>
          <w:lang w:val="en-US"/>
        </w:rPr>
        <w:t xml:space="preserve">for breaches of obligations </w:t>
      </w:r>
      <w:proofErr w:type="spellStart"/>
      <w:r w:rsidR="00322595" w:rsidRPr="00847B84">
        <w:rPr>
          <w:i/>
          <w:iCs/>
          <w:lang w:val="en-US"/>
        </w:rPr>
        <w:t>erga</w:t>
      </w:r>
      <w:proofErr w:type="spellEnd"/>
      <w:r w:rsidR="00322595" w:rsidRPr="00847B84">
        <w:rPr>
          <w:i/>
          <w:iCs/>
          <w:lang w:val="en-US"/>
        </w:rPr>
        <w:t xml:space="preserve"> omnes </w:t>
      </w:r>
      <w:r w:rsidR="00322595" w:rsidRPr="00847B84">
        <w:rPr>
          <w:lang w:val="en-US"/>
        </w:rPr>
        <w:t xml:space="preserve">or </w:t>
      </w:r>
      <w:proofErr w:type="spellStart"/>
      <w:r w:rsidR="00322595" w:rsidRPr="00847B84">
        <w:rPr>
          <w:i/>
          <w:iCs/>
          <w:lang w:val="en-US"/>
        </w:rPr>
        <w:t>erga</w:t>
      </w:r>
      <w:proofErr w:type="spellEnd"/>
      <w:r w:rsidR="00322595" w:rsidRPr="00847B84">
        <w:rPr>
          <w:i/>
          <w:iCs/>
          <w:lang w:val="en-US"/>
        </w:rPr>
        <w:t xml:space="preserve"> omnes </w:t>
      </w:r>
      <w:proofErr w:type="spellStart"/>
      <w:proofErr w:type="gramStart"/>
      <w:r w:rsidR="00322595" w:rsidRPr="00847B84">
        <w:rPr>
          <w:i/>
          <w:iCs/>
          <w:lang w:val="en-US"/>
        </w:rPr>
        <w:t>partes</w:t>
      </w:r>
      <w:proofErr w:type="spellEnd"/>
      <w:proofErr w:type="gramEnd"/>
      <w:r w:rsidR="002D2F7F" w:rsidRPr="00847B84">
        <w:rPr>
          <w:i/>
          <w:iCs/>
          <w:lang w:val="en-US"/>
        </w:rPr>
        <w:t xml:space="preserve"> </w:t>
      </w:r>
      <w:r w:rsidR="002D2F7F" w:rsidRPr="00847B84">
        <w:rPr>
          <w:lang w:val="en-US"/>
        </w:rPr>
        <w:t>but</w:t>
      </w:r>
      <w:r w:rsidRPr="00847B84">
        <w:rPr>
          <w:i/>
          <w:iCs/>
          <w:lang w:val="en-US"/>
        </w:rPr>
        <w:t xml:space="preserve"> </w:t>
      </w:r>
      <w:r w:rsidR="002D2F7F" w:rsidRPr="00847B84">
        <w:rPr>
          <w:lang w:val="en-US"/>
        </w:rPr>
        <w:t xml:space="preserve">such argument cannot be sustained. </w:t>
      </w:r>
      <w:proofErr w:type="spellStart"/>
      <w:r w:rsidR="002D2F7F" w:rsidRPr="00847B84">
        <w:rPr>
          <w:i/>
          <w:iCs/>
          <w:lang w:val="en-US"/>
        </w:rPr>
        <w:t>Actio</w:t>
      </w:r>
      <w:proofErr w:type="spellEnd"/>
      <w:r w:rsidR="002D2F7F" w:rsidRPr="00847B84">
        <w:rPr>
          <w:i/>
          <w:iCs/>
          <w:lang w:val="en-US"/>
        </w:rPr>
        <w:t xml:space="preserve"> </w:t>
      </w:r>
      <w:proofErr w:type="spellStart"/>
      <w:r w:rsidR="002D2F7F" w:rsidRPr="00847B84">
        <w:rPr>
          <w:i/>
          <w:iCs/>
          <w:lang w:val="en-US"/>
        </w:rPr>
        <w:t>popularis</w:t>
      </w:r>
      <w:proofErr w:type="spellEnd"/>
      <w:r w:rsidR="008D0412" w:rsidRPr="00847B84">
        <w:rPr>
          <w:lang w:val="en-US"/>
        </w:rPr>
        <w:t xml:space="preserve"> is </w:t>
      </w:r>
      <w:r w:rsidR="002D2F7F" w:rsidRPr="00847B84">
        <w:rPr>
          <w:lang w:val="en-US"/>
        </w:rPr>
        <w:t>neither</w:t>
      </w:r>
      <w:r w:rsidR="00322595" w:rsidRPr="00847B84">
        <w:rPr>
          <w:lang w:val="en-US"/>
        </w:rPr>
        <w:t xml:space="preserve"> a</w:t>
      </w:r>
      <w:r w:rsidR="008D0412" w:rsidRPr="00847B84">
        <w:rPr>
          <w:lang w:val="en-US"/>
        </w:rPr>
        <w:t xml:space="preserve"> </w:t>
      </w:r>
      <w:r w:rsidRPr="00847B84">
        <w:rPr>
          <w:lang w:val="en-US"/>
        </w:rPr>
        <w:t>general principle</w:t>
      </w:r>
      <w:r w:rsidR="008D0412" w:rsidRPr="00847B84">
        <w:rPr>
          <w:lang w:val="en-US"/>
        </w:rPr>
        <w:t xml:space="preserve"> </w:t>
      </w:r>
      <w:r w:rsidRPr="00847B84">
        <w:rPr>
          <w:lang w:val="en-US"/>
        </w:rPr>
        <w:t xml:space="preserve">of law </w:t>
      </w:r>
      <w:r w:rsidR="002D2F7F" w:rsidRPr="00847B84">
        <w:rPr>
          <w:lang w:val="en-US"/>
        </w:rPr>
        <w:t xml:space="preserve">nor a customary norm </w:t>
      </w:r>
      <w:r w:rsidR="00B14D38" w:rsidRPr="00847B84">
        <w:rPr>
          <w:lang w:val="en-US"/>
        </w:rPr>
        <w:t>binding</w:t>
      </w:r>
      <w:r w:rsidR="002D2F7F" w:rsidRPr="00847B84">
        <w:rPr>
          <w:lang w:val="en-US"/>
        </w:rPr>
        <w:t xml:space="preserve"> in these proceedings. In any event, </w:t>
      </w:r>
      <w:r w:rsidR="00B14D38" w:rsidRPr="00847B84">
        <w:rPr>
          <w:lang w:val="en-US"/>
        </w:rPr>
        <w:t xml:space="preserve">the principle finds no application here as the </w:t>
      </w:r>
      <w:r w:rsidR="002D2F7F" w:rsidRPr="00847B84">
        <w:rPr>
          <w:lang w:val="en-US"/>
        </w:rPr>
        <w:t xml:space="preserve">obligations </w:t>
      </w:r>
      <w:r w:rsidR="007E5721" w:rsidRPr="00847B84">
        <w:rPr>
          <w:lang w:val="en-US"/>
        </w:rPr>
        <w:t>involved</w:t>
      </w:r>
      <w:r w:rsidR="002D2F7F" w:rsidRPr="00847B84">
        <w:rPr>
          <w:lang w:val="en-US"/>
        </w:rPr>
        <w:t xml:space="preserve"> </w:t>
      </w:r>
      <w:r w:rsidR="00B14D38" w:rsidRPr="00847B84">
        <w:rPr>
          <w:lang w:val="en-US"/>
        </w:rPr>
        <w:t xml:space="preserve">are neither </w:t>
      </w:r>
      <w:proofErr w:type="spellStart"/>
      <w:r w:rsidR="00B14D38" w:rsidRPr="00847B84">
        <w:rPr>
          <w:i/>
          <w:iCs/>
          <w:lang w:val="en-US"/>
        </w:rPr>
        <w:t>erga</w:t>
      </w:r>
      <w:proofErr w:type="spellEnd"/>
      <w:r w:rsidR="00B14D38" w:rsidRPr="00847B84">
        <w:rPr>
          <w:i/>
          <w:iCs/>
          <w:lang w:val="en-US"/>
        </w:rPr>
        <w:t xml:space="preserve"> omnes </w:t>
      </w:r>
      <w:r w:rsidR="00B14D38" w:rsidRPr="00847B84">
        <w:rPr>
          <w:lang w:val="en-US"/>
        </w:rPr>
        <w:t xml:space="preserve">nor </w:t>
      </w:r>
      <w:proofErr w:type="spellStart"/>
      <w:r w:rsidR="00B14D38" w:rsidRPr="00847B84">
        <w:rPr>
          <w:i/>
          <w:iCs/>
          <w:lang w:val="en-US"/>
        </w:rPr>
        <w:t>erga</w:t>
      </w:r>
      <w:proofErr w:type="spellEnd"/>
      <w:r w:rsidR="00B14D38" w:rsidRPr="00847B84">
        <w:rPr>
          <w:i/>
          <w:iCs/>
          <w:lang w:val="en-US"/>
        </w:rPr>
        <w:t xml:space="preserve"> omnes </w:t>
      </w:r>
      <w:proofErr w:type="spellStart"/>
      <w:r w:rsidR="00B14D38" w:rsidRPr="00847B84">
        <w:rPr>
          <w:i/>
          <w:iCs/>
          <w:lang w:val="en-US"/>
        </w:rPr>
        <w:t>partes</w:t>
      </w:r>
      <w:proofErr w:type="spellEnd"/>
      <w:r w:rsidR="002D2F7F" w:rsidRPr="00847B84">
        <w:rPr>
          <w:lang w:val="en-US"/>
        </w:rPr>
        <w:t xml:space="preserve">. </w:t>
      </w:r>
    </w:p>
    <w:p w14:paraId="4B1ACB20" w14:textId="72369F8F" w:rsidR="00754BC7" w:rsidRPr="00847B84" w:rsidRDefault="008D0412" w:rsidP="008254F4">
      <w:pPr>
        <w:ind w:firstLine="720"/>
        <w:rPr>
          <w:lang w:val="en-US"/>
        </w:rPr>
      </w:pPr>
      <w:r w:rsidRPr="00847B84">
        <w:rPr>
          <w:lang w:val="en-US"/>
        </w:rPr>
        <w:t xml:space="preserve">Finally, </w:t>
      </w:r>
      <w:proofErr w:type="spellStart"/>
      <w:r w:rsidR="00754BC7" w:rsidRPr="00847B84">
        <w:rPr>
          <w:lang w:val="en-US"/>
        </w:rPr>
        <w:t>Antrano</w:t>
      </w:r>
      <w:proofErr w:type="spellEnd"/>
      <w:r w:rsidR="00754BC7" w:rsidRPr="00847B84">
        <w:rPr>
          <w:lang w:val="en-US"/>
        </w:rPr>
        <w:t xml:space="preserve"> cannot exercise diplomatic protection over the </w:t>
      </w:r>
      <w:proofErr w:type="spellStart"/>
      <w:r w:rsidR="00754BC7" w:rsidRPr="00847B84">
        <w:rPr>
          <w:lang w:val="en-US"/>
        </w:rPr>
        <w:t>Sterren</w:t>
      </w:r>
      <w:proofErr w:type="spellEnd"/>
      <w:r w:rsidR="00754BC7" w:rsidRPr="00847B84">
        <w:rPr>
          <w:lang w:val="en-US"/>
        </w:rPr>
        <w:t xml:space="preserve"> Forty </w:t>
      </w:r>
      <w:r w:rsidR="008A3D46" w:rsidRPr="00847B84">
        <w:rPr>
          <w:lang w:val="en-US"/>
        </w:rPr>
        <w:t xml:space="preserve">as they are not </w:t>
      </w:r>
      <w:proofErr w:type="spellStart"/>
      <w:r w:rsidR="00EA71B7" w:rsidRPr="00847B84">
        <w:rPr>
          <w:lang w:val="en-US"/>
        </w:rPr>
        <w:t>Antrano’s</w:t>
      </w:r>
      <w:proofErr w:type="spellEnd"/>
      <w:r w:rsidR="00EA71B7" w:rsidRPr="00847B84">
        <w:rPr>
          <w:lang w:val="en-US"/>
        </w:rPr>
        <w:t xml:space="preserve"> </w:t>
      </w:r>
      <w:r w:rsidR="008A3D46" w:rsidRPr="00847B84">
        <w:rPr>
          <w:lang w:val="en-US"/>
        </w:rPr>
        <w:t xml:space="preserve">nationals. </w:t>
      </w:r>
      <w:r w:rsidR="00B14D38" w:rsidRPr="00847B84">
        <w:rPr>
          <w:lang w:val="en-US"/>
        </w:rPr>
        <w:t xml:space="preserve">To successfully </w:t>
      </w:r>
      <w:r w:rsidR="007E5721" w:rsidRPr="00847B84">
        <w:rPr>
          <w:lang w:val="en-US"/>
        </w:rPr>
        <w:t>exercise</w:t>
      </w:r>
      <w:r w:rsidR="00B14D38" w:rsidRPr="00847B84">
        <w:rPr>
          <w:lang w:val="en-US"/>
        </w:rPr>
        <w:t xml:space="preserve"> </w:t>
      </w:r>
      <w:r w:rsidR="008A3D46" w:rsidRPr="00847B84">
        <w:rPr>
          <w:lang w:val="en-US"/>
        </w:rPr>
        <w:t xml:space="preserve">diplomatic protection over </w:t>
      </w:r>
      <w:r w:rsidR="00B14D38" w:rsidRPr="00847B84">
        <w:rPr>
          <w:lang w:val="en-US"/>
        </w:rPr>
        <w:t xml:space="preserve">the </w:t>
      </w:r>
      <w:proofErr w:type="spellStart"/>
      <w:r w:rsidR="00B14D38" w:rsidRPr="00847B84">
        <w:rPr>
          <w:lang w:val="en-US"/>
        </w:rPr>
        <w:t>Sterren</w:t>
      </w:r>
      <w:proofErr w:type="spellEnd"/>
      <w:r w:rsidR="00B14D38" w:rsidRPr="00847B84">
        <w:rPr>
          <w:lang w:val="en-US"/>
        </w:rPr>
        <w:t xml:space="preserve"> Forty as </w:t>
      </w:r>
      <w:r w:rsidR="008A3D46" w:rsidRPr="00847B84">
        <w:rPr>
          <w:lang w:val="en-US"/>
        </w:rPr>
        <w:t>stateless persons, the</w:t>
      </w:r>
      <w:r w:rsidR="00B14D38" w:rsidRPr="00847B84">
        <w:rPr>
          <w:lang w:val="en-US"/>
        </w:rPr>
        <w:t xml:space="preserve">y should have been lawfully and habitually residing in </w:t>
      </w:r>
      <w:proofErr w:type="spellStart"/>
      <w:r w:rsidR="008A3D46" w:rsidRPr="00847B84">
        <w:rPr>
          <w:lang w:val="en-US"/>
        </w:rPr>
        <w:t>Antrano</w:t>
      </w:r>
      <w:proofErr w:type="spellEnd"/>
      <w:r w:rsidR="00B14D38" w:rsidRPr="00847B84">
        <w:rPr>
          <w:lang w:val="en-US"/>
        </w:rPr>
        <w:t>, which is not the case here</w:t>
      </w:r>
      <w:r w:rsidR="008A3D46" w:rsidRPr="00847B84">
        <w:rPr>
          <w:lang w:val="en-US"/>
        </w:rPr>
        <w:t>.</w:t>
      </w:r>
    </w:p>
    <w:p w14:paraId="5C4A369D" w14:textId="0DE89A27" w:rsidR="00754BC7" w:rsidRPr="00847B84" w:rsidRDefault="00DB7E72" w:rsidP="00DB7E72">
      <w:pPr>
        <w:rPr>
          <w:b/>
          <w:bCs/>
          <w:lang w:val="en-US"/>
        </w:rPr>
      </w:pPr>
      <w:r w:rsidRPr="00847B84">
        <w:rPr>
          <w:b/>
          <w:bCs/>
          <w:lang w:val="en-US"/>
        </w:rPr>
        <w:t>II. REMISIA DID NOT VIOLATE INTERNATIONAL LAW WHEN IT DEPRIVED THE STERREN FORTY OF THEIR CITIZENSHIP.</w:t>
      </w:r>
    </w:p>
    <w:p w14:paraId="67D048A8" w14:textId="2A0291EE" w:rsidR="00754BC7" w:rsidRPr="00847B84" w:rsidRDefault="008A3D46" w:rsidP="008254F4">
      <w:pPr>
        <w:ind w:firstLine="720"/>
        <w:rPr>
          <w:lang w:val="en-US"/>
        </w:rPr>
      </w:pPr>
      <w:r w:rsidRPr="00847B84">
        <w:rPr>
          <w:lang w:val="en-US"/>
        </w:rPr>
        <w:t xml:space="preserve">The </w:t>
      </w:r>
      <w:r w:rsidR="00754BC7" w:rsidRPr="00847B84">
        <w:rPr>
          <w:lang w:val="en-US"/>
        </w:rPr>
        <w:t xml:space="preserve">deprivation of the </w:t>
      </w:r>
      <w:proofErr w:type="spellStart"/>
      <w:r w:rsidR="00754BC7" w:rsidRPr="00847B84">
        <w:rPr>
          <w:lang w:val="en-US"/>
        </w:rPr>
        <w:t>Sterren</w:t>
      </w:r>
      <w:proofErr w:type="spellEnd"/>
      <w:r w:rsidR="00754BC7" w:rsidRPr="00847B84">
        <w:rPr>
          <w:lang w:val="en-US"/>
        </w:rPr>
        <w:t xml:space="preserve"> Forty’s citizenship is within </w:t>
      </w:r>
      <w:proofErr w:type="spellStart"/>
      <w:r w:rsidR="00EA6F5D" w:rsidRPr="00847B84">
        <w:rPr>
          <w:lang w:val="en-US"/>
        </w:rPr>
        <w:t>Remisia’s</w:t>
      </w:r>
      <w:proofErr w:type="spellEnd"/>
      <w:r w:rsidR="00EA6F5D" w:rsidRPr="00847B84">
        <w:rPr>
          <w:lang w:val="en-US"/>
        </w:rPr>
        <w:t xml:space="preserve"> </w:t>
      </w:r>
      <w:proofErr w:type="spellStart"/>
      <w:r w:rsidRPr="00847B84">
        <w:rPr>
          <w:i/>
          <w:iCs/>
          <w:lang w:val="en-US"/>
        </w:rPr>
        <w:t>domainé</w:t>
      </w:r>
      <w:proofErr w:type="spellEnd"/>
      <w:r w:rsidRPr="00847B84">
        <w:rPr>
          <w:i/>
          <w:iCs/>
          <w:lang w:val="en-US"/>
        </w:rPr>
        <w:t xml:space="preserve"> </w:t>
      </w:r>
      <w:proofErr w:type="spellStart"/>
      <w:r w:rsidRPr="00847B84">
        <w:rPr>
          <w:i/>
          <w:iCs/>
          <w:lang w:val="en-US"/>
        </w:rPr>
        <w:t>réservé</w:t>
      </w:r>
      <w:proofErr w:type="spellEnd"/>
      <w:r w:rsidRPr="00847B84">
        <w:rPr>
          <w:lang w:val="en-US"/>
        </w:rPr>
        <w:t xml:space="preserve">. </w:t>
      </w:r>
      <w:r w:rsidR="00754BC7" w:rsidRPr="00847B84">
        <w:rPr>
          <w:lang w:val="en-US"/>
        </w:rPr>
        <w:t xml:space="preserve">While </w:t>
      </w:r>
      <w:proofErr w:type="spellStart"/>
      <w:r w:rsidR="00754BC7" w:rsidRPr="00847B84">
        <w:rPr>
          <w:lang w:val="en-US"/>
        </w:rPr>
        <w:t>Remisia</w:t>
      </w:r>
      <w:proofErr w:type="spellEnd"/>
      <w:r w:rsidR="00754BC7" w:rsidRPr="00847B84">
        <w:rPr>
          <w:lang w:val="en-US"/>
        </w:rPr>
        <w:t xml:space="preserve"> </w:t>
      </w:r>
      <w:r w:rsidR="00EA6F5D" w:rsidRPr="00847B84">
        <w:rPr>
          <w:lang w:val="en-US"/>
        </w:rPr>
        <w:t>ratified</w:t>
      </w:r>
      <w:r w:rsidR="00754BC7" w:rsidRPr="00847B84">
        <w:rPr>
          <w:lang w:val="en-US"/>
        </w:rPr>
        <w:t xml:space="preserve"> the </w:t>
      </w:r>
      <w:r w:rsidR="00EA6F5D" w:rsidRPr="00847B84">
        <w:rPr>
          <w:lang w:val="en-US"/>
        </w:rPr>
        <w:t>Convention on the Reduction of Statelessness</w:t>
      </w:r>
      <w:r w:rsidR="00A0456D" w:rsidRPr="00847B84">
        <w:rPr>
          <w:lang w:val="en-US"/>
        </w:rPr>
        <w:t xml:space="preserve"> [“</w:t>
      </w:r>
      <w:r w:rsidR="00A0456D" w:rsidRPr="00847B84">
        <w:rPr>
          <w:b/>
          <w:bCs/>
          <w:lang w:val="en-US"/>
        </w:rPr>
        <w:t>CRS</w:t>
      </w:r>
      <w:r w:rsidR="00A0456D" w:rsidRPr="00847B84">
        <w:rPr>
          <w:lang w:val="en-US"/>
        </w:rPr>
        <w:t>”]</w:t>
      </w:r>
      <w:r w:rsidR="0027430F" w:rsidRPr="00847B84">
        <w:rPr>
          <w:lang w:val="en-US"/>
        </w:rPr>
        <w:t>,</w:t>
      </w:r>
      <w:r w:rsidR="00754BC7" w:rsidRPr="00847B84">
        <w:rPr>
          <w:lang w:val="en-US"/>
        </w:rPr>
        <w:t xml:space="preserve"> it </w:t>
      </w:r>
      <w:r w:rsidR="0027430F" w:rsidRPr="00847B84">
        <w:rPr>
          <w:lang w:val="en-US"/>
        </w:rPr>
        <w:t xml:space="preserve">submitted a </w:t>
      </w:r>
      <w:r w:rsidR="00EA6F5D" w:rsidRPr="00847B84">
        <w:rPr>
          <w:lang w:val="en-US"/>
        </w:rPr>
        <w:t xml:space="preserve">valid </w:t>
      </w:r>
      <w:r w:rsidR="0027430F" w:rsidRPr="00847B84">
        <w:rPr>
          <w:lang w:val="en-US"/>
        </w:rPr>
        <w:t xml:space="preserve">declaration </w:t>
      </w:r>
      <w:r w:rsidR="00EA6F5D" w:rsidRPr="00847B84">
        <w:rPr>
          <w:lang w:val="en-US"/>
        </w:rPr>
        <w:t>retaining</w:t>
      </w:r>
      <w:r w:rsidR="0027430F" w:rsidRPr="00847B84">
        <w:rPr>
          <w:lang w:val="en-US"/>
        </w:rPr>
        <w:t xml:space="preserve"> </w:t>
      </w:r>
      <w:r w:rsidR="00754BC7" w:rsidRPr="00847B84">
        <w:rPr>
          <w:lang w:val="en-US"/>
        </w:rPr>
        <w:t xml:space="preserve">its right to deprive nationality </w:t>
      </w:r>
      <w:r w:rsidR="0027430F" w:rsidRPr="00847B84">
        <w:rPr>
          <w:lang w:val="en-US"/>
        </w:rPr>
        <w:t xml:space="preserve">for </w:t>
      </w:r>
      <w:r w:rsidR="00EA6F5D" w:rsidRPr="00847B84">
        <w:rPr>
          <w:lang w:val="en-US"/>
        </w:rPr>
        <w:t xml:space="preserve">grounds stated in </w:t>
      </w:r>
      <w:r w:rsidR="0027430F" w:rsidRPr="00847B84">
        <w:rPr>
          <w:lang w:val="en-US"/>
        </w:rPr>
        <w:t xml:space="preserve">the </w:t>
      </w:r>
      <w:r w:rsidR="00EA6F5D" w:rsidRPr="00847B84">
        <w:rPr>
          <w:lang w:val="en-US"/>
        </w:rPr>
        <w:t>Disrespect to the Crown Act</w:t>
      </w:r>
      <w:r w:rsidR="00754BC7" w:rsidRPr="00847B84">
        <w:rPr>
          <w:lang w:val="en-US"/>
        </w:rPr>
        <w:t>.</w:t>
      </w:r>
      <w:r w:rsidR="00A0456D" w:rsidRPr="00847B84">
        <w:rPr>
          <w:lang w:val="en-US"/>
        </w:rPr>
        <w:t xml:space="preserve"> Further, no customary norm limits </w:t>
      </w:r>
      <w:proofErr w:type="spellStart"/>
      <w:r w:rsidR="00A0456D" w:rsidRPr="00847B84">
        <w:rPr>
          <w:lang w:val="en-US"/>
        </w:rPr>
        <w:t>Remisia’s</w:t>
      </w:r>
      <w:proofErr w:type="spellEnd"/>
      <w:r w:rsidR="00A0456D" w:rsidRPr="00847B84">
        <w:rPr>
          <w:lang w:val="en-US"/>
        </w:rPr>
        <w:t xml:space="preserve"> right to deprive individuals of their nationality. </w:t>
      </w:r>
    </w:p>
    <w:p w14:paraId="23C0331A" w14:textId="2EA9A66D" w:rsidR="00754BC7" w:rsidRPr="00847B84" w:rsidRDefault="00EA6F5D" w:rsidP="00A9717C">
      <w:pPr>
        <w:ind w:firstLine="720"/>
        <w:rPr>
          <w:lang w:val="en-US"/>
        </w:rPr>
      </w:pPr>
      <w:r w:rsidRPr="00847B84">
        <w:rPr>
          <w:lang w:val="en-US"/>
        </w:rPr>
        <w:t>Even i</w:t>
      </w:r>
      <w:r w:rsidR="00754BC7" w:rsidRPr="00847B84">
        <w:rPr>
          <w:lang w:val="en-US"/>
        </w:rPr>
        <w:t xml:space="preserve">f </w:t>
      </w:r>
      <w:proofErr w:type="spellStart"/>
      <w:r w:rsidR="00754BC7" w:rsidRPr="00847B84">
        <w:rPr>
          <w:lang w:val="en-US"/>
        </w:rPr>
        <w:t>Remisia’s</w:t>
      </w:r>
      <w:proofErr w:type="spellEnd"/>
      <w:r w:rsidR="00754BC7" w:rsidRPr="00847B84">
        <w:rPr>
          <w:lang w:val="en-US"/>
        </w:rPr>
        <w:t xml:space="preserve"> </w:t>
      </w:r>
      <w:r w:rsidRPr="00847B84">
        <w:rPr>
          <w:lang w:val="en-US"/>
        </w:rPr>
        <w:t xml:space="preserve">act </w:t>
      </w:r>
      <w:r w:rsidR="00754BC7" w:rsidRPr="00847B84">
        <w:rPr>
          <w:lang w:val="en-US"/>
        </w:rPr>
        <w:t>is subject to international law</w:t>
      </w:r>
      <w:r w:rsidRPr="00847B84">
        <w:rPr>
          <w:lang w:val="en-US"/>
        </w:rPr>
        <w:t xml:space="preserve">, </w:t>
      </w:r>
      <w:proofErr w:type="spellStart"/>
      <w:r w:rsidR="00754BC7" w:rsidRPr="00847B84">
        <w:rPr>
          <w:lang w:val="en-US"/>
        </w:rPr>
        <w:t>Remisia</w:t>
      </w:r>
      <w:proofErr w:type="spellEnd"/>
      <w:r w:rsidR="00E61A62" w:rsidRPr="00847B84">
        <w:rPr>
          <w:lang w:val="en-US"/>
        </w:rPr>
        <w:t xml:space="preserve"> nevertheless</w:t>
      </w:r>
      <w:r w:rsidR="008A3D46" w:rsidRPr="00847B84">
        <w:rPr>
          <w:lang w:val="en-US"/>
        </w:rPr>
        <w:t xml:space="preserve"> </w:t>
      </w:r>
      <w:r w:rsidRPr="00847B84">
        <w:rPr>
          <w:lang w:val="en-US"/>
        </w:rPr>
        <w:t>acted consistently with</w:t>
      </w:r>
      <w:r w:rsidR="008A3D46" w:rsidRPr="00847B84">
        <w:rPr>
          <w:lang w:val="en-US"/>
        </w:rPr>
        <w:t xml:space="preserve"> </w:t>
      </w:r>
      <w:r w:rsidR="00754BC7" w:rsidRPr="00847B84">
        <w:rPr>
          <w:lang w:val="en-US"/>
        </w:rPr>
        <w:t xml:space="preserve">its obligations. </w:t>
      </w:r>
      <w:proofErr w:type="spellStart"/>
      <w:r w:rsidRPr="00847B84">
        <w:rPr>
          <w:lang w:val="en-US"/>
        </w:rPr>
        <w:t>Remisia</w:t>
      </w:r>
      <w:proofErr w:type="spellEnd"/>
      <w:r w:rsidRPr="00847B84">
        <w:rPr>
          <w:lang w:val="en-US"/>
        </w:rPr>
        <w:t xml:space="preserve"> had </w:t>
      </w:r>
      <w:r w:rsidR="004470B9" w:rsidRPr="00847B84">
        <w:rPr>
          <w:lang w:val="en-US"/>
        </w:rPr>
        <w:t xml:space="preserve">a </w:t>
      </w:r>
      <w:r w:rsidR="00A0456D" w:rsidRPr="00847B84">
        <w:rPr>
          <w:lang w:val="en-US"/>
        </w:rPr>
        <w:t>valid ground</w:t>
      </w:r>
      <w:r w:rsidRPr="00847B84">
        <w:rPr>
          <w:lang w:val="en-US"/>
        </w:rPr>
        <w:t xml:space="preserve"> </w:t>
      </w:r>
      <w:r w:rsidR="00A0456D" w:rsidRPr="00847B84">
        <w:rPr>
          <w:lang w:val="en-US"/>
        </w:rPr>
        <w:t xml:space="preserve">under the CRS </w:t>
      </w:r>
      <w:r w:rsidRPr="00847B84">
        <w:rPr>
          <w:lang w:val="en-US"/>
        </w:rPr>
        <w:t xml:space="preserve">to </w:t>
      </w:r>
      <w:r w:rsidR="004470B9" w:rsidRPr="00847B84">
        <w:rPr>
          <w:lang w:val="en-US"/>
        </w:rPr>
        <w:t>revoke</w:t>
      </w:r>
      <w:r w:rsidRPr="00847B84">
        <w:rPr>
          <w:lang w:val="en-US"/>
        </w:rPr>
        <w:t xml:space="preserve"> the </w:t>
      </w:r>
      <w:proofErr w:type="spellStart"/>
      <w:r w:rsidRPr="00847B84">
        <w:rPr>
          <w:lang w:val="en-US"/>
        </w:rPr>
        <w:t>Sterren</w:t>
      </w:r>
      <w:proofErr w:type="spellEnd"/>
      <w:r w:rsidRPr="00847B84">
        <w:rPr>
          <w:lang w:val="en-US"/>
        </w:rPr>
        <w:t xml:space="preserve"> Forty’s citizenship as they acted </w:t>
      </w:r>
      <w:r w:rsidR="00A0456D" w:rsidRPr="00847B84">
        <w:rPr>
          <w:lang w:val="en-US"/>
        </w:rPr>
        <w:t>‘</w:t>
      </w:r>
      <w:r w:rsidRPr="00847B84">
        <w:rPr>
          <w:lang w:val="en-US"/>
        </w:rPr>
        <w:t>inconsistently with their duty of loyalty</w:t>
      </w:r>
      <w:r w:rsidR="00A0456D" w:rsidRPr="00847B84">
        <w:rPr>
          <w:lang w:val="en-US"/>
        </w:rPr>
        <w:t>’</w:t>
      </w:r>
      <w:r w:rsidRPr="00847B84">
        <w:rPr>
          <w:lang w:val="en-US"/>
        </w:rPr>
        <w:t xml:space="preserve"> and </w:t>
      </w:r>
      <w:r w:rsidR="00A0456D" w:rsidRPr="00847B84">
        <w:rPr>
          <w:lang w:val="en-US"/>
        </w:rPr>
        <w:t>‘</w:t>
      </w:r>
      <w:r w:rsidRPr="00847B84">
        <w:rPr>
          <w:lang w:val="en-US"/>
        </w:rPr>
        <w:t xml:space="preserve">conducted themselves in a manner seriously prejudicial to </w:t>
      </w:r>
      <w:proofErr w:type="spellStart"/>
      <w:r w:rsidRPr="00847B84">
        <w:rPr>
          <w:lang w:val="en-US"/>
        </w:rPr>
        <w:t>Remisia’s</w:t>
      </w:r>
      <w:proofErr w:type="spellEnd"/>
      <w:r w:rsidRPr="00847B84">
        <w:rPr>
          <w:lang w:val="en-US"/>
        </w:rPr>
        <w:t xml:space="preserve"> vital interests</w:t>
      </w:r>
      <w:r w:rsidR="00A0456D" w:rsidRPr="00847B84">
        <w:rPr>
          <w:lang w:val="en-US"/>
        </w:rPr>
        <w:t>’</w:t>
      </w:r>
      <w:r w:rsidR="00754BC7" w:rsidRPr="00847B84">
        <w:rPr>
          <w:lang w:val="en-US"/>
        </w:rPr>
        <w:t xml:space="preserve">. </w:t>
      </w:r>
      <w:r w:rsidR="00A0456D" w:rsidRPr="00847B84">
        <w:rPr>
          <w:lang w:val="en-US"/>
        </w:rPr>
        <w:t xml:space="preserve">The interference with </w:t>
      </w:r>
      <w:r w:rsidR="00A0456D" w:rsidRPr="00847B84">
        <w:rPr>
          <w:lang w:val="en-US"/>
        </w:rPr>
        <w:lastRenderedPageBreak/>
        <w:t xml:space="preserve">the </w:t>
      </w:r>
      <w:proofErr w:type="spellStart"/>
      <w:r w:rsidR="00A0456D" w:rsidRPr="00847B84">
        <w:rPr>
          <w:lang w:val="en-US"/>
        </w:rPr>
        <w:t>Sterren</w:t>
      </w:r>
      <w:proofErr w:type="spellEnd"/>
      <w:r w:rsidR="00A0456D" w:rsidRPr="00847B84">
        <w:rPr>
          <w:lang w:val="en-US"/>
        </w:rPr>
        <w:t xml:space="preserve"> Forty’s freedom of speech is also </w:t>
      </w:r>
      <w:r w:rsidR="002B3741" w:rsidRPr="00847B84">
        <w:rPr>
          <w:lang w:val="en-US"/>
        </w:rPr>
        <w:t>justified</w:t>
      </w:r>
      <w:r w:rsidR="00A0456D" w:rsidRPr="00847B84">
        <w:rPr>
          <w:lang w:val="en-US"/>
        </w:rPr>
        <w:t xml:space="preserve"> as a valid limitation</w:t>
      </w:r>
      <w:r w:rsidR="005729CA" w:rsidRPr="00847B84">
        <w:rPr>
          <w:lang w:val="en-US"/>
        </w:rPr>
        <w:t xml:space="preserve"> on human rights</w:t>
      </w:r>
      <w:r w:rsidR="00A0456D" w:rsidRPr="00847B84">
        <w:rPr>
          <w:lang w:val="en-US"/>
        </w:rPr>
        <w:t xml:space="preserve">: </w:t>
      </w:r>
      <w:r w:rsidR="00754BC7" w:rsidRPr="00847B84">
        <w:rPr>
          <w:lang w:val="en-US"/>
        </w:rPr>
        <w:t xml:space="preserve">it was provided for by law and </w:t>
      </w:r>
      <w:r w:rsidR="007E5721" w:rsidRPr="00847B84">
        <w:rPr>
          <w:lang w:val="en-US"/>
        </w:rPr>
        <w:t xml:space="preserve">was </w:t>
      </w:r>
      <w:r w:rsidR="00754BC7" w:rsidRPr="00847B84">
        <w:rPr>
          <w:lang w:val="en-US"/>
        </w:rPr>
        <w:t>necessary and proportionate to achieve the legitimate aim of restoring public order.</w:t>
      </w:r>
      <w:r w:rsidR="00A0456D" w:rsidRPr="00847B84">
        <w:rPr>
          <w:lang w:val="en-US"/>
        </w:rPr>
        <w:t xml:space="preserve"> Finally, </w:t>
      </w:r>
      <w:proofErr w:type="spellStart"/>
      <w:r w:rsidR="00A0456D" w:rsidRPr="00847B84">
        <w:rPr>
          <w:lang w:val="en-US"/>
        </w:rPr>
        <w:t>Remisia</w:t>
      </w:r>
      <w:proofErr w:type="spellEnd"/>
      <w:r w:rsidR="00A0456D" w:rsidRPr="00847B84">
        <w:rPr>
          <w:lang w:val="en-US"/>
        </w:rPr>
        <w:t xml:space="preserve"> did not act arbitrarily when it deprived the </w:t>
      </w:r>
      <w:proofErr w:type="spellStart"/>
      <w:r w:rsidR="00A0456D" w:rsidRPr="00847B84">
        <w:rPr>
          <w:lang w:val="en-US"/>
        </w:rPr>
        <w:t>Sterren</w:t>
      </w:r>
      <w:proofErr w:type="spellEnd"/>
      <w:r w:rsidR="00A0456D" w:rsidRPr="00847B84">
        <w:rPr>
          <w:lang w:val="en-US"/>
        </w:rPr>
        <w:t xml:space="preserve"> Forty of their nationality</w:t>
      </w:r>
      <w:r w:rsidR="00754BC7" w:rsidRPr="00847B84">
        <w:rPr>
          <w:lang w:val="en-US"/>
        </w:rPr>
        <w:t>.</w:t>
      </w:r>
    </w:p>
    <w:p w14:paraId="6D3C3C8C" w14:textId="3FC6CC06" w:rsidR="00754BC7" w:rsidRPr="00847B84" w:rsidRDefault="00DB7E72" w:rsidP="00DB7E72">
      <w:pPr>
        <w:rPr>
          <w:b/>
          <w:bCs/>
          <w:caps/>
          <w:lang w:val="en-US"/>
        </w:rPr>
      </w:pPr>
      <w:r w:rsidRPr="00847B84">
        <w:rPr>
          <w:b/>
          <w:bCs/>
          <w:caps/>
          <w:lang w:val="en-US"/>
        </w:rPr>
        <w:t xml:space="preserve">III. </w:t>
      </w:r>
      <w:r w:rsidR="00754BC7" w:rsidRPr="00847B84">
        <w:rPr>
          <w:b/>
          <w:bCs/>
          <w:caps/>
          <w:lang w:val="en-US"/>
        </w:rPr>
        <w:t>Antrano violated international law when it deprived Saki Shaw of Remisian consular access.</w:t>
      </w:r>
    </w:p>
    <w:p w14:paraId="5431F2B4" w14:textId="701696B7" w:rsidR="005729CA" w:rsidRPr="00847B84" w:rsidRDefault="00754BC7" w:rsidP="00EA71B7">
      <w:pPr>
        <w:ind w:firstLine="720"/>
        <w:rPr>
          <w:lang w:val="en-US"/>
        </w:rPr>
      </w:pPr>
      <w:r w:rsidRPr="00847B84">
        <w:rPr>
          <w:lang w:val="en-US"/>
        </w:rPr>
        <w:t xml:space="preserve">The Vienna Convention on Consular Relations </w:t>
      </w:r>
      <w:r w:rsidR="005729CA" w:rsidRPr="00847B84">
        <w:rPr>
          <w:lang w:val="en-US"/>
        </w:rPr>
        <w:t>[“</w:t>
      </w:r>
      <w:r w:rsidR="005729CA" w:rsidRPr="00847B84">
        <w:rPr>
          <w:b/>
          <w:bCs/>
          <w:lang w:val="en-US"/>
        </w:rPr>
        <w:t>VCCR</w:t>
      </w:r>
      <w:r w:rsidR="005729CA" w:rsidRPr="00847B84">
        <w:rPr>
          <w:lang w:val="en-US"/>
        </w:rPr>
        <w:t xml:space="preserve">”] </w:t>
      </w:r>
      <w:r w:rsidRPr="00847B84">
        <w:rPr>
          <w:lang w:val="en-US"/>
        </w:rPr>
        <w:t xml:space="preserve">guarantees </w:t>
      </w:r>
      <w:r w:rsidR="005729CA" w:rsidRPr="00847B84">
        <w:rPr>
          <w:lang w:val="en-US"/>
        </w:rPr>
        <w:t xml:space="preserve">the right of </w:t>
      </w:r>
      <w:proofErr w:type="spellStart"/>
      <w:r w:rsidRPr="00847B84">
        <w:rPr>
          <w:lang w:val="en-US"/>
        </w:rPr>
        <w:t>Remisian</w:t>
      </w:r>
      <w:proofErr w:type="spellEnd"/>
      <w:r w:rsidRPr="00847B84">
        <w:rPr>
          <w:lang w:val="en-US"/>
        </w:rPr>
        <w:t xml:space="preserve"> consular officers to communicate, have access to, and visit </w:t>
      </w:r>
      <w:proofErr w:type="spellStart"/>
      <w:r w:rsidRPr="00847B84">
        <w:rPr>
          <w:lang w:val="en-US"/>
        </w:rPr>
        <w:t>Remisian</w:t>
      </w:r>
      <w:proofErr w:type="spellEnd"/>
      <w:r w:rsidRPr="00847B84">
        <w:rPr>
          <w:lang w:val="en-US"/>
        </w:rPr>
        <w:t xml:space="preserve"> nationals detained in </w:t>
      </w:r>
      <w:proofErr w:type="spellStart"/>
      <w:r w:rsidR="005729CA" w:rsidRPr="00847B84">
        <w:rPr>
          <w:lang w:val="en-US"/>
        </w:rPr>
        <w:t>Antrano</w:t>
      </w:r>
      <w:proofErr w:type="spellEnd"/>
      <w:r w:rsidRPr="00847B84">
        <w:rPr>
          <w:lang w:val="en-US"/>
        </w:rPr>
        <w:t xml:space="preserve">. </w:t>
      </w:r>
      <w:r w:rsidR="002A5668" w:rsidRPr="00847B84">
        <w:rPr>
          <w:lang w:val="en-US"/>
        </w:rPr>
        <w:t xml:space="preserve">Thus, </w:t>
      </w:r>
      <w:proofErr w:type="spellStart"/>
      <w:r w:rsidR="002A5668" w:rsidRPr="00847B84">
        <w:rPr>
          <w:lang w:val="en-US"/>
        </w:rPr>
        <w:t>Antrano</w:t>
      </w:r>
      <w:proofErr w:type="spellEnd"/>
      <w:r w:rsidR="002A5668" w:rsidRPr="00847B84">
        <w:rPr>
          <w:lang w:val="en-US"/>
        </w:rPr>
        <w:t xml:space="preserve"> violated the VCCR when it refused to grant </w:t>
      </w:r>
      <w:proofErr w:type="spellStart"/>
      <w:r w:rsidR="002A5668" w:rsidRPr="00847B84">
        <w:rPr>
          <w:lang w:val="en-US"/>
        </w:rPr>
        <w:t>Remisian</w:t>
      </w:r>
      <w:proofErr w:type="spellEnd"/>
      <w:r w:rsidR="002A5668" w:rsidRPr="00847B84">
        <w:rPr>
          <w:lang w:val="en-US"/>
        </w:rPr>
        <w:t xml:space="preserve"> consular </w:t>
      </w:r>
      <w:proofErr w:type="gramStart"/>
      <w:r w:rsidR="002B3741" w:rsidRPr="00847B84">
        <w:rPr>
          <w:lang w:val="en-US"/>
        </w:rPr>
        <w:t>officers</w:t>
      </w:r>
      <w:proofErr w:type="gramEnd"/>
      <w:r w:rsidR="002A5668" w:rsidRPr="00847B84">
        <w:rPr>
          <w:lang w:val="en-US"/>
        </w:rPr>
        <w:t xml:space="preserve"> access to Saki Shaw </w:t>
      </w:r>
      <w:r w:rsidR="000D7D83" w:rsidRPr="00847B84">
        <w:rPr>
          <w:lang w:val="en-US"/>
        </w:rPr>
        <w:t>while she was detained</w:t>
      </w:r>
      <w:r w:rsidR="002A5668" w:rsidRPr="00847B84">
        <w:rPr>
          <w:lang w:val="en-US"/>
        </w:rPr>
        <w:t xml:space="preserve"> in </w:t>
      </w:r>
      <w:proofErr w:type="spellStart"/>
      <w:r w:rsidR="002A5668" w:rsidRPr="00847B84">
        <w:rPr>
          <w:lang w:val="en-US"/>
        </w:rPr>
        <w:t>Antrano</w:t>
      </w:r>
      <w:proofErr w:type="spellEnd"/>
      <w:r w:rsidR="002A5668" w:rsidRPr="00847B84">
        <w:rPr>
          <w:lang w:val="en-US"/>
        </w:rPr>
        <w:t>.</w:t>
      </w:r>
    </w:p>
    <w:p w14:paraId="4E81CBDC" w14:textId="6BFF64D4" w:rsidR="00754BC7" w:rsidRPr="00847B84" w:rsidRDefault="002A5668" w:rsidP="008254F4">
      <w:pPr>
        <w:ind w:firstLine="720"/>
        <w:rPr>
          <w:lang w:val="en-US"/>
        </w:rPr>
      </w:pPr>
      <w:proofErr w:type="spellStart"/>
      <w:r w:rsidRPr="00847B84">
        <w:rPr>
          <w:lang w:val="en-US"/>
        </w:rPr>
        <w:t>Antrano</w:t>
      </w:r>
      <w:proofErr w:type="spellEnd"/>
      <w:r w:rsidRPr="00847B84">
        <w:rPr>
          <w:lang w:val="en-US"/>
        </w:rPr>
        <w:t xml:space="preserve"> cannot justify its </w:t>
      </w:r>
      <w:r w:rsidR="000D7D83" w:rsidRPr="00847B84">
        <w:rPr>
          <w:lang w:val="en-US"/>
        </w:rPr>
        <w:t>breach</w:t>
      </w:r>
      <w:r w:rsidRPr="00847B84">
        <w:rPr>
          <w:lang w:val="en-US"/>
        </w:rPr>
        <w:t xml:space="preserve"> on the ground that it does not recognize ‘purchased citizenship’. I</w:t>
      </w:r>
      <w:r w:rsidR="005A4285" w:rsidRPr="00847B84">
        <w:rPr>
          <w:lang w:val="en-US"/>
        </w:rPr>
        <w:t xml:space="preserve">nternational law requires </w:t>
      </w:r>
      <w:proofErr w:type="spellStart"/>
      <w:r w:rsidR="005A4285" w:rsidRPr="00847B84">
        <w:rPr>
          <w:lang w:val="en-US"/>
        </w:rPr>
        <w:t>Antrano</w:t>
      </w:r>
      <w:proofErr w:type="spellEnd"/>
      <w:r w:rsidR="005A4285" w:rsidRPr="00847B84">
        <w:rPr>
          <w:lang w:val="en-US"/>
        </w:rPr>
        <w:t xml:space="preserve"> to</w:t>
      </w:r>
      <w:r w:rsidR="005729CA" w:rsidRPr="00847B84">
        <w:rPr>
          <w:lang w:val="en-US"/>
        </w:rPr>
        <w:t xml:space="preserve"> recognize </w:t>
      </w:r>
      <w:proofErr w:type="spellStart"/>
      <w:r w:rsidR="005729CA" w:rsidRPr="00847B84">
        <w:rPr>
          <w:lang w:val="en-US"/>
        </w:rPr>
        <w:t>Remisia’s</w:t>
      </w:r>
      <w:proofErr w:type="spellEnd"/>
      <w:r w:rsidR="005729CA" w:rsidRPr="00847B84">
        <w:rPr>
          <w:lang w:val="en-US"/>
        </w:rPr>
        <w:t xml:space="preserve"> grant of citizenship to Saki Shaw.</w:t>
      </w:r>
      <w:r w:rsidR="000D7D83" w:rsidRPr="00847B84">
        <w:rPr>
          <w:lang w:val="en-US"/>
        </w:rPr>
        <w:t xml:space="preserve"> Specifically,</w:t>
      </w:r>
      <w:r w:rsidR="005729CA" w:rsidRPr="00847B84">
        <w:rPr>
          <w:lang w:val="en-US"/>
        </w:rPr>
        <w:t xml:space="preserve"> </w:t>
      </w:r>
      <w:r w:rsidR="000D7D83" w:rsidRPr="00847B84">
        <w:rPr>
          <w:i/>
          <w:iCs/>
          <w:lang w:val="en-US"/>
        </w:rPr>
        <w:t>j</w:t>
      </w:r>
      <w:r w:rsidR="005729CA" w:rsidRPr="00847B84">
        <w:rPr>
          <w:i/>
          <w:iCs/>
          <w:lang w:val="en-US"/>
        </w:rPr>
        <w:t xml:space="preserve">us </w:t>
      </w:r>
      <w:proofErr w:type="spellStart"/>
      <w:r w:rsidR="005729CA" w:rsidRPr="00847B84">
        <w:rPr>
          <w:i/>
          <w:iCs/>
          <w:lang w:val="en-US"/>
        </w:rPr>
        <w:t>do</w:t>
      </w:r>
      <w:r w:rsidR="00500938" w:rsidRPr="00847B84">
        <w:rPr>
          <w:i/>
          <w:iCs/>
          <w:lang w:val="en-US"/>
        </w:rPr>
        <w:t>n</w:t>
      </w:r>
      <w:r w:rsidR="005729CA" w:rsidRPr="00847B84">
        <w:rPr>
          <w:i/>
          <w:iCs/>
          <w:lang w:val="en-US"/>
        </w:rPr>
        <w:t>i</w:t>
      </w:r>
      <w:proofErr w:type="spellEnd"/>
      <w:r w:rsidR="005729CA" w:rsidRPr="00847B84">
        <w:rPr>
          <w:lang w:val="en-US"/>
        </w:rPr>
        <w:t xml:space="preserve"> is a general principle of law relating to nationality</w:t>
      </w:r>
      <w:r w:rsidR="005A4285" w:rsidRPr="00847B84">
        <w:rPr>
          <w:lang w:val="en-US"/>
        </w:rPr>
        <w:t xml:space="preserve"> binding on </w:t>
      </w:r>
      <w:proofErr w:type="spellStart"/>
      <w:r w:rsidR="005A4285" w:rsidRPr="00847B84">
        <w:rPr>
          <w:lang w:val="en-US"/>
        </w:rPr>
        <w:t>Antrano</w:t>
      </w:r>
      <w:proofErr w:type="spellEnd"/>
      <w:r w:rsidR="005729CA" w:rsidRPr="00847B84">
        <w:rPr>
          <w:lang w:val="en-US"/>
        </w:rPr>
        <w:t>.</w:t>
      </w:r>
      <w:r w:rsidR="005A4285" w:rsidRPr="00847B84">
        <w:rPr>
          <w:lang w:val="en-US"/>
        </w:rPr>
        <w:t xml:space="preserve"> </w:t>
      </w:r>
      <w:proofErr w:type="spellStart"/>
      <w:r w:rsidR="005729CA" w:rsidRPr="00847B84">
        <w:rPr>
          <w:lang w:val="en-US"/>
        </w:rPr>
        <w:t>Antrano</w:t>
      </w:r>
      <w:r w:rsidRPr="00847B84">
        <w:rPr>
          <w:lang w:val="en-US"/>
        </w:rPr>
        <w:t>’s</w:t>
      </w:r>
      <w:proofErr w:type="spellEnd"/>
      <w:r w:rsidRPr="00847B84">
        <w:rPr>
          <w:lang w:val="en-US"/>
        </w:rPr>
        <w:t xml:space="preserve"> </w:t>
      </w:r>
      <w:r w:rsidR="005729CA" w:rsidRPr="00847B84">
        <w:rPr>
          <w:lang w:val="en-US"/>
        </w:rPr>
        <w:t xml:space="preserve">refusal to recognize Saki Shaw’s </w:t>
      </w:r>
      <w:proofErr w:type="spellStart"/>
      <w:r w:rsidR="005729CA" w:rsidRPr="00847B84">
        <w:rPr>
          <w:lang w:val="en-US"/>
        </w:rPr>
        <w:t>Remisian</w:t>
      </w:r>
      <w:proofErr w:type="spellEnd"/>
      <w:r w:rsidR="005729CA" w:rsidRPr="00847B84">
        <w:rPr>
          <w:lang w:val="en-US"/>
        </w:rPr>
        <w:t xml:space="preserve"> citizenship based on the </w:t>
      </w:r>
      <w:r w:rsidR="00754BC7" w:rsidRPr="00847B84">
        <w:rPr>
          <w:lang w:val="en-US"/>
        </w:rPr>
        <w:t>effective nationality principle</w:t>
      </w:r>
      <w:r w:rsidRPr="00847B84">
        <w:rPr>
          <w:lang w:val="en-US"/>
        </w:rPr>
        <w:t xml:space="preserve"> does not</w:t>
      </w:r>
      <w:r w:rsidR="00500938" w:rsidRPr="00847B84">
        <w:rPr>
          <w:lang w:val="en-US"/>
        </w:rPr>
        <w:t xml:space="preserve"> also</w:t>
      </w:r>
      <w:r w:rsidRPr="00847B84">
        <w:rPr>
          <w:lang w:val="en-US"/>
        </w:rPr>
        <w:t xml:space="preserve"> convince </w:t>
      </w:r>
      <w:r w:rsidR="00500938" w:rsidRPr="00847B84">
        <w:rPr>
          <w:lang w:val="en-US"/>
        </w:rPr>
        <w:t>because</w:t>
      </w:r>
      <w:r w:rsidR="005A4285" w:rsidRPr="00847B84">
        <w:rPr>
          <w:lang w:val="en-US"/>
        </w:rPr>
        <w:t xml:space="preserve"> the </w:t>
      </w:r>
      <w:r w:rsidRPr="00847B84">
        <w:rPr>
          <w:lang w:val="en-US"/>
        </w:rPr>
        <w:t>principle</w:t>
      </w:r>
      <w:r w:rsidR="005A4285" w:rsidRPr="00847B84">
        <w:rPr>
          <w:lang w:val="en-US"/>
        </w:rPr>
        <w:t xml:space="preserve"> is </w:t>
      </w:r>
      <w:r w:rsidR="00754BC7" w:rsidRPr="00847B84">
        <w:rPr>
          <w:lang w:val="en-US"/>
        </w:rPr>
        <w:t>not customary and</w:t>
      </w:r>
      <w:r w:rsidRPr="00847B84">
        <w:rPr>
          <w:lang w:val="en-US"/>
        </w:rPr>
        <w:t>,</w:t>
      </w:r>
      <w:r w:rsidR="00754BC7" w:rsidRPr="00847B84">
        <w:rPr>
          <w:lang w:val="en-US"/>
        </w:rPr>
        <w:t xml:space="preserve"> </w:t>
      </w:r>
      <w:r w:rsidRPr="00847B84">
        <w:rPr>
          <w:lang w:val="en-US"/>
        </w:rPr>
        <w:t xml:space="preserve">in any case, </w:t>
      </w:r>
      <w:r w:rsidR="0027430F" w:rsidRPr="00847B84">
        <w:rPr>
          <w:lang w:val="en-US"/>
        </w:rPr>
        <w:t>finds</w:t>
      </w:r>
      <w:r w:rsidR="00754BC7" w:rsidRPr="00847B84">
        <w:rPr>
          <w:lang w:val="en-US"/>
        </w:rPr>
        <w:t xml:space="preserve"> no application in the field of consular protection. </w:t>
      </w:r>
      <w:r w:rsidR="000D7D83" w:rsidRPr="00847B84">
        <w:rPr>
          <w:lang w:val="en-US"/>
        </w:rPr>
        <w:t xml:space="preserve">At any rate, </w:t>
      </w:r>
      <w:proofErr w:type="spellStart"/>
      <w:r w:rsidRPr="00847B84">
        <w:rPr>
          <w:lang w:val="en-US"/>
        </w:rPr>
        <w:t>A</w:t>
      </w:r>
      <w:r w:rsidR="00754BC7" w:rsidRPr="00847B84">
        <w:rPr>
          <w:lang w:val="en-US"/>
        </w:rPr>
        <w:t>ntrano</w:t>
      </w:r>
      <w:proofErr w:type="spellEnd"/>
      <w:r w:rsidR="00754BC7" w:rsidRPr="00847B84">
        <w:rPr>
          <w:lang w:val="en-US"/>
        </w:rPr>
        <w:t xml:space="preserve"> is estopped from refuting Saki Shaw’s nationality</w:t>
      </w:r>
      <w:r w:rsidR="005A4285" w:rsidRPr="00847B84">
        <w:rPr>
          <w:lang w:val="en-US"/>
        </w:rPr>
        <w:t xml:space="preserve">, having accepted her into </w:t>
      </w:r>
      <w:proofErr w:type="spellStart"/>
      <w:r w:rsidR="00500938" w:rsidRPr="00847B84">
        <w:rPr>
          <w:lang w:val="en-US"/>
        </w:rPr>
        <w:t>Antrano</w:t>
      </w:r>
      <w:proofErr w:type="spellEnd"/>
      <w:r w:rsidR="005A4285" w:rsidRPr="00847B84">
        <w:rPr>
          <w:lang w:val="en-US"/>
        </w:rPr>
        <w:t xml:space="preserve"> with her </w:t>
      </w:r>
      <w:proofErr w:type="spellStart"/>
      <w:r w:rsidR="005A4285" w:rsidRPr="00847B84">
        <w:rPr>
          <w:lang w:val="en-US"/>
        </w:rPr>
        <w:t>Remisian</w:t>
      </w:r>
      <w:proofErr w:type="spellEnd"/>
      <w:r w:rsidR="005A4285" w:rsidRPr="00847B84">
        <w:rPr>
          <w:lang w:val="en-US"/>
        </w:rPr>
        <w:t xml:space="preserve"> passport</w:t>
      </w:r>
      <w:r w:rsidR="00754BC7" w:rsidRPr="00847B84">
        <w:rPr>
          <w:lang w:val="en-US"/>
        </w:rPr>
        <w:t>.</w:t>
      </w:r>
    </w:p>
    <w:p w14:paraId="68D67CC7" w14:textId="4E378BCE" w:rsidR="00754BC7" w:rsidRPr="00847B84" w:rsidRDefault="00DB7E72" w:rsidP="00DB7E72">
      <w:pPr>
        <w:rPr>
          <w:b/>
          <w:bCs/>
          <w:caps/>
          <w:lang w:val="en-US"/>
        </w:rPr>
      </w:pPr>
      <w:r w:rsidRPr="00847B84">
        <w:rPr>
          <w:b/>
          <w:bCs/>
          <w:caps/>
          <w:lang w:val="en-US"/>
        </w:rPr>
        <w:t xml:space="preserve">IV. </w:t>
      </w:r>
      <w:r w:rsidR="00754BC7" w:rsidRPr="00847B84">
        <w:rPr>
          <w:b/>
          <w:bCs/>
          <w:caps/>
          <w:lang w:val="en-US"/>
        </w:rPr>
        <w:t xml:space="preserve">Remisia did not violate international law </w:t>
      </w:r>
      <w:r w:rsidR="005A4285" w:rsidRPr="00847B84">
        <w:rPr>
          <w:b/>
          <w:bCs/>
          <w:caps/>
          <w:lang w:val="en-US"/>
        </w:rPr>
        <w:t>when it denied Dr.</w:t>
      </w:r>
      <w:r w:rsidR="00754BC7" w:rsidRPr="00847B84">
        <w:rPr>
          <w:b/>
          <w:bCs/>
          <w:caps/>
          <w:lang w:val="en-US"/>
        </w:rPr>
        <w:t xml:space="preserve"> Malex entry </w:t>
      </w:r>
      <w:r w:rsidR="005A4285" w:rsidRPr="00847B84">
        <w:rPr>
          <w:b/>
          <w:bCs/>
          <w:caps/>
          <w:lang w:val="en-US"/>
        </w:rPr>
        <w:t xml:space="preserve">notwithstanding United Nations Security Council [“UNSC”] </w:t>
      </w:r>
      <w:r w:rsidR="00754BC7" w:rsidRPr="00847B84">
        <w:rPr>
          <w:b/>
          <w:bCs/>
          <w:caps/>
          <w:lang w:val="en-US"/>
        </w:rPr>
        <w:t>Resolution 99997.</w:t>
      </w:r>
    </w:p>
    <w:p w14:paraId="2186CD57" w14:textId="17BC5AE1" w:rsidR="00754BC7" w:rsidRPr="00847B84" w:rsidRDefault="005A4285" w:rsidP="008254F4">
      <w:pPr>
        <w:ind w:firstLine="720"/>
        <w:rPr>
          <w:lang w:val="en-US"/>
        </w:rPr>
      </w:pPr>
      <w:r w:rsidRPr="00847B84">
        <w:rPr>
          <w:lang w:val="en-US"/>
        </w:rPr>
        <w:t xml:space="preserve">Preliminarily, the Court must refuse to exercise jurisdiction </w:t>
      </w:r>
      <w:r w:rsidR="00141245" w:rsidRPr="00847B84">
        <w:rPr>
          <w:lang w:val="en-US"/>
        </w:rPr>
        <w:t xml:space="preserve">as the UNSC remains </w:t>
      </w:r>
      <w:r w:rsidR="00CC5959" w:rsidRPr="00847B84">
        <w:rPr>
          <w:lang w:val="en-US"/>
        </w:rPr>
        <w:t>“</w:t>
      </w:r>
      <w:r w:rsidR="00141245" w:rsidRPr="00847B84">
        <w:rPr>
          <w:lang w:val="en-US"/>
        </w:rPr>
        <w:t>seized of the matter</w:t>
      </w:r>
      <w:r w:rsidR="00CC5959" w:rsidRPr="00847B84">
        <w:rPr>
          <w:lang w:val="en-US"/>
        </w:rPr>
        <w:t>”</w:t>
      </w:r>
      <w:r w:rsidR="00141245" w:rsidRPr="00847B84">
        <w:rPr>
          <w:lang w:val="en-US"/>
        </w:rPr>
        <w:t xml:space="preserve"> underlying Resolution 99997. </w:t>
      </w:r>
      <w:r w:rsidR="00041CBB" w:rsidRPr="00847B84">
        <w:rPr>
          <w:lang w:val="en-US"/>
        </w:rPr>
        <w:t>If</w:t>
      </w:r>
      <w:r w:rsidR="00141245" w:rsidRPr="00847B84">
        <w:rPr>
          <w:lang w:val="en-US"/>
        </w:rPr>
        <w:t xml:space="preserve"> the Court </w:t>
      </w:r>
      <w:r w:rsidR="00041CBB" w:rsidRPr="00847B84">
        <w:rPr>
          <w:lang w:val="en-US"/>
        </w:rPr>
        <w:t>will</w:t>
      </w:r>
      <w:r w:rsidR="00141245" w:rsidRPr="00847B84">
        <w:rPr>
          <w:lang w:val="en-US"/>
        </w:rPr>
        <w:t xml:space="preserve"> take cognizance of the matter, it </w:t>
      </w:r>
      <w:proofErr w:type="gramStart"/>
      <w:r w:rsidR="00141245" w:rsidRPr="00847B84">
        <w:rPr>
          <w:lang w:val="en-US"/>
        </w:rPr>
        <w:t>would</w:t>
      </w:r>
      <w:proofErr w:type="gramEnd"/>
      <w:r w:rsidR="00141245" w:rsidRPr="00847B84">
        <w:rPr>
          <w:lang w:val="en-US"/>
        </w:rPr>
        <w:t xml:space="preserve"> preempt</w:t>
      </w:r>
      <w:r w:rsidR="007A58CD" w:rsidRPr="00847B84">
        <w:rPr>
          <w:lang w:val="en-US"/>
        </w:rPr>
        <w:t xml:space="preserve"> the UNSC</w:t>
      </w:r>
      <w:r w:rsidR="00141245" w:rsidRPr="00847B84">
        <w:rPr>
          <w:lang w:val="en-US"/>
        </w:rPr>
        <w:t xml:space="preserve"> on issues concerning international peace and security.</w:t>
      </w:r>
      <w:r w:rsidR="00754BC7" w:rsidRPr="00847B84">
        <w:rPr>
          <w:lang w:val="en-US"/>
        </w:rPr>
        <w:t> </w:t>
      </w:r>
    </w:p>
    <w:p w14:paraId="2150A870" w14:textId="42F3CF69" w:rsidR="007A58CD" w:rsidRPr="00847B84" w:rsidRDefault="00141245" w:rsidP="007A58CD">
      <w:pPr>
        <w:ind w:firstLine="720"/>
        <w:rPr>
          <w:lang w:val="en-US"/>
        </w:rPr>
      </w:pPr>
      <w:r w:rsidRPr="00847B84">
        <w:rPr>
          <w:lang w:val="en-US"/>
        </w:rPr>
        <w:t xml:space="preserve">Should the Court find that it may exercise jurisdiction, </w:t>
      </w:r>
      <w:r w:rsidR="00754BC7" w:rsidRPr="00847B84">
        <w:rPr>
          <w:lang w:val="en-US"/>
        </w:rPr>
        <w:t xml:space="preserve">Resolution 99997 </w:t>
      </w:r>
      <w:r w:rsidRPr="00847B84">
        <w:rPr>
          <w:lang w:val="en-US"/>
        </w:rPr>
        <w:t>is nevertheless invalid as</w:t>
      </w:r>
      <w:r w:rsidR="00754BC7" w:rsidRPr="00847B84">
        <w:rPr>
          <w:lang w:val="en-US"/>
        </w:rPr>
        <w:t xml:space="preserve"> </w:t>
      </w:r>
      <w:r w:rsidRPr="00847B84">
        <w:rPr>
          <w:lang w:val="en-US"/>
        </w:rPr>
        <w:t xml:space="preserve">the UNSC unlawfully </w:t>
      </w:r>
      <w:r w:rsidR="00754BC7" w:rsidRPr="00847B84">
        <w:rPr>
          <w:lang w:val="en-US"/>
        </w:rPr>
        <w:t>intervene</w:t>
      </w:r>
      <w:r w:rsidRPr="00847B84">
        <w:rPr>
          <w:lang w:val="en-US"/>
        </w:rPr>
        <w:t>d</w:t>
      </w:r>
      <w:r w:rsidR="00754BC7" w:rsidRPr="00847B84">
        <w:rPr>
          <w:lang w:val="en-US"/>
        </w:rPr>
        <w:t xml:space="preserve"> into matters that are essentially within </w:t>
      </w:r>
      <w:proofErr w:type="spellStart"/>
      <w:r w:rsidR="00754BC7" w:rsidRPr="00847B84">
        <w:rPr>
          <w:lang w:val="en-US"/>
        </w:rPr>
        <w:t>Remisia’s</w:t>
      </w:r>
      <w:proofErr w:type="spellEnd"/>
      <w:r w:rsidR="00754BC7" w:rsidRPr="00847B84">
        <w:rPr>
          <w:lang w:val="en-US"/>
        </w:rPr>
        <w:t xml:space="preserve"> domestic jurisdiction.</w:t>
      </w:r>
      <w:r w:rsidR="007A58CD" w:rsidRPr="00847B84">
        <w:rPr>
          <w:lang w:val="en-US"/>
        </w:rPr>
        <w:t xml:space="preserve"> Resolution 99997’s text, the Charter provisions invoked, and the UNSC’s contemporaneous and subsequent acts also </w:t>
      </w:r>
      <w:r w:rsidR="000D7D83" w:rsidRPr="00847B84">
        <w:rPr>
          <w:lang w:val="en-US"/>
        </w:rPr>
        <w:t>show</w:t>
      </w:r>
      <w:r w:rsidR="007A58CD" w:rsidRPr="00847B84">
        <w:rPr>
          <w:lang w:val="en-US"/>
        </w:rPr>
        <w:t xml:space="preserve"> that the UNSC never intended to impose binding </w:t>
      </w:r>
      <w:r w:rsidR="00754BC7" w:rsidRPr="00847B84">
        <w:rPr>
          <w:lang w:val="en-US"/>
        </w:rPr>
        <w:t xml:space="preserve">obligations upon </w:t>
      </w:r>
      <w:proofErr w:type="spellStart"/>
      <w:r w:rsidR="00754BC7" w:rsidRPr="00847B84">
        <w:rPr>
          <w:lang w:val="en-US"/>
        </w:rPr>
        <w:t>Remisia</w:t>
      </w:r>
      <w:proofErr w:type="spellEnd"/>
      <w:r w:rsidR="00754BC7" w:rsidRPr="00847B84">
        <w:rPr>
          <w:lang w:val="en-US"/>
        </w:rPr>
        <w:t xml:space="preserve">. </w:t>
      </w:r>
    </w:p>
    <w:p w14:paraId="35FE6C5F" w14:textId="4CE8297A" w:rsidR="00754BC7" w:rsidRPr="00847B84" w:rsidRDefault="007A58CD" w:rsidP="008254F4">
      <w:pPr>
        <w:ind w:firstLine="720"/>
        <w:rPr>
          <w:lang w:val="en-US"/>
        </w:rPr>
      </w:pPr>
      <w:r w:rsidRPr="00847B84">
        <w:rPr>
          <w:lang w:val="en-US"/>
        </w:rPr>
        <w:lastRenderedPageBreak/>
        <w:t xml:space="preserve">If at all, </w:t>
      </w:r>
      <w:proofErr w:type="spellStart"/>
      <w:r w:rsidRPr="00847B84">
        <w:rPr>
          <w:lang w:val="en-US"/>
        </w:rPr>
        <w:t>Remisia</w:t>
      </w:r>
      <w:proofErr w:type="spellEnd"/>
      <w:r w:rsidRPr="00847B84">
        <w:rPr>
          <w:lang w:val="en-US"/>
        </w:rPr>
        <w:t xml:space="preserve"> is only obliged to </w:t>
      </w:r>
      <w:r w:rsidR="00345F63" w:rsidRPr="00847B84">
        <w:rPr>
          <w:lang w:val="en-US"/>
        </w:rPr>
        <w:t>‘</w:t>
      </w:r>
      <w:r w:rsidRPr="00847B84">
        <w:rPr>
          <w:lang w:val="en-US"/>
        </w:rPr>
        <w:t>cooperate fully</w:t>
      </w:r>
      <w:r w:rsidR="00345F63" w:rsidRPr="00847B84">
        <w:rPr>
          <w:lang w:val="en-US"/>
        </w:rPr>
        <w:t>’</w:t>
      </w:r>
      <w:r w:rsidRPr="00847B84">
        <w:rPr>
          <w:lang w:val="en-US"/>
        </w:rPr>
        <w:t xml:space="preserve"> with</w:t>
      </w:r>
      <w:r w:rsidR="007E5721" w:rsidRPr="00847B84">
        <w:rPr>
          <w:lang w:val="en-US"/>
        </w:rPr>
        <w:t xml:space="preserve"> the </w:t>
      </w:r>
      <w:r w:rsidR="000D7D83" w:rsidRPr="00847B84">
        <w:rPr>
          <w:lang w:val="en-US"/>
        </w:rPr>
        <w:t xml:space="preserve">Investigative </w:t>
      </w:r>
      <w:r w:rsidR="007E5721" w:rsidRPr="00847B84">
        <w:rPr>
          <w:lang w:val="en-US"/>
        </w:rPr>
        <w:t>Mission established under Resolution 99997.</w:t>
      </w:r>
      <w:r w:rsidRPr="00847B84">
        <w:rPr>
          <w:lang w:val="en-US"/>
        </w:rPr>
        <w:t xml:space="preserve"> </w:t>
      </w:r>
      <w:r w:rsidR="007E5721" w:rsidRPr="00847B84">
        <w:rPr>
          <w:lang w:val="en-US"/>
        </w:rPr>
        <w:t xml:space="preserve">Full cooperation, however, </w:t>
      </w:r>
      <w:r w:rsidR="007E5721" w:rsidRPr="00847B84">
        <w:rPr>
          <w:rFonts w:eastAsia="TimesNewRomanPSMT"/>
        </w:rPr>
        <w:t xml:space="preserve">does not </w:t>
      </w:r>
      <w:r w:rsidR="00AB733A" w:rsidRPr="00847B84">
        <w:rPr>
          <w:rFonts w:eastAsia="TimesNewRomanPSMT"/>
        </w:rPr>
        <w:t>require</w:t>
      </w:r>
      <w:r w:rsidR="007E5721" w:rsidRPr="00847B84">
        <w:rPr>
          <w:rFonts w:eastAsia="TimesNewRomanPSMT"/>
        </w:rPr>
        <w:t xml:space="preserve"> the entry of mission members</w:t>
      </w:r>
      <w:r w:rsidR="00AB733A" w:rsidRPr="00847B84">
        <w:rPr>
          <w:rFonts w:eastAsia="TimesNewRomanPSMT"/>
        </w:rPr>
        <w:t xml:space="preserve"> so </w:t>
      </w:r>
      <w:r w:rsidR="007E5721" w:rsidRPr="00847B84">
        <w:rPr>
          <w:rFonts w:eastAsia="TimesNewRomanPSMT"/>
        </w:rPr>
        <w:t xml:space="preserve">long as the purpose of </w:t>
      </w:r>
      <w:r w:rsidR="000D7D83" w:rsidRPr="00847B84">
        <w:rPr>
          <w:rFonts w:eastAsia="TimesNewRomanPSMT"/>
        </w:rPr>
        <w:t>the</w:t>
      </w:r>
      <w:r w:rsidR="007E5721" w:rsidRPr="00847B84">
        <w:rPr>
          <w:rFonts w:eastAsia="TimesNewRomanPSMT"/>
        </w:rPr>
        <w:t xml:space="preserve"> </w:t>
      </w:r>
      <w:r w:rsidR="000D7D83" w:rsidRPr="00847B84">
        <w:rPr>
          <w:rFonts w:eastAsia="TimesNewRomanPSMT"/>
        </w:rPr>
        <w:t>Mission</w:t>
      </w:r>
      <w:r w:rsidR="007E5721" w:rsidRPr="00847B84">
        <w:rPr>
          <w:rFonts w:eastAsia="TimesNewRomanPSMT"/>
        </w:rPr>
        <w:t xml:space="preserve"> can be achieved through other means</w:t>
      </w:r>
      <w:r w:rsidR="000D7D83" w:rsidRPr="00847B84">
        <w:rPr>
          <w:rFonts w:eastAsia="TimesNewRomanPSMT"/>
        </w:rPr>
        <w:t xml:space="preserve"> (</w:t>
      </w:r>
      <w:r w:rsidR="000D7D83" w:rsidRPr="00847B84">
        <w:rPr>
          <w:rFonts w:eastAsia="TimesNewRomanPSMT"/>
          <w:i/>
          <w:iCs/>
        </w:rPr>
        <w:t>e.g.</w:t>
      </w:r>
      <w:r w:rsidR="000D7D83" w:rsidRPr="00847B84">
        <w:rPr>
          <w:rFonts w:eastAsia="TimesNewRomanPSMT"/>
        </w:rPr>
        <w:t>, providing information and documents), as is the case here</w:t>
      </w:r>
      <w:r w:rsidR="007E5721" w:rsidRPr="00847B84">
        <w:rPr>
          <w:rFonts w:eastAsia="TimesNewRomanPSMT"/>
        </w:rPr>
        <w:t xml:space="preserve">. </w:t>
      </w:r>
    </w:p>
    <w:p w14:paraId="6CF1F830" w14:textId="77777777" w:rsidR="00754BC7" w:rsidRPr="00847B84" w:rsidRDefault="00754BC7" w:rsidP="00754BC7">
      <w:pPr>
        <w:ind w:firstLine="360"/>
        <w:rPr>
          <w:lang w:val="en-US"/>
        </w:rPr>
      </w:pPr>
    </w:p>
    <w:p w14:paraId="647693FB" w14:textId="77777777" w:rsidR="00754BC7" w:rsidRPr="00847B84" w:rsidRDefault="00754BC7" w:rsidP="00754BC7">
      <w:pPr>
        <w:spacing w:after="0" w:line="240" w:lineRule="auto"/>
        <w:jc w:val="left"/>
        <w:rPr>
          <w:lang w:val="en-US"/>
        </w:rPr>
      </w:pPr>
    </w:p>
    <w:p w14:paraId="3A4CEBF0" w14:textId="1F176C5B" w:rsidR="005A62A6" w:rsidRPr="00847B84" w:rsidRDefault="005A62A6" w:rsidP="005A62A6">
      <w:pPr>
        <w:ind w:firstLine="720"/>
      </w:pPr>
    </w:p>
    <w:p w14:paraId="340430C7" w14:textId="77777777" w:rsidR="005A62A6" w:rsidRPr="00847B84" w:rsidRDefault="005A62A6" w:rsidP="005A62A6"/>
    <w:p w14:paraId="1FD00CED" w14:textId="77777777" w:rsidR="005A62A6" w:rsidRPr="00847B84" w:rsidRDefault="005A62A6" w:rsidP="005A62A6"/>
    <w:p w14:paraId="0B8C9048" w14:textId="77777777" w:rsidR="005A62A6" w:rsidRPr="00847B84" w:rsidRDefault="005A62A6" w:rsidP="005A62A6">
      <w:pPr>
        <w:rPr>
          <w:caps/>
        </w:rPr>
        <w:sectPr w:rsidR="005A62A6" w:rsidRPr="00847B84" w:rsidSect="00F729F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fmt="lowerRoman" w:start="1"/>
          <w:cols w:space="720"/>
          <w:docGrid w:linePitch="360"/>
        </w:sectPr>
      </w:pPr>
    </w:p>
    <w:p w14:paraId="2A87C5C4" w14:textId="77777777" w:rsidR="005A62A6" w:rsidRPr="00847B84" w:rsidRDefault="005A62A6" w:rsidP="005A62A6">
      <w:pPr>
        <w:pStyle w:val="Heading1"/>
      </w:pPr>
      <w:bookmarkStart w:id="25" w:name="_Toc92780820"/>
      <w:bookmarkStart w:id="26" w:name="_Toc92907299"/>
      <w:bookmarkStart w:id="27" w:name="_Toc92947727"/>
      <w:bookmarkStart w:id="28" w:name="_Toc92949302"/>
      <w:bookmarkStart w:id="29" w:name="_Toc156019705"/>
      <w:r w:rsidRPr="00847B84">
        <w:lastRenderedPageBreak/>
        <w:t>PLEADINGS</w:t>
      </w:r>
      <w:bookmarkEnd w:id="25"/>
      <w:bookmarkEnd w:id="26"/>
      <w:bookmarkEnd w:id="27"/>
      <w:bookmarkEnd w:id="28"/>
      <w:bookmarkEnd w:id="29"/>
    </w:p>
    <w:p w14:paraId="35BABF1B" w14:textId="0BBFBDF8" w:rsidR="005A62A6" w:rsidRPr="00847B84" w:rsidRDefault="00A007DD" w:rsidP="00C57840">
      <w:pPr>
        <w:pStyle w:val="Heading2"/>
        <w:numPr>
          <w:ilvl w:val="0"/>
          <w:numId w:val="95"/>
        </w:numPr>
        <w:ind w:left="360" w:hanging="360"/>
      </w:pPr>
      <w:bookmarkStart w:id="30" w:name="_Toc156019706"/>
      <w:r w:rsidRPr="00847B84">
        <w:t xml:space="preserve">Antrano </w:t>
      </w:r>
      <w:r w:rsidR="00E02FCB" w:rsidRPr="00847B84">
        <w:t>lacks standing to bring the matter of the deprivation of nationality of the “Sterren Forty” to this Court.</w:t>
      </w:r>
      <w:bookmarkEnd w:id="30"/>
      <w:r w:rsidR="005A62A6" w:rsidRPr="00847B84">
        <w:t xml:space="preserve"> </w:t>
      </w:r>
    </w:p>
    <w:p w14:paraId="3FA406AC" w14:textId="25171BF8" w:rsidR="006578A7" w:rsidRPr="00847B84" w:rsidRDefault="006578A7" w:rsidP="006578A7">
      <w:pPr>
        <w:ind w:firstLine="720"/>
        <w:rPr>
          <w:color w:val="000000" w:themeColor="text1"/>
          <w:lang w:val="en-US"/>
        </w:rPr>
      </w:pPr>
      <w:r w:rsidRPr="00847B84">
        <w:rPr>
          <w:lang w:val="en-US"/>
        </w:rPr>
        <w:t>Standing before th</w:t>
      </w:r>
      <w:r w:rsidR="00393ABB" w:rsidRPr="00847B84">
        <w:rPr>
          <w:lang w:val="en-US"/>
        </w:rPr>
        <w:t>is</w:t>
      </w:r>
      <w:r w:rsidRPr="00847B84">
        <w:rPr>
          <w:lang w:val="en-US"/>
        </w:rPr>
        <w:t xml:space="preserve"> </w:t>
      </w:r>
      <w:r w:rsidR="00393ABB" w:rsidRPr="00847B84">
        <w:rPr>
          <w:lang w:val="en-US"/>
        </w:rPr>
        <w:t>Court</w:t>
      </w:r>
      <w:r w:rsidRPr="00847B84">
        <w:rPr>
          <w:lang w:val="en-US"/>
        </w:rPr>
        <w:t xml:space="preserve"> pertains to a State’s right to bring a claim against another State for a breach of an international obligation.</w:t>
      </w:r>
      <w:r w:rsidRPr="00847B84">
        <w:rPr>
          <w:rStyle w:val="FootnoteReference"/>
          <w:lang w:val="en-US"/>
        </w:rPr>
        <w:footnoteReference w:id="1"/>
      </w:r>
      <w:r w:rsidRPr="00847B84">
        <w:rPr>
          <w:lang w:val="en-US"/>
        </w:rPr>
        <w:t xml:space="preserve"> </w:t>
      </w:r>
      <w:r w:rsidRPr="00847B84">
        <w:rPr>
          <w:color w:val="000000" w:themeColor="text1"/>
          <w:lang w:val="en-US"/>
        </w:rPr>
        <w:t>Without standing, a State’s claim is inadmissible.</w:t>
      </w:r>
      <w:r w:rsidRPr="00847B84">
        <w:rPr>
          <w:rStyle w:val="FootnoteReference"/>
          <w:color w:val="000000" w:themeColor="text1"/>
          <w:lang w:val="en-US"/>
        </w:rPr>
        <w:footnoteReference w:id="2"/>
      </w:r>
      <w:r w:rsidRPr="00847B84">
        <w:rPr>
          <w:color w:val="000000" w:themeColor="text1"/>
          <w:lang w:val="en-US"/>
        </w:rPr>
        <w:t xml:space="preserve"> </w:t>
      </w:r>
    </w:p>
    <w:p w14:paraId="12A0D9DE" w14:textId="3E7FA0AB" w:rsidR="006578A7" w:rsidRPr="00847B84" w:rsidRDefault="00A9717C" w:rsidP="006578A7">
      <w:pPr>
        <w:ind w:firstLine="720"/>
        <w:rPr>
          <w:color w:val="000000" w:themeColor="text1"/>
          <w:lang w:val="en-US"/>
        </w:rPr>
      </w:pPr>
      <w:r w:rsidRPr="00847B84">
        <w:rPr>
          <w:color w:val="000000" w:themeColor="text1"/>
          <w:lang w:val="en-US"/>
        </w:rPr>
        <w:t>Custom permits a State</w:t>
      </w:r>
      <w:r w:rsidR="006578A7" w:rsidRPr="00847B84">
        <w:rPr>
          <w:color w:val="000000" w:themeColor="text1"/>
          <w:lang w:val="en-US"/>
        </w:rPr>
        <w:t xml:space="preserve"> to bring a claim against another State for breaches of international obligations if </w:t>
      </w:r>
      <w:r w:rsidR="008254F4" w:rsidRPr="00847B84">
        <w:rPr>
          <w:color w:val="000000" w:themeColor="text1"/>
          <w:lang w:val="en-US"/>
        </w:rPr>
        <w:t>it</w:t>
      </w:r>
      <w:r w:rsidR="006578A7" w:rsidRPr="00847B84">
        <w:rPr>
          <w:color w:val="000000" w:themeColor="text1"/>
          <w:lang w:val="en-US"/>
        </w:rPr>
        <w:t xml:space="preserve"> is</w:t>
      </w:r>
      <w:r w:rsidR="00310ADB" w:rsidRPr="00847B84">
        <w:rPr>
          <w:color w:val="000000" w:themeColor="text1"/>
          <w:lang w:val="en-US"/>
        </w:rPr>
        <w:t xml:space="preserve"> </w:t>
      </w:r>
      <w:r w:rsidR="006578A7" w:rsidRPr="00847B84">
        <w:rPr>
          <w:color w:val="000000" w:themeColor="text1"/>
          <w:lang w:val="en-US"/>
        </w:rPr>
        <w:t>directly</w:t>
      </w:r>
      <w:r w:rsidR="00310ADB" w:rsidRPr="00847B84">
        <w:rPr>
          <w:color w:val="000000" w:themeColor="text1"/>
          <w:lang w:val="en-US"/>
        </w:rPr>
        <w:t xml:space="preserve"> </w:t>
      </w:r>
      <w:r w:rsidR="006578A7" w:rsidRPr="00847B84">
        <w:rPr>
          <w:color w:val="000000" w:themeColor="text1"/>
          <w:lang w:val="en-US"/>
        </w:rPr>
        <w:t>injured by such breach.</w:t>
      </w:r>
      <w:r w:rsidR="0054380C" w:rsidRPr="00847B84">
        <w:rPr>
          <w:rStyle w:val="FootnoteReference"/>
          <w:color w:val="000000" w:themeColor="text1"/>
          <w:lang w:val="en-US"/>
        </w:rPr>
        <w:footnoteReference w:id="3"/>
      </w:r>
      <w:r w:rsidR="00DD2428" w:rsidRPr="00847B84">
        <w:rPr>
          <w:color w:val="000000" w:themeColor="text1"/>
          <w:lang w:val="en-US"/>
        </w:rPr>
        <w:t xml:space="preserve"> </w:t>
      </w:r>
      <w:r w:rsidR="006578A7" w:rsidRPr="00847B84">
        <w:rPr>
          <w:color w:val="000000" w:themeColor="text1"/>
          <w:lang w:val="en-US"/>
        </w:rPr>
        <w:t>[</w:t>
      </w:r>
      <w:r w:rsidR="006578A7" w:rsidRPr="00847B84">
        <w:rPr>
          <w:b/>
          <w:bCs/>
          <w:color w:val="000000" w:themeColor="text1"/>
          <w:lang w:val="en-US"/>
        </w:rPr>
        <w:t>A</w:t>
      </w:r>
      <w:r w:rsidR="006578A7" w:rsidRPr="00847B84">
        <w:rPr>
          <w:color w:val="000000" w:themeColor="text1"/>
          <w:lang w:val="en-US"/>
        </w:rPr>
        <w:t>]</w:t>
      </w:r>
      <w:r w:rsidR="009346C1" w:rsidRPr="00847B84">
        <w:rPr>
          <w:color w:val="000000" w:themeColor="text1"/>
          <w:lang w:val="en-US"/>
        </w:rPr>
        <w:t xml:space="preserve"> </w:t>
      </w:r>
      <w:r w:rsidR="00DD2428" w:rsidRPr="00847B84">
        <w:rPr>
          <w:color w:val="000000" w:themeColor="text1"/>
          <w:lang w:val="en-US"/>
        </w:rPr>
        <w:t xml:space="preserve">The Republic of </w:t>
      </w:r>
      <w:proofErr w:type="spellStart"/>
      <w:r w:rsidR="008254F4" w:rsidRPr="00847B84">
        <w:rPr>
          <w:color w:val="000000" w:themeColor="text1"/>
          <w:lang w:val="en-US"/>
        </w:rPr>
        <w:t>Antrano</w:t>
      </w:r>
      <w:proofErr w:type="spellEnd"/>
      <w:r w:rsidR="00DD2428" w:rsidRPr="00847B84">
        <w:rPr>
          <w:color w:val="000000" w:themeColor="text1"/>
          <w:lang w:val="en-US"/>
        </w:rPr>
        <w:t xml:space="preserve"> [“</w:t>
      </w:r>
      <w:proofErr w:type="spellStart"/>
      <w:r w:rsidR="00DD2428" w:rsidRPr="00847B84">
        <w:rPr>
          <w:b/>
          <w:bCs/>
          <w:color w:val="000000" w:themeColor="text1"/>
          <w:lang w:val="en-US"/>
        </w:rPr>
        <w:t>Antrano</w:t>
      </w:r>
      <w:proofErr w:type="spellEnd"/>
      <w:r w:rsidR="00DD2428" w:rsidRPr="00847B84">
        <w:rPr>
          <w:color w:val="000000" w:themeColor="text1"/>
          <w:lang w:val="en-US"/>
        </w:rPr>
        <w:t>”]</w:t>
      </w:r>
      <w:r w:rsidR="008254F4" w:rsidRPr="00847B84">
        <w:rPr>
          <w:color w:val="000000" w:themeColor="text1"/>
          <w:lang w:val="en-US"/>
        </w:rPr>
        <w:t xml:space="preserve"> is not</w:t>
      </w:r>
      <w:r w:rsidR="006578A7" w:rsidRPr="00847B84">
        <w:rPr>
          <w:color w:val="000000" w:themeColor="text1"/>
          <w:lang w:val="en-US"/>
        </w:rPr>
        <w:t>, however, a directly</w:t>
      </w:r>
      <w:r w:rsidR="00310ADB" w:rsidRPr="00847B84">
        <w:rPr>
          <w:color w:val="000000" w:themeColor="text1"/>
          <w:lang w:val="en-US"/>
        </w:rPr>
        <w:t xml:space="preserve"> </w:t>
      </w:r>
      <w:r w:rsidR="006578A7" w:rsidRPr="00847B84">
        <w:rPr>
          <w:color w:val="000000" w:themeColor="text1"/>
          <w:lang w:val="en-US"/>
        </w:rPr>
        <w:t>injured State.</w:t>
      </w:r>
      <w:r w:rsidR="00AD0FC2" w:rsidRPr="00847B84">
        <w:rPr>
          <w:color w:val="000000" w:themeColor="text1"/>
          <w:lang w:val="en-US"/>
        </w:rPr>
        <w:t xml:space="preserve"> </w:t>
      </w:r>
      <w:r w:rsidR="006578A7" w:rsidRPr="00847B84">
        <w:rPr>
          <w:color w:val="000000" w:themeColor="text1"/>
          <w:lang w:val="en-US"/>
        </w:rPr>
        <w:t xml:space="preserve">While </w:t>
      </w:r>
      <w:proofErr w:type="spellStart"/>
      <w:r w:rsidR="006578A7" w:rsidRPr="00847B84">
        <w:rPr>
          <w:color w:val="000000" w:themeColor="text1"/>
          <w:lang w:val="en-US"/>
        </w:rPr>
        <w:t>Antrano</w:t>
      </w:r>
      <w:proofErr w:type="spellEnd"/>
      <w:r w:rsidR="006578A7" w:rsidRPr="00847B84">
        <w:rPr>
          <w:color w:val="000000" w:themeColor="text1"/>
          <w:lang w:val="en-US"/>
        </w:rPr>
        <w:t xml:space="preserve"> might claim standing based on </w:t>
      </w:r>
      <w:proofErr w:type="spellStart"/>
      <w:r w:rsidR="006578A7" w:rsidRPr="00847B84">
        <w:rPr>
          <w:i/>
          <w:iCs/>
          <w:color w:val="000000" w:themeColor="text1"/>
          <w:lang w:val="en-US"/>
        </w:rPr>
        <w:t>actio</w:t>
      </w:r>
      <w:proofErr w:type="spellEnd"/>
      <w:r w:rsidR="006578A7" w:rsidRPr="00847B84">
        <w:rPr>
          <w:i/>
          <w:iCs/>
          <w:color w:val="000000" w:themeColor="text1"/>
          <w:lang w:val="en-US"/>
        </w:rPr>
        <w:t xml:space="preserve"> </w:t>
      </w:r>
      <w:proofErr w:type="spellStart"/>
      <w:r w:rsidR="006578A7" w:rsidRPr="00847B84">
        <w:rPr>
          <w:i/>
          <w:iCs/>
          <w:color w:val="000000" w:themeColor="text1"/>
          <w:lang w:val="en-US"/>
        </w:rPr>
        <w:t>popularis</w:t>
      </w:r>
      <w:proofErr w:type="spellEnd"/>
      <w:r w:rsidR="006578A7" w:rsidRPr="00847B84">
        <w:rPr>
          <w:color w:val="000000" w:themeColor="text1"/>
          <w:lang w:val="en-US"/>
        </w:rPr>
        <w:t>, [</w:t>
      </w:r>
      <w:r w:rsidR="006578A7" w:rsidRPr="00847B84">
        <w:rPr>
          <w:b/>
          <w:bCs/>
          <w:color w:val="000000" w:themeColor="text1"/>
          <w:lang w:val="en-US"/>
        </w:rPr>
        <w:t>B</w:t>
      </w:r>
      <w:r w:rsidR="006578A7" w:rsidRPr="00847B84">
        <w:rPr>
          <w:color w:val="000000" w:themeColor="text1"/>
          <w:lang w:val="en-US"/>
        </w:rPr>
        <w:t xml:space="preserve">] </w:t>
      </w:r>
      <w:proofErr w:type="spellStart"/>
      <w:r w:rsidR="006578A7" w:rsidRPr="00847B84">
        <w:rPr>
          <w:i/>
          <w:iCs/>
          <w:color w:val="000000" w:themeColor="text1"/>
          <w:lang w:val="en-US"/>
        </w:rPr>
        <w:t>actio</w:t>
      </w:r>
      <w:proofErr w:type="spellEnd"/>
      <w:r w:rsidR="006578A7" w:rsidRPr="00847B84">
        <w:rPr>
          <w:i/>
          <w:iCs/>
          <w:color w:val="000000" w:themeColor="text1"/>
          <w:lang w:val="en-US"/>
        </w:rPr>
        <w:t xml:space="preserve"> </w:t>
      </w:r>
      <w:proofErr w:type="spellStart"/>
      <w:r w:rsidR="006578A7" w:rsidRPr="00847B84">
        <w:rPr>
          <w:i/>
          <w:iCs/>
          <w:color w:val="000000" w:themeColor="text1"/>
          <w:lang w:val="en-US"/>
        </w:rPr>
        <w:t>popularis</w:t>
      </w:r>
      <w:proofErr w:type="spellEnd"/>
      <w:r w:rsidR="006578A7" w:rsidRPr="00847B84">
        <w:rPr>
          <w:color w:val="000000" w:themeColor="text1"/>
          <w:lang w:val="en-US"/>
        </w:rPr>
        <w:t xml:space="preserve"> </w:t>
      </w:r>
      <w:r w:rsidR="00BD00A0" w:rsidRPr="00847B84">
        <w:rPr>
          <w:color w:val="000000" w:themeColor="text1"/>
          <w:lang w:val="en-US"/>
        </w:rPr>
        <w:t xml:space="preserve">is </w:t>
      </w:r>
      <w:r w:rsidR="006578A7" w:rsidRPr="00847B84">
        <w:rPr>
          <w:color w:val="000000" w:themeColor="text1"/>
          <w:lang w:val="en-US"/>
        </w:rPr>
        <w:t xml:space="preserve">neither customary nor a general principle of law and, in any event, </w:t>
      </w:r>
      <w:r w:rsidR="00393ABB" w:rsidRPr="00847B84">
        <w:rPr>
          <w:color w:val="000000" w:themeColor="text1"/>
          <w:lang w:val="en-US"/>
        </w:rPr>
        <w:t xml:space="preserve">finds </w:t>
      </w:r>
      <w:r w:rsidR="006578A7" w:rsidRPr="00847B84">
        <w:rPr>
          <w:color w:val="000000" w:themeColor="text1"/>
          <w:lang w:val="en-US"/>
        </w:rPr>
        <w:t>no application here. Finally, [</w:t>
      </w:r>
      <w:r w:rsidR="006578A7" w:rsidRPr="00847B84">
        <w:rPr>
          <w:b/>
          <w:bCs/>
          <w:color w:val="000000" w:themeColor="text1"/>
          <w:lang w:val="en-US"/>
        </w:rPr>
        <w:t>C</w:t>
      </w:r>
      <w:r w:rsidR="006578A7" w:rsidRPr="00847B84">
        <w:rPr>
          <w:color w:val="000000" w:themeColor="text1"/>
          <w:lang w:val="en-US"/>
        </w:rPr>
        <w:t xml:space="preserve">] </w:t>
      </w:r>
      <w:proofErr w:type="spellStart"/>
      <w:r w:rsidR="006578A7" w:rsidRPr="00847B84">
        <w:rPr>
          <w:color w:val="000000" w:themeColor="text1"/>
          <w:lang w:val="en-US"/>
        </w:rPr>
        <w:t>Antrano</w:t>
      </w:r>
      <w:proofErr w:type="spellEnd"/>
      <w:r w:rsidR="006578A7" w:rsidRPr="00847B84">
        <w:rPr>
          <w:color w:val="000000" w:themeColor="text1"/>
          <w:lang w:val="en-US"/>
        </w:rPr>
        <w:t xml:space="preserve"> has no right to exercise diplomatic protection over the </w:t>
      </w:r>
      <w:proofErr w:type="spellStart"/>
      <w:r w:rsidR="006578A7" w:rsidRPr="00847B84">
        <w:rPr>
          <w:color w:val="000000" w:themeColor="text1"/>
          <w:lang w:val="en-US"/>
        </w:rPr>
        <w:t>Sterren</w:t>
      </w:r>
      <w:proofErr w:type="spellEnd"/>
      <w:r w:rsidR="006578A7" w:rsidRPr="00847B84">
        <w:rPr>
          <w:color w:val="000000" w:themeColor="text1"/>
          <w:lang w:val="en-US"/>
        </w:rPr>
        <w:t xml:space="preserve"> Forty.</w:t>
      </w:r>
    </w:p>
    <w:p w14:paraId="3FD2C3E9" w14:textId="77777777" w:rsidR="006578A7" w:rsidRPr="00847B84" w:rsidRDefault="006578A7" w:rsidP="00B07AD7">
      <w:pPr>
        <w:pStyle w:val="Heading3"/>
      </w:pPr>
      <w:bookmarkStart w:id="31" w:name="_Toc156019707"/>
      <w:proofErr w:type="spellStart"/>
      <w:r w:rsidRPr="00847B84">
        <w:t>Antrano</w:t>
      </w:r>
      <w:proofErr w:type="spellEnd"/>
      <w:r w:rsidRPr="00847B84">
        <w:t xml:space="preserve"> is not a directly injured State.</w:t>
      </w:r>
      <w:bookmarkEnd w:id="31"/>
    </w:p>
    <w:p w14:paraId="13B28635" w14:textId="77777777" w:rsidR="006578A7" w:rsidRPr="00847B84" w:rsidRDefault="006578A7" w:rsidP="00B07AD7">
      <w:pPr>
        <w:pStyle w:val="Heading4"/>
        <w:rPr>
          <w:lang w:val="en-US"/>
        </w:rPr>
      </w:pPr>
      <w:bookmarkStart w:id="32" w:name="_Toc156019708"/>
      <w:proofErr w:type="spellStart"/>
      <w:r w:rsidRPr="00847B84">
        <w:rPr>
          <w:lang w:val="en-US"/>
        </w:rPr>
        <w:t>Antrano</w:t>
      </w:r>
      <w:proofErr w:type="spellEnd"/>
      <w:r w:rsidRPr="00847B84">
        <w:rPr>
          <w:lang w:val="en-US"/>
        </w:rPr>
        <w:t xml:space="preserve"> is not a directly injured State under Article 42(a) of the Articles on the Responsibility of </w:t>
      </w:r>
      <w:r w:rsidRPr="00847B84">
        <w:t>States</w:t>
      </w:r>
      <w:r w:rsidRPr="00847B84">
        <w:rPr>
          <w:lang w:val="en-US"/>
        </w:rPr>
        <w:t xml:space="preserve"> for </w:t>
      </w:r>
      <w:r w:rsidRPr="00847B84">
        <w:t>Internationally</w:t>
      </w:r>
      <w:r w:rsidRPr="00847B84">
        <w:rPr>
          <w:lang w:val="en-US"/>
        </w:rPr>
        <w:t xml:space="preserve"> Wrongful Acts [“ARSIWA”].</w:t>
      </w:r>
      <w:bookmarkEnd w:id="32"/>
    </w:p>
    <w:p w14:paraId="42D35A73" w14:textId="1875C29E" w:rsidR="006578A7" w:rsidRPr="00847B84" w:rsidRDefault="006578A7" w:rsidP="006578A7">
      <w:pPr>
        <w:ind w:firstLine="709"/>
        <w:rPr>
          <w:lang w:val="en-US"/>
        </w:rPr>
      </w:pPr>
      <w:r w:rsidRPr="00847B84">
        <w:rPr>
          <w:lang w:val="en-US"/>
        </w:rPr>
        <w:t>Article 42(a) of the ARSIWA, which reflects custom,</w:t>
      </w:r>
      <w:r w:rsidR="004567C3" w:rsidRPr="00847B84">
        <w:rPr>
          <w:rStyle w:val="FootnoteReference"/>
          <w:lang w:val="en-US"/>
        </w:rPr>
        <w:footnoteReference w:id="4"/>
      </w:r>
      <w:r w:rsidRPr="00847B84">
        <w:rPr>
          <w:lang w:val="en-US"/>
        </w:rPr>
        <w:t xml:space="preserve"> entitles a State to invoke the responsibility of another State</w:t>
      </w:r>
      <w:r w:rsidR="00310ADB" w:rsidRPr="00847B84">
        <w:rPr>
          <w:lang w:val="en-US"/>
        </w:rPr>
        <w:t xml:space="preserve"> </w:t>
      </w:r>
      <w:r w:rsidRPr="00847B84">
        <w:rPr>
          <w:lang w:val="en-US"/>
        </w:rPr>
        <w:t>if the</w:t>
      </w:r>
      <w:r w:rsidR="00310ADB" w:rsidRPr="00847B84">
        <w:rPr>
          <w:lang w:val="en-US"/>
        </w:rPr>
        <w:t xml:space="preserve"> </w:t>
      </w:r>
      <w:r w:rsidRPr="00847B84">
        <w:rPr>
          <w:lang w:val="en-US"/>
        </w:rPr>
        <w:t>obligation breached is owed to that State individually.</w:t>
      </w:r>
      <w:r w:rsidR="00A87B16" w:rsidRPr="00847B84">
        <w:rPr>
          <w:lang w:val="en-US"/>
        </w:rPr>
        <w:t xml:space="preserve"> </w:t>
      </w:r>
      <w:r w:rsidRPr="00847B84">
        <w:rPr>
          <w:lang w:val="en-US"/>
        </w:rPr>
        <w:t xml:space="preserve">Here, </w:t>
      </w:r>
      <w:proofErr w:type="spellStart"/>
      <w:r w:rsidRPr="00847B84">
        <w:rPr>
          <w:lang w:val="en-US"/>
        </w:rPr>
        <w:t>Antrano’s</w:t>
      </w:r>
      <w:proofErr w:type="spellEnd"/>
      <w:r w:rsidRPr="00847B84">
        <w:rPr>
          <w:lang w:val="en-US"/>
        </w:rPr>
        <w:t xml:space="preserve"> claims are anchored on human rights obligations owed to individuals</w:t>
      </w:r>
      <w:r w:rsidRPr="00847B84">
        <w:rPr>
          <w:rStyle w:val="FootnoteReference"/>
          <w:lang w:val="en-US"/>
        </w:rPr>
        <w:footnoteReference w:id="5"/>
      </w:r>
      <w:r w:rsidRPr="00847B84">
        <w:rPr>
          <w:lang w:val="en-US"/>
        </w:rPr>
        <w:t xml:space="preserve"> </w:t>
      </w:r>
      <w:r w:rsidR="00B21839" w:rsidRPr="00847B84">
        <w:rPr>
          <w:lang w:val="en-US"/>
        </w:rPr>
        <w:t xml:space="preserve">and </w:t>
      </w:r>
      <w:r w:rsidRPr="00847B84">
        <w:rPr>
          <w:lang w:val="en-US"/>
        </w:rPr>
        <w:t xml:space="preserve">not to any </w:t>
      </w:r>
      <w:proofErr w:type="gramStart"/>
      <w:r w:rsidRPr="00847B84">
        <w:rPr>
          <w:lang w:val="en-US"/>
        </w:rPr>
        <w:t>particular State</w:t>
      </w:r>
      <w:proofErr w:type="gramEnd"/>
      <w:r w:rsidRPr="00847B84">
        <w:rPr>
          <w:lang w:val="en-US"/>
        </w:rPr>
        <w:t xml:space="preserve">. Consequently, </w:t>
      </w:r>
      <w:proofErr w:type="spellStart"/>
      <w:r w:rsidRPr="00847B84">
        <w:rPr>
          <w:lang w:val="en-US"/>
        </w:rPr>
        <w:t>Antrano</w:t>
      </w:r>
      <w:proofErr w:type="spellEnd"/>
      <w:r w:rsidRPr="00847B84">
        <w:rPr>
          <w:lang w:val="en-US"/>
        </w:rPr>
        <w:t xml:space="preserve"> </w:t>
      </w:r>
      <w:r w:rsidR="00B21839" w:rsidRPr="00847B84">
        <w:rPr>
          <w:lang w:val="en-US"/>
        </w:rPr>
        <w:t xml:space="preserve">cannot claim </w:t>
      </w:r>
      <w:r w:rsidRPr="00847B84">
        <w:rPr>
          <w:lang w:val="en-US"/>
        </w:rPr>
        <w:t>standing under Article 42(a).</w:t>
      </w:r>
    </w:p>
    <w:p w14:paraId="4141B449" w14:textId="77777777" w:rsidR="006578A7" w:rsidRPr="00847B84" w:rsidRDefault="006578A7" w:rsidP="00B07AD7">
      <w:pPr>
        <w:pStyle w:val="Heading4"/>
      </w:pPr>
      <w:bookmarkStart w:id="33" w:name="_Toc156019709"/>
      <w:proofErr w:type="spellStart"/>
      <w:r w:rsidRPr="00847B84">
        <w:t>Antrano</w:t>
      </w:r>
      <w:proofErr w:type="spellEnd"/>
      <w:r w:rsidRPr="00847B84">
        <w:t xml:space="preserve"> is not an injured State under Article 42(b)(</w:t>
      </w:r>
      <w:proofErr w:type="spellStart"/>
      <w:r w:rsidRPr="00847B84">
        <w:t>i</w:t>
      </w:r>
      <w:proofErr w:type="spellEnd"/>
      <w:r w:rsidRPr="00847B84">
        <w:t>) of ARSIWA.</w:t>
      </w:r>
      <w:bookmarkEnd w:id="33"/>
    </w:p>
    <w:p w14:paraId="10AE2B71" w14:textId="1578D37C" w:rsidR="006578A7" w:rsidRPr="00847B84" w:rsidRDefault="006578A7" w:rsidP="006578A7">
      <w:pPr>
        <w:ind w:firstLine="709"/>
      </w:pPr>
      <w:r w:rsidRPr="00847B84">
        <w:lastRenderedPageBreak/>
        <w:t>Article 42(b)(</w:t>
      </w:r>
      <w:proofErr w:type="spellStart"/>
      <w:r w:rsidRPr="00847B84">
        <w:t>i</w:t>
      </w:r>
      <w:proofErr w:type="spellEnd"/>
      <w:r w:rsidRPr="00847B84">
        <w:t>) of the ARSIWA, which also reflects custom,</w:t>
      </w:r>
      <w:r w:rsidRPr="00847B84">
        <w:rPr>
          <w:rStyle w:val="FootnoteReference"/>
        </w:rPr>
        <w:footnoteReference w:id="6"/>
      </w:r>
      <w:r w:rsidRPr="00847B84">
        <w:t xml:space="preserve"> allows a State to invoke the responsibility of another State when the former is specially affected by the latter’s breach of collective obligations (</w:t>
      </w:r>
      <w:r w:rsidRPr="00847B84">
        <w:rPr>
          <w:i/>
          <w:iCs/>
        </w:rPr>
        <w:t>i.e.</w:t>
      </w:r>
      <w:r w:rsidRPr="00847B84">
        <w:t>,</w:t>
      </w:r>
      <w:r w:rsidRPr="00847B84">
        <w:rPr>
          <w:i/>
          <w:iCs/>
        </w:rPr>
        <w:t xml:space="preserve"> </w:t>
      </w:r>
      <w:proofErr w:type="spellStart"/>
      <w:r w:rsidRPr="00847B84">
        <w:rPr>
          <w:i/>
          <w:iCs/>
        </w:rPr>
        <w:t>erga</w:t>
      </w:r>
      <w:proofErr w:type="spellEnd"/>
      <w:r w:rsidRPr="00847B84">
        <w:rPr>
          <w:i/>
          <w:iCs/>
        </w:rPr>
        <w:t xml:space="preserve"> omnes </w:t>
      </w:r>
      <w:r w:rsidRPr="00847B84">
        <w:t xml:space="preserve">and </w:t>
      </w:r>
      <w:proofErr w:type="spellStart"/>
      <w:r w:rsidRPr="00847B84">
        <w:rPr>
          <w:i/>
          <w:iCs/>
        </w:rPr>
        <w:t>erga</w:t>
      </w:r>
      <w:proofErr w:type="spellEnd"/>
      <w:r w:rsidRPr="00847B84">
        <w:rPr>
          <w:i/>
          <w:iCs/>
        </w:rPr>
        <w:t xml:space="preserve"> omnes </w:t>
      </w:r>
      <w:proofErr w:type="spellStart"/>
      <w:r w:rsidRPr="00847B84">
        <w:rPr>
          <w:i/>
          <w:iCs/>
        </w:rPr>
        <w:t>partes</w:t>
      </w:r>
      <w:proofErr w:type="spellEnd"/>
      <w:r w:rsidRPr="00847B84">
        <w:t>).</w:t>
      </w:r>
      <w:bookmarkStart w:id="34" w:name="_Ref156017698"/>
      <w:r w:rsidRPr="00847B84">
        <w:rPr>
          <w:rStyle w:val="FootnoteReference"/>
        </w:rPr>
        <w:footnoteReference w:id="7"/>
      </w:r>
      <w:bookmarkEnd w:id="34"/>
      <w:r w:rsidRPr="00847B84">
        <w:t xml:space="preserve"> Here, </w:t>
      </w:r>
      <w:proofErr w:type="spellStart"/>
      <w:r w:rsidRPr="00847B84">
        <w:t>Antrano</w:t>
      </w:r>
      <w:r w:rsidR="00A9717C" w:rsidRPr="00847B84">
        <w:t>’s</w:t>
      </w:r>
      <w:proofErr w:type="spellEnd"/>
      <w:r w:rsidR="00DF2B8B" w:rsidRPr="00847B84">
        <w:t xml:space="preserve"> </w:t>
      </w:r>
      <w:r w:rsidRPr="00847B84">
        <w:t>claims do not involve obligations [</w:t>
      </w:r>
      <w:r w:rsidRPr="00847B84">
        <w:rPr>
          <w:b/>
          <w:bCs/>
        </w:rPr>
        <w:t>a</w:t>
      </w:r>
      <w:r w:rsidRPr="00847B84">
        <w:t>]</w:t>
      </w:r>
      <w:r w:rsidRPr="00847B84">
        <w:rPr>
          <w:b/>
          <w:bCs/>
        </w:rPr>
        <w:t xml:space="preserve"> </w:t>
      </w:r>
      <w:proofErr w:type="spellStart"/>
      <w:r w:rsidRPr="00847B84">
        <w:rPr>
          <w:i/>
          <w:iCs/>
        </w:rPr>
        <w:t>erga</w:t>
      </w:r>
      <w:proofErr w:type="spellEnd"/>
      <w:r w:rsidRPr="00847B84">
        <w:rPr>
          <w:i/>
          <w:iCs/>
        </w:rPr>
        <w:t xml:space="preserve"> omnes </w:t>
      </w:r>
      <w:proofErr w:type="spellStart"/>
      <w:r w:rsidRPr="00847B84">
        <w:rPr>
          <w:i/>
          <w:iCs/>
        </w:rPr>
        <w:t>partes</w:t>
      </w:r>
      <w:proofErr w:type="spellEnd"/>
      <w:r w:rsidRPr="00847B84">
        <w:rPr>
          <w:i/>
          <w:iCs/>
        </w:rPr>
        <w:t xml:space="preserve"> </w:t>
      </w:r>
      <w:r w:rsidRPr="00847B84">
        <w:t>or [</w:t>
      </w:r>
      <w:r w:rsidRPr="00847B84">
        <w:rPr>
          <w:b/>
          <w:bCs/>
        </w:rPr>
        <w:t>b</w:t>
      </w:r>
      <w:r w:rsidRPr="00847B84">
        <w:t>]</w:t>
      </w:r>
      <w:r w:rsidRPr="00847B84">
        <w:rPr>
          <w:b/>
          <w:bCs/>
        </w:rPr>
        <w:t xml:space="preserve"> </w:t>
      </w:r>
      <w:proofErr w:type="spellStart"/>
      <w:r w:rsidRPr="00847B84">
        <w:rPr>
          <w:i/>
          <w:iCs/>
        </w:rPr>
        <w:t>erga</w:t>
      </w:r>
      <w:proofErr w:type="spellEnd"/>
      <w:r w:rsidRPr="00847B84">
        <w:rPr>
          <w:i/>
          <w:iCs/>
        </w:rPr>
        <w:t xml:space="preserve"> omnes</w:t>
      </w:r>
      <w:r w:rsidR="00DF2B8B" w:rsidRPr="00847B84">
        <w:t xml:space="preserve"> and</w:t>
      </w:r>
      <w:r w:rsidRPr="00847B84">
        <w:t xml:space="preserve"> [</w:t>
      </w:r>
      <w:r w:rsidRPr="00847B84">
        <w:rPr>
          <w:b/>
          <w:bCs/>
        </w:rPr>
        <w:t>c</w:t>
      </w:r>
      <w:r w:rsidRPr="00847B84">
        <w:t>]</w:t>
      </w:r>
      <w:r w:rsidRPr="00847B84">
        <w:rPr>
          <w:b/>
          <w:bCs/>
        </w:rPr>
        <w:t xml:space="preserve"> </w:t>
      </w:r>
      <w:proofErr w:type="spellStart"/>
      <w:r w:rsidRPr="00847B84">
        <w:t>Antrano</w:t>
      </w:r>
      <w:proofErr w:type="spellEnd"/>
      <w:r w:rsidRPr="00847B84">
        <w:t xml:space="preserve"> is not a specially affected State.</w:t>
      </w:r>
    </w:p>
    <w:p w14:paraId="04C53624" w14:textId="5266F9A8" w:rsidR="006578A7" w:rsidRPr="00847B84" w:rsidRDefault="006578A7" w:rsidP="006578A7">
      <w:pPr>
        <w:pStyle w:val="Heading5"/>
        <w:rPr>
          <w:lang w:val="en-US"/>
        </w:rPr>
      </w:pPr>
      <w:bookmarkStart w:id="35" w:name="_Toc156019710"/>
      <w:proofErr w:type="spellStart"/>
      <w:r w:rsidRPr="00847B84">
        <w:rPr>
          <w:lang w:val="en-US"/>
        </w:rPr>
        <w:t>Antrano’s</w:t>
      </w:r>
      <w:proofErr w:type="spellEnd"/>
      <w:r w:rsidRPr="00847B84">
        <w:rPr>
          <w:lang w:val="en-US"/>
        </w:rPr>
        <w:t xml:space="preserve"> claims under the </w:t>
      </w:r>
      <w:r w:rsidRPr="00847B84">
        <w:t>Convention</w:t>
      </w:r>
      <w:r w:rsidRPr="00847B84">
        <w:rPr>
          <w:lang w:val="en-US"/>
        </w:rPr>
        <w:t xml:space="preserve"> on the Reduction of Statelessness [“CRS”] and the International Covenant on Civil and Political Rights [“ICCPR”] do not involve obligations </w:t>
      </w:r>
      <w:proofErr w:type="spellStart"/>
      <w:r w:rsidRPr="00847B84">
        <w:rPr>
          <w:i/>
          <w:lang w:val="en-US"/>
        </w:rPr>
        <w:t>erga</w:t>
      </w:r>
      <w:proofErr w:type="spellEnd"/>
      <w:r w:rsidRPr="00847B84">
        <w:rPr>
          <w:i/>
          <w:lang w:val="en-US"/>
        </w:rPr>
        <w:t xml:space="preserve"> omnes </w:t>
      </w:r>
      <w:proofErr w:type="spellStart"/>
      <w:r w:rsidRPr="00847B84">
        <w:rPr>
          <w:i/>
          <w:lang w:val="en-US"/>
        </w:rPr>
        <w:t>partes</w:t>
      </w:r>
      <w:proofErr w:type="spellEnd"/>
      <w:r w:rsidRPr="00847B84">
        <w:rPr>
          <w:i/>
          <w:lang w:val="en-US"/>
        </w:rPr>
        <w:t>.</w:t>
      </w:r>
      <w:bookmarkEnd w:id="35"/>
    </w:p>
    <w:p w14:paraId="1CBABD60" w14:textId="77777777" w:rsidR="006578A7" w:rsidRPr="00847B84" w:rsidRDefault="006578A7" w:rsidP="006578A7">
      <w:pPr>
        <w:ind w:firstLine="720"/>
        <w:rPr>
          <w:color w:val="000000" w:themeColor="text1"/>
        </w:rPr>
      </w:pPr>
      <w:r w:rsidRPr="00847B84">
        <w:rPr>
          <w:color w:val="000000" w:themeColor="text1"/>
        </w:rPr>
        <w:t xml:space="preserve">Obligations </w:t>
      </w:r>
      <w:proofErr w:type="spellStart"/>
      <w:r w:rsidRPr="00847B84">
        <w:rPr>
          <w:i/>
          <w:iCs/>
          <w:color w:val="000000" w:themeColor="text1"/>
        </w:rPr>
        <w:t>erga</w:t>
      </w:r>
      <w:proofErr w:type="spellEnd"/>
      <w:r w:rsidRPr="00847B84">
        <w:rPr>
          <w:i/>
          <w:iCs/>
          <w:color w:val="000000" w:themeColor="text1"/>
        </w:rPr>
        <w:t xml:space="preserve"> omnes </w:t>
      </w:r>
      <w:proofErr w:type="spellStart"/>
      <w:r w:rsidRPr="00847B84">
        <w:rPr>
          <w:i/>
          <w:iCs/>
          <w:color w:val="000000" w:themeColor="text1"/>
        </w:rPr>
        <w:t>partes</w:t>
      </w:r>
      <w:proofErr w:type="spellEnd"/>
      <w:r w:rsidRPr="00847B84">
        <w:rPr>
          <w:color w:val="000000" w:themeColor="text1"/>
        </w:rPr>
        <w:t xml:space="preserve"> are obligations owed to a group of States and established to protect their collective interests.</w:t>
      </w:r>
      <w:r w:rsidRPr="00847B84">
        <w:rPr>
          <w:rStyle w:val="FootnoteReference"/>
          <w:color w:val="000000" w:themeColor="text1"/>
        </w:rPr>
        <w:footnoteReference w:id="8"/>
      </w:r>
      <w:r w:rsidRPr="00847B84">
        <w:rPr>
          <w:color w:val="000000" w:themeColor="text1"/>
        </w:rPr>
        <w:t xml:space="preserve"> </w:t>
      </w:r>
    </w:p>
    <w:p w14:paraId="6A2E5C6A" w14:textId="041422ED" w:rsidR="006578A7" w:rsidRPr="00847B84" w:rsidRDefault="006578A7" w:rsidP="00DF2B8B">
      <w:pPr>
        <w:ind w:firstLine="720"/>
        <w:rPr>
          <w:color w:val="000000" w:themeColor="text1"/>
          <w:lang w:val="en-US"/>
        </w:rPr>
      </w:pPr>
      <w:r w:rsidRPr="00847B84">
        <w:rPr>
          <w:color w:val="000000" w:themeColor="text1"/>
          <w:lang w:val="en-US"/>
        </w:rPr>
        <w:t xml:space="preserve">In </w:t>
      </w:r>
      <w:r w:rsidRPr="00847B84">
        <w:rPr>
          <w:i/>
          <w:iCs/>
          <w:color w:val="000000" w:themeColor="text1"/>
          <w:lang w:val="en-US"/>
        </w:rPr>
        <w:t xml:space="preserve">Belgium v. Senegal, </w:t>
      </w:r>
      <w:r w:rsidRPr="00847B84">
        <w:rPr>
          <w:color w:val="000000" w:themeColor="text1"/>
          <w:lang w:val="en-US"/>
        </w:rPr>
        <w:t>the ICJ ascertain</w:t>
      </w:r>
      <w:r w:rsidR="00DF2B8B" w:rsidRPr="00847B84">
        <w:rPr>
          <w:color w:val="000000" w:themeColor="text1"/>
          <w:lang w:val="en-US"/>
        </w:rPr>
        <w:t>ed</w:t>
      </w:r>
      <w:r w:rsidRPr="00847B84">
        <w:rPr>
          <w:color w:val="000000" w:themeColor="text1"/>
          <w:lang w:val="en-US"/>
        </w:rPr>
        <w:t xml:space="preserve"> the object and purpose of </w:t>
      </w:r>
      <w:r w:rsidR="00DF2B8B" w:rsidRPr="00847B84">
        <w:rPr>
          <w:color w:val="000000" w:themeColor="text1"/>
          <w:lang w:val="en-US"/>
        </w:rPr>
        <w:t>a</w:t>
      </w:r>
      <w:r w:rsidR="00DF2B8B" w:rsidRPr="00847B84">
        <w:rPr>
          <w:color w:val="FF0000"/>
          <w:lang w:val="en-US"/>
        </w:rPr>
        <w:t xml:space="preserve"> </w:t>
      </w:r>
      <w:r w:rsidRPr="00847B84">
        <w:rPr>
          <w:color w:val="000000" w:themeColor="text1"/>
          <w:lang w:val="en-US"/>
        </w:rPr>
        <w:t>treaty</w:t>
      </w:r>
      <w:r w:rsidR="00DF2B8B" w:rsidRPr="00847B84">
        <w:rPr>
          <w:color w:val="000000" w:themeColor="text1"/>
          <w:lang w:val="en-US"/>
        </w:rPr>
        <w:t xml:space="preserve"> to determine whether it establishes </w:t>
      </w:r>
      <w:r w:rsidRPr="00847B84">
        <w:rPr>
          <w:color w:val="000000" w:themeColor="text1"/>
          <w:lang w:val="en-US"/>
        </w:rPr>
        <w:t>community interest</w:t>
      </w:r>
      <w:r w:rsidR="00545EFF" w:rsidRPr="00847B84">
        <w:rPr>
          <w:color w:val="000000" w:themeColor="text1"/>
          <w:lang w:val="en-US"/>
        </w:rPr>
        <w:t>s</w:t>
      </w:r>
      <w:r w:rsidRPr="00847B84">
        <w:rPr>
          <w:color w:val="000000" w:themeColor="text1"/>
          <w:lang w:val="en-US"/>
        </w:rPr>
        <w:t>.</w:t>
      </w:r>
      <w:r w:rsidRPr="00847B84">
        <w:rPr>
          <w:rStyle w:val="FootnoteReference"/>
          <w:color w:val="000000" w:themeColor="text1"/>
          <w:lang w:val="en-US"/>
        </w:rPr>
        <w:footnoteReference w:id="9"/>
      </w:r>
      <w:r w:rsidRPr="00847B84">
        <w:rPr>
          <w:i/>
          <w:color w:val="FF0000"/>
          <w:lang w:val="en-US"/>
        </w:rPr>
        <w:t xml:space="preserve"> </w:t>
      </w:r>
      <w:r w:rsidR="00DF2B8B" w:rsidRPr="00847B84">
        <w:t>A treaty’s</w:t>
      </w:r>
      <w:r w:rsidR="004D0610" w:rsidRPr="00847B84">
        <w:t xml:space="preserve"> object and purpose may be deduced from its preamble,</w:t>
      </w:r>
      <w:r w:rsidR="004D0610" w:rsidRPr="00847B84">
        <w:rPr>
          <w:rStyle w:val="FootnoteReference"/>
        </w:rPr>
        <w:footnoteReference w:id="10"/>
      </w:r>
      <w:r w:rsidR="004D0610" w:rsidRPr="00847B84">
        <w:t xml:space="preserve"> </w:t>
      </w:r>
      <w:r w:rsidR="004D0610" w:rsidRPr="00847B84">
        <w:rPr>
          <w:i/>
          <w:iCs/>
        </w:rPr>
        <w:t xml:space="preserve">travaux </w:t>
      </w:r>
      <w:proofErr w:type="spellStart"/>
      <w:r w:rsidR="004D0610" w:rsidRPr="00847B84">
        <w:rPr>
          <w:i/>
          <w:iCs/>
        </w:rPr>
        <w:t>pr</w:t>
      </w:r>
      <w:r w:rsidR="002373ED" w:rsidRPr="00847B84">
        <w:rPr>
          <w:i/>
          <w:iCs/>
        </w:rPr>
        <w:t>é</w:t>
      </w:r>
      <w:r w:rsidR="004D0610" w:rsidRPr="00847B84">
        <w:rPr>
          <w:i/>
          <w:iCs/>
        </w:rPr>
        <w:t>paratoires</w:t>
      </w:r>
      <w:proofErr w:type="spellEnd"/>
      <w:r w:rsidR="004D0610" w:rsidRPr="00847B84">
        <w:t>,</w:t>
      </w:r>
      <w:r w:rsidR="004D0610" w:rsidRPr="00847B84">
        <w:rPr>
          <w:rStyle w:val="FootnoteReference"/>
        </w:rPr>
        <w:footnoteReference w:id="11"/>
      </w:r>
      <w:r w:rsidR="004D0610" w:rsidRPr="00847B84">
        <w:t xml:space="preserve"> and framework.</w:t>
      </w:r>
      <w:r w:rsidR="004D0610" w:rsidRPr="00847B84">
        <w:rPr>
          <w:rStyle w:val="FootnoteReference"/>
        </w:rPr>
        <w:footnoteReference w:id="12"/>
      </w:r>
    </w:p>
    <w:p w14:paraId="0F9C3ED4" w14:textId="54F0999E" w:rsidR="006578A7" w:rsidRPr="00847B84" w:rsidRDefault="006578A7" w:rsidP="006578A7">
      <w:pPr>
        <w:ind w:firstLine="720"/>
        <w:rPr>
          <w:color w:val="000000" w:themeColor="text1"/>
          <w:lang w:val="en-US"/>
        </w:rPr>
      </w:pPr>
      <w:r w:rsidRPr="00847B84">
        <w:rPr>
          <w:color w:val="000000" w:themeColor="text1"/>
          <w:lang w:val="en-US"/>
        </w:rPr>
        <w:t>Here, the [</w:t>
      </w:r>
      <w:proofErr w:type="spellStart"/>
      <w:r w:rsidRPr="00847B84">
        <w:rPr>
          <w:b/>
          <w:bCs/>
          <w:color w:val="000000" w:themeColor="text1"/>
          <w:lang w:val="en-US"/>
        </w:rPr>
        <w:t>i</w:t>
      </w:r>
      <w:proofErr w:type="spellEnd"/>
      <w:r w:rsidRPr="00847B84">
        <w:rPr>
          <w:color w:val="000000" w:themeColor="text1"/>
          <w:lang w:val="en-US"/>
        </w:rPr>
        <w:t>]</w:t>
      </w:r>
      <w:r w:rsidRPr="00847B84">
        <w:rPr>
          <w:b/>
          <w:bCs/>
          <w:color w:val="000000" w:themeColor="text1"/>
          <w:lang w:val="en-US"/>
        </w:rPr>
        <w:t xml:space="preserve"> </w:t>
      </w:r>
      <w:r w:rsidRPr="00847B84">
        <w:rPr>
          <w:color w:val="000000" w:themeColor="text1"/>
          <w:lang w:val="en-US"/>
        </w:rPr>
        <w:t>CRS and [</w:t>
      </w:r>
      <w:r w:rsidRPr="00847B84">
        <w:rPr>
          <w:b/>
          <w:bCs/>
          <w:color w:val="000000" w:themeColor="text1"/>
          <w:lang w:val="en-US"/>
        </w:rPr>
        <w:t>ii</w:t>
      </w:r>
      <w:r w:rsidRPr="00847B84">
        <w:rPr>
          <w:color w:val="000000" w:themeColor="text1"/>
          <w:lang w:val="en-US"/>
        </w:rPr>
        <w:t xml:space="preserve">] ICCPR do not create obligations </w:t>
      </w:r>
      <w:proofErr w:type="spellStart"/>
      <w:r w:rsidRPr="00847B84">
        <w:rPr>
          <w:i/>
          <w:iCs/>
          <w:color w:val="000000" w:themeColor="text1"/>
          <w:lang w:val="en-US"/>
        </w:rPr>
        <w:t>erga</w:t>
      </w:r>
      <w:proofErr w:type="spellEnd"/>
      <w:r w:rsidRPr="00847B84">
        <w:rPr>
          <w:i/>
          <w:iCs/>
          <w:color w:val="000000" w:themeColor="text1"/>
          <w:lang w:val="en-US"/>
        </w:rPr>
        <w:t xml:space="preserve"> omnes </w:t>
      </w:r>
      <w:proofErr w:type="spellStart"/>
      <w:r w:rsidRPr="00847B84">
        <w:rPr>
          <w:i/>
          <w:iCs/>
          <w:color w:val="000000" w:themeColor="text1"/>
          <w:lang w:val="en-US"/>
        </w:rPr>
        <w:t>partes</w:t>
      </w:r>
      <w:proofErr w:type="spellEnd"/>
      <w:r w:rsidRPr="00847B84">
        <w:rPr>
          <w:color w:val="000000" w:themeColor="text1"/>
          <w:lang w:val="en-US"/>
        </w:rPr>
        <w:t xml:space="preserve">. </w:t>
      </w:r>
    </w:p>
    <w:p w14:paraId="78230934" w14:textId="77777777" w:rsidR="006578A7" w:rsidRPr="00847B84" w:rsidRDefault="006578A7" w:rsidP="00B07AD7">
      <w:pPr>
        <w:pStyle w:val="Heading6"/>
        <w:rPr>
          <w:lang w:val="en-US"/>
        </w:rPr>
      </w:pPr>
      <w:r w:rsidRPr="00847B84">
        <w:rPr>
          <w:lang w:val="en-US"/>
        </w:rPr>
        <w:t xml:space="preserve">The CRS does not create obligations </w:t>
      </w:r>
      <w:proofErr w:type="spellStart"/>
      <w:r w:rsidRPr="00847B84">
        <w:rPr>
          <w:i/>
          <w:lang w:val="en-US"/>
        </w:rPr>
        <w:t>erga</w:t>
      </w:r>
      <w:proofErr w:type="spellEnd"/>
      <w:r w:rsidRPr="00847B84">
        <w:rPr>
          <w:i/>
          <w:lang w:val="en-US"/>
        </w:rPr>
        <w:t xml:space="preserve"> omnes </w:t>
      </w:r>
      <w:proofErr w:type="spellStart"/>
      <w:r w:rsidRPr="00847B84">
        <w:rPr>
          <w:i/>
          <w:lang w:val="en-US"/>
        </w:rPr>
        <w:t>partes</w:t>
      </w:r>
      <w:proofErr w:type="spellEnd"/>
      <w:r w:rsidRPr="00847B84">
        <w:rPr>
          <w:lang w:val="en-US"/>
        </w:rPr>
        <w:t>.</w:t>
      </w:r>
    </w:p>
    <w:p w14:paraId="732506F3" w14:textId="6C1B43E2" w:rsidR="006578A7" w:rsidRPr="00847B84" w:rsidRDefault="006578A7" w:rsidP="006578A7">
      <w:pPr>
        <w:ind w:firstLine="720"/>
        <w:rPr>
          <w:color w:val="FF0000"/>
          <w:lang w:val="en-US"/>
        </w:rPr>
      </w:pPr>
      <w:r w:rsidRPr="00847B84">
        <w:rPr>
          <w:color w:val="000000" w:themeColor="text1"/>
          <w:lang w:val="en-US"/>
        </w:rPr>
        <w:t>The CRS, being a human rights treaty, creates obligations owed to individuals</w:t>
      </w:r>
      <w:r w:rsidR="00D74BC2" w:rsidRPr="00847B84">
        <w:rPr>
          <w:color w:val="000000" w:themeColor="text1"/>
          <w:lang w:val="en-US"/>
        </w:rPr>
        <w:t>,</w:t>
      </w:r>
      <w:r w:rsidRPr="00847B84">
        <w:rPr>
          <w:rStyle w:val="FootnoteReference"/>
          <w:color w:val="000000" w:themeColor="text1"/>
          <w:lang w:val="en-US"/>
        </w:rPr>
        <w:footnoteReference w:id="13"/>
      </w:r>
      <w:r w:rsidRPr="00847B84">
        <w:rPr>
          <w:color w:val="000000" w:themeColor="text1"/>
          <w:lang w:val="en-US"/>
        </w:rPr>
        <w:t xml:space="preserve"> not States. </w:t>
      </w:r>
      <w:r w:rsidR="00A9717C" w:rsidRPr="00847B84">
        <w:rPr>
          <w:color w:val="000000" w:themeColor="text1"/>
          <w:lang w:val="en-US"/>
        </w:rPr>
        <w:t>Its</w:t>
      </w:r>
      <w:r w:rsidRPr="00847B84">
        <w:rPr>
          <w:color w:val="000000" w:themeColor="text1"/>
          <w:lang w:val="en-US"/>
        </w:rPr>
        <w:t xml:space="preserve"> preamble show</w:t>
      </w:r>
      <w:r w:rsidR="00A615EA" w:rsidRPr="00847B84">
        <w:rPr>
          <w:color w:val="000000" w:themeColor="text1"/>
          <w:lang w:val="en-US"/>
        </w:rPr>
        <w:t>s</w:t>
      </w:r>
      <w:r w:rsidRPr="00847B84">
        <w:rPr>
          <w:color w:val="000000" w:themeColor="text1"/>
          <w:lang w:val="en-US"/>
        </w:rPr>
        <w:t xml:space="preserve"> that </w:t>
      </w:r>
      <w:r w:rsidR="00A9717C" w:rsidRPr="00847B84">
        <w:rPr>
          <w:color w:val="000000" w:themeColor="text1"/>
          <w:lang w:val="en-US"/>
        </w:rPr>
        <w:t xml:space="preserve">its </w:t>
      </w:r>
      <w:r w:rsidRPr="00847B84">
        <w:rPr>
          <w:color w:val="000000" w:themeColor="text1"/>
          <w:lang w:val="en-US"/>
        </w:rPr>
        <w:t xml:space="preserve">object and purpose is to “reduce and, if possible, eliminate future </w:t>
      </w:r>
      <w:r w:rsidRPr="00847B84">
        <w:rPr>
          <w:color w:val="000000" w:themeColor="text1"/>
          <w:lang w:val="en-US"/>
        </w:rPr>
        <w:lastRenderedPageBreak/>
        <w:t>statelessness”</w:t>
      </w:r>
      <w:r w:rsidRPr="00847B84">
        <w:rPr>
          <w:rStyle w:val="FootnoteReference"/>
          <w:color w:val="000000" w:themeColor="text1"/>
          <w:lang w:val="en-US"/>
        </w:rPr>
        <w:footnoteReference w:id="14"/>
      </w:r>
      <w:r w:rsidRPr="00847B84">
        <w:rPr>
          <w:color w:val="000000" w:themeColor="text1"/>
          <w:lang w:val="en-US"/>
        </w:rPr>
        <w:t xml:space="preserve"> </w:t>
      </w:r>
      <w:r w:rsidR="00A9717C" w:rsidRPr="00847B84">
        <w:rPr>
          <w:color w:val="000000" w:themeColor="text1"/>
          <w:lang w:val="en-US"/>
        </w:rPr>
        <w:t xml:space="preserve">but </w:t>
      </w:r>
      <w:r w:rsidRPr="00847B84">
        <w:rPr>
          <w:color w:val="000000" w:themeColor="text1"/>
          <w:lang w:val="en-US"/>
        </w:rPr>
        <w:t xml:space="preserve">this alone does not reveal an intent to establish obligations for the parties’ collective interests. </w:t>
      </w:r>
      <w:r w:rsidR="009B19FE" w:rsidRPr="00847B84">
        <w:rPr>
          <w:color w:val="000000" w:themeColor="text1"/>
          <w:lang w:val="en-US"/>
        </w:rPr>
        <w:t>Previously</w:t>
      </w:r>
      <w:r w:rsidRPr="00847B84">
        <w:rPr>
          <w:color w:val="000000" w:themeColor="text1"/>
          <w:lang w:val="en-US"/>
        </w:rPr>
        <w:t>,</w:t>
      </w:r>
      <w:r w:rsidRPr="00847B84">
        <w:rPr>
          <w:rStyle w:val="FootnoteReference"/>
          <w:color w:val="000000" w:themeColor="text1"/>
          <w:lang w:val="en-US"/>
        </w:rPr>
        <w:footnoteReference w:id="15"/>
      </w:r>
      <w:r w:rsidRPr="00847B84">
        <w:rPr>
          <w:color w:val="000000" w:themeColor="text1"/>
          <w:lang w:val="en-US"/>
        </w:rPr>
        <w:t xml:space="preserve"> the Court found that obligations </w:t>
      </w:r>
      <w:r w:rsidR="008837DF" w:rsidRPr="00847B84">
        <w:rPr>
          <w:color w:val="000000" w:themeColor="text1"/>
          <w:lang w:val="en-US"/>
        </w:rPr>
        <w:t>that</w:t>
      </w:r>
      <w:r w:rsidRPr="00847B84">
        <w:rPr>
          <w:color w:val="000000" w:themeColor="text1"/>
          <w:lang w:val="en-US"/>
        </w:rPr>
        <w:t xml:space="preserve"> uphold ‘elementary considerations of humanity’ are </w:t>
      </w:r>
      <w:r w:rsidR="008837DF" w:rsidRPr="00847B84">
        <w:rPr>
          <w:color w:val="000000" w:themeColor="text1"/>
          <w:lang w:val="en-US"/>
        </w:rPr>
        <w:t xml:space="preserve">established </w:t>
      </w:r>
      <w:r w:rsidRPr="00847B84">
        <w:rPr>
          <w:color w:val="000000" w:themeColor="text1"/>
          <w:lang w:val="en-US"/>
        </w:rPr>
        <w:t xml:space="preserve">for the </w:t>
      </w:r>
      <w:r w:rsidR="008837DF" w:rsidRPr="00847B84">
        <w:rPr>
          <w:color w:val="000000" w:themeColor="text1"/>
          <w:lang w:val="en-US"/>
        </w:rPr>
        <w:t xml:space="preserve">international community’s </w:t>
      </w:r>
      <w:r w:rsidRPr="00847B84">
        <w:rPr>
          <w:color w:val="000000" w:themeColor="text1"/>
          <w:lang w:val="en-US"/>
        </w:rPr>
        <w:t>collective interests; nothing in the CRS, however, suggests that the obligations thereunder rise to that level.</w:t>
      </w:r>
      <w:r w:rsidRPr="00847B84" w:rsidDel="004918FB">
        <w:rPr>
          <w:color w:val="000000" w:themeColor="text1"/>
          <w:lang w:val="en-US"/>
        </w:rPr>
        <w:t xml:space="preserve"> </w:t>
      </w:r>
    </w:p>
    <w:p w14:paraId="6E888A3E" w14:textId="77777777" w:rsidR="006578A7" w:rsidRPr="00847B84" w:rsidRDefault="006578A7" w:rsidP="00B07AD7">
      <w:pPr>
        <w:pStyle w:val="Heading6"/>
        <w:rPr>
          <w:lang w:val="en-US"/>
        </w:rPr>
      </w:pPr>
      <w:r w:rsidRPr="00847B84">
        <w:rPr>
          <w:lang w:val="en-US"/>
        </w:rPr>
        <w:t xml:space="preserve">The ICCPR does not create obligations </w:t>
      </w:r>
      <w:proofErr w:type="spellStart"/>
      <w:r w:rsidRPr="00847B84">
        <w:rPr>
          <w:i/>
          <w:lang w:val="en-US"/>
        </w:rPr>
        <w:t>erga</w:t>
      </w:r>
      <w:proofErr w:type="spellEnd"/>
      <w:r w:rsidRPr="00847B84">
        <w:rPr>
          <w:i/>
          <w:lang w:val="en-US"/>
        </w:rPr>
        <w:t xml:space="preserve"> omnes </w:t>
      </w:r>
      <w:proofErr w:type="spellStart"/>
      <w:r w:rsidRPr="00847B84">
        <w:rPr>
          <w:i/>
          <w:lang w:val="en-US"/>
        </w:rPr>
        <w:t>partes</w:t>
      </w:r>
      <w:proofErr w:type="spellEnd"/>
      <w:r w:rsidRPr="00847B84">
        <w:rPr>
          <w:lang w:val="en-US"/>
        </w:rPr>
        <w:t>.</w:t>
      </w:r>
    </w:p>
    <w:p w14:paraId="072C5102" w14:textId="2FD4A57D" w:rsidR="006578A7" w:rsidRPr="00847B84" w:rsidRDefault="006578A7" w:rsidP="006578A7">
      <w:pPr>
        <w:ind w:firstLine="720"/>
        <w:rPr>
          <w:color w:val="000000" w:themeColor="text1"/>
          <w:lang w:val="en-US"/>
        </w:rPr>
      </w:pPr>
      <w:r w:rsidRPr="00847B84">
        <w:rPr>
          <w:lang w:val="en-US"/>
        </w:rPr>
        <w:t>The Human Rights Committee [“</w:t>
      </w:r>
      <w:proofErr w:type="spellStart"/>
      <w:r w:rsidRPr="00847B84">
        <w:rPr>
          <w:b/>
          <w:bCs/>
          <w:lang w:val="en-US"/>
        </w:rPr>
        <w:t>HRComm</w:t>
      </w:r>
      <w:proofErr w:type="spellEnd"/>
      <w:r w:rsidRPr="00847B84">
        <w:rPr>
          <w:lang w:val="en-US"/>
        </w:rPr>
        <w:t>”] explained that the beneficiaries of rights in the ICCPR are individuals</w:t>
      </w:r>
      <w:r w:rsidRPr="00847B84">
        <w:rPr>
          <w:rStyle w:val="FootnoteReference"/>
          <w:color w:val="000000" w:themeColor="text1"/>
          <w:lang w:val="en-US"/>
        </w:rPr>
        <w:footnoteReference w:id="16"/>
      </w:r>
      <w:r w:rsidRPr="00847B84">
        <w:rPr>
          <w:color w:val="000000" w:themeColor="text1"/>
          <w:lang w:val="en-US"/>
        </w:rPr>
        <w:t xml:space="preserve"> and that the ICCPR is “not a web of inter-State exchanges of mutual obligations.”</w:t>
      </w:r>
      <w:r w:rsidRPr="00847B84">
        <w:rPr>
          <w:rStyle w:val="FootnoteReference"/>
          <w:color w:val="000000" w:themeColor="text1"/>
          <w:lang w:val="en-US"/>
        </w:rPr>
        <w:footnoteReference w:id="17"/>
      </w:r>
      <w:r w:rsidRPr="00847B84">
        <w:rPr>
          <w:color w:val="000000" w:themeColor="text1"/>
          <w:lang w:val="en-US"/>
        </w:rPr>
        <w:t xml:space="preserve"> Thus, the ICCPR seeks to protect individual rights rather than the collective interests of its parties</w:t>
      </w:r>
      <w:r w:rsidRPr="00847B84">
        <w:rPr>
          <w:i/>
          <w:iCs/>
          <w:color w:val="000000" w:themeColor="text1"/>
          <w:lang w:val="en-US"/>
        </w:rPr>
        <w:t>.</w:t>
      </w:r>
    </w:p>
    <w:p w14:paraId="4A2C5D2B" w14:textId="77777777" w:rsidR="006578A7" w:rsidRPr="00847B84" w:rsidRDefault="006578A7" w:rsidP="006578A7">
      <w:pPr>
        <w:pStyle w:val="Heading5"/>
        <w:rPr>
          <w:lang w:val="en-US"/>
        </w:rPr>
      </w:pPr>
      <w:bookmarkStart w:id="36" w:name="_Toc156019711"/>
      <w:r w:rsidRPr="00847B84">
        <w:t>The right to nationality and the right not to be arbitrarily deprived thereof</w:t>
      </w:r>
      <w:r w:rsidRPr="00847B84">
        <w:rPr>
          <w:i/>
        </w:rPr>
        <w:t xml:space="preserve"> </w:t>
      </w:r>
      <w:r w:rsidRPr="00847B84">
        <w:t xml:space="preserve">are not obligations </w:t>
      </w:r>
      <w:proofErr w:type="spellStart"/>
      <w:r w:rsidRPr="00847B84">
        <w:rPr>
          <w:i/>
        </w:rPr>
        <w:t>erga</w:t>
      </w:r>
      <w:proofErr w:type="spellEnd"/>
      <w:r w:rsidRPr="00847B84">
        <w:rPr>
          <w:i/>
        </w:rPr>
        <w:t xml:space="preserve"> omnes.</w:t>
      </w:r>
      <w:bookmarkEnd w:id="36"/>
      <w:r w:rsidRPr="00847B84">
        <w:rPr>
          <w:i/>
        </w:rPr>
        <w:t xml:space="preserve"> </w:t>
      </w:r>
    </w:p>
    <w:p w14:paraId="22FF113E" w14:textId="2918085F" w:rsidR="006578A7" w:rsidRPr="00847B84" w:rsidRDefault="006578A7" w:rsidP="006578A7">
      <w:pPr>
        <w:ind w:firstLine="720"/>
        <w:rPr>
          <w:color w:val="000000" w:themeColor="text1"/>
          <w:lang w:val="en-US"/>
        </w:rPr>
      </w:pPr>
      <w:r w:rsidRPr="00847B84">
        <w:rPr>
          <w:color w:val="000000" w:themeColor="text1"/>
          <w:lang w:val="en-US"/>
        </w:rPr>
        <w:t xml:space="preserve">Obligations </w:t>
      </w:r>
      <w:proofErr w:type="spellStart"/>
      <w:r w:rsidRPr="00847B84">
        <w:rPr>
          <w:i/>
          <w:iCs/>
          <w:color w:val="000000" w:themeColor="text1"/>
          <w:lang w:val="en-US"/>
        </w:rPr>
        <w:t>erga</w:t>
      </w:r>
      <w:proofErr w:type="spellEnd"/>
      <w:r w:rsidRPr="00847B84">
        <w:rPr>
          <w:i/>
          <w:iCs/>
          <w:color w:val="000000" w:themeColor="text1"/>
          <w:lang w:val="en-US"/>
        </w:rPr>
        <w:t xml:space="preserve"> omnes </w:t>
      </w:r>
      <w:r w:rsidRPr="00847B84">
        <w:rPr>
          <w:color w:val="000000" w:themeColor="text1"/>
          <w:lang w:val="en-US"/>
        </w:rPr>
        <w:t>are those owed to the international community as a whole.</w:t>
      </w:r>
      <w:r w:rsidRPr="00847B84">
        <w:rPr>
          <w:rStyle w:val="FootnoteReference"/>
          <w:color w:val="000000" w:themeColor="text1"/>
          <w:lang w:val="en-US"/>
        </w:rPr>
        <w:footnoteReference w:id="18"/>
      </w:r>
      <w:r w:rsidRPr="00847B84">
        <w:rPr>
          <w:color w:val="000000" w:themeColor="text1"/>
          <w:lang w:val="en-US"/>
        </w:rPr>
        <w:t xml:space="preserve"> Although this Court recognized that basic human rights are </w:t>
      </w:r>
      <w:proofErr w:type="spellStart"/>
      <w:r w:rsidRPr="00847B84">
        <w:rPr>
          <w:i/>
          <w:iCs/>
          <w:color w:val="000000" w:themeColor="text1"/>
          <w:lang w:val="en-US"/>
        </w:rPr>
        <w:t>erga</w:t>
      </w:r>
      <w:proofErr w:type="spellEnd"/>
      <w:r w:rsidRPr="00847B84">
        <w:rPr>
          <w:i/>
          <w:iCs/>
          <w:color w:val="000000" w:themeColor="text1"/>
          <w:lang w:val="en-US"/>
        </w:rPr>
        <w:t xml:space="preserve"> omnes</w:t>
      </w:r>
      <w:r w:rsidRPr="00847B84">
        <w:rPr>
          <w:color w:val="000000" w:themeColor="text1"/>
          <w:lang w:val="en-US"/>
        </w:rPr>
        <w:t>,</w:t>
      </w:r>
      <w:r w:rsidRPr="00847B84">
        <w:rPr>
          <w:rStyle w:val="FootnoteReference"/>
          <w:color w:val="000000" w:themeColor="text1"/>
          <w:lang w:val="en-US"/>
        </w:rPr>
        <w:footnoteReference w:id="19"/>
      </w:r>
      <w:r w:rsidRPr="00847B84">
        <w:rPr>
          <w:color w:val="000000" w:themeColor="text1"/>
          <w:lang w:val="en-US"/>
        </w:rPr>
        <w:t xml:space="preserve"> </w:t>
      </w:r>
      <w:r w:rsidR="00545EFF" w:rsidRPr="00847B84">
        <w:rPr>
          <w:color w:val="000000" w:themeColor="text1"/>
          <w:lang w:val="en-US"/>
        </w:rPr>
        <w:t>such does not</w:t>
      </w:r>
      <w:r w:rsidRPr="00847B84">
        <w:rPr>
          <w:color w:val="000000" w:themeColor="text1"/>
          <w:lang w:val="en-US"/>
        </w:rPr>
        <w:t xml:space="preserve"> cover all human rights.</w:t>
      </w:r>
      <w:r w:rsidRPr="00847B84">
        <w:rPr>
          <w:rStyle w:val="FootnoteReference"/>
          <w:color w:val="000000" w:themeColor="text1"/>
          <w:lang w:val="en-US"/>
        </w:rPr>
        <w:footnoteReference w:id="20"/>
      </w:r>
      <w:r w:rsidRPr="00847B84">
        <w:rPr>
          <w:color w:val="000000" w:themeColor="text1"/>
          <w:lang w:val="en-US"/>
        </w:rPr>
        <w:t xml:space="preserve"> </w:t>
      </w:r>
      <w:r w:rsidR="00B319B9" w:rsidRPr="00847B84">
        <w:rPr>
          <w:color w:val="000000" w:themeColor="text1"/>
          <w:lang w:val="en-US"/>
        </w:rPr>
        <w:t>Indeed</w:t>
      </w:r>
      <w:r w:rsidRPr="00847B84">
        <w:rPr>
          <w:color w:val="000000" w:themeColor="text1"/>
          <w:lang w:val="en-US"/>
        </w:rPr>
        <w:t xml:space="preserve">, this Court only recognized obligations pertaining to genocide, slavery, and </w:t>
      </w:r>
      <w:r w:rsidR="00E46EDA" w:rsidRPr="00847B84">
        <w:rPr>
          <w:color w:val="000000" w:themeColor="text1"/>
          <w:lang w:val="en-US"/>
        </w:rPr>
        <w:t>racial discrimination</w:t>
      </w:r>
      <w:r w:rsidRPr="00847B84">
        <w:rPr>
          <w:color w:val="000000" w:themeColor="text1"/>
          <w:lang w:val="en-US"/>
        </w:rPr>
        <w:t xml:space="preserve"> as </w:t>
      </w:r>
      <w:proofErr w:type="spellStart"/>
      <w:r w:rsidRPr="00847B84">
        <w:rPr>
          <w:i/>
          <w:iCs/>
          <w:color w:val="000000" w:themeColor="text1"/>
          <w:lang w:val="en-US"/>
        </w:rPr>
        <w:t>erga</w:t>
      </w:r>
      <w:proofErr w:type="spellEnd"/>
      <w:r w:rsidRPr="00847B84">
        <w:rPr>
          <w:i/>
          <w:iCs/>
          <w:color w:val="000000" w:themeColor="text1"/>
          <w:lang w:val="en-US"/>
        </w:rPr>
        <w:t xml:space="preserve"> omnes</w:t>
      </w:r>
      <w:r w:rsidRPr="00847B84">
        <w:rPr>
          <w:color w:val="000000" w:themeColor="text1"/>
          <w:lang w:val="en-US"/>
        </w:rPr>
        <w:t>.</w:t>
      </w:r>
      <w:r w:rsidRPr="00847B84">
        <w:rPr>
          <w:rStyle w:val="FootnoteReference"/>
          <w:color w:val="000000" w:themeColor="text1"/>
          <w:lang w:val="en-US"/>
        </w:rPr>
        <w:footnoteReference w:id="21"/>
      </w:r>
      <w:r w:rsidRPr="00847B84">
        <w:rPr>
          <w:color w:val="000000" w:themeColor="text1"/>
          <w:lang w:val="en-US"/>
        </w:rPr>
        <w:t xml:space="preserve"> While </w:t>
      </w:r>
      <w:proofErr w:type="spellStart"/>
      <w:r w:rsidRPr="00847B84">
        <w:rPr>
          <w:color w:val="000000" w:themeColor="text1"/>
          <w:lang w:val="en-US"/>
        </w:rPr>
        <w:t>Antrano</w:t>
      </w:r>
      <w:proofErr w:type="spellEnd"/>
      <w:r w:rsidRPr="00847B84">
        <w:rPr>
          <w:color w:val="000000" w:themeColor="text1"/>
          <w:lang w:val="en-US"/>
        </w:rPr>
        <w:t xml:space="preserve"> might argue that the right to nationality and right not to be arbitrarily deprived thereof are as fundamental as those mentioned in </w:t>
      </w:r>
      <w:r w:rsidRPr="00847B84">
        <w:rPr>
          <w:i/>
          <w:iCs/>
          <w:color w:val="000000" w:themeColor="text1"/>
          <w:lang w:val="en-US"/>
        </w:rPr>
        <w:t>Barcelona Traction</w:t>
      </w:r>
      <w:r w:rsidRPr="00847B84">
        <w:rPr>
          <w:color w:val="000000" w:themeColor="text1"/>
          <w:lang w:val="en-US"/>
        </w:rPr>
        <w:t xml:space="preserve">, </w:t>
      </w:r>
      <w:r w:rsidR="00A9717C" w:rsidRPr="00847B84">
        <w:rPr>
          <w:color w:val="000000" w:themeColor="text1"/>
          <w:lang w:val="en-US"/>
        </w:rPr>
        <w:t xml:space="preserve">it bears emphasizing that </w:t>
      </w:r>
      <w:r w:rsidRPr="00847B84">
        <w:rPr>
          <w:color w:val="000000" w:themeColor="text1"/>
          <w:lang w:val="en-US"/>
        </w:rPr>
        <w:t xml:space="preserve">nationality is not a prerequisite to the enjoyment of a whole </w:t>
      </w:r>
      <w:r w:rsidRPr="00847B84">
        <w:rPr>
          <w:color w:val="000000" w:themeColor="text1"/>
          <w:lang w:val="en-US"/>
        </w:rPr>
        <w:lastRenderedPageBreak/>
        <w:t>host of rights guaranteed under international law,</w:t>
      </w:r>
      <w:r w:rsidRPr="00847B84">
        <w:rPr>
          <w:rStyle w:val="FootnoteReference"/>
          <w:color w:val="000000" w:themeColor="text1"/>
          <w:lang w:val="en-US"/>
        </w:rPr>
        <w:footnoteReference w:id="22"/>
      </w:r>
      <w:r w:rsidRPr="00847B84">
        <w:rPr>
          <w:color w:val="000000" w:themeColor="text1"/>
          <w:lang w:val="en-US"/>
        </w:rPr>
        <w:t xml:space="preserve"> which militates against the claim that </w:t>
      </w:r>
      <w:r w:rsidR="00B319B9" w:rsidRPr="00847B84">
        <w:rPr>
          <w:color w:val="000000" w:themeColor="text1"/>
          <w:lang w:val="en-US"/>
        </w:rPr>
        <w:t xml:space="preserve">the right to </w:t>
      </w:r>
      <w:r w:rsidRPr="00847B84">
        <w:rPr>
          <w:color w:val="000000" w:themeColor="text1"/>
          <w:lang w:val="en-US"/>
        </w:rPr>
        <w:t>nationality is fundamental</w:t>
      </w:r>
      <w:r w:rsidRPr="00847B84">
        <w:rPr>
          <w:i/>
          <w:iCs/>
          <w:color w:val="000000" w:themeColor="text1"/>
          <w:lang w:val="en-US"/>
        </w:rPr>
        <w:t xml:space="preserve">. </w:t>
      </w:r>
    </w:p>
    <w:p w14:paraId="2E452A1A" w14:textId="77777777" w:rsidR="006578A7" w:rsidRPr="00847B84" w:rsidRDefault="006578A7" w:rsidP="006578A7">
      <w:pPr>
        <w:pStyle w:val="Heading5"/>
        <w:rPr>
          <w:lang w:val="en-US"/>
        </w:rPr>
      </w:pPr>
      <w:bookmarkStart w:id="37" w:name="_Toc156019712"/>
      <w:proofErr w:type="spellStart"/>
      <w:r w:rsidRPr="00847B84">
        <w:rPr>
          <w:lang w:val="en-US"/>
        </w:rPr>
        <w:t>Antrano</w:t>
      </w:r>
      <w:proofErr w:type="spellEnd"/>
      <w:r w:rsidRPr="00847B84">
        <w:rPr>
          <w:lang w:val="en-US"/>
        </w:rPr>
        <w:t xml:space="preserve"> is not a specially affected State.</w:t>
      </w:r>
      <w:bookmarkEnd w:id="37"/>
    </w:p>
    <w:p w14:paraId="2E6CF23A" w14:textId="39523C8F" w:rsidR="006578A7" w:rsidRPr="00847B84" w:rsidRDefault="006578A7" w:rsidP="006578A7">
      <w:pPr>
        <w:ind w:firstLine="720"/>
        <w:rPr>
          <w:color w:val="000000" w:themeColor="text1"/>
          <w:lang w:val="en-US"/>
        </w:rPr>
      </w:pPr>
      <w:r w:rsidRPr="00847B84">
        <w:rPr>
          <w:rStyle w:val="normaltextrun"/>
          <w:color w:val="000000" w:themeColor="text1"/>
          <w:shd w:val="clear" w:color="auto" w:fill="FFFFFF"/>
        </w:rPr>
        <w:t>A State is “specially affected” if it is affected by the breach in a way that distinguishes it from the generality of other States to which the obligation is owed.</w:t>
      </w:r>
      <w:r w:rsidRPr="00847B84">
        <w:rPr>
          <w:rStyle w:val="FootnoteReference"/>
          <w:color w:val="000000" w:themeColor="text1"/>
          <w:shd w:val="clear" w:color="auto" w:fill="FFFFFF"/>
        </w:rPr>
        <w:footnoteReference w:id="23"/>
      </w:r>
      <w:r w:rsidRPr="00847B84">
        <w:rPr>
          <w:rStyle w:val="superscript"/>
          <w:color w:val="000000" w:themeColor="text1"/>
          <w:shd w:val="clear" w:color="auto" w:fill="FFFFFF"/>
          <w:vertAlign w:val="superscript"/>
        </w:rPr>
        <w:t xml:space="preserve">  </w:t>
      </w:r>
      <w:r w:rsidRPr="00847B84">
        <w:rPr>
          <w:color w:val="000000" w:themeColor="text1"/>
          <w:lang w:val="en-US"/>
        </w:rPr>
        <w:t xml:space="preserve">The State must show that it has a </w:t>
      </w:r>
      <w:r w:rsidRPr="00847B84">
        <w:rPr>
          <w:i/>
          <w:iCs/>
          <w:color w:val="000000" w:themeColor="text1"/>
          <w:lang w:val="en-US"/>
        </w:rPr>
        <w:t xml:space="preserve">personal interest </w:t>
      </w:r>
      <w:r w:rsidRPr="00847B84">
        <w:rPr>
          <w:color w:val="000000" w:themeColor="text1"/>
          <w:lang w:val="en-US"/>
        </w:rPr>
        <w:t>that is specific, concrete, and not abstract.</w:t>
      </w:r>
      <w:r w:rsidRPr="00847B84">
        <w:rPr>
          <w:rStyle w:val="FootnoteReference"/>
          <w:color w:val="000000" w:themeColor="text1"/>
          <w:lang w:val="en-US"/>
        </w:rPr>
        <w:footnoteReference w:id="24"/>
      </w:r>
    </w:p>
    <w:p w14:paraId="24955930" w14:textId="5E738E4D" w:rsidR="006578A7" w:rsidRPr="00847B84" w:rsidRDefault="006578A7" w:rsidP="006578A7">
      <w:pPr>
        <w:ind w:firstLine="720"/>
        <w:rPr>
          <w:color w:val="000000" w:themeColor="text1"/>
          <w:lang w:val="en-US"/>
        </w:rPr>
      </w:pPr>
      <w:proofErr w:type="spellStart"/>
      <w:r w:rsidRPr="00847B84">
        <w:rPr>
          <w:color w:val="000000" w:themeColor="text1"/>
          <w:lang w:val="en-US"/>
        </w:rPr>
        <w:t>Antrano</w:t>
      </w:r>
      <w:proofErr w:type="spellEnd"/>
      <w:r w:rsidRPr="00847B84">
        <w:rPr>
          <w:color w:val="000000" w:themeColor="text1"/>
          <w:lang w:val="en-US"/>
        </w:rPr>
        <w:t xml:space="preserve"> has no </w:t>
      </w:r>
      <w:r w:rsidRPr="00847B84">
        <w:rPr>
          <w:i/>
          <w:iCs/>
          <w:color w:val="000000" w:themeColor="text1"/>
          <w:lang w:val="en-US"/>
        </w:rPr>
        <w:t xml:space="preserve">personal interest </w:t>
      </w:r>
      <w:r w:rsidRPr="00847B84">
        <w:rPr>
          <w:color w:val="000000" w:themeColor="text1"/>
          <w:lang w:val="en-US"/>
        </w:rPr>
        <w:t xml:space="preserve">in the </w:t>
      </w:r>
      <w:proofErr w:type="spellStart"/>
      <w:r w:rsidRPr="00847B84">
        <w:rPr>
          <w:color w:val="000000" w:themeColor="text1"/>
          <w:lang w:val="en-US"/>
        </w:rPr>
        <w:t>Sterren</w:t>
      </w:r>
      <w:proofErr w:type="spellEnd"/>
      <w:r w:rsidRPr="00847B84">
        <w:rPr>
          <w:color w:val="000000" w:themeColor="text1"/>
          <w:lang w:val="en-US"/>
        </w:rPr>
        <w:t xml:space="preserve"> Forty’s deprivation of nationality. </w:t>
      </w:r>
      <w:r w:rsidR="00B319B9" w:rsidRPr="00847B84">
        <w:rPr>
          <w:color w:val="000000" w:themeColor="text1"/>
          <w:lang w:val="en-US"/>
        </w:rPr>
        <w:t>A</w:t>
      </w:r>
      <w:r w:rsidRPr="00847B84">
        <w:rPr>
          <w:color w:val="000000" w:themeColor="text1"/>
          <w:lang w:val="en-US"/>
        </w:rPr>
        <w:t xml:space="preserve">t </w:t>
      </w:r>
      <w:r w:rsidR="00A9717C" w:rsidRPr="00847B84">
        <w:rPr>
          <w:color w:val="000000" w:themeColor="text1"/>
          <w:lang w:val="en-US"/>
        </w:rPr>
        <w:t>most</w:t>
      </w:r>
      <w:r w:rsidRPr="00847B84">
        <w:rPr>
          <w:color w:val="000000" w:themeColor="text1"/>
          <w:lang w:val="en-US"/>
        </w:rPr>
        <w:t xml:space="preserve">, </w:t>
      </w:r>
      <w:proofErr w:type="spellStart"/>
      <w:r w:rsidRPr="00847B84">
        <w:rPr>
          <w:color w:val="000000" w:themeColor="text1"/>
          <w:lang w:val="en-US"/>
        </w:rPr>
        <w:t>Antrano</w:t>
      </w:r>
      <w:proofErr w:type="spellEnd"/>
      <w:r w:rsidRPr="00847B84">
        <w:rPr>
          <w:color w:val="000000" w:themeColor="text1"/>
          <w:lang w:val="en-US"/>
        </w:rPr>
        <w:t xml:space="preserve"> has </w:t>
      </w:r>
      <w:r w:rsidR="00B319B9" w:rsidRPr="00847B84">
        <w:rPr>
          <w:color w:val="000000" w:themeColor="text1"/>
          <w:lang w:val="en-US"/>
        </w:rPr>
        <w:t>advocated</w:t>
      </w:r>
      <w:r w:rsidRPr="00847B84">
        <w:rPr>
          <w:color w:val="000000" w:themeColor="text1"/>
          <w:lang w:val="en-US"/>
        </w:rPr>
        <w:t xml:space="preserve"> for the rights of stateless persons</w:t>
      </w:r>
      <w:r w:rsidRPr="00847B84">
        <w:rPr>
          <w:rStyle w:val="FootnoteReference"/>
          <w:color w:val="000000" w:themeColor="text1"/>
          <w:lang w:val="en-US"/>
        </w:rPr>
        <w:footnoteReference w:id="25"/>
      </w:r>
      <w:r w:rsidRPr="00847B84">
        <w:rPr>
          <w:color w:val="000000" w:themeColor="text1"/>
          <w:lang w:val="en-US"/>
        </w:rPr>
        <w:t xml:space="preserve"> but mere advocacy </w:t>
      </w:r>
      <w:r w:rsidR="00B319B9" w:rsidRPr="00847B84">
        <w:rPr>
          <w:color w:val="000000" w:themeColor="text1"/>
          <w:lang w:val="en-US"/>
        </w:rPr>
        <w:t>is insufficient to</w:t>
      </w:r>
      <w:r w:rsidRPr="00847B84">
        <w:rPr>
          <w:color w:val="000000" w:themeColor="text1"/>
          <w:lang w:val="en-US"/>
        </w:rPr>
        <w:t xml:space="preserve"> establish </w:t>
      </w:r>
      <w:r w:rsidR="00A80DE0" w:rsidRPr="00847B84">
        <w:rPr>
          <w:color w:val="000000" w:themeColor="text1"/>
          <w:lang w:val="en-US"/>
        </w:rPr>
        <w:t xml:space="preserve">injury or </w:t>
      </w:r>
      <w:r w:rsidRPr="00847B84">
        <w:rPr>
          <w:color w:val="000000" w:themeColor="text1"/>
          <w:lang w:val="en-US"/>
        </w:rPr>
        <w:t xml:space="preserve">a specific </w:t>
      </w:r>
      <w:r w:rsidR="00B319B9" w:rsidRPr="00847B84">
        <w:rPr>
          <w:color w:val="000000" w:themeColor="text1"/>
          <w:lang w:val="en-US"/>
        </w:rPr>
        <w:t xml:space="preserve">and </w:t>
      </w:r>
      <w:r w:rsidRPr="00847B84">
        <w:rPr>
          <w:color w:val="000000" w:themeColor="text1"/>
          <w:lang w:val="en-US"/>
        </w:rPr>
        <w:t xml:space="preserve">concrete interest that distinguishes </w:t>
      </w:r>
      <w:proofErr w:type="spellStart"/>
      <w:r w:rsidRPr="00847B84">
        <w:rPr>
          <w:color w:val="000000" w:themeColor="text1"/>
          <w:lang w:val="en-US"/>
        </w:rPr>
        <w:t>Antrano</w:t>
      </w:r>
      <w:proofErr w:type="spellEnd"/>
      <w:r w:rsidRPr="00847B84">
        <w:rPr>
          <w:color w:val="000000" w:themeColor="text1"/>
          <w:lang w:val="en-US"/>
        </w:rPr>
        <w:t xml:space="preserve"> from other States.</w:t>
      </w:r>
    </w:p>
    <w:p w14:paraId="542DA120" w14:textId="04201D20" w:rsidR="006578A7" w:rsidRPr="00847B84" w:rsidRDefault="006578A7" w:rsidP="00B07AD7">
      <w:pPr>
        <w:pStyle w:val="Heading3"/>
        <w:rPr>
          <w:lang w:val="en-US"/>
        </w:rPr>
      </w:pPr>
      <w:bookmarkStart w:id="38" w:name="_Toc156019713"/>
      <w:proofErr w:type="spellStart"/>
      <w:r w:rsidRPr="00847B84">
        <w:rPr>
          <w:lang w:val="en-US"/>
        </w:rPr>
        <w:t>Antrano</w:t>
      </w:r>
      <w:proofErr w:type="spellEnd"/>
      <w:r w:rsidRPr="00847B84">
        <w:rPr>
          <w:lang w:val="en-US"/>
        </w:rPr>
        <w:t xml:space="preserve"> has no right to institute </w:t>
      </w:r>
      <w:proofErr w:type="spellStart"/>
      <w:r w:rsidRPr="00847B84">
        <w:rPr>
          <w:i/>
          <w:lang w:val="en-US"/>
        </w:rPr>
        <w:t>actio</w:t>
      </w:r>
      <w:proofErr w:type="spellEnd"/>
      <w:r w:rsidRPr="00847B84">
        <w:rPr>
          <w:i/>
          <w:lang w:val="en-US"/>
        </w:rPr>
        <w:t xml:space="preserve"> </w:t>
      </w:r>
      <w:proofErr w:type="spellStart"/>
      <w:r w:rsidRPr="00847B84">
        <w:rPr>
          <w:i/>
          <w:lang w:val="en-US"/>
        </w:rPr>
        <w:t>popularis</w:t>
      </w:r>
      <w:proofErr w:type="spellEnd"/>
      <w:r w:rsidRPr="00847B84">
        <w:rPr>
          <w:lang w:val="en-US"/>
        </w:rPr>
        <w:t xml:space="preserve"> against </w:t>
      </w:r>
      <w:proofErr w:type="spellStart"/>
      <w:r w:rsidRPr="00847B84">
        <w:rPr>
          <w:lang w:val="en-US"/>
        </w:rPr>
        <w:t>Remisia</w:t>
      </w:r>
      <w:proofErr w:type="spellEnd"/>
      <w:r w:rsidRPr="00847B84">
        <w:rPr>
          <w:lang w:val="en-US"/>
        </w:rPr>
        <w:t xml:space="preserve"> for breaches of obligations </w:t>
      </w:r>
      <w:proofErr w:type="spellStart"/>
      <w:r w:rsidRPr="00847B84">
        <w:rPr>
          <w:i/>
          <w:lang w:val="en-US"/>
        </w:rPr>
        <w:t>erga</w:t>
      </w:r>
      <w:proofErr w:type="spellEnd"/>
      <w:r w:rsidRPr="00847B84">
        <w:rPr>
          <w:i/>
          <w:lang w:val="en-US"/>
        </w:rPr>
        <w:t xml:space="preserve"> omnes</w:t>
      </w:r>
      <w:r w:rsidRPr="00847B84">
        <w:rPr>
          <w:lang w:val="en-US"/>
        </w:rPr>
        <w:t xml:space="preserve"> or </w:t>
      </w:r>
      <w:proofErr w:type="spellStart"/>
      <w:r w:rsidRPr="00847B84">
        <w:rPr>
          <w:i/>
          <w:lang w:val="en-US"/>
        </w:rPr>
        <w:t>erga</w:t>
      </w:r>
      <w:proofErr w:type="spellEnd"/>
      <w:r w:rsidRPr="00847B84">
        <w:rPr>
          <w:i/>
          <w:lang w:val="en-US"/>
        </w:rPr>
        <w:t xml:space="preserve"> </w:t>
      </w:r>
      <w:r w:rsidRPr="00847B84">
        <w:rPr>
          <w:i/>
        </w:rPr>
        <w:t>omnes</w:t>
      </w:r>
      <w:r w:rsidRPr="00847B84">
        <w:rPr>
          <w:i/>
          <w:lang w:val="en-US"/>
        </w:rPr>
        <w:t xml:space="preserve"> </w:t>
      </w:r>
      <w:proofErr w:type="spellStart"/>
      <w:r w:rsidRPr="00847B84">
        <w:rPr>
          <w:i/>
          <w:lang w:val="en-US"/>
        </w:rPr>
        <w:t>partes</w:t>
      </w:r>
      <w:proofErr w:type="spellEnd"/>
      <w:r w:rsidRPr="00847B84">
        <w:rPr>
          <w:lang w:val="en-US"/>
        </w:rPr>
        <w:t>.</w:t>
      </w:r>
      <w:bookmarkEnd w:id="38"/>
    </w:p>
    <w:p w14:paraId="758B3964" w14:textId="77C85F92" w:rsidR="006578A7" w:rsidRPr="00847B84" w:rsidRDefault="00870222" w:rsidP="006578A7">
      <w:pPr>
        <w:ind w:firstLine="720"/>
        <w:rPr>
          <w:i/>
          <w:iCs/>
          <w:lang w:val="en-US"/>
        </w:rPr>
      </w:pPr>
      <w:proofErr w:type="spellStart"/>
      <w:r w:rsidRPr="00847B84">
        <w:rPr>
          <w:i/>
          <w:iCs/>
          <w:lang w:val="en-US"/>
        </w:rPr>
        <w:t>A</w:t>
      </w:r>
      <w:r w:rsidR="006578A7" w:rsidRPr="00847B84">
        <w:rPr>
          <w:i/>
          <w:iCs/>
          <w:lang w:val="en-US"/>
        </w:rPr>
        <w:t>ctio</w:t>
      </w:r>
      <w:proofErr w:type="spellEnd"/>
      <w:r w:rsidR="006578A7" w:rsidRPr="00847B84">
        <w:rPr>
          <w:i/>
          <w:iCs/>
          <w:lang w:val="en-US"/>
        </w:rPr>
        <w:t xml:space="preserve"> </w:t>
      </w:r>
      <w:proofErr w:type="spellStart"/>
      <w:r w:rsidR="006578A7" w:rsidRPr="00847B84">
        <w:rPr>
          <w:i/>
          <w:iCs/>
          <w:lang w:val="en-US"/>
        </w:rPr>
        <w:t>popularis</w:t>
      </w:r>
      <w:proofErr w:type="spellEnd"/>
      <w:r w:rsidR="006578A7" w:rsidRPr="00847B84">
        <w:rPr>
          <w:i/>
          <w:iCs/>
          <w:lang w:val="en-US"/>
        </w:rPr>
        <w:t xml:space="preserve"> </w:t>
      </w:r>
      <w:r w:rsidR="006578A7" w:rsidRPr="00847B84">
        <w:rPr>
          <w:lang w:val="en-US"/>
        </w:rPr>
        <w:t>pertains to a right to take legal action in vindication of a public interest.</w:t>
      </w:r>
      <w:r w:rsidR="006578A7" w:rsidRPr="00847B84">
        <w:rPr>
          <w:rStyle w:val="FootnoteReference"/>
          <w:lang w:val="en-US"/>
        </w:rPr>
        <w:footnoteReference w:id="26"/>
      </w:r>
      <w:r w:rsidR="006578A7" w:rsidRPr="00847B84">
        <w:rPr>
          <w:lang w:val="en-US"/>
        </w:rPr>
        <w:t xml:space="preserve"> Although </w:t>
      </w:r>
      <w:proofErr w:type="spellStart"/>
      <w:r w:rsidR="006578A7" w:rsidRPr="00847B84">
        <w:rPr>
          <w:i/>
          <w:iCs/>
          <w:lang w:val="en-US"/>
        </w:rPr>
        <w:t>actio</w:t>
      </w:r>
      <w:proofErr w:type="spellEnd"/>
      <w:r w:rsidR="006578A7" w:rsidRPr="00847B84">
        <w:rPr>
          <w:i/>
          <w:iCs/>
          <w:lang w:val="en-US"/>
        </w:rPr>
        <w:t xml:space="preserve"> </w:t>
      </w:r>
      <w:proofErr w:type="spellStart"/>
      <w:r w:rsidR="006578A7" w:rsidRPr="00847B84">
        <w:rPr>
          <w:i/>
          <w:iCs/>
          <w:lang w:val="en-US"/>
        </w:rPr>
        <w:t>popularis</w:t>
      </w:r>
      <w:proofErr w:type="spellEnd"/>
      <w:r w:rsidR="006578A7" w:rsidRPr="00847B84">
        <w:rPr>
          <w:i/>
          <w:iCs/>
          <w:lang w:val="en-US"/>
        </w:rPr>
        <w:t xml:space="preserve"> </w:t>
      </w:r>
      <w:r w:rsidR="006578A7" w:rsidRPr="00847B84">
        <w:rPr>
          <w:lang w:val="en-US"/>
        </w:rPr>
        <w:t>is known to domestic legal systems, [</w:t>
      </w:r>
      <w:r w:rsidR="006578A7" w:rsidRPr="00847B84">
        <w:rPr>
          <w:b/>
          <w:bCs/>
          <w:lang w:val="en-US"/>
        </w:rPr>
        <w:t>1</w:t>
      </w:r>
      <w:r w:rsidR="006578A7" w:rsidRPr="00847B84">
        <w:rPr>
          <w:lang w:val="en-US"/>
        </w:rPr>
        <w:t>] such has no basis in international law as it is neither a general principle of law nor customary;</w:t>
      </w:r>
      <w:r w:rsidR="006578A7" w:rsidRPr="00847B84">
        <w:rPr>
          <w:rStyle w:val="FootnoteReference"/>
          <w:lang w:val="en-US"/>
        </w:rPr>
        <w:footnoteReference w:id="27"/>
      </w:r>
      <w:r w:rsidR="006578A7" w:rsidRPr="00847B84">
        <w:rPr>
          <w:lang w:val="en-US"/>
        </w:rPr>
        <w:t xml:space="preserve"> [</w:t>
      </w:r>
      <w:r w:rsidR="006578A7" w:rsidRPr="00847B84">
        <w:rPr>
          <w:b/>
          <w:bCs/>
          <w:lang w:val="en-US"/>
        </w:rPr>
        <w:t>2</w:t>
      </w:r>
      <w:r w:rsidR="006578A7" w:rsidRPr="00847B84">
        <w:rPr>
          <w:lang w:val="en-US"/>
        </w:rPr>
        <w:t xml:space="preserve">] </w:t>
      </w:r>
      <w:r w:rsidR="00A80DE0" w:rsidRPr="00847B84">
        <w:rPr>
          <w:lang w:val="en-US"/>
        </w:rPr>
        <w:t>alternatively</w:t>
      </w:r>
      <w:r w:rsidR="006578A7" w:rsidRPr="00847B84">
        <w:rPr>
          <w:lang w:val="en-US"/>
        </w:rPr>
        <w:t>, th</w:t>
      </w:r>
      <w:r w:rsidR="008452A5" w:rsidRPr="00847B84">
        <w:rPr>
          <w:lang w:val="en-US"/>
        </w:rPr>
        <w:t>is</w:t>
      </w:r>
      <w:r w:rsidR="006578A7" w:rsidRPr="00847B84">
        <w:rPr>
          <w:lang w:val="en-US"/>
        </w:rPr>
        <w:t xml:space="preserve"> principle </w:t>
      </w:r>
      <w:r w:rsidR="008452A5" w:rsidRPr="00847B84">
        <w:rPr>
          <w:lang w:val="en-US"/>
        </w:rPr>
        <w:t>is</w:t>
      </w:r>
      <w:r w:rsidR="006578A7" w:rsidRPr="00847B84">
        <w:rPr>
          <w:lang w:val="en-US"/>
        </w:rPr>
        <w:t xml:space="preserve"> </w:t>
      </w:r>
      <w:r w:rsidR="00067A33" w:rsidRPr="00847B84">
        <w:rPr>
          <w:lang w:val="en-US"/>
        </w:rPr>
        <w:t>inapplicable</w:t>
      </w:r>
      <w:r w:rsidR="006578A7" w:rsidRPr="00847B84">
        <w:rPr>
          <w:lang w:val="en-US"/>
        </w:rPr>
        <w:t xml:space="preserve"> here because </w:t>
      </w:r>
      <w:proofErr w:type="spellStart"/>
      <w:r w:rsidR="006578A7" w:rsidRPr="00847B84">
        <w:rPr>
          <w:lang w:val="en-US"/>
        </w:rPr>
        <w:t>Antrano’s</w:t>
      </w:r>
      <w:proofErr w:type="spellEnd"/>
      <w:r w:rsidR="006578A7" w:rsidRPr="00847B84">
        <w:rPr>
          <w:lang w:val="en-US"/>
        </w:rPr>
        <w:t xml:space="preserve"> claims do not involve the vindication of </w:t>
      </w:r>
      <w:r w:rsidR="00A9717C" w:rsidRPr="00847B84">
        <w:rPr>
          <w:lang w:val="en-US"/>
        </w:rPr>
        <w:t>‘</w:t>
      </w:r>
      <w:r w:rsidR="006578A7" w:rsidRPr="00847B84">
        <w:rPr>
          <w:lang w:val="en-US"/>
        </w:rPr>
        <w:t>public interest</w:t>
      </w:r>
      <w:r w:rsidR="00A9717C" w:rsidRPr="00847B84">
        <w:rPr>
          <w:lang w:val="en-US"/>
        </w:rPr>
        <w:t>’</w:t>
      </w:r>
      <w:r w:rsidR="006578A7" w:rsidRPr="00847B84">
        <w:rPr>
          <w:lang w:val="en-US"/>
        </w:rPr>
        <w:t xml:space="preserve">, </w:t>
      </w:r>
      <w:r w:rsidR="006578A7" w:rsidRPr="00847B84">
        <w:rPr>
          <w:i/>
          <w:iCs/>
          <w:lang w:val="en-US"/>
        </w:rPr>
        <w:t>i.e.</w:t>
      </w:r>
      <w:r w:rsidR="006578A7" w:rsidRPr="00847B84">
        <w:rPr>
          <w:lang w:val="en-US"/>
        </w:rPr>
        <w:t xml:space="preserve">, obligations </w:t>
      </w:r>
      <w:proofErr w:type="spellStart"/>
      <w:r w:rsidR="006578A7" w:rsidRPr="00847B84">
        <w:rPr>
          <w:i/>
          <w:iCs/>
          <w:lang w:val="en-US"/>
        </w:rPr>
        <w:t>erga</w:t>
      </w:r>
      <w:proofErr w:type="spellEnd"/>
      <w:r w:rsidR="006578A7" w:rsidRPr="00847B84">
        <w:rPr>
          <w:i/>
          <w:iCs/>
          <w:lang w:val="en-US"/>
        </w:rPr>
        <w:t xml:space="preserve"> omnes</w:t>
      </w:r>
      <w:r w:rsidR="006578A7" w:rsidRPr="00847B84">
        <w:rPr>
          <w:lang w:val="en-US"/>
        </w:rPr>
        <w:t xml:space="preserve"> or </w:t>
      </w:r>
      <w:proofErr w:type="spellStart"/>
      <w:r w:rsidR="006578A7" w:rsidRPr="00847B84">
        <w:rPr>
          <w:i/>
          <w:iCs/>
          <w:lang w:val="en-US"/>
        </w:rPr>
        <w:t>erga</w:t>
      </w:r>
      <w:proofErr w:type="spellEnd"/>
      <w:r w:rsidR="006578A7" w:rsidRPr="00847B84">
        <w:rPr>
          <w:i/>
          <w:iCs/>
          <w:lang w:val="en-US"/>
        </w:rPr>
        <w:t xml:space="preserve"> omnes </w:t>
      </w:r>
      <w:proofErr w:type="spellStart"/>
      <w:r w:rsidR="006578A7" w:rsidRPr="00847B84">
        <w:rPr>
          <w:i/>
          <w:iCs/>
          <w:lang w:val="en-US"/>
        </w:rPr>
        <w:t>partes</w:t>
      </w:r>
      <w:proofErr w:type="spellEnd"/>
      <w:r w:rsidR="006578A7" w:rsidRPr="00847B84">
        <w:rPr>
          <w:lang w:val="en-US"/>
        </w:rPr>
        <w:t>.</w:t>
      </w:r>
    </w:p>
    <w:p w14:paraId="79259953" w14:textId="77777777" w:rsidR="006578A7" w:rsidRPr="00847B84" w:rsidRDefault="006578A7" w:rsidP="00B07AD7">
      <w:pPr>
        <w:pStyle w:val="Heading4"/>
        <w:numPr>
          <w:ilvl w:val="0"/>
          <w:numId w:val="66"/>
        </w:numPr>
        <w:ind w:left="1080"/>
        <w:rPr>
          <w:lang w:val="en-US"/>
        </w:rPr>
      </w:pPr>
      <w:bookmarkStart w:id="39" w:name="_Toc156019714"/>
      <w:proofErr w:type="spellStart"/>
      <w:r w:rsidRPr="00847B84">
        <w:rPr>
          <w:lang w:val="en-US"/>
        </w:rPr>
        <w:t>Actio</w:t>
      </w:r>
      <w:proofErr w:type="spellEnd"/>
      <w:r w:rsidRPr="00847B84">
        <w:rPr>
          <w:lang w:val="en-US"/>
        </w:rPr>
        <w:t xml:space="preserve"> </w:t>
      </w:r>
      <w:proofErr w:type="spellStart"/>
      <w:r w:rsidRPr="00847B84">
        <w:rPr>
          <w:lang w:val="en-US"/>
        </w:rPr>
        <w:t>popularis</w:t>
      </w:r>
      <w:proofErr w:type="spellEnd"/>
      <w:r w:rsidRPr="00847B84">
        <w:rPr>
          <w:lang w:val="en-US"/>
        </w:rPr>
        <w:t xml:space="preserve"> has no basis in international law.</w:t>
      </w:r>
      <w:bookmarkEnd w:id="39"/>
    </w:p>
    <w:p w14:paraId="327809DA" w14:textId="77777777" w:rsidR="006578A7" w:rsidRPr="00847B84" w:rsidRDefault="006578A7" w:rsidP="00B07AD7">
      <w:pPr>
        <w:pStyle w:val="Heading5"/>
        <w:numPr>
          <w:ilvl w:val="0"/>
          <w:numId w:val="67"/>
        </w:numPr>
        <w:ind w:left="1440"/>
        <w:rPr>
          <w:lang w:val="en-US"/>
        </w:rPr>
      </w:pPr>
      <w:bookmarkStart w:id="40" w:name="_Toc156019715"/>
      <w:proofErr w:type="spellStart"/>
      <w:r w:rsidRPr="00847B84">
        <w:rPr>
          <w:i/>
          <w:lang w:val="en-US"/>
        </w:rPr>
        <w:t>Actio</w:t>
      </w:r>
      <w:proofErr w:type="spellEnd"/>
      <w:r w:rsidRPr="00847B84">
        <w:rPr>
          <w:i/>
          <w:lang w:val="en-US"/>
        </w:rPr>
        <w:t xml:space="preserve"> </w:t>
      </w:r>
      <w:proofErr w:type="spellStart"/>
      <w:r w:rsidRPr="00847B84">
        <w:rPr>
          <w:i/>
          <w:lang w:val="en-US"/>
        </w:rPr>
        <w:t>popularis</w:t>
      </w:r>
      <w:proofErr w:type="spellEnd"/>
      <w:r w:rsidRPr="00847B84">
        <w:rPr>
          <w:lang w:val="en-US"/>
        </w:rPr>
        <w:t xml:space="preserve"> is not a general principle of law.</w:t>
      </w:r>
      <w:bookmarkEnd w:id="40"/>
    </w:p>
    <w:p w14:paraId="421EBE0C" w14:textId="7E656837" w:rsidR="006578A7" w:rsidRPr="00847B84" w:rsidRDefault="006578A7" w:rsidP="006578A7">
      <w:pPr>
        <w:ind w:firstLine="720"/>
        <w:rPr>
          <w:color w:val="000000"/>
          <w:shd w:val="clear" w:color="auto" w:fill="FFFFFF"/>
          <w:lang w:val="en-US"/>
        </w:rPr>
      </w:pPr>
      <w:r w:rsidRPr="00847B84">
        <w:rPr>
          <w:lang w:val="en-US"/>
        </w:rPr>
        <w:lastRenderedPageBreak/>
        <w:t>General principles of law are legal norms accepted among the majority of municipal legal systems</w:t>
      </w:r>
      <w:r w:rsidRPr="00847B84">
        <w:rPr>
          <w:rStyle w:val="FootnoteReference"/>
          <w:lang w:val="en-US"/>
        </w:rPr>
        <w:footnoteReference w:id="28"/>
      </w:r>
      <w:r w:rsidRPr="00847B84">
        <w:rPr>
          <w:lang w:val="en-US"/>
        </w:rPr>
        <w:t xml:space="preserve"> that embody “universal standards that must always be applied.”</w:t>
      </w:r>
      <w:r w:rsidRPr="00847B84">
        <w:rPr>
          <w:rStyle w:val="FootnoteReference"/>
          <w:lang w:val="en-US"/>
        </w:rPr>
        <w:footnoteReference w:id="29"/>
      </w:r>
      <w:r w:rsidRPr="00847B84">
        <w:rPr>
          <w:lang w:val="en-US"/>
        </w:rPr>
        <w:t xml:space="preserve"> </w:t>
      </w:r>
      <w:r w:rsidRPr="00847B84">
        <w:rPr>
          <w:rStyle w:val="normaltextrun"/>
          <w:color w:val="000000"/>
          <w:shd w:val="clear" w:color="auto" w:fill="FFFFFF"/>
          <w:lang w:val="en-US"/>
        </w:rPr>
        <w:t>According to the</w:t>
      </w:r>
      <w:r w:rsidR="00632CCB" w:rsidRPr="00847B84">
        <w:rPr>
          <w:rStyle w:val="normaltextrun"/>
          <w:color w:val="000000"/>
          <w:shd w:val="clear" w:color="auto" w:fill="FFFFFF"/>
          <w:lang w:val="en-US"/>
        </w:rPr>
        <w:t xml:space="preserve"> International Law Commission [“</w:t>
      </w:r>
      <w:r w:rsidRPr="00847B84">
        <w:rPr>
          <w:rStyle w:val="normaltextrun"/>
          <w:b/>
          <w:bCs/>
          <w:color w:val="000000"/>
          <w:shd w:val="clear" w:color="auto" w:fill="FFFFFF"/>
          <w:lang w:val="en-US"/>
        </w:rPr>
        <w:t>ILC</w:t>
      </w:r>
      <w:r w:rsidR="00632CCB" w:rsidRPr="00847B84">
        <w:rPr>
          <w:rStyle w:val="normaltextrun"/>
          <w:color w:val="000000"/>
          <w:shd w:val="clear" w:color="auto" w:fill="FFFFFF"/>
          <w:lang w:val="en-US"/>
        </w:rPr>
        <w:t>”]</w:t>
      </w:r>
      <w:r w:rsidRPr="00847B84">
        <w:rPr>
          <w:rStyle w:val="normaltextrun"/>
          <w:color w:val="000000"/>
          <w:shd w:val="clear" w:color="auto" w:fill="FFFFFF"/>
          <w:lang w:val="en-US"/>
        </w:rPr>
        <w:t>, the existence of a general principle of law “cannot and should not be easily assumed”</w:t>
      </w:r>
      <w:r w:rsidRPr="00847B84">
        <w:rPr>
          <w:rStyle w:val="FootnoteReference"/>
          <w:shd w:val="clear" w:color="auto" w:fill="FFFFFF"/>
          <w:lang w:val="en-US"/>
        </w:rPr>
        <w:footnoteReference w:id="30"/>
      </w:r>
      <w:r w:rsidRPr="00847B84">
        <w:rPr>
          <w:rStyle w:val="normaltextrun"/>
          <w:color w:val="000000"/>
          <w:shd w:val="clear" w:color="auto" w:fill="FFFFFF"/>
          <w:lang w:val="en-US"/>
        </w:rPr>
        <w:t xml:space="preserve"> as it must satisfy </w:t>
      </w:r>
      <w:r w:rsidR="00A9717C" w:rsidRPr="00847B84">
        <w:rPr>
          <w:rStyle w:val="normaltextrun"/>
          <w:color w:val="000000"/>
          <w:shd w:val="clear" w:color="auto" w:fill="FFFFFF"/>
          <w:lang w:val="en-US"/>
        </w:rPr>
        <w:t>two</w:t>
      </w:r>
      <w:r w:rsidRPr="00847B84">
        <w:rPr>
          <w:rStyle w:val="normaltextrun"/>
          <w:color w:val="000000"/>
          <w:shd w:val="clear" w:color="auto" w:fill="FFFFFF"/>
          <w:lang w:val="en-US"/>
        </w:rPr>
        <w:t xml:space="preserve"> stringent</w:t>
      </w:r>
      <w:r w:rsidRPr="00847B84">
        <w:rPr>
          <w:rStyle w:val="FootnoteReference"/>
          <w:shd w:val="clear" w:color="auto" w:fill="FFFFFF"/>
          <w:lang w:val="en-US"/>
        </w:rPr>
        <w:footnoteReference w:id="31"/>
      </w:r>
      <w:r w:rsidRPr="00847B84">
        <w:rPr>
          <w:rStyle w:val="normaltextrun"/>
          <w:color w:val="000000"/>
          <w:shd w:val="clear" w:color="auto" w:fill="FFFFFF"/>
          <w:lang w:val="en-US"/>
        </w:rPr>
        <w:t xml:space="preserve"> requirements: </w:t>
      </w:r>
      <w:r w:rsidRPr="00847B84">
        <w:rPr>
          <w:lang w:val="en-US"/>
        </w:rPr>
        <w:t>[</w:t>
      </w:r>
      <w:proofErr w:type="spellStart"/>
      <w:r w:rsidRPr="00847B84">
        <w:rPr>
          <w:b/>
          <w:bCs/>
          <w:lang w:val="en-US"/>
        </w:rPr>
        <w:t>i</w:t>
      </w:r>
      <w:proofErr w:type="spellEnd"/>
      <w:r w:rsidRPr="00847B84">
        <w:rPr>
          <w:lang w:val="en-US"/>
        </w:rPr>
        <w:t>] the principle is common to various legal systems; and [</w:t>
      </w:r>
      <w:r w:rsidRPr="00847B84">
        <w:rPr>
          <w:b/>
          <w:bCs/>
          <w:lang w:val="en-US"/>
        </w:rPr>
        <w:t>ii</w:t>
      </w:r>
      <w:r w:rsidRPr="00847B84">
        <w:rPr>
          <w:lang w:val="en-US"/>
        </w:rPr>
        <w:t>] such</w:t>
      </w:r>
      <w:r w:rsidR="00330691" w:rsidRPr="00847B84">
        <w:rPr>
          <w:lang w:val="en-US"/>
        </w:rPr>
        <w:t xml:space="preserve"> </w:t>
      </w:r>
      <w:r w:rsidRPr="00847B84">
        <w:rPr>
          <w:lang w:val="en-US"/>
        </w:rPr>
        <w:t>principle is transposable to the international legal system.</w:t>
      </w:r>
      <w:r w:rsidRPr="00847B84">
        <w:rPr>
          <w:rStyle w:val="FootnoteReference"/>
          <w:lang w:val="en-US"/>
        </w:rPr>
        <w:footnoteReference w:id="32"/>
      </w:r>
      <w:r w:rsidRPr="00847B84">
        <w:rPr>
          <w:lang w:val="en-US"/>
        </w:rPr>
        <w:t xml:space="preserve">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lang w:val="en-US"/>
        </w:rPr>
        <w:t xml:space="preserve"> fails to meet these requirements. </w:t>
      </w:r>
    </w:p>
    <w:p w14:paraId="306DA1A3" w14:textId="77777777" w:rsidR="006578A7" w:rsidRPr="00847B84" w:rsidRDefault="006578A7" w:rsidP="00B07AD7">
      <w:pPr>
        <w:pStyle w:val="Heading6"/>
        <w:numPr>
          <w:ilvl w:val="0"/>
          <w:numId w:val="68"/>
        </w:numPr>
        <w:ind w:left="1800" w:hanging="360"/>
        <w:rPr>
          <w:lang w:val="en-US"/>
        </w:rPr>
      </w:pPr>
      <w:proofErr w:type="spellStart"/>
      <w:r w:rsidRPr="00847B84">
        <w:rPr>
          <w:i/>
          <w:lang w:val="en-US"/>
        </w:rPr>
        <w:t>Actio</w:t>
      </w:r>
      <w:proofErr w:type="spellEnd"/>
      <w:r w:rsidRPr="00847B84">
        <w:rPr>
          <w:i/>
          <w:lang w:val="en-US"/>
        </w:rPr>
        <w:t xml:space="preserve"> </w:t>
      </w:r>
      <w:proofErr w:type="spellStart"/>
      <w:r w:rsidRPr="00847B84">
        <w:rPr>
          <w:i/>
          <w:lang w:val="en-US"/>
        </w:rPr>
        <w:t>popularis</w:t>
      </w:r>
      <w:proofErr w:type="spellEnd"/>
      <w:r w:rsidRPr="00847B84">
        <w:rPr>
          <w:i/>
          <w:lang w:val="en-US"/>
        </w:rPr>
        <w:t xml:space="preserve"> </w:t>
      </w:r>
      <w:r w:rsidRPr="00847B84">
        <w:rPr>
          <w:lang w:val="en-US"/>
        </w:rPr>
        <w:t xml:space="preserve">is not common to municipal legal systems. </w:t>
      </w:r>
    </w:p>
    <w:p w14:paraId="78DEA46E" w14:textId="2FC8FD1A" w:rsidR="006578A7" w:rsidRPr="00847B84" w:rsidRDefault="006578A7" w:rsidP="006578A7">
      <w:pPr>
        <w:ind w:firstLine="720"/>
        <w:rPr>
          <w:lang w:val="en-US"/>
        </w:rPr>
      </w:pPr>
      <w:r w:rsidRPr="00847B84">
        <w:rPr>
          <w:rStyle w:val="normaltextrun"/>
          <w:color w:val="000000"/>
          <w:shd w:val="clear" w:color="auto" w:fill="FFFFFF"/>
          <w:lang w:val="en-US"/>
        </w:rPr>
        <w:t>Determining the existence of a principle common to the various legal systems of the world</w:t>
      </w:r>
      <w:r w:rsidRPr="00847B84">
        <w:rPr>
          <w:color w:val="000000"/>
          <w:shd w:val="clear" w:color="auto" w:fill="FFFFFF"/>
          <w:lang w:val="en-US"/>
        </w:rPr>
        <w:t xml:space="preserve"> </w:t>
      </w:r>
      <w:r w:rsidRPr="00847B84">
        <w:rPr>
          <w:rStyle w:val="normaltextrun"/>
          <w:color w:val="000000"/>
          <w:shd w:val="clear" w:color="auto" w:fill="FFFFFF"/>
          <w:lang w:val="en-US"/>
        </w:rPr>
        <w:t>requires a wide and representative comparative analysis of national legal systems.</w:t>
      </w:r>
      <w:r w:rsidRPr="00847B84">
        <w:rPr>
          <w:rStyle w:val="FootnoteReference"/>
          <w:shd w:val="clear" w:color="auto" w:fill="FFFFFF"/>
          <w:lang w:val="en-US"/>
        </w:rPr>
        <w:footnoteReference w:id="33"/>
      </w:r>
      <w:r w:rsidRPr="00847B84">
        <w:rPr>
          <w:rStyle w:val="normaltextrun"/>
          <w:color w:val="000000"/>
          <w:shd w:val="clear" w:color="auto" w:fill="FFFFFF"/>
          <w:lang w:val="en-US"/>
        </w:rPr>
        <w:t xml:space="preserve"> </w:t>
      </w:r>
      <w:r w:rsidR="00A9717C" w:rsidRPr="00847B84">
        <w:rPr>
          <w:rStyle w:val="normaltextrun"/>
          <w:color w:val="000000"/>
          <w:shd w:val="clear" w:color="auto" w:fill="FFFFFF"/>
          <w:lang w:val="en-US"/>
        </w:rPr>
        <w:t>T</w:t>
      </w:r>
      <w:r w:rsidRPr="00847B84">
        <w:rPr>
          <w:rStyle w:val="normaltextrun"/>
          <w:color w:val="000000"/>
          <w:shd w:val="clear" w:color="auto" w:fill="FFFFFF"/>
          <w:lang w:val="en-US"/>
        </w:rPr>
        <w:t>he assessment must cover major legal systems (</w:t>
      </w:r>
      <w:r w:rsidRPr="00847B84">
        <w:rPr>
          <w:rStyle w:val="normaltextrun"/>
          <w:i/>
          <w:iCs/>
          <w:color w:val="000000"/>
          <w:shd w:val="clear" w:color="auto" w:fill="FFFFFF"/>
          <w:lang w:val="en-US"/>
        </w:rPr>
        <w:t>e.g.</w:t>
      </w:r>
      <w:r w:rsidRPr="00847B84">
        <w:rPr>
          <w:rStyle w:val="normaltextrun"/>
          <w:color w:val="000000"/>
          <w:shd w:val="clear" w:color="auto" w:fill="FFFFFF"/>
          <w:lang w:val="en-US"/>
        </w:rPr>
        <w:t xml:space="preserve">, </w:t>
      </w:r>
      <w:proofErr w:type="gramStart"/>
      <w:r w:rsidRPr="00847B84">
        <w:rPr>
          <w:rStyle w:val="normaltextrun"/>
          <w:color w:val="000000"/>
          <w:shd w:val="clear" w:color="auto" w:fill="FFFFFF"/>
          <w:lang w:val="en-US"/>
        </w:rPr>
        <w:t>civil</w:t>
      </w:r>
      <w:proofErr w:type="gramEnd"/>
      <w:r w:rsidRPr="00847B84">
        <w:rPr>
          <w:rStyle w:val="normaltextrun"/>
          <w:color w:val="000000"/>
          <w:shd w:val="clear" w:color="auto" w:fill="FFFFFF"/>
          <w:lang w:val="en-US"/>
        </w:rPr>
        <w:t xml:space="preserve"> and common law systems)</w:t>
      </w:r>
      <w:r w:rsidRPr="00847B84">
        <w:rPr>
          <w:rStyle w:val="FootnoteReference"/>
          <w:shd w:val="clear" w:color="auto" w:fill="FFFFFF"/>
          <w:lang w:val="en-US"/>
        </w:rPr>
        <w:footnoteReference w:id="34"/>
      </w:r>
      <w:r w:rsidRPr="00847B84">
        <w:rPr>
          <w:rStyle w:val="normaltextrun"/>
          <w:color w:val="000000"/>
          <w:shd w:val="clear" w:color="auto" w:fill="FFFFFF"/>
          <w:lang w:val="en-US"/>
        </w:rPr>
        <w:t xml:space="preserve"> and various regions of the world.</w:t>
      </w:r>
      <w:r w:rsidRPr="00847B84">
        <w:rPr>
          <w:rStyle w:val="FootnoteReference"/>
          <w:shd w:val="clear" w:color="auto" w:fill="FFFFFF"/>
          <w:lang w:val="en-US"/>
        </w:rPr>
        <w:footnoteReference w:id="35"/>
      </w:r>
      <w:r w:rsidRPr="00847B84">
        <w:rPr>
          <w:rStyle w:val="normaltextrun"/>
          <w:color w:val="000000"/>
          <w:shd w:val="clear" w:color="auto" w:fill="FFFFFF"/>
          <w:lang w:val="en-US"/>
        </w:rPr>
        <w:t xml:space="preserve"> In this regard, a principle must be present in a “large number and variety of legal systems”</w:t>
      </w:r>
      <w:r w:rsidRPr="00847B84">
        <w:rPr>
          <w:rStyle w:val="FootnoteReference"/>
          <w:shd w:val="clear" w:color="auto" w:fill="FFFFFF"/>
          <w:lang w:val="en-US"/>
        </w:rPr>
        <w:footnoteReference w:id="36"/>
      </w:r>
      <w:r w:rsidRPr="00847B84">
        <w:rPr>
          <w:rStyle w:val="normaltextrun"/>
          <w:color w:val="000000"/>
          <w:shd w:val="clear" w:color="auto" w:fill="FFFFFF"/>
          <w:lang w:val="en-US"/>
        </w:rPr>
        <w:t xml:space="preserve"> to constitute a general principle of law. </w:t>
      </w:r>
    </w:p>
    <w:p w14:paraId="10571556" w14:textId="2582ACA6" w:rsidR="006578A7" w:rsidRPr="00847B84" w:rsidRDefault="006578A7" w:rsidP="006578A7">
      <w:pPr>
        <w:ind w:firstLine="720"/>
        <w:rPr>
          <w:color w:val="000000" w:themeColor="text1"/>
        </w:rPr>
      </w:pPr>
      <w:r w:rsidRPr="00847B84">
        <w:rPr>
          <w:lang w:val="en-US"/>
        </w:rPr>
        <w:t xml:space="preserve">In </w:t>
      </w:r>
      <w:proofErr w:type="gramStart"/>
      <w:r w:rsidRPr="00847B84">
        <w:rPr>
          <w:i/>
          <w:iCs/>
          <w:lang w:val="en-US"/>
        </w:rPr>
        <w:t>South West</w:t>
      </w:r>
      <w:proofErr w:type="gramEnd"/>
      <w:r w:rsidRPr="00847B84">
        <w:rPr>
          <w:i/>
          <w:iCs/>
          <w:lang w:val="en-US"/>
        </w:rPr>
        <w:t xml:space="preserve"> Africa</w:t>
      </w:r>
      <w:r w:rsidRPr="00847B84">
        <w:rPr>
          <w:lang w:val="en-US"/>
        </w:rPr>
        <w:t xml:space="preserve">, the Court found that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i/>
          <w:iCs/>
          <w:lang w:val="en-US"/>
        </w:rPr>
        <w:t xml:space="preserve"> </w:t>
      </w:r>
      <w:r w:rsidRPr="00847B84">
        <w:rPr>
          <w:lang w:val="en-US"/>
        </w:rPr>
        <w:t>was not a general principle of law</w:t>
      </w:r>
      <w:r w:rsidR="00C35B4D" w:rsidRPr="00847B84">
        <w:rPr>
          <w:lang w:val="en-US"/>
        </w:rPr>
        <w:t>,</w:t>
      </w:r>
      <w:r w:rsidRPr="00847B84">
        <w:rPr>
          <w:rStyle w:val="FootnoteReference"/>
          <w:lang w:val="en-US"/>
        </w:rPr>
        <w:footnoteReference w:id="37"/>
      </w:r>
      <w:r w:rsidRPr="00847B84">
        <w:rPr>
          <w:lang w:val="en-US"/>
        </w:rPr>
        <w:t xml:space="preserve"> because </w:t>
      </w:r>
      <w:r w:rsidR="00C35B4D" w:rsidRPr="00847B84">
        <w:rPr>
          <w:lang w:val="en-US"/>
        </w:rPr>
        <w:t>it</w:t>
      </w:r>
      <w:r w:rsidRPr="00847B84">
        <w:rPr>
          <w:lang w:val="en-US"/>
        </w:rPr>
        <w:t xml:space="preserve"> was only known to “</w:t>
      </w:r>
      <w:r w:rsidRPr="00847B84">
        <w:rPr>
          <w:i/>
          <w:iCs/>
          <w:lang w:val="en-US"/>
        </w:rPr>
        <w:t>certain</w:t>
      </w:r>
      <w:r w:rsidRPr="00847B84">
        <w:rPr>
          <w:lang w:val="en-US"/>
        </w:rPr>
        <w:t xml:space="preserve"> municipal systems of law”</w:t>
      </w:r>
      <w:r w:rsidRPr="00847B84">
        <w:rPr>
          <w:rStyle w:val="FootnoteReference"/>
          <w:lang w:val="en-US"/>
        </w:rPr>
        <w:footnoteReference w:id="38"/>
      </w:r>
      <w:r w:rsidRPr="00847B84">
        <w:rPr>
          <w:lang w:val="en-US"/>
        </w:rPr>
        <w:t xml:space="preserve"> </w:t>
      </w:r>
      <w:r w:rsidR="00C35B4D" w:rsidRPr="00847B84">
        <w:rPr>
          <w:lang w:val="en-US"/>
        </w:rPr>
        <w:t>and</w:t>
      </w:r>
      <w:r w:rsidRPr="00847B84">
        <w:rPr>
          <w:lang w:val="en-US"/>
        </w:rPr>
        <w:t xml:space="preserve"> was not </w:t>
      </w:r>
      <w:r w:rsidR="002A2487" w:rsidRPr="00847B84">
        <w:rPr>
          <w:lang w:val="en-US"/>
        </w:rPr>
        <w:t xml:space="preserve">widely </w:t>
      </w:r>
      <w:r w:rsidRPr="00847B84">
        <w:rPr>
          <w:lang w:val="en-US"/>
        </w:rPr>
        <w:t>recognized</w:t>
      </w:r>
      <w:r w:rsidR="00315A5D" w:rsidRPr="00847B84">
        <w:rPr>
          <w:lang w:val="en-US"/>
        </w:rPr>
        <w:t>.</w:t>
      </w:r>
      <w:r w:rsidRPr="00847B84">
        <w:rPr>
          <w:rStyle w:val="FootnoteReference"/>
          <w:lang w:val="en-US"/>
        </w:rPr>
        <w:footnoteReference w:id="39"/>
      </w:r>
      <w:r w:rsidRPr="00847B84">
        <w:rPr>
          <w:rStyle w:val="normaltextrun"/>
          <w:color w:val="000000"/>
          <w:shd w:val="clear" w:color="auto" w:fill="FFFFFF"/>
          <w:lang w:val="en-US"/>
        </w:rPr>
        <w:t xml:space="preserve"> Even today, major civil and common law jurisdictions have </w:t>
      </w:r>
      <w:r w:rsidR="00A9717C" w:rsidRPr="00847B84">
        <w:rPr>
          <w:rStyle w:val="normaltextrun"/>
          <w:color w:val="000000"/>
          <w:shd w:val="clear" w:color="auto" w:fill="FFFFFF"/>
          <w:lang w:val="en-US"/>
        </w:rPr>
        <w:t xml:space="preserve">widely </w:t>
      </w:r>
      <w:r w:rsidRPr="00847B84">
        <w:rPr>
          <w:rStyle w:val="normaltextrun"/>
          <w:color w:val="000000"/>
          <w:shd w:val="clear" w:color="auto" w:fill="FFFFFF"/>
          <w:lang w:val="en-US"/>
        </w:rPr>
        <w:t xml:space="preserve">rejected the </w:t>
      </w:r>
      <w:r w:rsidRPr="00847B84">
        <w:rPr>
          <w:rStyle w:val="normaltextrun"/>
          <w:color w:val="000000"/>
          <w:shd w:val="clear" w:color="auto" w:fill="FFFFFF"/>
          <w:lang w:val="en-US"/>
        </w:rPr>
        <w:lastRenderedPageBreak/>
        <w:t xml:space="preserve">notion of ‘public interest litigation’. For instance, </w:t>
      </w:r>
      <w:r w:rsidRPr="00847B84">
        <w:rPr>
          <w:color w:val="000000" w:themeColor="text1"/>
          <w:lang w:val="en-US"/>
        </w:rPr>
        <w:t>the courts of Uzbekistan,</w:t>
      </w:r>
      <w:bookmarkStart w:id="41" w:name="_Ref156018990"/>
      <w:r w:rsidRPr="00847B84">
        <w:rPr>
          <w:rStyle w:val="FootnoteReference"/>
          <w:color w:val="000000" w:themeColor="text1"/>
          <w:lang w:val="en-US"/>
        </w:rPr>
        <w:footnoteReference w:id="40"/>
      </w:r>
      <w:bookmarkEnd w:id="41"/>
      <w:r w:rsidRPr="00847B84">
        <w:rPr>
          <w:color w:val="000000" w:themeColor="text1"/>
          <w:lang w:val="en-US"/>
        </w:rPr>
        <w:t xml:space="preserve"> Slovenia,</w:t>
      </w:r>
      <w:r w:rsidRPr="00847B84">
        <w:rPr>
          <w:rStyle w:val="FootnoteReference"/>
          <w:color w:val="000000" w:themeColor="text1"/>
          <w:lang w:val="en-US"/>
        </w:rPr>
        <w:footnoteReference w:id="41"/>
      </w:r>
      <w:r w:rsidRPr="00847B84">
        <w:rPr>
          <w:color w:val="000000" w:themeColor="text1"/>
          <w:lang w:val="en-US"/>
        </w:rPr>
        <w:t xml:space="preserve"> Austria</w:t>
      </w:r>
      <w:r w:rsidR="00A9717C" w:rsidRPr="00847B84">
        <w:rPr>
          <w:color w:val="000000" w:themeColor="text1"/>
          <w:lang w:val="en-US"/>
        </w:rPr>
        <w:t>,</w:t>
      </w:r>
      <w:r w:rsidRPr="00847B84">
        <w:rPr>
          <w:rStyle w:val="FootnoteReference"/>
          <w:color w:val="000000" w:themeColor="text1"/>
          <w:lang w:val="en-US"/>
        </w:rPr>
        <w:footnoteReference w:id="42"/>
      </w:r>
      <w:r w:rsidRPr="00847B84">
        <w:rPr>
          <w:color w:val="000000" w:themeColor="text1"/>
          <w:lang w:val="en-US"/>
        </w:rPr>
        <w:t xml:space="preserve"> France,</w:t>
      </w:r>
      <w:r w:rsidRPr="00847B84">
        <w:rPr>
          <w:rStyle w:val="FootnoteReference"/>
          <w:color w:val="000000" w:themeColor="text1"/>
          <w:lang w:val="en-US"/>
        </w:rPr>
        <w:footnoteReference w:id="43"/>
      </w:r>
      <w:r w:rsidRPr="00847B84">
        <w:rPr>
          <w:color w:val="000000" w:themeColor="text1"/>
          <w:lang w:val="en-US"/>
        </w:rPr>
        <w:t xml:space="preserve"> Namibia,</w:t>
      </w:r>
      <w:r w:rsidRPr="00847B84">
        <w:rPr>
          <w:rStyle w:val="FootnoteReference"/>
          <w:color w:val="000000" w:themeColor="text1"/>
          <w:lang w:val="en-US"/>
        </w:rPr>
        <w:footnoteReference w:id="44"/>
      </w:r>
      <w:r w:rsidRPr="00847B84">
        <w:rPr>
          <w:color w:val="000000" w:themeColor="text1"/>
          <w:lang w:val="en-US"/>
        </w:rPr>
        <w:t xml:space="preserve"> Sudan,</w:t>
      </w:r>
      <w:r w:rsidRPr="00847B84">
        <w:rPr>
          <w:rStyle w:val="FootnoteReference"/>
          <w:color w:val="000000" w:themeColor="text1"/>
          <w:lang w:val="en-US"/>
        </w:rPr>
        <w:footnoteReference w:id="45"/>
      </w:r>
      <w:r w:rsidRPr="00847B84">
        <w:rPr>
          <w:color w:val="000000" w:themeColor="text1"/>
          <w:lang w:val="en-US"/>
        </w:rPr>
        <w:t xml:space="preserve"> Denmark,</w:t>
      </w:r>
      <w:r w:rsidRPr="00847B84">
        <w:rPr>
          <w:rStyle w:val="FootnoteReference"/>
          <w:color w:val="000000" w:themeColor="text1"/>
          <w:lang w:val="en-US"/>
        </w:rPr>
        <w:footnoteReference w:id="46"/>
      </w:r>
      <w:r w:rsidRPr="00847B84">
        <w:rPr>
          <w:color w:val="000000" w:themeColor="text1"/>
          <w:lang w:val="en-US"/>
        </w:rPr>
        <w:t xml:space="preserve"> Ethiopia,</w:t>
      </w:r>
      <w:r w:rsidRPr="00847B84">
        <w:rPr>
          <w:rStyle w:val="FootnoteReference"/>
          <w:color w:val="000000" w:themeColor="text1"/>
          <w:lang w:val="en-US"/>
        </w:rPr>
        <w:footnoteReference w:id="47"/>
      </w:r>
      <w:r w:rsidRPr="00847B84">
        <w:rPr>
          <w:color w:val="000000" w:themeColor="text1"/>
          <w:lang w:val="en-US"/>
        </w:rPr>
        <w:t xml:space="preserve"> Iceland,</w:t>
      </w:r>
      <w:r w:rsidRPr="00847B84">
        <w:rPr>
          <w:rStyle w:val="FootnoteReference"/>
          <w:color w:val="000000" w:themeColor="text1"/>
          <w:lang w:val="en-US"/>
        </w:rPr>
        <w:footnoteReference w:id="48"/>
      </w:r>
      <w:r w:rsidRPr="00847B84">
        <w:rPr>
          <w:color w:val="000000" w:themeColor="text1"/>
          <w:lang w:val="en-US"/>
        </w:rPr>
        <w:t xml:space="preserve"> Ireland,</w:t>
      </w:r>
      <w:r w:rsidRPr="00847B84">
        <w:rPr>
          <w:rStyle w:val="FootnoteReference"/>
          <w:color w:val="000000" w:themeColor="text1"/>
          <w:lang w:val="en-US"/>
        </w:rPr>
        <w:footnoteReference w:id="49"/>
      </w:r>
      <w:r w:rsidRPr="00847B84">
        <w:rPr>
          <w:color w:val="000000" w:themeColor="text1"/>
          <w:lang w:val="en-US"/>
        </w:rPr>
        <w:t xml:space="preserve"> </w:t>
      </w:r>
      <w:r w:rsidR="00A9717C" w:rsidRPr="00847B84">
        <w:rPr>
          <w:color w:val="000000" w:themeColor="text1"/>
          <w:lang w:val="en-US"/>
        </w:rPr>
        <w:t xml:space="preserve">and </w:t>
      </w:r>
      <w:r w:rsidRPr="00847B84">
        <w:rPr>
          <w:color w:val="000000" w:themeColor="text1"/>
          <w:lang w:val="en-US"/>
        </w:rPr>
        <w:t>Russia</w:t>
      </w:r>
      <w:r w:rsidRPr="00847B84">
        <w:rPr>
          <w:rStyle w:val="FootnoteReference"/>
          <w:color w:val="000000" w:themeColor="text1"/>
          <w:lang w:val="en-US"/>
        </w:rPr>
        <w:footnoteReference w:id="50"/>
      </w:r>
      <w:r w:rsidRPr="00847B84">
        <w:rPr>
          <w:color w:val="000000" w:themeColor="text1"/>
          <w:lang w:val="en-US"/>
        </w:rPr>
        <w:t xml:space="preserve"> have dismissed </w:t>
      </w:r>
      <w:proofErr w:type="spellStart"/>
      <w:r w:rsidRPr="00847B84">
        <w:rPr>
          <w:i/>
          <w:iCs/>
          <w:color w:val="000000" w:themeColor="text1"/>
          <w:lang w:val="en-US"/>
        </w:rPr>
        <w:t>actio</w:t>
      </w:r>
      <w:proofErr w:type="spellEnd"/>
      <w:r w:rsidRPr="00847B84">
        <w:rPr>
          <w:i/>
          <w:iCs/>
          <w:color w:val="000000" w:themeColor="text1"/>
          <w:lang w:val="en-US"/>
        </w:rPr>
        <w:t xml:space="preserve"> </w:t>
      </w:r>
      <w:proofErr w:type="spellStart"/>
      <w:r w:rsidRPr="00847B84">
        <w:rPr>
          <w:i/>
          <w:iCs/>
          <w:color w:val="000000" w:themeColor="text1"/>
          <w:lang w:val="en-US"/>
        </w:rPr>
        <w:t>popularis</w:t>
      </w:r>
      <w:proofErr w:type="spellEnd"/>
      <w:r w:rsidRPr="00847B84">
        <w:rPr>
          <w:i/>
          <w:iCs/>
          <w:color w:val="000000" w:themeColor="text1"/>
          <w:lang w:val="en-US"/>
        </w:rPr>
        <w:t xml:space="preserve"> </w:t>
      </w:r>
      <w:r w:rsidRPr="00847B84">
        <w:rPr>
          <w:color w:val="000000" w:themeColor="text1"/>
          <w:lang w:val="en-US"/>
        </w:rPr>
        <w:t>claims.</w:t>
      </w:r>
    </w:p>
    <w:p w14:paraId="77DA4401" w14:textId="77777777" w:rsidR="006578A7" w:rsidRPr="00847B84" w:rsidRDefault="006578A7" w:rsidP="006578A7">
      <w:pPr>
        <w:pStyle w:val="Heading6"/>
        <w:rPr>
          <w:rStyle w:val="normaltextrun"/>
          <w:lang w:val="en-US"/>
        </w:rPr>
      </w:pPr>
      <w:proofErr w:type="spellStart"/>
      <w:r w:rsidRPr="00847B84">
        <w:rPr>
          <w:i/>
          <w:lang w:val="en-US"/>
        </w:rPr>
        <w:t>Actio</w:t>
      </w:r>
      <w:proofErr w:type="spellEnd"/>
      <w:r w:rsidRPr="00847B84">
        <w:rPr>
          <w:i/>
          <w:lang w:val="en-US"/>
        </w:rPr>
        <w:t xml:space="preserve"> </w:t>
      </w:r>
      <w:proofErr w:type="spellStart"/>
      <w:r w:rsidRPr="00847B84">
        <w:rPr>
          <w:i/>
          <w:lang w:val="en-US"/>
        </w:rPr>
        <w:t>popularis</w:t>
      </w:r>
      <w:proofErr w:type="spellEnd"/>
      <w:r w:rsidRPr="00847B84">
        <w:rPr>
          <w:i/>
          <w:lang w:val="en-US"/>
        </w:rPr>
        <w:t xml:space="preserve"> </w:t>
      </w:r>
      <w:r w:rsidRPr="00847B84">
        <w:rPr>
          <w:lang w:val="en-US"/>
        </w:rPr>
        <w:t>is not transposable to the international legal system.</w:t>
      </w:r>
    </w:p>
    <w:p w14:paraId="0B6FCA4F" w14:textId="1BD4C144" w:rsidR="006578A7" w:rsidRPr="00847B84" w:rsidRDefault="006578A7" w:rsidP="006578A7">
      <w:pPr>
        <w:ind w:firstLine="720"/>
        <w:rPr>
          <w:rStyle w:val="normaltextrun"/>
          <w:i/>
          <w:iCs/>
          <w:color w:val="000000"/>
          <w:shd w:val="clear" w:color="auto" w:fill="FFFFFF"/>
          <w:lang w:val="en-US"/>
        </w:rPr>
      </w:pPr>
      <w:r w:rsidRPr="00847B84">
        <w:rPr>
          <w:rStyle w:val="normaltextrun"/>
          <w:color w:val="000000"/>
          <w:shd w:val="clear" w:color="auto" w:fill="FFFFFF"/>
          <w:lang w:val="en-US"/>
        </w:rPr>
        <w:t>For a principle to be transposable to the international legal system: the principle must be compatible with fundamental principles of international law;</w:t>
      </w:r>
      <w:r w:rsidRPr="00847B84">
        <w:rPr>
          <w:rStyle w:val="FootnoteReference"/>
          <w:shd w:val="clear" w:color="auto" w:fill="FFFFFF"/>
          <w:lang w:val="en-US"/>
        </w:rPr>
        <w:footnoteReference w:id="51"/>
      </w:r>
      <w:r w:rsidRPr="00847B84">
        <w:rPr>
          <w:rStyle w:val="normaltextrun"/>
          <w:color w:val="000000"/>
          <w:shd w:val="clear" w:color="auto" w:fill="FFFFFF"/>
          <w:lang w:val="en-US"/>
        </w:rPr>
        <w:t xml:space="preserve"> and conditions must exist for the adequate application of the principle in the international legal system.</w:t>
      </w:r>
      <w:r w:rsidRPr="00847B84">
        <w:rPr>
          <w:rStyle w:val="FootnoteReference"/>
          <w:shd w:val="clear" w:color="auto" w:fill="FFFFFF"/>
          <w:lang w:val="en-US"/>
        </w:rPr>
        <w:footnoteReference w:id="52"/>
      </w:r>
      <w:r w:rsidRPr="00847B84">
        <w:rPr>
          <w:rStyle w:val="normaltextrun"/>
          <w:color w:val="000000"/>
          <w:shd w:val="clear" w:color="auto" w:fill="FFFFFF"/>
          <w:lang w:val="en-US"/>
        </w:rPr>
        <w:t xml:space="preserve"> </w:t>
      </w:r>
    </w:p>
    <w:p w14:paraId="5AB0FA69" w14:textId="0AEFB095" w:rsidR="006578A7" w:rsidRPr="00847B84" w:rsidRDefault="006578A7" w:rsidP="006578A7">
      <w:pPr>
        <w:ind w:firstLine="720"/>
        <w:rPr>
          <w:color w:val="4472C4" w:themeColor="accent1"/>
          <w:lang w:val="en-US"/>
        </w:rPr>
      </w:pPr>
      <w:r w:rsidRPr="00847B84">
        <w:rPr>
          <w:rStyle w:val="normaltextrun"/>
          <w:i/>
          <w:iCs/>
          <w:color w:val="000000"/>
          <w:shd w:val="clear" w:color="auto" w:fill="FFFFFF"/>
          <w:lang w:val="en-US"/>
        </w:rPr>
        <w:t xml:space="preserve">First, </w:t>
      </w:r>
      <w:r w:rsidR="00A9717C" w:rsidRPr="00847B84">
        <w:rPr>
          <w:rStyle w:val="normaltextrun"/>
          <w:color w:val="000000"/>
          <w:shd w:val="clear" w:color="auto" w:fill="FFFFFF"/>
          <w:lang w:val="en-US"/>
        </w:rPr>
        <w:t>the</w:t>
      </w:r>
      <w:r w:rsidRPr="00847B84">
        <w:rPr>
          <w:rStyle w:val="normaltextrun"/>
          <w:color w:val="000000"/>
          <w:shd w:val="clear" w:color="auto" w:fill="FFFFFF"/>
          <w:lang w:val="en-US"/>
        </w:rPr>
        <w:t xml:space="preserve"> principle </w:t>
      </w:r>
      <w:r w:rsidR="00A9717C" w:rsidRPr="00847B84">
        <w:rPr>
          <w:rStyle w:val="normaltextrun"/>
          <w:color w:val="000000"/>
          <w:shd w:val="clear" w:color="auto" w:fill="FFFFFF"/>
          <w:lang w:val="en-US"/>
        </w:rPr>
        <w:t>must be</w:t>
      </w:r>
      <w:r w:rsidRPr="00847B84">
        <w:rPr>
          <w:rStyle w:val="normaltextrun"/>
          <w:color w:val="000000"/>
          <w:shd w:val="clear" w:color="auto" w:fill="FFFFFF"/>
          <w:lang w:val="en-US"/>
        </w:rPr>
        <w:t xml:space="preserve"> capable of existing within the broader framework of international law,</w:t>
      </w:r>
      <w:r w:rsidRPr="00847B84">
        <w:rPr>
          <w:rStyle w:val="FootnoteReference"/>
          <w:shd w:val="clear" w:color="auto" w:fill="FFFFFF"/>
          <w:lang w:val="en-US"/>
        </w:rPr>
        <w:footnoteReference w:id="53"/>
      </w:r>
      <w:r w:rsidRPr="00847B84">
        <w:rPr>
          <w:rStyle w:val="normaltextrun"/>
          <w:color w:val="000000"/>
          <w:shd w:val="clear" w:color="auto" w:fill="FFFFFF"/>
          <w:lang w:val="en-US"/>
        </w:rPr>
        <w:t xml:space="preserve"> </w:t>
      </w:r>
      <w:r w:rsidRPr="00847B84">
        <w:rPr>
          <w:lang w:val="en-US"/>
        </w:rPr>
        <w:t>particularly, the set of “rules of international law within which the principle applie</w:t>
      </w:r>
      <w:r w:rsidR="00FE17A9" w:rsidRPr="00847B84">
        <w:rPr>
          <w:lang w:val="en-US"/>
        </w:rPr>
        <w:t>s</w:t>
      </w:r>
      <w:r w:rsidRPr="00847B84">
        <w:rPr>
          <w:lang w:val="en-US"/>
        </w:rPr>
        <w:t>.”</w:t>
      </w:r>
      <w:bookmarkStart w:id="42" w:name="_Ref156019022"/>
      <w:r w:rsidRPr="00847B84">
        <w:rPr>
          <w:rStyle w:val="FootnoteReference"/>
          <w:lang w:val="en-US"/>
        </w:rPr>
        <w:footnoteReference w:id="54"/>
      </w:r>
      <w:bookmarkEnd w:id="42"/>
      <w:r w:rsidRPr="00847B84">
        <w:rPr>
          <w:lang w:val="en-US"/>
        </w:rPr>
        <w:t xml:space="preserve"> One fundamental rule of international law is that standing </w:t>
      </w:r>
      <w:r w:rsidR="00321C3C" w:rsidRPr="00847B84">
        <w:rPr>
          <w:lang w:val="en-US"/>
        </w:rPr>
        <w:t>requires</w:t>
      </w:r>
      <w:r w:rsidRPr="00847B84">
        <w:rPr>
          <w:lang w:val="en-US"/>
        </w:rPr>
        <w:t xml:space="preserve"> legal interest.</w:t>
      </w:r>
      <w:r w:rsidRPr="00847B84">
        <w:rPr>
          <w:rStyle w:val="FootnoteReference"/>
          <w:lang w:val="en-US"/>
        </w:rPr>
        <w:footnoteReference w:id="55"/>
      </w:r>
      <w:r w:rsidRPr="00847B84">
        <w:rPr>
          <w:lang w:val="en-US"/>
        </w:rPr>
        <w:t xml:space="preserve"> In this regard, damage or injury has traditionally been seen as a necessary precondition to have legal </w:t>
      </w:r>
      <w:r w:rsidRPr="00847B84">
        <w:rPr>
          <w:lang w:val="en-US"/>
        </w:rPr>
        <w:lastRenderedPageBreak/>
        <w:t>interest.</w:t>
      </w:r>
      <w:r w:rsidRPr="00847B84">
        <w:rPr>
          <w:rStyle w:val="FootnoteReference"/>
          <w:lang w:val="en-US"/>
        </w:rPr>
        <w:footnoteReference w:id="56"/>
      </w:r>
      <w:r w:rsidRPr="00847B84">
        <w:rPr>
          <w:lang w:val="en-US"/>
        </w:rPr>
        <w:t xml:space="preserve">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lang w:val="en-US"/>
        </w:rPr>
        <w:t xml:space="preserve">, which does not require </w:t>
      </w:r>
      <w:r w:rsidR="00321C3C" w:rsidRPr="00847B84">
        <w:rPr>
          <w:lang w:val="en-US"/>
        </w:rPr>
        <w:t xml:space="preserve">a plaintiff to show </w:t>
      </w:r>
      <w:r w:rsidRPr="00847B84">
        <w:rPr>
          <w:lang w:val="en-US"/>
        </w:rPr>
        <w:t>injury or damage</w:t>
      </w:r>
      <w:r w:rsidR="00321C3C" w:rsidRPr="00847B84">
        <w:rPr>
          <w:lang w:val="en-US"/>
        </w:rPr>
        <w:t xml:space="preserve"> to itself</w:t>
      </w:r>
      <w:r w:rsidRPr="00847B84">
        <w:rPr>
          <w:lang w:val="en-US"/>
        </w:rPr>
        <w:t>,</w:t>
      </w:r>
      <w:r w:rsidRPr="00847B84">
        <w:rPr>
          <w:i/>
          <w:iCs/>
          <w:lang w:val="en-US"/>
        </w:rPr>
        <w:t xml:space="preserve"> </w:t>
      </w:r>
      <w:r w:rsidRPr="00847B84">
        <w:rPr>
          <w:lang w:val="en-US"/>
        </w:rPr>
        <w:t>is thus inconsistent with the fundamental principles of international law.</w:t>
      </w:r>
    </w:p>
    <w:p w14:paraId="17F0CC6F" w14:textId="6FECC36B" w:rsidR="006578A7" w:rsidRPr="00847B84" w:rsidRDefault="006578A7" w:rsidP="005F5C37">
      <w:pPr>
        <w:ind w:firstLine="720"/>
        <w:rPr>
          <w:color w:val="000000"/>
          <w:shd w:val="clear" w:color="auto" w:fill="FFFFFF"/>
          <w:lang w:val="en-US"/>
        </w:rPr>
      </w:pPr>
      <w:r w:rsidRPr="00847B84">
        <w:rPr>
          <w:rStyle w:val="normaltextrun"/>
          <w:i/>
          <w:iCs/>
          <w:color w:val="000000"/>
          <w:shd w:val="clear" w:color="auto" w:fill="FFFFFF"/>
          <w:lang w:val="en-US"/>
        </w:rPr>
        <w:t xml:space="preserve">Second, </w:t>
      </w:r>
      <w:r w:rsidRPr="00847B84">
        <w:rPr>
          <w:rStyle w:val="normaltextrun"/>
          <w:color w:val="000000"/>
          <w:shd w:val="clear" w:color="auto" w:fill="FFFFFF"/>
          <w:lang w:val="en-US"/>
        </w:rPr>
        <w:t>structural differences between international and domestic law</w:t>
      </w:r>
      <w:bookmarkStart w:id="43" w:name="_Ref156018941"/>
      <w:r w:rsidRPr="00847B84">
        <w:rPr>
          <w:rStyle w:val="FootnoteReference"/>
          <w:shd w:val="clear" w:color="auto" w:fill="FFFFFF"/>
          <w:lang w:val="en-US"/>
        </w:rPr>
        <w:footnoteReference w:id="57"/>
      </w:r>
      <w:bookmarkEnd w:id="43"/>
      <w:r w:rsidRPr="00847B84">
        <w:rPr>
          <w:rStyle w:val="normaltextrun"/>
          <w:color w:val="000000"/>
          <w:shd w:val="clear" w:color="auto" w:fill="FFFFFF"/>
          <w:lang w:val="en-US"/>
        </w:rPr>
        <w:t xml:space="preserve"> do not permit the adequate application of </w:t>
      </w:r>
      <w:proofErr w:type="spellStart"/>
      <w:r w:rsidRPr="00847B84">
        <w:rPr>
          <w:rStyle w:val="normaltextrun"/>
          <w:i/>
          <w:iCs/>
          <w:color w:val="000000"/>
          <w:shd w:val="clear" w:color="auto" w:fill="FFFFFF"/>
          <w:lang w:val="en-US"/>
        </w:rPr>
        <w:t>actio</w:t>
      </w:r>
      <w:proofErr w:type="spellEnd"/>
      <w:r w:rsidRPr="00847B84">
        <w:rPr>
          <w:rStyle w:val="normaltextrun"/>
          <w:i/>
          <w:iCs/>
          <w:color w:val="000000"/>
          <w:shd w:val="clear" w:color="auto" w:fill="FFFFFF"/>
          <w:lang w:val="en-US"/>
        </w:rPr>
        <w:t xml:space="preserve"> </w:t>
      </w:r>
      <w:proofErr w:type="spellStart"/>
      <w:r w:rsidRPr="00847B84">
        <w:rPr>
          <w:rStyle w:val="normaltextrun"/>
          <w:i/>
          <w:iCs/>
          <w:color w:val="000000"/>
          <w:shd w:val="clear" w:color="auto" w:fill="FFFFFF"/>
          <w:lang w:val="en-US"/>
        </w:rPr>
        <w:t>popularis</w:t>
      </w:r>
      <w:proofErr w:type="spellEnd"/>
      <w:r w:rsidRPr="00847B84">
        <w:rPr>
          <w:rStyle w:val="normaltextrun"/>
          <w:i/>
          <w:iCs/>
          <w:color w:val="000000"/>
          <w:shd w:val="clear" w:color="auto" w:fill="FFFFFF"/>
          <w:lang w:val="en-US"/>
        </w:rPr>
        <w:t xml:space="preserve"> </w:t>
      </w:r>
      <w:r w:rsidRPr="00847B84">
        <w:rPr>
          <w:rStyle w:val="normaltextrun"/>
          <w:color w:val="000000"/>
          <w:shd w:val="clear" w:color="auto" w:fill="FFFFFF"/>
          <w:lang w:val="en-US"/>
        </w:rPr>
        <w:t>in the international legal system.</w:t>
      </w:r>
      <w:r w:rsidRPr="00847B84">
        <w:rPr>
          <w:rStyle w:val="FootnoteReference"/>
          <w:shd w:val="clear" w:color="auto" w:fill="FFFFFF"/>
          <w:lang w:val="en-US"/>
        </w:rPr>
        <w:footnoteReference w:id="58"/>
      </w:r>
      <w:r w:rsidRPr="00847B84">
        <w:rPr>
          <w:rStyle w:val="normaltextrun"/>
          <w:color w:val="000000"/>
          <w:shd w:val="clear" w:color="auto" w:fill="FFFFFF"/>
          <w:lang w:val="en-US"/>
        </w:rPr>
        <w:t xml:space="preserve"> The objective of </w:t>
      </w:r>
      <w:proofErr w:type="spellStart"/>
      <w:r w:rsidRPr="00847B84">
        <w:rPr>
          <w:rStyle w:val="normaltextrun"/>
          <w:i/>
          <w:iCs/>
          <w:color w:val="000000"/>
          <w:shd w:val="clear" w:color="auto" w:fill="FFFFFF"/>
          <w:lang w:val="en-US"/>
        </w:rPr>
        <w:t>actio</w:t>
      </w:r>
      <w:proofErr w:type="spellEnd"/>
      <w:r w:rsidRPr="00847B84">
        <w:rPr>
          <w:rStyle w:val="normaltextrun"/>
          <w:i/>
          <w:iCs/>
          <w:color w:val="000000"/>
          <w:shd w:val="clear" w:color="auto" w:fill="FFFFFF"/>
          <w:lang w:val="en-US"/>
        </w:rPr>
        <w:t xml:space="preserve"> </w:t>
      </w:r>
      <w:proofErr w:type="spellStart"/>
      <w:r w:rsidRPr="00847B84">
        <w:rPr>
          <w:rStyle w:val="normaltextrun"/>
          <w:i/>
          <w:iCs/>
          <w:color w:val="000000"/>
          <w:shd w:val="clear" w:color="auto" w:fill="FFFFFF"/>
          <w:lang w:val="en-US"/>
        </w:rPr>
        <w:t>popularis</w:t>
      </w:r>
      <w:proofErr w:type="spellEnd"/>
      <w:r w:rsidRPr="00847B84">
        <w:rPr>
          <w:rStyle w:val="normaltextrun"/>
          <w:i/>
          <w:iCs/>
          <w:color w:val="000000"/>
          <w:shd w:val="clear" w:color="auto" w:fill="FFFFFF"/>
          <w:lang w:val="en-US"/>
        </w:rPr>
        <w:t xml:space="preserve"> </w:t>
      </w:r>
      <w:r w:rsidRPr="00847B84">
        <w:rPr>
          <w:rStyle w:val="normaltextrun"/>
          <w:color w:val="000000"/>
          <w:shd w:val="clear" w:color="auto" w:fill="FFFFFF"/>
          <w:lang w:val="en-US"/>
        </w:rPr>
        <w:t xml:space="preserve">in municipal systems is to restrain public authorities from violating law but its objective under international law is </w:t>
      </w:r>
      <w:r w:rsidR="002A2487" w:rsidRPr="00847B84">
        <w:rPr>
          <w:rStyle w:val="normaltextrun"/>
          <w:color w:val="000000"/>
          <w:shd w:val="clear" w:color="auto" w:fill="FFFFFF"/>
          <w:lang w:val="en-US"/>
        </w:rPr>
        <w:t>un</w:t>
      </w:r>
      <w:r w:rsidRPr="00847B84">
        <w:rPr>
          <w:rStyle w:val="normaltextrun"/>
          <w:color w:val="000000"/>
          <w:shd w:val="clear" w:color="auto" w:fill="FFFFFF"/>
          <w:lang w:val="en-US"/>
        </w:rPr>
        <w:t>clear</w:t>
      </w:r>
      <w:r w:rsidRPr="00847B84">
        <w:rPr>
          <w:rStyle w:val="FootnoteReference"/>
          <w:shd w:val="clear" w:color="auto" w:fill="FFFFFF"/>
          <w:lang w:val="en-US"/>
        </w:rPr>
        <w:footnoteReference w:id="59"/>
      </w:r>
      <w:r w:rsidRPr="00847B84">
        <w:rPr>
          <w:rStyle w:val="normaltextrun"/>
          <w:color w:val="000000"/>
          <w:shd w:val="clear" w:color="auto" w:fill="FFFFFF"/>
          <w:lang w:val="en-US"/>
        </w:rPr>
        <w:t xml:space="preserve"> because the concept of ‘public authorities’ is not known to international law.</w:t>
      </w:r>
      <w:r w:rsidRPr="00847B84">
        <w:rPr>
          <w:rStyle w:val="FootnoteReference"/>
          <w:shd w:val="clear" w:color="auto" w:fill="FFFFFF"/>
          <w:lang w:val="en-US"/>
        </w:rPr>
        <w:footnoteReference w:id="60"/>
      </w:r>
      <w:r w:rsidRPr="00847B84">
        <w:rPr>
          <w:rStyle w:val="normaltextrun"/>
          <w:shd w:val="clear" w:color="auto" w:fill="FFFFFF"/>
          <w:lang w:val="en-US"/>
        </w:rPr>
        <w:t xml:space="preserve"> </w:t>
      </w:r>
      <w:r w:rsidRPr="00847B84">
        <w:rPr>
          <w:rStyle w:val="normaltextrun"/>
          <w:color w:val="000000"/>
          <w:shd w:val="clear" w:color="auto" w:fill="FFFFFF"/>
          <w:lang w:val="en-US"/>
        </w:rPr>
        <w:t xml:space="preserve">Additionally, </w:t>
      </w:r>
      <w:proofErr w:type="spellStart"/>
      <w:r w:rsidRPr="00847B84">
        <w:rPr>
          <w:rStyle w:val="normaltextrun"/>
          <w:i/>
          <w:iCs/>
          <w:color w:val="000000"/>
          <w:shd w:val="clear" w:color="auto" w:fill="FFFFFF"/>
          <w:lang w:val="en-US"/>
        </w:rPr>
        <w:t>actio</w:t>
      </w:r>
      <w:proofErr w:type="spellEnd"/>
      <w:r w:rsidRPr="00847B84">
        <w:rPr>
          <w:rStyle w:val="normaltextrun"/>
          <w:i/>
          <w:iCs/>
          <w:color w:val="000000"/>
          <w:shd w:val="clear" w:color="auto" w:fill="FFFFFF"/>
          <w:lang w:val="en-US"/>
        </w:rPr>
        <w:t xml:space="preserve"> </w:t>
      </w:r>
      <w:proofErr w:type="spellStart"/>
      <w:r w:rsidRPr="00847B84">
        <w:rPr>
          <w:rStyle w:val="normaltextrun"/>
          <w:i/>
          <w:iCs/>
          <w:color w:val="000000"/>
          <w:shd w:val="clear" w:color="auto" w:fill="FFFFFF"/>
          <w:lang w:val="en-US"/>
        </w:rPr>
        <w:t>popularis</w:t>
      </w:r>
      <w:proofErr w:type="spellEnd"/>
      <w:r w:rsidRPr="00847B84">
        <w:rPr>
          <w:rStyle w:val="normaltextrun"/>
          <w:color w:val="000000"/>
          <w:shd w:val="clear" w:color="auto" w:fill="FFFFFF"/>
          <w:lang w:val="en-US"/>
        </w:rPr>
        <w:t xml:space="preserve"> in municipal systems creates binding effect on every person within the State, thereby facilitating the </w:t>
      </w:r>
      <w:r w:rsidR="00A9717C" w:rsidRPr="00847B84">
        <w:rPr>
          <w:rStyle w:val="normaltextrun"/>
          <w:color w:val="000000"/>
          <w:shd w:val="clear" w:color="auto" w:fill="FFFFFF"/>
          <w:lang w:val="en-US"/>
        </w:rPr>
        <w:t xml:space="preserve">protection of </w:t>
      </w:r>
      <w:r w:rsidRPr="00847B84">
        <w:rPr>
          <w:rStyle w:val="normaltextrun"/>
          <w:color w:val="000000"/>
          <w:shd w:val="clear" w:color="auto" w:fill="FFFFFF"/>
          <w:lang w:val="en-US"/>
        </w:rPr>
        <w:t>public interest; in contrast, decisions rendered by international tribunals,</w:t>
      </w:r>
      <w:r w:rsidRPr="00847B84">
        <w:rPr>
          <w:rStyle w:val="FootnoteReference"/>
          <w:shd w:val="clear" w:color="auto" w:fill="FFFFFF"/>
          <w:lang w:val="en-US"/>
        </w:rPr>
        <w:footnoteReference w:id="61"/>
      </w:r>
      <w:r w:rsidRPr="00847B84">
        <w:rPr>
          <w:rStyle w:val="normaltextrun"/>
          <w:color w:val="000000"/>
          <w:shd w:val="clear" w:color="auto" w:fill="FFFFFF"/>
          <w:lang w:val="en-US"/>
        </w:rPr>
        <w:t xml:space="preserve"> including the ICJ, are binding on the parties alone.</w:t>
      </w:r>
      <w:r w:rsidRPr="00847B84">
        <w:rPr>
          <w:rStyle w:val="FootnoteReference"/>
          <w:shd w:val="clear" w:color="auto" w:fill="FFFFFF"/>
          <w:lang w:val="en-US"/>
        </w:rPr>
        <w:footnoteReference w:id="62"/>
      </w:r>
    </w:p>
    <w:p w14:paraId="0BDF8702" w14:textId="77777777" w:rsidR="006578A7" w:rsidRPr="00847B84" w:rsidRDefault="006578A7" w:rsidP="006578A7">
      <w:pPr>
        <w:pStyle w:val="Heading5"/>
        <w:rPr>
          <w:lang w:val="en-US"/>
        </w:rPr>
      </w:pPr>
      <w:bookmarkStart w:id="44" w:name="_Toc156019716"/>
      <w:proofErr w:type="spellStart"/>
      <w:r w:rsidRPr="00847B84">
        <w:rPr>
          <w:lang w:val="en-US"/>
        </w:rPr>
        <w:t>Actio</w:t>
      </w:r>
      <w:proofErr w:type="spellEnd"/>
      <w:r w:rsidRPr="00847B84">
        <w:rPr>
          <w:lang w:val="en-US"/>
        </w:rPr>
        <w:t xml:space="preserve"> </w:t>
      </w:r>
      <w:proofErr w:type="spellStart"/>
      <w:r w:rsidRPr="00847B84">
        <w:rPr>
          <w:lang w:val="en-US"/>
        </w:rPr>
        <w:t>popularis</w:t>
      </w:r>
      <w:proofErr w:type="spellEnd"/>
      <w:r w:rsidRPr="00847B84">
        <w:rPr>
          <w:lang w:val="en-US"/>
        </w:rPr>
        <w:t xml:space="preserve"> has not crystallized </w:t>
      </w:r>
      <w:r w:rsidRPr="00847B84">
        <w:t>into</w:t>
      </w:r>
      <w:r w:rsidRPr="00847B84">
        <w:rPr>
          <w:lang w:val="en-US"/>
        </w:rPr>
        <w:t xml:space="preserve"> custom.</w:t>
      </w:r>
      <w:bookmarkEnd w:id="44"/>
    </w:p>
    <w:p w14:paraId="194B128C" w14:textId="177D89E8" w:rsidR="006578A7" w:rsidRPr="00847B84" w:rsidRDefault="006578A7" w:rsidP="006578A7">
      <w:pPr>
        <w:ind w:firstLine="720"/>
        <w:rPr>
          <w:lang w:val="en-US"/>
        </w:rPr>
      </w:pP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lang w:val="en-US"/>
        </w:rPr>
        <w:t xml:space="preserve"> </w:t>
      </w:r>
      <w:r w:rsidR="002A2487" w:rsidRPr="00847B84">
        <w:rPr>
          <w:lang w:val="en-US"/>
        </w:rPr>
        <w:t>fails to</w:t>
      </w:r>
      <w:r w:rsidRPr="00847B84">
        <w:rPr>
          <w:lang w:val="en-US"/>
        </w:rPr>
        <w:t xml:space="preserve"> meet </w:t>
      </w:r>
      <w:r w:rsidR="002A2487" w:rsidRPr="00847B84">
        <w:rPr>
          <w:lang w:val="en-US"/>
        </w:rPr>
        <w:t xml:space="preserve">the twin </w:t>
      </w:r>
      <w:r w:rsidRPr="00847B84">
        <w:rPr>
          <w:lang w:val="en-US"/>
        </w:rPr>
        <w:t>requirements</w:t>
      </w:r>
      <w:r w:rsidR="002A2487" w:rsidRPr="00847B84">
        <w:rPr>
          <w:lang w:val="en-US"/>
        </w:rPr>
        <w:t xml:space="preserve"> of settled state practice and </w:t>
      </w:r>
      <w:proofErr w:type="spellStart"/>
      <w:r w:rsidR="002A2487" w:rsidRPr="00847B84">
        <w:rPr>
          <w:i/>
          <w:iCs/>
          <w:lang w:val="en-US"/>
        </w:rPr>
        <w:t>opinio</w:t>
      </w:r>
      <w:proofErr w:type="spellEnd"/>
      <w:r w:rsidR="002A2487" w:rsidRPr="00847B84">
        <w:rPr>
          <w:i/>
          <w:iCs/>
          <w:lang w:val="en-US"/>
        </w:rPr>
        <w:t xml:space="preserve"> juris.</w:t>
      </w:r>
      <w:r w:rsidR="002A2487" w:rsidRPr="00847B84">
        <w:rPr>
          <w:rStyle w:val="FootnoteReference"/>
          <w:lang w:val="en-US"/>
        </w:rPr>
        <w:footnoteReference w:id="63"/>
      </w:r>
    </w:p>
    <w:p w14:paraId="70134EE3" w14:textId="4296F02D" w:rsidR="006578A7" w:rsidRPr="00847B84" w:rsidRDefault="00472E9F" w:rsidP="006578A7">
      <w:pPr>
        <w:ind w:firstLine="720"/>
        <w:rPr>
          <w:color w:val="000000" w:themeColor="text1"/>
          <w:lang w:val="en-US"/>
        </w:rPr>
      </w:pPr>
      <w:r w:rsidRPr="00847B84">
        <w:rPr>
          <w:color w:val="000000" w:themeColor="text1"/>
          <w:lang w:val="en-US"/>
        </w:rPr>
        <w:t>Regarding</w:t>
      </w:r>
      <w:r w:rsidR="006578A7" w:rsidRPr="00847B84">
        <w:rPr>
          <w:color w:val="000000" w:themeColor="text1"/>
          <w:lang w:val="en-US"/>
        </w:rPr>
        <w:t xml:space="preserve"> State practice, </w:t>
      </w:r>
      <w:r w:rsidR="002A2487" w:rsidRPr="00847B84">
        <w:rPr>
          <w:color w:val="000000" w:themeColor="text1"/>
          <w:lang w:val="en-US"/>
        </w:rPr>
        <w:t xml:space="preserve">various </w:t>
      </w:r>
      <w:r w:rsidR="006578A7" w:rsidRPr="00847B84">
        <w:rPr>
          <w:color w:val="000000" w:themeColor="text1"/>
          <w:lang w:val="en-US"/>
        </w:rPr>
        <w:t xml:space="preserve">States have refused to </w:t>
      </w:r>
      <w:r w:rsidR="00094F0C" w:rsidRPr="00847B84">
        <w:rPr>
          <w:color w:val="000000" w:themeColor="text1"/>
          <w:lang w:val="en-US"/>
        </w:rPr>
        <w:t xml:space="preserve">allow </w:t>
      </w:r>
      <w:proofErr w:type="spellStart"/>
      <w:r w:rsidR="006578A7" w:rsidRPr="00847B84">
        <w:rPr>
          <w:i/>
          <w:iCs/>
          <w:color w:val="000000" w:themeColor="text1"/>
          <w:lang w:val="en-US"/>
        </w:rPr>
        <w:t>actio</w:t>
      </w:r>
      <w:proofErr w:type="spellEnd"/>
      <w:r w:rsidR="006578A7" w:rsidRPr="00847B84">
        <w:rPr>
          <w:i/>
          <w:iCs/>
          <w:color w:val="000000" w:themeColor="text1"/>
          <w:lang w:val="en-US"/>
        </w:rPr>
        <w:t xml:space="preserve"> </w:t>
      </w:r>
      <w:proofErr w:type="spellStart"/>
      <w:r w:rsidR="006578A7" w:rsidRPr="00847B84">
        <w:rPr>
          <w:i/>
          <w:iCs/>
          <w:color w:val="000000" w:themeColor="text1"/>
          <w:lang w:val="en-US"/>
        </w:rPr>
        <w:t>popularis</w:t>
      </w:r>
      <w:proofErr w:type="spellEnd"/>
      <w:r w:rsidR="006578A7" w:rsidRPr="00847B84">
        <w:rPr>
          <w:color w:val="000000" w:themeColor="text1"/>
          <w:lang w:val="en-US"/>
        </w:rPr>
        <w:t>.</w:t>
      </w:r>
      <w:r w:rsidR="006578A7" w:rsidRPr="00847B84">
        <w:rPr>
          <w:rStyle w:val="FootnoteReference"/>
          <w:color w:val="000000" w:themeColor="text1"/>
          <w:lang w:val="en-US"/>
        </w:rPr>
        <w:footnoteReference w:id="64"/>
      </w:r>
      <w:r w:rsidR="006578A7" w:rsidRPr="00847B84">
        <w:rPr>
          <w:color w:val="000000" w:themeColor="text1"/>
          <w:lang w:val="en-US"/>
        </w:rPr>
        <w:t xml:space="preserve"> </w:t>
      </w:r>
      <w:r w:rsidR="005F5C37" w:rsidRPr="00847B84">
        <w:rPr>
          <w:color w:val="000000" w:themeColor="text1"/>
          <w:lang w:val="en-US"/>
        </w:rPr>
        <w:t>Several h</w:t>
      </w:r>
      <w:r w:rsidR="006578A7" w:rsidRPr="00847B84">
        <w:rPr>
          <w:color w:val="000000" w:themeColor="text1"/>
          <w:lang w:val="en-US"/>
        </w:rPr>
        <w:t xml:space="preserve">uman rights treaties also do not allow for </w:t>
      </w:r>
      <w:proofErr w:type="spellStart"/>
      <w:r w:rsidR="006578A7" w:rsidRPr="00847B84">
        <w:rPr>
          <w:i/>
          <w:iCs/>
          <w:color w:val="000000" w:themeColor="text1"/>
          <w:lang w:val="en-US"/>
        </w:rPr>
        <w:t>actio</w:t>
      </w:r>
      <w:proofErr w:type="spellEnd"/>
      <w:r w:rsidR="006578A7" w:rsidRPr="00847B84">
        <w:rPr>
          <w:i/>
          <w:iCs/>
          <w:color w:val="000000" w:themeColor="text1"/>
          <w:lang w:val="en-US"/>
        </w:rPr>
        <w:t xml:space="preserve"> </w:t>
      </w:r>
      <w:proofErr w:type="spellStart"/>
      <w:r w:rsidR="006578A7" w:rsidRPr="00847B84">
        <w:rPr>
          <w:i/>
          <w:iCs/>
          <w:color w:val="000000" w:themeColor="text1"/>
          <w:lang w:val="en-US"/>
        </w:rPr>
        <w:t>popularis</w:t>
      </w:r>
      <w:proofErr w:type="spellEnd"/>
      <w:r w:rsidR="006578A7" w:rsidRPr="00847B84">
        <w:rPr>
          <w:color w:val="000000" w:themeColor="text1"/>
          <w:lang w:val="en-US"/>
        </w:rPr>
        <w:t>:</w:t>
      </w:r>
      <w:r w:rsidR="006578A7" w:rsidRPr="00847B84">
        <w:rPr>
          <w:i/>
          <w:iCs/>
          <w:color w:val="000000" w:themeColor="text1"/>
          <w:lang w:val="en-US"/>
        </w:rPr>
        <w:t xml:space="preserve"> </w:t>
      </w:r>
      <w:r w:rsidR="006578A7" w:rsidRPr="00847B84">
        <w:rPr>
          <w:color w:val="000000" w:themeColor="text1"/>
          <w:lang w:val="en-US"/>
        </w:rPr>
        <w:t xml:space="preserve">for example, </w:t>
      </w:r>
      <w:r w:rsidR="006578A7" w:rsidRPr="00847B84">
        <w:rPr>
          <w:lang w:val="en-US"/>
        </w:rPr>
        <w:t xml:space="preserve">the </w:t>
      </w:r>
      <w:r w:rsidR="005F5C37" w:rsidRPr="00847B84">
        <w:rPr>
          <w:lang w:val="en-US"/>
        </w:rPr>
        <w:t>ECHR</w:t>
      </w:r>
      <w:r w:rsidR="006578A7" w:rsidRPr="00847B84">
        <w:rPr>
          <w:lang w:val="en-US"/>
        </w:rPr>
        <w:t xml:space="preserve"> held that the European Convention does not “envisage the bringing of </w:t>
      </w:r>
      <w:proofErr w:type="spellStart"/>
      <w:r w:rsidR="006578A7" w:rsidRPr="00847B84">
        <w:rPr>
          <w:i/>
          <w:iCs/>
          <w:lang w:val="en-US"/>
        </w:rPr>
        <w:t>actio</w:t>
      </w:r>
      <w:proofErr w:type="spellEnd"/>
      <w:r w:rsidR="006578A7" w:rsidRPr="00847B84">
        <w:rPr>
          <w:i/>
          <w:iCs/>
          <w:lang w:val="en-US"/>
        </w:rPr>
        <w:t xml:space="preserve"> </w:t>
      </w:r>
      <w:proofErr w:type="spellStart"/>
      <w:r w:rsidR="006578A7" w:rsidRPr="00847B84">
        <w:rPr>
          <w:i/>
          <w:iCs/>
          <w:lang w:val="en-US"/>
        </w:rPr>
        <w:t>popularis</w:t>
      </w:r>
      <w:proofErr w:type="spellEnd"/>
      <w:r w:rsidR="006578A7" w:rsidRPr="00847B84">
        <w:rPr>
          <w:lang w:val="en-US"/>
        </w:rPr>
        <w:t xml:space="preserve">” and that plaintiffs must show </w:t>
      </w:r>
      <w:r w:rsidR="005F5C37" w:rsidRPr="00847B84">
        <w:rPr>
          <w:lang w:val="en-US"/>
        </w:rPr>
        <w:t>a direct injury</w:t>
      </w:r>
      <w:r w:rsidR="006578A7" w:rsidRPr="00847B84">
        <w:rPr>
          <w:lang w:val="en-US"/>
        </w:rPr>
        <w:t>.</w:t>
      </w:r>
      <w:r w:rsidR="006578A7" w:rsidRPr="00847B84">
        <w:rPr>
          <w:rStyle w:val="FootnoteReference"/>
          <w:lang w:val="en-US"/>
        </w:rPr>
        <w:footnoteReference w:id="65"/>
      </w:r>
      <w:r w:rsidR="006578A7" w:rsidRPr="00847B84">
        <w:rPr>
          <w:lang w:val="en-US"/>
        </w:rPr>
        <w:t xml:space="preserve"> Other international tribunals also found that plaintiffs who institute </w:t>
      </w:r>
      <w:r w:rsidR="006578A7" w:rsidRPr="00847B84">
        <w:rPr>
          <w:lang w:val="en-US"/>
        </w:rPr>
        <w:lastRenderedPageBreak/>
        <w:t xml:space="preserve">complaints on behalf of public interest </w:t>
      </w:r>
      <w:r w:rsidR="005F5C37" w:rsidRPr="00847B84">
        <w:rPr>
          <w:lang w:val="en-US"/>
        </w:rPr>
        <w:t>lack</w:t>
      </w:r>
      <w:r w:rsidR="006578A7" w:rsidRPr="00847B84">
        <w:rPr>
          <w:lang w:val="en-US"/>
        </w:rPr>
        <w:t xml:space="preserve"> standing.</w:t>
      </w:r>
      <w:r w:rsidR="006578A7" w:rsidRPr="00847B84">
        <w:rPr>
          <w:rStyle w:val="FootnoteReference"/>
          <w:lang w:val="en-US"/>
        </w:rPr>
        <w:footnoteReference w:id="66"/>
      </w:r>
      <w:r w:rsidR="006578A7" w:rsidRPr="00847B84">
        <w:rPr>
          <w:i/>
          <w:iCs/>
          <w:lang w:val="en-US"/>
        </w:rPr>
        <w:t xml:space="preserve"> </w:t>
      </w:r>
      <w:r w:rsidR="006578A7" w:rsidRPr="00847B84">
        <w:rPr>
          <w:lang w:val="en-US"/>
        </w:rPr>
        <w:t>Th</w:t>
      </w:r>
      <w:r w:rsidR="00094F0C" w:rsidRPr="00847B84">
        <w:rPr>
          <w:lang w:val="en-US"/>
        </w:rPr>
        <w:t>ese</w:t>
      </w:r>
      <w:r w:rsidR="006578A7" w:rsidRPr="00847B84">
        <w:rPr>
          <w:lang w:val="en-US"/>
        </w:rPr>
        <w:t xml:space="preserve"> show that practice is inconsistent and lacks generality.</w:t>
      </w:r>
      <w:r w:rsidR="006578A7" w:rsidRPr="00847B84">
        <w:rPr>
          <w:rStyle w:val="FootnoteReference"/>
          <w:lang w:val="en-US"/>
        </w:rPr>
        <w:footnoteReference w:id="67"/>
      </w:r>
    </w:p>
    <w:p w14:paraId="2FC645FD" w14:textId="2B68C88E" w:rsidR="006578A7" w:rsidRPr="00847B84" w:rsidRDefault="006578A7" w:rsidP="006578A7">
      <w:pPr>
        <w:ind w:firstLine="720"/>
        <w:rPr>
          <w:i/>
          <w:lang w:val="en-US"/>
        </w:rPr>
      </w:pPr>
      <w:proofErr w:type="spellStart"/>
      <w:r w:rsidRPr="00847B84">
        <w:rPr>
          <w:i/>
          <w:iCs/>
          <w:lang w:val="en-US"/>
        </w:rPr>
        <w:t>Opinio</w:t>
      </w:r>
      <w:proofErr w:type="spellEnd"/>
      <w:r w:rsidRPr="00847B84">
        <w:rPr>
          <w:i/>
          <w:iCs/>
          <w:lang w:val="en-US"/>
        </w:rPr>
        <w:t xml:space="preserve"> juris </w:t>
      </w:r>
      <w:r w:rsidRPr="00847B84">
        <w:rPr>
          <w:lang w:val="en-US"/>
        </w:rPr>
        <w:t xml:space="preserve">is also lacking. </w:t>
      </w:r>
      <w:r w:rsidR="00094F0C" w:rsidRPr="00847B84">
        <w:rPr>
          <w:lang w:val="en-US"/>
        </w:rPr>
        <w:t xml:space="preserve">ICJ </w:t>
      </w:r>
      <w:r w:rsidRPr="00847B84">
        <w:rPr>
          <w:lang w:val="en-US"/>
        </w:rPr>
        <w:t xml:space="preserve">Judges </w:t>
      </w:r>
      <w:proofErr w:type="spellStart"/>
      <w:r w:rsidRPr="00847B84">
        <w:rPr>
          <w:lang w:val="en-US"/>
        </w:rPr>
        <w:t>Winiarski</w:t>
      </w:r>
      <w:proofErr w:type="spellEnd"/>
      <w:r w:rsidRPr="00847B84">
        <w:rPr>
          <w:lang w:val="en-US"/>
        </w:rPr>
        <w:t>,</w:t>
      </w:r>
      <w:r w:rsidRPr="00847B84">
        <w:rPr>
          <w:rStyle w:val="FootnoteReference"/>
          <w:lang w:val="en-US"/>
        </w:rPr>
        <w:footnoteReference w:id="68"/>
      </w:r>
      <w:r w:rsidRPr="00847B84">
        <w:rPr>
          <w:lang w:val="en-US"/>
        </w:rPr>
        <w:t xml:space="preserve"> Morelli,</w:t>
      </w:r>
      <w:r w:rsidRPr="00847B84">
        <w:rPr>
          <w:rStyle w:val="FootnoteReference"/>
          <w:lang w:val="en-US"/>
        </w:rPr>
        <w:footnoteReference w:id="69"/>
      </w:r>
      <w:r w:rsidRPr="00847B84">
        <w:rPr>
          <w:lang w:val="en-US"/>
        </w:rPr>
        <w:t xml:space="preserve"> De Castro,</w:t>
      </w:r>
      <w:r w:rsidRPr="00847B84">
        <w:rPr>
          <w:rStyle w:val="FootnoteReference"/>
          <w:lang w:val="en-US"/>
        </w:rPr>
        <w:footnoteReference w:id="70"/>
      </w:r>
      <w:r w:rsidRPr="00847B84">
        <w:rPr>
          <w:lang w:val="en-US"/>
        </w:rPr>
        <w:t xml:space="preserve"> and Kress</w:t>
      </w:r>
      <w:r w:rsidRPr="00847B84">
        <w:rPr>
          <w:rStyle w:val="FootnoteReference"/>
          <w:lang w:val="en-US"/>
        </w:rPr>
        <w:footnoteReference w:id="71"/>
      </w:r>
      <w:r w:rsidRPr="00847B84">
        <w:rPr>
          <w:lang w:val="en-US"/>
        </w:rPr>
        <w:t xml:space="preserve"> share the view that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i/>
          <w:iCs/>
          <w:lang w:val="en-US"/>
        </w:rPr>
        <w:t xml:space="preserve"> </w:t>
      </w:r>
      <w:r w:rsidRPr="00847B84">
        <w:rPr>
          <w:lang w:val="en-US"/>
        </w:rPr>
        <w:t xml:space="preserve">is alien to international law. </w:t>
      </w:r>
      <w:r w:rsidR="00605DBF" w:rsidRPr="00847B84">
        <w:rPr>
          <w:lang w:val="en-US"/>
        </w:rPr>
        <w:t>I</w:t>
      </w:r>
      <w:r w:rsidRPr="00847B84">
        <w:rPr>
          <w:lang w:val="en-US"/>
        </w:rPr>
        <w:t>nternational tribunals,</w:t>
      </w:r>
      <w:r w:rsidRPr="00847B84">
        <w:rPr>
          <w:rStyle w:val="FootnoteReference"/>
          <w:lang w:val="en-US"/>
        </w:rPr>
        <w:footnoteReference w:id="72"/>
      </w:r>
      <w:r w:rsidRPr="00847B84">
        <w:rPr>
          <w:lang w:val="en-US"/>
        </w:rPr>
        <w:t xml:space="preserve"> including human rights bodies like the </w:t>
      </w:r>
      <w:proofErr w:type="spellStart"/>
      <w:r w:rsidRPr="00847B84">
        <w:rPr>
          <w:lang w:val="en-US"/>
        </w:rPr>
        <w:t>HRComm</w:t>
      </w:r>
      <w:proofErr w:type="spellEnd"/>
      <w:r w:rsidRPr="00847B84">
        <w:rPr>
          <w:rStyle w:val="FootnoteReference"/>
          <w:lang w:val="en-US"/>
        </w:rPr>
        <w:footnoteReference w:id="73"/>
      </w:r>
      <w:r w:rsidRPr="00847B84">
        <w:rPr>
          <w:lang w:val="en-US"/>
        </w:rPr>
        <w:t xml:space="preserve"> and domestic tribunals</w:t>
      </w:r>
      <w:r w:rsidR="00605DBF" w:rsidRPr="00847B84">
        <w:rPr>
          <w:lang w:val="en-US"/>
        </w:rPr>
        <w:t>,</w:t>
      </w:r>
      <w:r w:rsidRPr="00847B84">
        <w:rPr>
          <w:rStyle w:val="FootnoteReference"/>
          <w:lang w:val="en-US"/>
        </w:rPr>
        <w:footnoteReference w:id="74"/>
      </w:r>
      <w:r w:rsidRPr="00847B84">
        <w:rPr>
          <w:lang w:val="en-US"/>
        </w:rPr>
        <w:t xml:space="preserve"> also refused to hear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i/>
          <w:iCs/>
          <w:lang w:val="en-US"/>
        </w:rPr>
        <w:t xml:space="preserve"> </w:t>
      </w:r>
      <w:r w:rsidRPr="00847B84">
        <w:rPr>
          <w:lang w:val="en-US"/>
        </w:rPr>
        <w:t xml:space="preserve">claims. Although </w:t>
      </w:r>
      <w:proofErr w:type="spellStart"/>
      <w:r w:rsidRPr="00847B84">
        <w:rPr>
          <w:i/>
          <w:iCs/>
          <w:lang w:val="en-US"/>
        </w:rPr>
        <w:t>actio</w:t>
      </w:r>
      <w:proofErr w:type="spellEnd"/>
      <w:r w:rsidRPr="00847B84">
        <w:rPr>
          <w:i/>
          <w:iCs/>
          <w:lang w:val="en-US"/>
        </w:rPr>
        <w:t xml:space="preserve"> </w:t>
      </w:r>
      <w:proofErr w:type="spellStart"/>
      <w:r w:rsidRPr="00847B84">
        <w:rPr>
          <w:i/>
          <w:iCs/>
          <w:lang w:val="en-US"/>
        </w:rPr>
        <w:t>popularis</w:t>
      </w:r>
      <w:proofErr w:type="spellEnd"/>
      <w:r w:rsidRPr="00847B84">
        <w:rPr>
          <w:i/>
          <w:iCs/>
          <w:lang w:val="en-US"/>
        </w:rPr>
        <w:t xml:space="preserve"> </w:t>
      </w:r>
      <w:r w:rsidRPr="00847B84">
        <w:rPr>
          <w:lang w:val="en-US"/>
        </w:rPr>
        <w:t xml:space="preserve">is found in Article 48 of the ARSIWA, such is simply a reflection of </w:t>
      </w:r>
      <w:r w:rsidRPr="00847B84">
        <w:rPr>
          <w:i/>
          <w:iCs/>
          <w:lang w:val="en-US"/>
        </w:rPr>
        <w:t xml:space="preserve">de </w:t>
      </w:r>
      <w:proofErr w:type="spellStart"/>
      <w:r w:rsidRPr="00847B84">
        <w:rPr>
          <w:i/>
          <w:iCs/>
          <w:lang w:val="en-US"/>
        </w:rPr>
        <w:t>lege</w:t>
      </w:r>
      <w:proofErr w:type="spellEnd"/>
      <w:r w:rsidRPr="00847B84">
        <w:rPr>
          <w:i/>
          <w:iCs/>
          <w:lang w:val="en-US"/>
        </w:rPr>
        <w:t xml:space="preserve"> ferenda</w:t>
      </w:r>
      <w:r w:rsidRPr="00847B84">
        <w:rPr>
          <w:rStyle w:val="FootnoteReference"/>
          <w:lang w:val="en-US"/>
        </w:rPr>
        <w:footnoteReference w:id="75"/>
      </w:r>
      <w:r w:rsidRPr="00847B84">
        <w:rPr>
          <w:lang w:val="en-US"/>
        </w:rPr>
        <w:t xml:space="preserve"> rather than the ILC’s codification of international law.</w:t>
      </w:r>
      <w:r w:rsidRPr="00847B84" w:rsidDel="00C2434C">
        <w:rPr>
          <w:rStyle w:val="CommentReference"/>
          <w:sz w:val="24"/>
          <w:szCs w:val="24"/>
        </w:rPr>
        <w:t xml:space="preserve"> </w:t>
      </w:r>
    </w:p>
    <w:p w14:paraId="6477C78F" w14:textId="6DE2AC0D" w:rsidR="006578A7" w:rsidRPr="00847B84" w:rsidRDefault="006578A7" w:rsidP="00B07AD7">
      <w:pPr>
        <w:pStyle w:val="Heading4"/>
        <w:rPr>
          <w:lang w:val="en-US"/>
        </w:rPr>
      </w:pPr>
      <w:bookmarkStart w:id="45" w:name="_Toc156019717"/>
      <w:r w:rsidRPr="00847B84">
        <w:rPr>
          <w:lang w:val="en-US"/>
        </w:rPr>
        <w:t xml:space="preserve">Even if the Court </w:t>
      </w:r>
      <w:r w:rsidRPr="00847B84">
        <w:t>finds</w:t>
      </w:r>
      <w:r w:rsidRPr="00847B84">
        <w:rPr>
          <w:lang w:val="en-US"/>
        </w:rPr>
        <w:t xml:space="preserve"> that </w:t>
      </w:r>
      <w:proofErr w:type="spellStart"/>
      <w:r w:rsidRPr="00847B84">
        <w:rPr>
          <w:lang w:val="en-US"/>
        </w:rPr>
        <w:t>actio</w:t>
      </w:r>
      <w:proofErr w:type="spellEnd"/>
      <w:r w:rsidRPr="00847B84">
        <w:rPr>
          <w:lang w:val="en-US"/>
        </w:rPr>
        <w:t xml:space="preserve"> </w:t>
      </w:r>
      <w:proofErr w:type="spellStart"/>
      <w:r w:rsidRPr="00847B84">
        <w:rPr>
          <w:lang w:val="en-US"/>
        </w:rPr>
        <w:t>popularis</w:t>
      </w:r>
      <w:proofErr w:type="spellEnd"/>
      <w:r w:rsidRPr="00847B84">
        <w:rPr>
          <w:lang w:val="en-US"/>
        </w:rPr>
        <w:t xml:space="preserve"> has basis under international law, </w:t>
      </w:r>
      <w:proofErr w:type="spellStart"/>
      <w:r w:rsidRPr="00847B84">
        <w:rPr>
          <w:lang w:val="en-US"/>
        </w:rPr>
        <w:t>Antrano’s</w:t>
      </w:r>
      <w:proofErr w:type="spellEnd"/>
      <w:r w:rsidRPr="00847B84">
        <w:rPr>
          <w:lang w:val="en-US"/>
        </w:rPr>
        <w:t xml:space="preserve"> claim does not involve obligations </w:t>
      </w:r>
      <w:proofErr w:type="spellStart"/>
      <w:r w:rsidRPr="00847B84">
        <w:rPr>
          <w:lang w:val="en-US"/>
        </w:rPr>
        <w:t>erga</w:t>
      </w:r>
      <w:proofErr w:type="spellEnd"/>
      <w:r w:rsidRPr="00847B84">
        <w:rPr>
          <w:lang w:val="en-US"/>
        </w:rPr>
        <w:t xml:space="preserve"> omnes or </w:t>
      </w:r>
      <w:proofErr w:type="spellStart"/>
      <w:r w:rsidRPr="00847B84">
        <w:rPr>
          <w:lang w:val="en-US"/>
        </w:rPr>
        <w:t>erga</w:t>
      </w:r>
      <w:proofErr w:type="spellEnd"/>
      <w:r w:rsidRPr="00847B84">
        <w:rPr>
          <w:lang w:val="en-US"/>
        </w:rPr>
        <w:t xml:space="preserve"> omnes </w:t>
      </w:r>
      <w:proofErr w:type="spellStart"/>
      <w:r w:rsidRPr="00847B84">
        <w:rPr>
          <w:lang w:val="en-US"/>
        </w:rPr>
        <w:t>partes</w:t>
      </w:r>
      <w:proofErr w:type="spellEnd"/>
      <w:r w:rsidRPr="00847B84">
        <w:rPr>
          <w:lang w:val="en-US"/>
        </w:rPr>
        <w:t>.</w:t>
      </w:r>
      <w:r w:rsidRPr="00847B84">
        <w:rPr>
          <w:rStyle w:val="FootnoteReference"/>
          <w:lang w:val="en-US"/>
        </w:rPr>
        <w:footnoteReference w:id="76"/>
      </w:r>
      <w:bookmarkEnd w:id="45"/>
    </w:p>
    <w:p w14:paraId="622FB22E" w14:textId="77777777" w:rsidR="006578A7" w:rsidRPr="00847B84" w:rsidRDefault="006578A7" w:rsidP="00B07AD7">
      <w:pPr>
        <w:pStyle w:val="Heading3"/>
        <w:rPr>
          <w:lang w:val="en-US"/>
        </w:rPr>
      </w:pPr>
      <w:bookmarkStart w:id="46" w:name="_Toc156019718"/>
      <w:proofErr w:type="spellStart"/>
      <w:r w:rsidRPr="00847B84">
        <w:rPr>
          <w:lang w:val="en-US"/>
        </w:rPr>
        <w:t>Antrano</w:t>
      </w:r>
      <w:proofErr w:type="spellEnd"/>
      <w:r w:rsidRPr="00847B84">
        <w:rPr>
          <w:lang w:val="en-US"/>
        </w:rPr>
        <w:t xml:space="preserve"> cannot exercise diplomatic protection over the </w:t>
      </w:r>
      <w:proofErr w:type="spellStart"/>
      <w:r w:rsidRPr="00847B84">
        <w:t>Sterren</w:t>
      </w:r>
      <w:proofErr w:type="spellEnd"/>
      <w:r w:rsidRPr="00847B84">
        <w:rPr>
          <w:lang w:val="en-US"/>
        </w:rPr>
        <w:t xml:space="preserve"> Forty.</w:t>
      </w:r>
      <w:bookmarkEnd w:id="46"/>
    </w:p>
    <w:p w14:paraId="00833FAB" w14:textId="1E48E6A4" w:rsidR="006578A7" w:rsidRPr="00847B84" w:rsidRDefault="006578A7" w:rsidP="00C04D7C">
      <w:pPr>
        <w:ind w:firstLine="720"/>
        <w:rPr>
          <w:lang w:val="en-US"/>
        </w:rPr>
      </w:pPr>
      <w:r w:rsidRPr="00847B84">
        <w:rPr>
          <w:color w:val="000000"/>
        </w:rPr>
        <w:t>As a rule, the right to exercise diplomatic protection resides in the State of nationality and no other.</w:t>
      </w:r>
      <w:r w:rsidRPr="00847B84">
        <w:rPr>
          <w:rStyle w:val="FootnoteReference"/>
        </w:rPr>
        <w:footnoteReference w:id="77"/>
      </w:r>
      <w:r w:rsidRPr="00847B84">
        <w:rPr>
          <w:color w:val="000000"/>
        </w:rPr>
        <w:t xml:space="preserve"> </w:t>
      </w:r>
      <w:r w:rsidR="002A2487" w:rsidRPr="00847B84">
        <w:rPr>
          <w:color w:val="000000"/>
        </w:rPr>
        <w:t>T</w:t>
      </w:r>
      <w:r w:rsidRPr="00847B84">
        <w:rPr>
          <w:color w:val="000000"/>
        </w:rPr>
        <w:t xml:space="preserve">he </w:t>
      </w:r>
      <w:proofErr w:type="spellStart"/>
      <w:r w:rsidRPr="00847B84">
        <w:rPr>
          <w:color w:val="000000"/>
        </w:rPr>
        <w:t>Sterren</w:t>
      </w:r>
      <w:proofErr w:type="spellEnd"/>
      <w:r w:rsidRPr="00847B84">
        <w:rPr>
          <w:color w:val="000000"/>
        </w:rPr>
        <w:t xml:space="preserve"> Forty are not </w:t>
      </w:r>
      <w:proofErr w:type="spellStart"/>
      <w:r w:rsidR="002A2487" w:rsidRPr="00847B84">
        <w:rPr>
          <w:color w:val="000000"/>
        </w:rPr>
        <w:t>Antrano’s</w:t>
      </w:r>
      <w:proofErr w:type="spellEnd"/>
      <w:r w:rsidR="002A2487" w:rsidRPr="00847B84">
        <w:rPr>
          <w:color w:val="000000"/>
        </w:rPr>
        <w:t xml:space="preserve"> </w:t>
      </w:r>
      <w:r w:rsidRPr="00847B84">
        <w:rPr>
          <w:color w:val="000000"/>
        </w:rPr>
        <w:t xml:space="preserve">nationals. </w:t>
      </w:r>
    </w:p>
    <w:p w14:paraId="60C89DD1" w14:textId="6602B9B9" w:rsidR="00CC2575" w:rsidRPr="00847B84" w:rsidRDefault="006578A7" w:rsidP="00C04D7C">
      <w:pPr>
        <w:ind w:firstLine="720"/>
        <w:rPr>
          <w:lang w:val="en-US"/>
        </w:rPr>
      </w:pPr>
      <w:r w:rsidRPr="00847B84">
        <w:rPr>
          <w:lang w:val="en-US"/>
        </w:rPr>
        <w:lastRenderedPageBreak/>
        <w:t xml:space="preserve">Although Article 8 of the </w:t>
      </w:r>
      <w:r w:rsidR="00094F0C" w:rsidRPr="00847B84">
        <w:rPr>
          <w:lang w:val="en-US"/>
        </w:rPr>
        <w:t xml:space="preserve">Draft </w:t>
      </w:r>
      <w:r w:rsidRPr="00847B84">
        <w:rPr>
          <w:lang w:val="en-US"/>
        </w:rPr>
        <w:t>Articles on Diplomatic Protection allows diplomatic protection over stateless persons, such is not customary.</w:t>
      </w:r>
      <w:r w:rsidRPr="00847B84">
        <w:rPr>
          <w:rStyle w:val="FootnoteReference"/>
          <w:lang w:val="en-US"/>
        </w:rPr>
        <w:footnoteReference w:id="78"/>
      </w:r>
      <w:r w:rsidRPr="00847B84">
        <w:rPr>
          <w:lang w:val="en-US"/>
        </w:rPr>
        <w:t xml:space="preserve"> In any event, Article 8 strictly</w:t>
      </w:r>
      <w:r w:rsidRPr="00847B84">
        <w:rPr>
          <w:rStyle w:val="FootnoteReference"/>
          <w:lang w:val="en-US"/>
        </w:rPr>
        <w:footnoteReference w:id="79"/>
      </w:r>
      <w:r w:rsidRPr="00847B84">
        <w:rPr>
          <w:lang w:val="en-US"/>
        </w:rPr>
        <w:t xml:space="preserve"> requires </w:t>
      </w:r>
      <w:r w:rsidR="007A1DB6" w:rsidRPr="00847B84">
        <w:rPr>
          <w:lang w:val="en-US"/>
        </w:rPr>
        <w:t xml:space="preserve">the </w:t>
      </w:r>
      <w:r w:rsidRPr="00847B84">
        <w:rPr>
          <w:lang w:val="en-US"/>
        </w:rPr>
        <w:t xml:space="preserve">stateless persons to have been lawfully and habitually residing in the State espousing the claim </w:t>
      </w:r>
      <w:r w:rsidRPr="00847B84">
        <w:rPr>
          <w:color w:val="000000"/>
        </w:rPr>
        <w:t>at the date of the injury and the official presentation of the claim</w:t>
      </w:r>
      <w:r w:rsidRPr="00847B84">
        <w:rPr>
          <w:lang w:val="en-US"/>
        </w:rPr>
        <w:t>,</w:t>
      </w:r>
      <w:r w:rsidRPr="00847B84">
        <w:rPr>
          <w:rStyle w:val="FootnoteReference"/>
          <w:lang w:val="en-US"/>
        </w:rPr>
        <w:footnoteReference w:id="80"/>
      </w:r>
      <w:r w:rsidRPr="00847B84">
        <w:rPr>
          <w:lang w:val="en-US"/>
        </w:rPr>
        <w:t xml:space="preserve">  which is not the case </w:t>
      </w:r>
      <w:r w:rsidR="00094F0C" w:rsidRPr="00847B84">
        <w:rPr>
          <w:lang w:val="en-US"/>
        </w:rPr>
        <w:t>here</w:t>
      </w:r>
      <w:r w:rsidRPr="00847B84">
        <w:rPr>
          <w:lang w:val="en-US"/>
        </w:rPr>
        <w:t>.</w:t>
      </w:r>
    </w:p>
    <w:p w14:paraId="295318E8" w14:textId="5E0B8CD8" w:rsidR="00CC2575" w:rsidRPr="00847B84" w:rsidRDefault="006578A7" w:rsidP="000E4258">
      <w:pPr>
        <w:ind w:firstLine="720"/>
        <w:rPr>
          <w:lang w:val="en-US"/>
        </w:rPr>
      </w:pPr>
      <w:r w:rsidRPr="00847B84">
        <w:rPr>
          <w:lang w:val="en-US"/>
        </w:rPr>
        <w:t xml:space="preserve">Thus, </w:t>
      </w:r>
      <w:proofErr w:type="spellStart"/>
      <w:r w:rsidRPr="00847B84">
        <w:rPr>
          <w:lang w:val="en-US"/>
        </w:rPr>
        <w:t>Antrano</w:t>
      </w:r>
      <w:proofErr w:type="spellEnd"/>
      <w:r w:rsidRPr="00847B84">
        <w:rPr>
          <w:lang w:val="en-US"/>
        </w:rPr>
        <w:t xml:space="preserve"> cannot exercise diplomatic protection over the </w:t>
      </w:r>
      <w:proofErr w:type="spellStart"/>
      <w:r w:rsidRPr="00847B84">
        <w:rPr>
          <w:lang w:val="en-US"/>
        </w:rPr>
        <w:t>Sterren</w:t>
      </w:r>
      <w:proofErr w:type="spellEnd"/>
      <w:r w:rsidRPr="00847B84">
        <w:rPr>
          <w:lang w:val="en-US"/>
        </w:rPr>
        <w:t xml:space="preserve"> Forty.</w:t>
      </w:r>
    </w:p>
    <w:p w14:paraId="1BFAE469" w14:textId="3229AB19" w:rsidR="007428CC" w:rsidRPr="00847B84" w:rsidRDefault="007428CC" w:rsidP="00A9717C">
      <w:pPr>
        <w:pStyle w:val="Heading2"/>
        <w:numPr>
          <w:ilvl w:val="0"/>
          <w:numId w:val="96"/>
        </w:numPr>
        <w:ind w:left="450" w:hanging="450"/>
        <w:rPr>
          <w:lang w:val="en-US"/>
        </w:rPr>
      </w:pPr>
      <w:bookmarkStart w:id="47" w:name="_Toc156019719"/>
      <w:r w:rsidRPr="00847B84">
        <w:rPr>
          <w:lang w:val="en-US"/>
        </w:rPr>
        <w:t xml:space="preserve">Remisia did </w:t>
      </w:r>
      <w:r w:rsidRPr="00847B84">
        <w:t>not</w:t>
      </w:r>
      <w:r w:rsidRPr="00847B84">
        <w:rPr>
          <w:lang w:val="en-US"/>
        </w:rPr>
        <w:t xml:space="preserve"> violate international law when it deprived the “Sterren Forty” of their Remisian citizenship in accordance with the Disrespect to the crown</w:t>
      </w:r>
      <w:r w:rsidR="007A287F" w:rsidRPr="00847B84">
        <w:rPr>
          <w:lang w:val="en-US"/>
        </w:rPr>
        <w:t xml:space="preserve"> Act</w:t>
      </w:r>
      <w:r w:rsidRPr="00847B84">
        <w:rPr>
          <w:lang w:val="en-US"/>
        </w:rPr>
        <w:t xml:space="preserve"> [</w:t>
      </w:r>
      <w:r w:rsidR="00372CC8" w:rsidRPr="00847B84">
        <w:rPr>
          <w:lang w:val="en-US"/>
        </w:rPr>
        <w:t>“</w:t>
      </w:r>
      <w:r w:rsidRPr="00847B84">
        <w:rPr>
          <w:lang w:val="en-US"/>
        </w:rPr>
        <w:t>dca</w:t>
      </w:r>
      <w:r w:rsidR="00372CC8" w:rsidRPr="00847B84">
        <w:rPr>
          <w:lang w:val="en-US"/>
        </w:rPr>
        <w:t>”</w:t>
      </w:r>
      <w:r w:rsidRPr="00847B84">
        <w:rPr>
          <w:lang w:val="en-US"/>
        </w:rPr>
        <w:t>].</w:t>
      </w:r>
      <w:bookmarkEnd w:id="47"/>
      <w:r w:rsidRPr="00847B84">
        <w:rPr>
          <w:lang w:val="en-US"/>
        </w:rPr>
        <w:t xml:space="preserve"> </w:t>
      </w:r>
    </w:p>
    <w:p w14:paraId="03194CD7" w14:textId="7C272829" w:rsidR="007428CC" w:rsidRPr="00847B84" w:rsidRDefault="007428CC" w:rsidP="00EB24F3">
      <w:pPr>
        <w:pStyle w:val="Heading3"/>
        <w:numPr>
          <w:ilvl w:val="0"/>
          <w:numId w:val="102"/>
        </w:numPr>
        <w:ind w:left="709" w:hanging="349"/>
        <w:rPr>
          <w:lang w:val="en-US"/>
        </w:rPr>
      </w:pPr>
      <w:bookmarkStart w:id="48" w:name="_Toc156019720"/>
      <w:proofErr w:type="spellStart"/>
      <w:r w:rsidRPr="00847B84">
        <w:rPr>
          <w:lang w:val="en-US"/>
        </w:rPr>
        <w:t>Remisia’s</w:t>
      </w:r>
      <w:proofErr w:type="spellEnd"/>
      <w:r w:rsidRPr="00847B84">
        <w:rPr>
          <w:lang w:val="en-US"/>
        </w:rPr>
        <w:t xml:space="preserve"> right to deprive the </w:t>
      </w:r>
      <w:proofErr w:type="spellStart"/>
      <w:r w:rsidRPr="00847B84">
        <w:rPr>
          <w:lang w:val="en-US"/>
        </w:rPr>
        <w:t>Sterren</w:t>
      </w:r>
      <w:proofErr w:type="spellEnd"/>
      <w:r w:rsidRPr="00847B84">
        <w:rPr>
          <w:lang w:val="en-US"/>
        </w:rPr>
        <w:t xml:space="preserve"> Forty of their citizenship, based on the DCA, is a matter falling solely within </w:t>
      </w:r>
      <w:r w:rsidR="003A4B89" w:rsidRPr="00847B84">
        <w:rPr>
          <w:lang w:val="en-US"/>
        </w:rPr>
        <w:t>its</w:t>
      </w:r>
      <w:r w:rsidRPr="00847B84">
        <w:rPr>
          <w:lang w:val="en-US"/>
        </w:rPr>
        <w:t xml:space="preserve"> </w:t>
      </w:r>
      <w:proofErr w:type="spellStart"/>
      <w:r w:rsidRPr="00847B84">
        <w:rPr>
          <w:lang w:val="en-US"/>
        </w:rPr>
        <w:t>domaine</w:t>
      </w:r>
      <w:proofErr w:type="spellEnd"/>
      <w:r w:rsidRPr="00847B84">
        <w:rPr>
          <w:lang w:val="en-US"/>
        </w:rPr>
        <w:t xml:space="preserve"> </w:t>
      </w:r>
      <w:proofErr w:type="spellStart"/>
      <w:r w:rsidRPr="00847B84">
        <w:rPr>
          <w:lang w:val="en-US"/>
        </w:rPr>
        <w:t>réservé</w:t>
      </w:r>
      <w:proofErr w:type="spellEnd"/>
      <w:r w:rsidRPr="00847B84">
        <w:rPr>
          <w:lang w:val="en-US"/>
        </w:rPr>
        <w:t xml:space="preserve"> and is not governed by international law.</w:t>
      </w:r>
      <w:bookmarkEnd w:id="48"/>
      <w:r w:rsidRPr="00847B84">
        <w:rPr>
          <w:lang w:val="en-US"/>
        </w:rPr>
        <w:t xml:space="preserve"> </w:t>
      </w:r>
    </w:p>
    <w:p w14:paraId="7CA58C86" w14:textId="3C437967" w:rsidR="007428CC" w:rsidRPr="00847B84" w:rsidRDefault="007428CC" w:rsidP="007428CC">
      <w:pPr>
        <w:ind w:firstLine="360"/>
        <w:rPr>
          <w:lang w:val="en-US"/>
        </w:rPr>
      </w:pPr>
      <w:r w:rsidRPr="00847B84">
        <w:rPr>
          <w:lang w:val="en-US"/>
        </w:rPr>
        <w:t xml:space="preserve">In </w:t>
      </w:r>
      <w:r w:rsidRPr="00847B84">
        <w:rPr>
          <w:i/>
          <w:iCs/>
          <w:lang w:val="en-US"/>
        </w:rPr>
        <w:t>Nationality Decrees</w:t>
      </w:r>
      <w:r w:rsidRPr="00847B84">
        <w:rPr>
          <w:lang w:val="en-US"/>
        </w:rPr>
        <w:t>,</w:t>
      </w:r>
      <w:r w:rsidRPr="00847B84">
        <w:rPr>
          <w:i/>
          <w:iCs/>
          <w:lang w:val="en-US"/>
        </w:rPr>
        <w:t xml:space="preserve"> </w:t>
      </w:r>
      <w:r w:rsidRPr="00847B84">
        <w:rPr>
          <w:lang w:val="en-US"/>
        </w:rPr>
        <w:t xml:space="preserve">the </w:t>
      </w:r>
      <w:r w:rsidR="003A4B89" w:rsidRPr="00847B84">
        <w:rPr>
          <w:lang w:val="en-US"/>
        </w:rPr>
        <w:t>PCIJ</w:t>
      </w:r>
      <w:r w:rsidRPr="00847B84">
        <w:rPr>
          <w:lang w:val="en-US"/>
        </w:rPr>
        <w:t xml:space="preserve"> ruled that questions of nationality fall within a State’s </w:t>
      </w:r>
      <w:proofErr w:type="spellStart"/>
      <w:r w:rsidRPr="00847B84">
        <w:rPr>
          <w:i/>
          <w:iCs/>
          <w:lang w:val="en-US"/>
        </w:rPr>
        <w:t>d</w:t>
      </w:r>
      <w:r w:rsidRPr="00847B84">
        <w:rPr>
          <w:rFonts w:eastAsia="Times"/>
          <w:i/>
          <w:iCs/>
          <w:color w:val="000000" w:themeColor="text1"/>
          <w:lang w:val="en-US"/>
        </w:rPr>
        <w:t>omaine</w:t>
      </w:r>
      <w:proofErr w:type="spellEnd"/>
      <w:r w:rsidRPr="00847B84">
        <w:rPr>
          <w:rFonts w:eastAsia="Times"/>
          <w:i/>
          <w:iCs/>
          <w:color w:val="000000" w:themeColor="text1"/>
          <w:lang w:val="en-US"/>
        </w:rPr>
        <w:t xml:space="preserve"> </w:t>
      </w:r>
      <w:proofErr w:type="spellStart"/>
      <w:r w:rsidRPr="00847B84">
        <w:rPr>
          <w:rFonts w:eastAsia="Times"/>
          <w:i/>
          <w:iCs/>
          <w:color w:val="000000" w:themeColor="text1"/>
          <w:lang w:val="en-US"/>
        </w:rPr>
        <w:t>réservé</w:t>
      </w:r>
      <w:proofErr w:type="spellEnd"/>
      <w:r w:rsidRPr="00847B84">
        <w:rPr>
          <w:i/>
          <w:iCs/>
          <w:lang w:val="en-US"/>
        </w:rPr>
        <w:t xml:space="preserve"> </w:t>
      </w:r>
      <w:r w:rsidRPr="00847B84">
        <w:rPr>
          <w:lang w:val="en-US"/>
        </w:rPr>
        <w:t>and are subject only to the State’s international obligations.</w:t>
      </w:r>
      <w:r w:rsidRPr="00847B84">
        <w:rPr>
          <w:rStyle w:val="FootnoteReference"/>
          <w:lang w:val="en-US"/>
        </w:rPr>
        <w:footnoteReference w:id="81"/>
      </w:r>
      <w:r w:rsidRPr="00847B84">
        <w:rPr>
          <w:lang w:val="en-US"/>
        </w:rPr>
        <w:t xml:space="preserve"> Even today, human rights bodies, such as the ECHR</w:t>
      </w:r>
      <w:r w:rsidRPr="00847B84">
        <w:rPr>
          <w:rStyle w:val="FootnoteReference"/>
          <w:lang w:val="en-US"/>
        </w:rPr>
        <w:footnoteReference w:id="82"/>
      </w:r>
      <w:r w:rsidRPr="00847B84">
        <w:rPr>
          <w:lang w:val="en-US"/>
        </w:rPr>
        <w:t xml:space="preserve"> and Inter-American Court of Human Rights [“</w:t>
      </w:r>
      <w:proofErr w:type="spellStart"/>
      <w:r w:rsidRPr="00847B84">
        <w:rPr>
          <w:b/>
          <w:bCs/>
          <w:lang w:val="en-US"/>
        </w:rPr>
        <w:t>IACtHR</w:t>
      </w:r>
      <w:proofErr w:type="spellEnd"/>
      <w:r w:rsidRPr="00847B84">
        <w:rPr>
          <w:lang w:val="en-US"/>
        </w:rPr>
        <w:t>”],</w:t>
      </w:r>
      <w:r w:rsidRPr="00847B84">
        <w:rPr>
          <w:rStyle w:val="FootnoteReference"/>
          <w:lang w:val="en-US"/>
        </w:rPr>
        <w:footnoteReference w:id="83"/>
      </w:r>
      <w:r w:rsidRPr="00847B84">
        <w:rPr>
          <w:lang w:val="en-US"/>
        </w:rPr>
        <w:t xml:space="preserve"> continue to uphold the </w:t>
      </w:r>
      <w:r w:rsidRPr="00847B84">
        <w:rPr>
          <w:i/>
          <w:iCs/>
          <w:lang w:val="en-US"/>
        </w:rPr>
        <w:t xml:space="preserve">Nationality Decrees </w:t>
      </w:r>
      <w:r w:rsidRPr="00847B84">
        <w:rPr>
          <w:lang w:val="en-US"/>
        </w:rPr>
        <w:t xml:space="preserve">doctrine. Hence, absent a binding international obligation restricting </w:t>
      </w:r>
      <w:r w:rsidR="006758A1" w:rsidRPr="00847B84">
        <w:rPr>
          <w:lang w:val="en-US"/>
        </w:rPr>
        <w:t xml:space="preserve">the Kingdom of </w:t>
      </w:r>
      <w:proofErr w:type="spellStart"/>
      <w:r w:rsidRPr="00847B84">
        <w:rPr>
          <w:lang w:val="en-US"/>
        </w:rPr>
        <w:t>Remisia’s</w:t>
      </w:r>
      <w:proofErr w:type="spellEnd"/>
      <w:r w:rsidR="006758A1" w:rsidRPr="00847B84">
        <w:rPr>
          <w:lang w:val="en-US"/>
        </w:rPr>
        <w:t xml:space="preserve"> [“</w:t>
      </w:r>
      <w:proofErr w:type="spellStart"/>
      <w:r w:rsidR="006758A1" w:rsidRPr="00847B84">
        <w:rPr>
          <w:b/>
          <w:bCs/>
          <w:lang w:val="en-US"/>
        </w:rPr>
        <w:t>Remisia</w:t>
      </w:r>
      <w:proofErr w:type="spellEnd"/>
      <w:r w:rsidR="006758A1" w:rsidRPr="00847B84">
        <w:rPr>
          <w:lang w:val="en-US"/>
        </w:rPr>
        <w:t>”]</w:t>
      </w:r>
      <w:r w:rsidRPr="00847B84">
        <w:rPr>
          <w:lang w:val="en-US"/>
        </w:rPr>
        <w:t xml:space="preserve"> right to deprive its nationals of citizenship, </w:t>
      </w:r>
      <w:r w:rsidR="003F7A26" w:rsidRPr="00847B84">
        <w:rPr>
          <w:lang w:val="en-US"/>
        </w:rPr>
        <w:t>this</w:t>
      </w:r>
      <w:r w:rsidR="003A4B89" w:rsidRPr="00847B84">
        <w:rPr>
          <w:lang w:val="en-US"/>
        </w:rPr>
        <w:t xml:space="preserve"> </w:t>
      </w:r>
      <w:r w:rsidRPr="00847B84">
        <w:rPr>
          <w:lang w:val="en-US"/>
        </w:rPr>
        <w:t xml:space="preserve">matter falls solely within </w:t>
      </w:r>
      <w:proofErr w:type="spellStart"/>
      <w:r w:rsidRPr="00847B84">
        <w:rPr>
          <w:lang w:val="en-US"/>
        </w:rPr>
        <w:t>Remisia’s</w:t>
      </w:r>
      <w:proofErr w:type="spellEnd"/>
      <w:r w:rsidRPr="00847B84">
        <w:rPr>
          <w:lang w:val="en-US"/>
        </w:rPr>
        <w:t xml:space="preserve"> domestic jurisdiction.</w:t>
      </w:r>
    </w:p>
    <w:p w14:paraId="760CE844" w14:textId="77777777" w:rsidR="007428CC" w:rsidRPr="00847B84" w:rsidRDefault="007428CC" w:rsidP="00EB24F3">
      <w:pPr>
        <w:pStyle w:val="Heading4"/>
        <w:numPr>
          <w:ilvl w:val="0"/>
          <w:numId w:val="103"/>
        </w:numPr>
        <w:ind w:left="1134" w:hanging="400"/>
        <w:rPr>
          <w:lang w:val="en-US"/>
        </w:rPr>
      </w:pPr>
      <w:bookmarkStart w:id="49" w:name="_Toc156019721"/>
      <w:r w:rsidRPr="00847B84">
        <w:rPr>
          <w:lang w:val="en-US"/>
        </w:rPr>
        <w:t xml:space="preserve">Although </w:t>
      </w:r>
      <w:proofErr w:type="spellStart"/>
      <w:r w:rsidRPr="00847B84">
        <w:rPr>
          <w:lang w:val="en-US"/>
        </w:rPr>
        <w:t>Remisia</w:t>
      </w:r>
      <w:proofErr w:type="spellEnd"/>
      <w:r w:rsidRPr="00847B84">
        <w:rPr>
          <w:lang w:val="en-US"/>
        </w:rPr>
        <w:t xml:space="preserve"> is a party to the CRS, it validly retained its right to deprive individuals of their nationality in accordance with the DCA.</w:t>
      </w:r>
      <w:bookmarkEnd w:id="49"/>
      <w:r w:rsidRPr="00847B84">
        <w:rPr>
          <w:lang w:val="en-US"/>
        </w:rPr>
        <w:t xml:space="preserve"> </w:t>
      </w:r>
    </w:p>
    <w:p w14:paraId="30408F65" w14:textId="6D3DC747" w:rsidR="007428CC" w:rsidRPr="00847B84" w:rsidRDefault="007428CC" w:rsidP="003A4B89">
      <w:pPr>
        <w:ind w:firstLine="709"/>
        <w:rPr>
          <w:lang w:val="en-US"/>
        </w:rPr>
      </w:pPr>
      <w:r w:rsidRPr="00847B84">
        <w:rPr>
          <w:lang w:val="en-US"/>
        </w:rPr>
        <w:lastRenderedPageBreak/>
        <w:t>Article 8(3) of the CRS allows a State Party to retain its right to deprive persons of their nationality by submitting a declaration that specifies such retention based on the grounds listed under the same Article, being grounds existing in its national law at that time.</w:t>
      </w:r>
      <w:r w:rsidR="007864F9" w:rsidRPr="00847B84">
        <w:rPr>
          <w:rStyle w:val="FootnoteReference"/>
          <w:lang w:val="en-US"/>
        </w:rPr>
        <w:footnoteReference w:id="84"/>
      </w:r>
      <w:r w:rsidRPr="00847B84">
        <w:rPr>
          <w:lang w:val="en-US"/>
        </w:rPr>
        <w:t xml:space="preserve"> Here, </w:t>
      </w:r>
      <w:proofErr w:type="spellStart"/>
      <w:r w:rsidRPr="00847B84">
        <w:rPr>
          <w:lang w:val="en-US"/>
        </w:rPr>
        <w:t>Remisia</w:t>
      </w:r>
      <w:proofErr w:type="spellEnd"/>
      <w:r w:rsidRPr="00847B84">
        <w:rPr>
          <w:lang w:val="en-US"/>
        </w:rPr>
        <w:t xml:space="preserve"> submitted the required declaration and retained its right to deprive </w:t>
      </w:r>
      <w:proofErr w:type="spellStart"/>
      <w:r w:rsidRPr="00847B84">
        <w:rPr>
          <w:lang w:val="en-US"/>
        </w:rPr>
        <w:t>Remisians</w:t>
      </w:r>
      <w:proofErr w:type="spellEnd"/>
      <w:r w:rsidRPr="00847B84">
        <w:rPr>
          <w:lang w:val="en-US"/>
        </w:rPr>
        <w:t xml:space="preserve"> of their nationality for acts of “disloyalty” – a ground common to the CRS and the DCA.</w:t>
      </w:r>
      <w:r w:rsidRPr="00847B84">
        <w:rPr>
          <w:rStyle w:val="FootnoteReference"/>
          <w:lang w:val="en-US"/>
        </w:rPr>
        <w:footnoteReference w:id="85"/>
      </w:r>
      <w:r w:rsidRPr="00847B84">
        <w:rPr>
          <w:lang w:val="en-US"/>
        </w:rPr>
        <w:t xml:space="preserve"> </w:t>
      </w:r>
    </w:p>
    <w:p w14:paraId="31C2F994" w14:textId="4BBC525F" w:rsidR="008620EF" w:rsidRPr="00847B84" w:rsidRDefault="007428CC" w:rsidP="008620EF">
      <w:pPr>
        <w:pStyle w:val="Heading5"/>
        <w:numPr>
          <w:ilvl w:val="0"/>
          <w:numId w:val="99"/>
        </w:numPr>
        <w:ind w:left="1418"/>
        <w:rPr>
          <w:lang w:val="en-US"/>
        </w:rPr>
      </w:pPr>
      <w:bookmarkStart w:id="50" w:name="_Toc156019722"/>
      <w:proofErr w:type="spellStart"/>
      <w:r w:rsidRPr="00847B84">
        <w:rPr>
          <w:lang w:val="en-US"/>
        </w:rPr>
        <w:t>Remisia</w:t>
      </w:r>
      <w:proofErr w:type="spellEnd"/>
      <w:r w:rsidRPr="00847B84">
        <w:t>’s declaration is valid and does not constitute an impermissible reservation</w:t>
      </w:r>
      <w:r w:rsidRPr="00847B84">
        <w:rPr>
          <w:lang w:val="en-US"/>
        </w:rPr>
        <w:t>.</w:t>
      </w:r>
      <w:bookmarkEnd w:id="50"/>
    </w:p>
    <w:p w14:paraId="584D6DB5" w14:textId="6D5A3D63" w:rsidR="007428CC" w:rsidRPr="00847B84" w:rsidRDefault="007428CC" w:rsidP="007428CC">
      <w:pPr>
        <w:ind w:firstLine="720"/>
        <w:rPr>
          <w:lang w:val="en-US"/>
        </w:rPr>
      </w:pPr>
      <w:r w:rsidRPr="00847B84">
        <w:rPr>
          <w:rFonts w:eastAsia="Times"/>
          <w:color w:val="000000"/>
        </w:rPr>
        <w:t xml:space="preserve">While a </w:t>
      </w:r>
      <w:r w:rsidRPr="00847B84">
        <w:rPr>
          <w:rFonts w:eastAsia="Times"/>
          <w:i/>
          <w:iCs/>
          <w:color w:val="000000"/>
        </w:rPr>
        <w:t>reservation</w:t>
      </w:r>
      <w:r w:rsidRPr="00847B84">
        <w:rPr>
          <w:rFonts w:eastAsia="Times"/>
          <w:color w:val="000000"/>
        </w:rPr>
        <w:t xml:space="preserve"> excludes or modifies the legal effect of certain provisions of a treaty,</w:t>
      </w:r>
      <w:r w:rsidRPr="00847B84">
        <w:rPr>
          <w:rFonts w:eastAsia="Times"/>
          <w:color w:val="000000"/>
          <w:vertAlign w:val="superscript"/>
        </w:rPr>
        <w:footnoteReference w:id="86"/>
      </w:r>
      <w:r w:rsidRPr="00847B84">
        <w:rPr>
          <w:rFonts w:eastAsia="Times"/>
          <w:color w:val="000000"/>
        </w:rPr>
        <w:t xml:space="preserve"> a </w:t>
      </w:r>
      <w:r w:rsidRPr="00847B84">
        <w:rPr>
          <w:rFonts w:eastAsia="Times"/>
          <w:i/>
          <w:iCs/>
          <w:color w:val="000000"/>
        </w:rPr>
        <w:t xml:space="preserve">declaration </w:t>
      </w:r>
      <w:r w:rsidRPr="00847B84">
        <w:rPr>
          <w:rFonts w:eastAsia="Times"/>
          <w:color w:val="000000"/>
        </w:rPr>
        <w:t>simply clarifies the meaning or scope of certain provisions to the declaring state.</w:t>
      </w:r>
      <w:r w:rsidRPr="00847B84">
        <w:rPr>
          <w:rFonts w:eastAsia="Times"/>
          <w:color w:val="000000"/>
          <w:vertAlign w:val="superscript"/>
        </w:rPr>
        <w:footnoteReference w:id="87"/>
      </w:r>
      <w:r w:rsidRPr="00847B84">
        <w:rPr>
          <w:rFonts w:eastAsia="Times"/>
          <w:color w:val="000000"/>
        </w:rPr>
        <w:t xml:space="preserve"> A declaration enjoys the presumption that it is not a reservation, so long as it is consistent with the allowed terms under a treaty.</w:t>
      </w:r>
      <w:r w:rsidRPr="00847B84">
        <w:rPr>
          <w:rStyle w:val="FootnoteReference"/>
          <w:rFonts w:eastAsia="Times"/>
        </w:rPr>
        <w:footnoteReference w:id="88"/>
      </w:r>
      <w:r w:rsidRPr="00847B84">
        <w:rPr>
          <w:rFonts w:eastAsia="Times"/>
          <w:color w:val="000000"/>
        </w:rPr>
        <w:t xml:space="preserve"> An examination of </w:t>
      </w:r>
      <w:r w:rsidR="006255FC" w:rsidRPr="00847B84">
        <w:rPr>
          <w:rFonts w:eastAsia="Times"/>
          <w:color w:val="000000"/>
        </w:rPr>
        <w:t xml:space="preserve">States’ </w:t>
      </w:r>
      <w:r w:rsidRPr="00847B84">
        <w:rPr>
          <w:rFonts w:eastAsia="Times"/>
          <w:color w:val="000000"/>
        </w:rPr>
        <w:t xml:space="preserve">objections </w:t>
      </w:r>
      <w:r w:rsidR="006255FC" w:rsidRPr="00847B84">
        <w:rPr>
          <w:rFonts w:eastAsia="Times"/>
          <w:color w:val="000000"/>
        </w:rPr>
        <w:t xml:space="preserve">to the </w:t>
      </w:r>
      <w:r w:rsidRPr="00847B84">
        <w:rPr>
          <w:rFonts w:eastAsia="Times"/>
          <w:color w:val="000000"/>
        </w:rPr>
        <w:t xml:space="preserve">declarations made by Togo, Tunisia, and the Philippines in respect of Article 8(3) of the CRS </w:t>
      </w:r>
      <w:r w:rsidR="006255FC" w:rsidRPr="00847B84">
        <w:rPr>
          <w:rFonts w:eastAsia="Times"/>
          <w:color w:val="000000"/>
        </w:rPr>
        <w:t xml:space="preserve">shows that a declaration </w:t>
      </w:r>
      <w:r w:rsidRPr="00847B84">
        <w:rPr>
          <w:rFonts w:eastAsia="Times"/>
          <w:color w:val="000000"/>
        </w:rPr>
        <w:t>only amounts to an impermissible reservation</w:t>
      </w:r>
      <w:r w:rsidRPr="00847B84">
        <w:rPr>
          <w:rStyle w:val="FootnoteReference"/>
          <w:rFonts w:eastAsia="Times"/>
        </w:rPr>
        <w:footnoteReference w:id="89"/>
      </w:r>
      <w:r w:rsidRPr="00847B84">
        <w:rPr>
          <w:rFonts w:eastAsia="Times"/>
          <w:color w:val="000000"/>
        </w:rPr>
        <w:t xml:space="preserve"> when it goes beyond the scope of </w:t>
      </w:r>
      <w:r w:rsidR="006255FC" w:rsidRPr="00847B84">
        <w:rPr>
          <w:rFonts w:eastAsia="Times"/>
          <w:color w:val="000000"/>
        </w:rPr>
        <w:t>Article 8(3)</w:t>
      </w:r>
      <w:r w:rsidRPr="00847B84">
        <w:rPr>
          <w:rFonts w:eastAsia="Times"/>
          <w:color w:val="000000"/>
        </w:rPr>
        <w:t>.</w:t>
      </w:r>
      <w:r w:rsidRPr="00847B84">
        <w:rPr>
          <w:rStyle w:val="FootnoteReference"/>
          <w:rFonts w:eastAsia="Times"/>
        </w:rPr>
        <w:footnoteReference w:id="90"/>
      </w:r>
      <w:r w:rsidRPr="00847B84">
        <w:rPr>
          <w:rFonts w:eastAsia="Times"/>
          <w:color w:val="000000"/>
        </w:rPr>
        <w:t xml:space="preserve"> </w:t>
      </w:r>
    </w:p>
    <w:p w14:paraId="2D769F1B" w14:textId="77777777" w:rsidR="007428CC" w:rsidRPr="00847B84" w:rsidRDefault="007428CC" w:rsidP="007428CC">
      <w:pPr>
        <w:ind w:firstLine="720"/>
        <w:rPr>
          <w:rFonts w:eastAsia="Times"/>
          <w:color w:val="000000"/>
        </w:rPr>
      </w:pPr>
      <w:r w:rsidRPr="00847B84">
        <w:rPr>
          <w:rFonts w:eastAsia="Times"/>
          <w:color w:val="000000"/>
        </w:rPr>
        <w:t xml:space="preserve">Here, </w:t>
      </w:r>
      <w:proofErr w:type="spellStart"/>
      <w:r w:rsidRPr="00847B84">
        <w:rPr>
          <w:rFonts w:eastAsia="Times"/>
          <w:color w:val="000000"/>
        </w:rPr>
        <w:t>Remisia</w:t>
      </w:r>
      <w:proofErr w:type="spellEnd"/>
      <w:r w:rsidRPr="00847B84">
        <w:rPr>
          <w:rFonts w:eastAsia="Times"/>
          <w:color w:val="000000"/>
        </w:rPr>
        <w:t xml:space="preserve"> declared that: </w:t>
      </w:r>
    </w:p>
    <w:p w14:paraId="3AC2AD4B" w14:textId="1404E44D" w:rsidR="007428CC" w:rsidRPr="00847B84" w:rsidRDefault="007428CC" w:rsidP="00062868">
      <w:pPr>
        <w:spacing w:line="240" w:lineRule="auto"/>
        <w:ind w:left="993" w:right="571"/>
        <w:rPr>
          <w:rFonts w:eastAsia="Times"/>
          <w:color w:val="000000"/>
        </w:rPr>
      </w:pPr>
      <w:r w:rsidRPr="00847B84">
        <w:rPr>
          <w:rFonts w:eastAsia="Times"/>
          <w:color w:val="000000"/>
        </w:rPr>
        <w:t xml:space="preserve">“… it retains the right to deprive a person of his nationality in accordance with Article 8.3 of the Convention if such person has been convicted of an offense under the </w:t>
      </w:r>
      <w:r w:rsidR="006255FC" w:rsidRPr="00847B84">
        <w:rPr>
          <w:rFonts w:eastAsia="Times"/>
          <w:color w:val="000000"/>
        </w:rPr>
        <w:t>[DCA]</w:t>
      </w:r>
      <w:r w:rsidRPr="00847B84">
        <w:rPr>
          <w:rFonts w:eastAsia="Times"/>
          <w:color w:val="000000"/>
        </w:rPr>
        <w:t xml:space="preserve"> and satisfies such other criteria as are laid out in that statute.”</w:t>
      </w:r>
    </w:p>
    <w:p w14:paraId="597EF1F5" w14:textId="40D6FFAB" w:rsidR="007428CC" w:rsidRPr="00847B84" w:rsidRDefault="007428CC" w:rsidP="007428CC">
      <w:pPr>
        <w:ind w:firstLine="720"/>
        <w:rPr>
          <w:rFonts w:eastAsia="Times"/>
          <w:color w:val="000000"/>
        </w:rPr>
      </w:pPr>
      <w:r w:rsidRPr="00847B84">
        <w:rPr>
          <w:rFonts w:eastAsia="Times"/>
          <w:color w:val="000000"/>
        </w:rPr>
        <w:t>In turn, the DCA allows the deprivation of nationality when a person has been found “disloyal to the Crown”.</w:t>
      </w:r>
      <w:r w:rsidRPr="00847B84">
        <w:rPr>
          <w:rStyle w:val="FootnoteReference"/>
          <w:rFonts w:eastAsia="Times"/>
        </w:rPr>
        <w:footnoteReference w:id="91"/>
      </w:r>
      <w:r w:rsidR="00895392" w:rsidRPr="00847B84">
        <w:rPr>
          <w:rFonts w:eastAsia="Times"/>
          <w:color w:val="000000"/>
        </w:rPr>
        <w:t xml:space="preserve"> </w:t>
      </w:r>
      <w:r w:rsidRPr="00847B84">
        <w:rPr>
          <w:rFonts w:eastAsia="Times"/>
          <w:color w:val="000000"/>
        </w:rPr>
        <w:t xml:space="preserve">As </w:t>
      </w:r>
      <w:proofErr w:type="spellStart"/>
      <w:r w:rsidRPr="00847B84">
        <w:rPr>
          <w:rFonts w:eastAsia="Times"/>
          <w:color w:val="000000"/>
        </w:rPr>
        <w:t>Remisia’s</w:t>
      </w:r>
      <w:proofErr w:type="spellEnd"/>
      <w:r w:rsidRPr="00847B84">
        <w:rPr>
          <w:rFonts w:eastAsia="Times"/>
          <w:color w:val="000000"/>
        </w:rPr>
        <w:t xml:space="preserve"> declaration simply echoes </w:t>
      </w:r>
      <w:r w:rsidR="006255FC" w:rsidRPr="00847B84">
        <w:rPr>
          <w:rFonts w:eastAsia="Times"/>
          <w:color w:val="000000"/>
        </w:rPr>
        <w:t>a</w:t>
      </w:r>
      <w:r w:rsidRPr="00847B84">
        <w:rPr>
          <w:rFonts w:eastAsia="Times"/>
          <w:color w:val="000000"/>
        </w:rPr>
        <w:t xml:space="preserve"> ground found in Article 8(3), it does not amount to an impermissible reservation. </w:t>
      </w:r>
      <w:r w:rsidRPr="00847B84">
        <w:rPr>
          <w:color w:val="000000"/>
        </w:rPr>
        <w:t xml:space="preserve"> </w:t>
      </w:r>
    </w:p>
    <w:p w14:paraId="76152A6E" w14:textId="77777777" w:rsidR="007428CC" w:rsidRPr="00847B84" w:rsidRDefault="007428CC" w:rsidP="007428CC">
      <w:pPr>
        <w:pStyle w:val="Heading5"/>
        <w:rPr>
          <w:lang w:val="en-US"/>
        </w:rPr>
      </w:pPr>
      <w:bookmarkStart w:id="51" w:name="_Toc156019723"/>
      <w:r w:rsidRPr="00847B84">
        <w:lastRenderedPageBreak/>
        <w:t xml:space="preserve">Consequently, </w:t>
      </w:r>
      <w:proofErr w:type="spellStart"/>
      <w:r w:rsidRPr="00847B84">
        <w:rPr>
          <w:lang w:val="en-US"/>
        </w:rPr>
        <w:t>Remisia’s</w:t>
      </w:r>
      <w:proofErr w:type="spellEnd"/>
      <w:r w:rsidRPr="00847B84">
        <w:rPr>
          <w:lang w:val="en-US"/>
        </w:rPr>
        <w:t xml:space="preserve"> enforcement and interpretation of the DCA is a purely domestic matter falling outside the scope of the CRS.</w:t>
      </w:r>
      <w:bookmarkEnd w:id="51"/>
      <w:r w:rsidRPr="00847B84">
        <w:rPr>
          <w:lang w:val="en-US"/>
        </w:rPr>
        <w:t xml:space="preserve"> </w:t>
      </w:r>
    </w:p>
    <w:p w14:paraId="7DCEF118" w14:textId="2B6A488C" w:rsidR="007428CC" w:rsidRPr="00847B84" w:rsidRDefault="007428CC" w:rsidP="000E4258">
      <w:pPr>
        <w:ind w:firstLine="709"/>
        <w:rPr>
          <w:lang w:val="en-US"/>
        </w:rPr>
      </w:pPr>
      <w:r w:rsidRPr="00847B84">
        <w:rPr>
          <w:lang w:val="en-US"/>
        </w:rPr>
        <w:t>The ECHR, among other human rights bodies, affirmed that the interpretation and enforcement of domestic laws, especially those concerning deprivation of nationality, are matters decided by national authorities</w:t>
      </w:r>
      <w:r w:rsidRPr="00847B84">
        <w:rPr>
          <w:rStyle w:val="FootnoteReference"/>
        </w:rPr>
        <w:footnoteReference w:id="92"/>
      </w:r>
      <w:r w:rsidRPr="00847B84">
        <w:rPr>
          <w:lang w:val="en-US"/>
        </w:rPr>
        <w:t xml:space="preserve"> and international courts will not disturb such decisions.</w:t>
      </w:r>
      <w:r w:rsidRPr="00847B84">
        <w:rPr>
          <w:rStyle w:val="FootnoteReference"/>
          <w:lang w:val="en-US"/>
        </w:rPr>
        <w:footnoteReference w:id="93"/>
      </w:r>
      <w:r w:rsidRPr="00847B84">
        <w:rPr>
          <w:rStyle w:val="FootnoteReference"/>
        </w:rPr>
        <w:t xml:space="preserve"> </w:t>
      </w:r>
      <w:r w:rsidRPr="00847B84">
        <w:rPr>
          <w:lang w:val="en-US"/>
        </w:rPr>
        <w:t xml:space="preserve">The DCA must thus be interpreted and enforced by </w:t>
      </w:r>
      <w:proofErr w:type="spellStart"/>
      <w:r w:rsidRPr="00847B84">
        <w:rPr>
          <w:lang w:val="en-US"/>
        </w:rPr>
        <w:t>Remisia</w:t>
      </w:r>
      <w:proofErr w:type="spellEnd"/>
      <w:r w:rsidRPr="00847B84">
        <w:rPr>
          <w:lang w:val="en-US"/>
        </w:rPr>
        <w:t xml:space="preserve"> alone to the exclusion of international bodies such as this Court.</w:t>
      </w:r>
    </w:p>
    <w:p w14:paraId="070432E3" w14:textId="63862594" w:rsidR="007428CC" w:rsidRPr="00847B84" w:rsidRDefault="007428CC" w:rsidP="00EB24F3">
      <w:pPr>
        <w:pStyle w:val="Heading4"/>
        <w:rPr>
          <w:lang w:val="en-US"/>
        </w:rPr>
      </w:pPr>
      <w:bookmarkStart w:id="52" w:name="_Toc156019724"/>
      <w:proofErr w:type="spellStart"/>
      <w:r w:rsidRPr="00847B84">
        <w:rPr>
          <w:lang w:val="en-US"/>
        </w:rPr>
        <w:t>Remisia’s</w:t>
      </w:r>
      <w:proofErr w:type="spellEnd"/>
      <w:r w:rsidRPr="00847B84">
        <w:rPr>
          <w:lang w:val="en-US"/>
        </w:rPr>
        <w:t xml:space="preserve"> right to deprive nationality is not limited by any customary norm.</w:t>
      </w:r>
      <w:bookmarkEnd w:id="52"/>
      <w:r w:rsidRPr="00847B84">
        <w:rPr>
          <w:lang w:val="en-US"/>
        </w:rPr>
        <w:t xml:space="preserve"> </w:t>
      </w:r>
    </w:p>
    <w:p w14:paraId="4720EA08" w14:textId="17CC1C8D" w:rsidR="007428CC" w:rsidRPr="00847B84" w:rsidRDefault="007428CC" w:rsidP="007428CC">
      <w:pPr>
        <w:ind w:firstLine="633"/>
        <w:rPr>
          <w:color w:val="000000"/>
          <w:vertAlign w:val="superscript"/>
        </w:rPr>
      </w:pPr>
      <w:r w:rsidRPr="00847B84">
        <w:t>The right to nationality and the right not to be arbitrarily deprived thereof have not attained customary status.</w:t>
      </w:r>
      <w:r w:rsidRPr="00847B84">
        <w:rPr>
          <w:rStyle w:val="FootnoteReference"/>
        </w:rPr>
        <w:footnoteReference w:id="94"/>
      </w:r>
      <w:r w:rsidRPr="00847B84">
        <w:t xml:space="preserve"> While the same are enshrined in </w:t>
      </w:r>
      <w:r w:rsidRPr="00847B84">
        <w:rPr>
          <w:color w:val="000000"/>
        </w:rPr>
        <w:t>soft law instruments,</w:t>
      </w:r>
      <w:r w:rsidR="00465ECC" w:rsidRPr="00847B84">
        <w:rPr>
          <w:rStyle w:val="FootnoteReference"/>
        </w:rPr>
        <w:footnoteReference w:id="95"/>
      </w:r>
      <w:r w:rsidR="00465ECC" w:rsidRPr="00847B84">
        <w:rPr>
          <w:color w:val="000000"/>
        </w:rPr>
        <w:t xml:space="preserve"> </w:t>
      </w:r>
      <w:r w:rsidRPr="00847B84">
        <w:rPr>
          <w:color w:val="000000"/>
        </w:rPr>
        <w:t>such merely express non-binding norms and guiding principles that are insufficient to prove custom.</w:t>
      </w:r>
      <w:r w:rsidRPr="00847B84">
        <w:rPr>
          <w:rStyle w:val="FootnoteReference"/>
        </w:rPr>
        <w:footnoteReference w:id="96"/>
      </w:r>
      <w:r w:rsidRPr="00847B84">
        <w:rPr>
          <w:color w:val="000000"/>
        </w:rPr>
        <w:t xml:space="preserve"> This is further proven by inconsistencies in state practice, such as the </w:t>
      </w:r>
      <w:proofErr w:type="spellStart"/>
      <w:r w:rsidRPr="00847B84">
        <w:rPr>
          <w:i/>
          <w:iCs/>
          <w:color w:val="000000"/>
        </w:rPr>
        <w:t>en</w:t>
      </w:r>
      <w:proofErr w:type="spellEnd"/>
      <w:r w:rsidRPr="00847B84">
        <w:rPr>
          <w:i/>
          <w:iCs/>
          <w:color w:val="000000"/>
        </w:rPr>
        <w:t xml:space="preserve"> masse</w:t>
      </w:r>
      <w:r w:rsidRPr="00847B84">
        <w:rPr>
          <w:color w:val="000000"/>
        </w:rPr>
        <w:t xml:space="preserve"> denationalization by States like Bhutan</w:t>
      </w:r>
      <w:r w:rsidR="00C0400D" w:rsidRPr="00847B84">
        <w:rPr>
          <w:color w:val="000000"/>
        </w:rPr>
        <w:t xml:space="preserve"> and </w:t>
      </w:r>
      <w:r w:rsidRPr="00847B84">
        <w:rPr>
          <w:color w:val="000000"/>
        </w:rPr>
        <w:t>Ethiopia</w:t>
      </w:r>
      <w:r w:rsidR="00C0400D" w:rsidRPr="00847B84">
        <w:rPr>
          <w:rStyle w:val="FootnoteReference"/>
          <w:color w:val="000000"/>
        </w:rPr>
        <w:footnoteReference w:id="97"/>
      </w:r>
      <w:r w:rsidRPr="00847B84">
        <w:rPr>
          <w:color w:val="000000"/>
        </w:rPr>
        <w:t xml:space="preserve"> and the reluctance of states like Zimbabwe, Liberia, Myanmar, and Kuwait to accept international law obligations relating to nationality.</w:t>
      </w:r>
      <w:r w:rsidRPr="00847B84">
        <w:rPr>
          <w:rStyle w:val="FootnoteReference"/>
        </w:rPr>
        <w:footnoteReference w:id="98"/>
      </w:r>
    </w:p>
    <w:p w14:paraId="54BF1E41" w14:textId="423BE927" w:rsidR="007428CC" w:rsidRPr="00847B84" w:rsidRDefault="007428CC" w:rsidP="007428CC">
      <w:pPr>
        <w:pStyle w:val="Heading3"/>
        <w:rPr>
          <w:lang w:val="en-US"/>
        </w:rPr>
      </w:pPr>
      <w:bookmarkStart w:id="53" w:name="_Toc156019725"/>
      <w:r w:rsidRPr="00847B84">
        <w:rPr>
          <w:lang w:val="en-US"/>
        </w:rPr>
        <w:t xml:space="preserve">Alternatively, </w:t>
      </w:r>
      <w:proofErr w:type="spellStart"/>
      <w:r w:rsidRPr="00847B84">
        <w:rPr>
          <w:lang w:val="en-US"/>
        </w:rPr>
        <w:t>Remisia</w:t>
      </w:r>
      <w:proofErr w:type="spellEnd"/>
      <w:r w:rsidRPr="00847B84">
        <w:rPr>
          <w:lang w:val="en-US"/>
        </w:rPr>
        <w:t xml:space="preserve"> exercised its right to deprive the </w:t>
      </w:r>
      <w:proofErr w:type="spellStart"/>
      <w:r w:rsidRPr="00847B84">
        <w:rPr>
          <w:lang w:val="en-US"/>
        </w:rPr>
        <w:t>Sterren</w:t>
      </w:r>
      <w:proofErr w:type="spellEnd"/>
      <w:r w:rsidRPr="00847B84">
        <w:rPr>
          <w:lang w:val="en-US"/>
        </w:rPr>
        <w:t xml:space="preserve"> Forty of their nationality </w:t>
      </w:r>
      <w:r w:rsidR="00465ECC" w:rsidRPr="00847B84">
        <w:rPr>
          <w:lang w:val="en-US"/>
        </w:rPr>
        <w:t xml:space="preserve">in accordance </w:t>
      </w:r>
      <w:r w:rsidRPr="00847B84">
        <w:rPr>
          <w:lang w:val="en-US"/>
        </w:rPr>
        <w:t>with its treaty obligations.</w:t>
      </w:r>
      <w:bookmarkEnd w:id="53"/>
      <w:r w:rsidRPr="00847B84">
        <w:rPr>
          <w:lang w:val="en-US"/>
        </w:rPr>
        <w:t xml:space="preserve"> </w:t>
      </w:r>
    </w:p>
    <w:p w14:paraId="3F65F0EB" w14:textId="595AA511" w:rsidR="008620EF" w:rsidRPr="00847B84" w:rsidRDefault="007428CC" w:rsidP="008620EF">
      <w:pPr>
        <w:pStyle w:val="Heading4"/>
        <w:numPr>
          <w:ilvl w:val="0"/>
          <w:numId w:val="101"/>
        </w:numPr>
        <w:ind w:left="1134"/>
      </w:pPr>
      <w:bookmarkStart w:id="54" w:name="_Toc156019726"/>
      <w:r w:rsidRPr="00847B84">
        <w:lastRenderedPageBreak/>
        <w:t xml:space="preserve">The deprivation of the </w:t>
      </w:r>
      <w:proofErr w:type="spellStart"/>
      <w:r w:rsidRPr="00847B84">
        <w:t>Sterren</w:t>
      </w:r>
      <w:proofErr w:type="spellEnd"/>
      <w:r w:rsidRPr="00847B84">
        <w:t xml:space="preserve"> Forty’s citizenship complied with Article 8(3)(a)(ii) of the CRS.</w:t>
      </w:r>
      <w:bookmarkEnd w:id="54"/>
      <w:r w:rsidRPr="00847B84">
        <w:t xml:space="preserve"> </w:t>
      </w:r>
    </w:p>
    <w:p w14:paraId="542AC334" w14:textId="0F6C5B22" w:rsidR="007428CC" w:rsidRPr="00847B84" w:rsidRDefault="007428CC" w:rsidP="007428CC">
      <w:pPr>
        <w:ind w:firstLine="706"/>
        <w:rPr>
          <w:lang w:val="en-US"/>
        </w:rPr>
      </w:pPr>
      <w:r w:rsidRPr="00847B84">
        <w:rPr>
          <w:lang w:val="en-US"/>
        </w:rPr>
        <w:t>Article 8(3) of the CRS allows States to deprive persons of their nationality where such persons</w:t>
      </w:r>
      <w:r w:rsidR="00465ECC" w:rsidRPr="00847B84">
        <w:rPr>
          <w:lang w:val="en-US"/>
        </w:rPr>
        <w:t xml:space="preserve"> have</w:t>
      </w:r>
      <w:r w:rsidRPr="00847B84">
        <w:rPr>
          <w:lang w:val="en-US"/>
        </w:rPr>
        <w:t>, inconsistent</w:t>
      </w:r>
      <w:r w:rsidR="00465ECC" w:rsidRPr="00847B84">
        <w:rPr>
          <w:lang w:val="en-US"/>
        </w:rPr>
        <w:t>ly</w:t>
      </w:r>
      <w:r w:rsidRPr="00847B84">
        <w:rPr>
          <w:lang w:val="en-US"/>
        </w:rPr>
        <w:t xml:space="preserve"> with their duty of loyalty to the State, conducted themselves in a manner seriously prejudicial to the vital interests of the State.</w:t>
      </w:r>
      <w:r w:rsidRPr="00847B84">
        <w:rPr>
          <w:rStyle w:val="FootnoteReference"/>
        </w:rPr>
        <w:footnoteReference w:id="99"/>
      </w:r>
    </w:p>
    <w:p w14:paraId="078F974F" w14:textId="1DC96AAE" w:rsidR="007428CC" w:rsidRPr="00847B84" w:rsidRDefault="00000000" w:rsidP="007428CC">
      <w:pPr>
        <w:ind w:firstLine="706"/>
        <w:rPr>
          <w:color w:val="000000" w:themeColor="text1"/>
        </w:rPr>
      </w:pPr>
      <w:sdt>
        <w:sdtPr>
          <w:tag w:val="goog_rdk_484"/>
          <w:id w:val="-1414621243"/>
        </w:sdtPr>
        <w:sdtContent/>
      </w:sdt>
      <w:sdt>
        <w:sdtPr>
          <w:tag w:val="goog_rdk_485"/>
          <w:id w:val="-1301607945"/>
        </w:sdtPr>
        <w:sdtContent/>
      </w:sdt>
      <w:r w:rsidR="007428CC" w:rsidRPr="00847B84">
        <w:rPr>
          <w:rFonts w:eastAsia="Times"/>
          <w:color w:val="000000" w:themeColor="text1"/>
        </w:rPr>
        <w:t>The duty of loyalty is characterized as a citizen’s “firm and constant support to the State as a whole.”</w:t>
      </w:r>
      <w:r w:rsidR="007428CC" w:rsidRPr="00847B84">
        <w:rPr>
          <w:rFonts w:eastAsia="Times"/>
          <w:color w:val="000000"/>
          <w:vertAlign w:val="superscript"/>
        </w:rPr>
        <w:footnoteReference w:id="100"/>
      </w:r>
      <w:r w:rsidR="007428CC" w:rsidRPr="00847B84">
        <w:rPr>
          <w:rFonts w:eastAsia="Times"/>
          <w:color w:val="000000" w:themeColor="text1"/>
        </w:rPr>
        <w:t xml:space="preserve"> In </w:t>
      </w:r>
      <w:proofErr w:type="spellStart"/>
      <w:r w:rsidR="007428CC" w:rsidRPr="00847B84">
        <w:rPr>
          <w:rFonts w:eastAsia="Times"/>
          <w:i/>
          <w:iCs/>
          <w:color w:val="000000" w:themeColor="text1"/>
        </w:rPr>
        <w:t>Petropavlovskis</w:t>
      </w:r>
      <w:proofErr w:type="spellEnd"/>
      <w:r w:rsidR="007428CC" w:rsidRPr="00847B84">
        <w:rPr>
          <w:rFonts w:eastAsia="Times"/>
          <w:i/>
          <w:iCs/>
          <w:color w:val="000000" w:themeColor="text1"/>
        </w:rPr>
        <w:t xml:space="preserve"> v. Latvia</w:t>
      </w:r>
      <w:r w:rsidR="007428CC" w:rsidRPr="00847B84">
        <w:rPr>
          <w:rFonts w:eastAsia="Times"/>
          <w:color w:val="000000" w:themeColor="text1"/>
        </w:rPr>
        <w:t>, the ECHR ruled that while a person is free to disagree with his government’s policies in the exercise of his freedom of expression, such critique must be in accordance with law.</w:t>
      </w:r>
      <w:r w:rsidR="007428CC" w:rsidRPr="00847B84">
        <w:rPr>
          <w:rStyle w:val="FootnoteReference"/>
          <w:rFonts w:eastAsia="Times"/>
          <w:color w:val="000000" w:themeColor="text1"/>
        </w:rPr>
        <w:footnoteReference w:id="101"/>
      </w:r>
      <w:r w:rsidR="007428CC" w:rsidRPr="00847B84">
        <w:rPr>
          <w:rFonts w:eastAsia="Times"/>
          <w:color w:val="000000" w:themeColor="text1"/>
        </w:rPr>
        <w:t xml:space="preserve"> </w:t>
      </w:r>
      <w:r w:rsidR="007428CC" w:rsidRPr="00847B84">
        <w:rPr>
          <w:rFonts w:eastAsia="Times"/>
          <w:color w:val="000000"/>
        </w:rPr>
        <w:t>In this regard, the scope of a citizen’s duty of loyalty is ultimately dependent on each State’s law.</w:t>
      </w:r>
      <w:r w:rsidR="007428CC" w:rsidRPr="00847B84">
        <w:rPr>
          <w:rFonts w:eastAsia="Times"/>
          <w:color w:val="000000"/>
          <w:vertAlign w:val="superscript"/>
        </w:rPr>
        <w:footnoteReference w:id="102"/>
      </w:r>
      <w:r w:rsidR="007428CC" w:rsidRPr="00847B84">
        <w:rPr>
          <w:rFonts w:eastAsia="Times"/>
          <w:color w:val="000000"/>
        </w:rPr>
        <w:t xml:space="preserve"> </w:t>
      </w:r>
      <w:r w:rsidR="007428CC" w:rsidRPr="00847B84">
        <w:rPr>
          <w:color w:val="000000"/>
        </w:rPr>
        <w:t xml:space="preserve">As to disloyal acts that are “prejudicial to the vital interests of the State,” the Tunis Conclusions </w:t>
      </w:r>
      <w:r w:rsidR="00F41B0F" w:rsidRPr="00847B84">
        <w:rPr>
          <w:color w:val="000000"/>
        </w:rPr>
        <w:t>interpret</w:t>
      </w:r>
      <w:r w:rsidR="00C26068" w:rsidRPr="00847B84">
        <w:rPr>
          <w:color w:val="000000"/>
        </w:rPr>
        <w:t xml:space="preserve"> these</w:t>
      </w:r>
      <w:r w:rsidR="007428CC" w:rsidRPr="00847B84">
        <w:rPr>
          <w:color w:val="000000"/>
        </w:rPr>
        <w:t xml:space="preserve"> actions </w:t>
      </w:r>
      <w:r w:rsidR="00C26068" w:rsidRPr="00847B84">
        <w:rPr>
          <w:color w:val="000000"/>
        </w:rPr>
        <w:t>as those that</w:t>
      </w:r>
      <w:r w:rsidR="007428CC" w:rsidRPr="00847B84">
        <w:rPr>
          <w:color w:val="000000"/>
        </w:rPr>
        <w:t xml:space="preserve"> threaten the foundations and organization of the State,</w:t>
      </w:r>
      <w:r w:rsidR="007428CC" w:rsidRPr="00847B84">
        <w:rPr>
          <w:color w:val="000000"/>
          <w:vertAlign w:val="superscript"/>
        </w:rPr>
        <w:footnoteReference w:id="103"/>
      </w:r>
      <w:r w:rsidR="007428CC" w:rsidRPr="00847B84">
        <w:rPr>
          <w:color w:val="000000"/>
        </w:rPr>
        <w:t xml:space="preserve"> a matter best determined by the State itself.</w:t>
      </w:r>
      <w:r w:rsidR="007428CC" w:rsidRPr="00847B84">
        <w:rPr>
          <w:rStyle w:val="FootnoteReference"/>
          <w:color w:val="000000" w:themeColor="text1"/>
        </w:rPr>
        <w:footnoteReference w:id="104"/>
      </w:r>
      <w:r w:rsidR="007428CC" w:rsidRPr="00847B84">
        <w:rPr>
          <w:color w:val="000000" w:themeColor="text1"/>
        </w:rPr>
        <w:t xml:space="preserve"> </w:t>
      </w:r>
    </w:p>
    <w:p w14:paraId="2AAC5704" w14:textId="5BD1B0AD" w:rsidR="007428CC" w:rsidRPr="00847B84" w:rsidRDefault="007428CC" w:rsidP="007428CC">
      <w:pPr>
        <w:ind w:firstLine="706"/>
        <w:rPr>
          <w:rFonts w:eastAsia="Times"/>
          <w:color w:val="000000"/>
        </w:rPr>
      </w:pPr>
      <w:r w:rsidRPr="00847B84">
        <w:rPr>
          <w:color w:val="000000" w:themeColor="text1"/>
        </w:rPr>
        <w:t xml:space="preserve">In safeguarding its interests, </w:t>
      </w:r>
      <w:r w:rsidRPr="00847B84">
        <w:rPr>
          <w:rFonts w:eastAsia="Times"/>
          <w:color w:val="000000"/>
        </w:rPr>
        <w:t>State authorities enjoy</w:t>
      </w:r>
      <w:r w:rsidR="00527168" w:rsidRPr="00847B84">
        <w:rPr>
          <w:rFonts w:eastAsia="Times"/>
          <w:color w:val="000000"/>
        </w:rPr>
        <w:t xml:space="preserve"> a</w:t>
      </w:r>
      <w:r w:rsidRPr="00847B84">
        <w:rPr>
          <w:rFonts w:eastAsia="Times"/>
          <w:color w:val="000000"/>
        </w:rPr>
        <w:t xml:space="preserve"> margin of discretion in </w:t>
      </w:r>
      <w:r w:rsidR="00527168" w:rsidRPr="00847B84">
        <w:rPr>
          <w:rFonts w:eastAsia="Times"/>
          <w:color w:val="000000"/>
        </w:rPr>
        <w:t>interpreting</w:t>
      </w:r>
      <w:r w:rsidRPr="00847B84">
        <w:rPr>
          <w:rFonts w:eastAsia="Times"/>
          <w:color w:val="000000"/>
        </w:rPr>
        <w:t xml:space="preserve"> their laws and </w:t>
      </w:r>
      <w:r w:rsidR="00527168" w:rsidRPr="00847B84">
        <w:rPr>
          <w:rFonts w:eastAsia="Times"/>
          <w:color w:val="000000"/>
        </w:rPr>
        <w:t>determining</w:t>
      </w:r>
      <w:r w:rsidRPr="00847B84">
        <w:rPr>
          <w:rFonts w:eastAsia="Times"/>
          <w:color w:val="000000"/>
        </w:rPr>
        <w:t xml:space="preserve"> when to deprive persons of their nationality.</w:t>
      </w:r>
      <w:r w:rsidRPr="00847B84">
        <w:rPr>
          <w:rStyle w:val="FootnoteReference"/>
          <w:rFonts w:eastAsia="Times"/>
        </w:rPr>
        <w:footnoteReference w:id="105"/>
      </w:r>
      <w:r w:rsidRPr="00847B84">
        <w:rPr>
          <w:rFonts w:eastAsia="Times"/>
          <w:color w:val="000000"/>
        </w:rPr>
        <w:t xml:space="preserve"> This is consistent with </w:t>
      </w:r>
      <w:r w:rsidR="00874230" w:rsidRPr="00847B84">
        <w:rPr>
          <w:rFonts w:eastAsia="Times"/>
          <w:color w:val="000000"/>
        </w:rPr>
        <w:t xml:space="preserve">the </w:t>
      </w:r>
      <w:r w:rsidRPr="00847B84">
        <w:rPr>
          <w:rFonts w:eastAsia="Times"/>
          <w:color w:val="000000"/>
        </w:rPr>
        <w:t>practice</w:t>
      </w:r>
      <w:r w:rsidR="00874230" w:rsidRPr="00847B84">
        <w:rPr>
          <w:rFonts w:eastAsia="Times"/>
          <w:color w:val="000000"/>
        </w:rPr>
        <w:t xml:space="preserve"> of parties to the CRS like</w:t>
      </w:r>
      <w:r w:rsidRPr="00847B84">
        <w:rPr>
          <w:rFonts w:eastAsia="Times"/>
          <w:color w:val="000000"/>
        </w:rPr>
        <w:t xml:space="preserve"> the UK</w:t>
      </w:r>
      <w:r w:rsidR="00874230" w:rsidRPr="00847B84">
        <w:rPr>
          <w:rFonts w:eastAsia="Times"/>
          <w:color w:val="000000"/>
        </w:rPr>
        <w:t>.</w:t>
      </w:r>
      <w:r w:rsidRPr="00847B84">
        <w:rPr>
          <w:rStyle w:val="FootnoteReference"/>
          <w:rFonts w:eastAsia="Times"/>
        </w:rPr>
        <w:footnoteReference w:id="106"/>
      </w:r>
      <w:r w:rsidRPr="00847B84">
        <w:rPr>
          <w:rFonts w:eastAsia="Times"/>
          <w:color w:val="000000"/>
        </w:rPr>
        <w:t xml:space="preserve">  </w:t>
      </w:r>
    </w:p>
    <w:p w14:paraId="3092F977" w14:textId="69D48420" w:rsidR="007428CC" w:rsidRPr="00847B84" w:rsidRDefault="00D836AB" w:rsidP="007428CC">
      <w:pPr>
        <w:ind w:firstLine="706"/>
        <w:rPr>
          <w:color w:val="000000"/>
        </w:rPr>
      </w:pPr>
      <w:r w:rsidRPr="00847B84">
        <w:rPr>
          <w:color w:val="000000"/>
        </w:rPr>
        <w:lastRenderedPageBreak/>
        <w:t>While t</w:t>
      </w:r>
      <w:r w:rsidR="00874230" w:rsidRPr="00847B84">
        <w:rPr>
          <w:color w:val="000000"/>
        </w:rPr>
        <w:t xml:space="preserve">he </w:t>
      </w:r>
      <w:proofErr w:type="spellStart"/>
      <w:r w:rsidR="00874230" w:rsidRPr="00847B84">
        <w:rPr>
          <w:color w:val="000000"/>
        </w:rPr>
        <w:t>Sterren</w:t>
      </w:r>
      <w:proofErr w:type="spellEnd"/>
      <w:r w:rsidR="00874230" w:rsidRPr="00847B84">
        <w:rPr>
          <w:color w:val="000000"/>
        </w:rPr>
        <w:t xml:space="preserve"> Forty are free to disagree with </w:t>
      </w:r>
      <w:proofErr w:type="spellStart"/>
      <w:r w:rsidR="00874230" w:rsidRPr="00847B84">
        <w:rPr>
          <w:color w:val="000000"/>
        </w:rPr>
        <w:t>Remisia’s</w:t>
      </w:r>
      <w:proofErr w:type="spellEnd"/>
      <w:r w:rsidR="00874230" w:rsidRPr="00847B84">
        <w:rPr>
          <w:color w:val="000000"/>
        </w:rPr>
        <w:t xml:space="preserve"> policies</w:t>
      </w:r>
      <w:r w:rsidRPr="00847B84">
        <w:rPr>
          <w:color w:val="000000"/>
        </w:rPr>
        <w:t xml:space="preserve">, </w:t>
      </w:r>
      <w:r w:rsidR="00874230" w:rsidRPr="00847B84">
        <w:rPr>
          <w:color w:val="000000"/>
        </w:rPr>
        <w:t xml:space="preserve">the exercise of their freedom must not transgress </w:t>
      </w:r>
      <w:proofErr w:type="spellStart"/>
      <w:r w:rsidRPr="00847B84">
        <w:rPr>
          <w:color w:val="000000"/>
        </w:rPr>
        <w:t>Remisia’s</w:t>
      </w:r>
      <w:proofErr w:type="spellEnd"/>
      <w:r w:rsidRPr="00847B84">
        <w:rPr>
          <w:color w:val="000000"/>
        </w:rPr>
        <w:t xml:space="preserve"> law. By accusing the Queen of being responsible for the ‘cobalt curse’, “threatening [their] future”, and “betraying” Her people,</w:t>
      </w:r>
      <w:r w:rsidRPr="00847B84">
        <w:rPr>
          <w:rStyle w:val="FootnoteReference"/>
          <w:color w:val="000000"/>
        </w:rPr>
        <w:footnoteReference w:id="107"/>
      </w:r>
      <w:r w:rsidRPr="00847B84">
        <w:rPr>
          <w:color w:val="000000"/>
        </w:rPr>
        <w:t xml:space="preserve"> the </w:t>
      </w:r>
      <w:proofErr w:type="spellStart"/>
      <w:r w:rsidRPr="00847B84">
        <w:rPr>
          <w:color w:val="000000"/>
        </w:rPr>
        <w:t>Sterren</w:t>
      </w:r>
      <w:proofErr w:type="spellEnd"/>
      <w:r w:rsidRPr="00847B84">
        <w:rPr>
          <w:color w:val="000000"/>
        </w:rPr>
        <w:t xml:space="preserve"> Forty threatened the very foundation of </w:t>
      </w:r>
      <w:proofErr w:type="spellStart"/>
      <w:r w:rsidRPr="00847B84">
        <w:rPr>
          <w:color w:val="000000"/>
        </w:rPr>
        <w:t>Remsia’s</w:t>
      </w:r>
      <w:proofErr w:type="spellEnd"/>
      <w:r w:rsidRPr="00847B84">
        <w:rPr>
          <w:color w:val="000000"/>
        </w:rPr>
        <w:t xml:space="preserve"> institutions. </w:t>
      </w:r>
      <w:r w:rsidR="00367F1E" w:rsidRPr="00847B84">
        <w:rPr>
          <w:color w:val="000000"/>
        </w:rPr>
        <w:t>To be sure,</w:t>
      </w:r>
      <w:r w:rsidRPr="00847B84">
        <w:rPr>
          <w:color w:val="000000"/>
        </w:rPr>
        <w:t xml:space="preserve"> </w:t>
      </w:r>
      <w:proofErr w:type="spellStart"/>
      <w:r w:rsidR="007428CC" w:rsidRPr="00847B84">
        <w:rPr>
          <w:color w:val="000000"/>
        </w:rPr>
        <w:t>Remisia’s</w:t>
      </w:r>
      <w:proofErr w:type="spellEnd"/>
      <w:r w:rsidR="007428CC" w:rsidRPr="00847B84">
        <w:rPr>
          <w:color w:val="000000"/>
        </w:rPr>
        <w:t xml:space="preserve"> Supreme Court</w:t>
      </w:r>
      <w:r w:rsidRPr="00847B84">
        <w:rPr>
          <w:color w:val="000000"/>
        </w:rPr>
        <w:t xml:space="preserve"> </w:t>
      </w:r>
      <w:r w:rsidR="00874230" w:rsidRPr="00847B84">
        <w:rPr>
          <w:color w:val="000000"/>
        </w:rPr>
        <w:t xml:space="preserve">concluded </w:t>
      </w:r>
      <w:r w:rsidR="007428CC" w:rsidRPr="00847B84">
        <w:rPr>
          <w:color w:val="000000"/>
        </w:rPr>
        <w:t xml:space="preserve">that </w:t>
      </w:r>
      <w:r w:rsidRPr="00847B84">
        <w:rPr>
          <w:color w:val="000000"/>
        </w:rPr>
        <w:t>“</w:t>
      </w:r>
      <w:r w:rsidR="00874230" w:rsidRPr="00847B84">
        <w:rPr>
          <w:color w:val="000000"/>
        </w:rPr>
        <w:t>evidence of their disloyalty was manifest and that the deprivation of their nationality was fully consistent with international law and domestic law</w:t>
      </w:r>
      <w:r w:rsidRPr="00847B84">
        <w:rPr>
          <w:color w:val="000000"/>
        </w:rPr>
        <w:t>.”</w:t>
      </w:r>
      <w:r w:rsidRPr="00847B84">
        <w:rPr>
          <w:rStyle w:val="FootnoteReference"/>
          <w:color w:val="000000"/>
        </w:rPr>
        <w:footnoteReference w:id="108"/>
      </w:r>
      <w:r w:rsidR="00874230" w:rsidRPr="00847B84">
        <w:rPr>
          <w:color w:val="000000"/>
        </w:rPr>
        <w:t xml:space="preserve"> </w:t>
      </w:r>
      <w:r w:rsidR="00367F1E" w:rsidRPr="00847B84">
        <w:rPr>
          <w:color w:val="000000"/>
        </w:rPr>
        <w:t>Absent any showing that the Supreme Court acted arbitrarily, its</w:t>
      </w:r>
      <w:r w:rsidR="00874230" w:rsidRPr="00847B84">
        <w:rPr>
          <w:color w:val="000000"/>
        </w:rPr>
        <w:t xml:space="preserve"> finding </w:t>
      </w:r>
      <w:r w:rsidR="00FC0C0B" w:rsidRPr="00847B84">
        <w:rPr>
          <w:color w:val="000000"/>
        </w:rPr>
        <w:t>cannot be disturbed.</w:t>
      </w:r>
    </w:p>
    <w:p w14:paraId="117908E0" w14:textId="2A7A2A43" w:rsidR="007428CC" w:rsidRPr="00847B84" w:rsidRDefault="007428CC" w:rsidP="008620EF">
      <w:pPr>
        <w:pStyle w:val="Heading4"/>
      </w:pPr>
      <w:bookmarkStart w:id="55" w:name="_Toc156019727"/>
      <w:proofErr w:type="spellStart"/>
      <w:r w:rsidRPr="00847B84">
        <w:t>Remisia’s</w:t>
      </w:r>
      <w:proofErr w:type="spellEnd"/>
      <w:r w:rsidRPr="00847B84">
        <w:t xml:space="preserve"> deprivation of the </w:t>
      </w:r>
      <w:proofErr w:type="spellStart"/>
      <w:r w:rsidRPr="00847B84">
        <w:t>Sterren</w:t>
      </w:r>
      <w:proofErr w:type="spellEnd"/>
      <w:r w:rsidRPr="00847B84">
        <w:t xml:space="preserve"> Forty’s citizenship </w:t>
      </w:r>
      <w:r w:rsidR="008B6896" w:rsidRPr="00847B84">
        <w:t xml:space="preserve">was not “based on political grounds”; in this regard, </w:t>
      </w:r>
      <w:proofErr w:type="spellStart"/>
      <w:r w:rsidR="008B6896" w:rsidRPr="00847B84">
        <w:t>Remisia’s</w:t>
      </w:r>
      <w:proofErr w:type="spellEnd"/>
      <w:r w:rsidR="008B6896" w:rsidRPr="00847B84">
        <w:t xml:space="preserve"> conduct falls within the accepted limitations to the freedom of expression and assembly under the ICCPR</w:t>
      </w:r>
      <w:r w:rsidRPr="00847B84">
        <w:t>.</w:t>
      </w:r>
      <w:bookmarkEnd w:id="55"/>
      <w:r w:rsidRPr="00847B84">
        <w:t xml:space="preserve"> </w:t>
      </w:r>
    </w:p>
    <w:p w14:paraId="6E3AB2A1" w14:textId="27FEB244" w:rsidR="007428CC" w:rsidRPr="00847B84" w:rsidRDefault="007428CC" w:rsidP="007428CC">
      <w:pPr>
        <w:ind w:firstLine="709"/>
        <w:rPr>
          <w:vertAlign w:val="subscript"/>
        </w:rPr>
      </w:pPr>
      <w:r w:rsidRPr="00847B84">
        <w:t xml:space="preserve">Article 9 of the CRS </w:t>
      </w:r>
      <w:r w:rsidR="00367F1E" w:rsidRPr="00847B84">
        <w:t xml:space="preserve">provides that States may not deprive persons of nationality based on political grounds. According to the UNHRC, “political grounds” </w:t>
      </w:r>
      <w:r w:rsidR="008B6896" w:rsidRPr="00847B84">
        <w:t xml:space="preserve">must </w:t>
      </w:r>
      <w:r w:rsidRPr="00847B84">
        <w:t>be interpreted in light of subsequent developments in international human rights law.</w:t>
      </w:r>
      <w:r w:rsidRPr="00847B84">
        <w:rPr>
          <w:rStyle w:val="FootnoteReference"/>
        </w:rPr>
        <w:footnoteReference w:id="109"/>
      </w:r>
      <w:r w:rsidRPr="00847B84">
        <w:t xml:space="preserve"> Thus, an individual must not be deprived of his nationality if it would be inconsistent with freedom of expression</w:t>
      </w:r>
      <w:r w:rsidR="008B6896" w:rsidRPr="00847B84">
        <w:t xml:space="preserve"> and assembly</w:t>
      </w:r>
      <w:r w:rsidRPr="00847B84">
        <w:t>.</w:t>
      </w:r>
      <w:r w:rsidRPr="00847B84">
        <w:rPr>
          <w:rStyle w:val="FootnoteReference"/>
        </w:rPr>
        <w:footnoteReference w:id="110"/>
      </w:r>
      <w:r w:rsidRPr="00847B84">
        <w:t xml:space="preserve"> Nevertheless, the freedom of expression </w:t>
      </w:r>
      <w:r w:rsidR="008B6896" w:rsidRPr="00847B84">
        <w:t>and assembly</w:t>
      </w:r>
      <w:r w:rsidRPr="00847B84">
        <w:t xml:space="preserve"> </w:t>
      </w:r>
      <w:r w:rsidR="008B6896" w:rsidRPr="00847B84">
        <w:t>are</w:t>
      </w:r>
      <w:r w:rsidRPr="00847B84">
        <w:t xml:space="preserve"> not absolute</w:t>
      </w:r>
      <w:r w:rsidR="008B6896" w:rsidRPr="00847B84">
        <w:t xml:space="preserve">. Here, </w:t>
      </w:r>
      <w:proofErr w:type="spellStart"/>
      <w:r w:rsidR="008B6896" w:rsidRPr="00847B84">
        <w:t>Remisia</w:t>
      </w:r>
      <w:proofErr w:type="spellEnd"/>
      <w:r w:rsidR="008B6896" w:rsidRPr="00847B84">
        <w:t xml:space="preserve"> acted consistently with its human rights obligations</w:t>
      </w:r>
      <w:r w:rsidRPr="00847B84">
        <w:t xml:space="preserve"> considering that</w:t>
      </w:r>
      <w:r w:rsidR="008B6896" w:rsidRPr="00847B84">
        <w:t xml:space="preserve"> the restriction</w:t>
      </w:r>
      <w:r w:rsidRPr="00847B84">
        <w:t xml:space="preserve"> </w:t>
      </w:r>
      <w:r w:rsidR="008B6896" w:rsidRPr="00847B84">
        <w:t xml:space="preserve">was </w:t>
      </w:r>
      <w:r w:rsidRPr="00847B84">
        <w:t>[</w:t>
      </w:r>
      <w:r w:rsidR="00BF2DA6" w:rsidRPr="00847B84">
        <w:rPr>
          <w:b/>
          <w:bCs/>
        </w:rPr>
        <w:t>a</w:t>
      </w:r>
      <w:r w:rsidRPr="00847B84">
        <w:t>] provided for by law, [</w:t>
      </w:r>
      <w:r w:rsidR="00BF2DA6" w:rsidRPr="00847B84">
        <w:rPr>
          <w:b/>
          <w:bCs/>
        </w:rPr>
        <w:t>b</w:t>
      </w:r>
      <w:r w:rsidRPr="00847B84">
        <w:t>] pursuant to a legitimate aim, and [</w:t>
      </w:r>
      <w:r w:rsidR="00BF2DA6" w:rsidRPr="00847B84">
        <w:rPr>
          <w:b/>
          <w:bCs/>
        </w:rPr>
        <w:t>c</w:t>
      </w:r>
      <w:r w:rsidRPr="00847B84">
        <w:t xml:space="preserve">] necessary and proportionate. </w:t>
      </w:r>
    </w:p>
    <w:p w14:paraId="5CE3B602" w14:textId="77777777" w:rsidR="007428CC" w:rsidRPr="00847B84" w:rsidRDefault="007428CC" w:rsidP="000E4258">
      <w:pPr>
        <w:pStyle w:val="Heading5"/>
        <w:numPr>
          <w:ilvl w:val="0"/>
          <w:numId w:val="105"/>
        </w:numPr>
        <w:ind w:left="1434" w:hanging="357"/>
        <w:rPr>
          <w:lang w:val="en-US"/>
        </w:rPr>
      </w:pPr>
      <w:bookmarkStart w:id="56" w:name="_Toc156019728"/>
      <w:r w:rsidRPr="00847B84">
        <w:rPr>
          <w:lang w:val="en-US"/>
        </w:rPr>
        <w:t>The restriction was provided for by law.</w:t>
      </w:r>
      <w:bookmarkEnd w:id="56"/>
      <w:r w:rsidRPr="00847B84">
        <w:rPr>
          <w:lang w:val="en-US"/>
        </w:rPr>
        <w:t xml:space="preserve"> </w:t>
      </w:r>
    </w:p>
    <w:p w14:paraId="26CA5DBE" w14:textId="71099DD6" w:rsidR="007428CC" w:rsidRPr="00847B84" w:rsidRDefault="007428CC" w:rsidP="007428CC">
      <w:pPr>
        <w:ind w:firstLine="720"/>
      </w:pPr>
      <w:r w:rsidRPr="00847B84">
        <w:rPr>
          <w:color w:val="000000" w:themeColor="text1"/>
          <w:lang w:val="en-US"/>
        </w:rPr>
        <w:t>A restriction is properly provided for by law when there is sufficient precision as to which expression or conduct is restricted</w:t>
      </w:r>
      <w:r w:rsidRPr="00847B84">
        <w:rPr>
          <w:rStyle w:val="FootnoteReference"/>
          <w:color w:val="000000" w:themeColor="text1"/>
          <w:lang w:val="en-US"/>
        </w:rPr>
        <w:footnoteReference w:id="111"/>
      </w:r>
      <w:r w:rsidRPr="00847B84">
        <w:t xml:space="preserve"> and </w:t>
      </w:r>
      <w:r w:rsidR="006473B8" w:rsidRPr="00847B84">
        <w:t xml:space="preserve">the </w:t>
      </w:r>
      <w:r w:rsidRPr="00847B84">
        <w:t xml:space="preserve">conditions where such rights are limited are </w:t>
      </w:r>
      <w:r w:rsidRPr="00847B84">
        <w:lastRenderedPageBreak/>
        <w:t>sufficiently established.</w:t>
      </w:r>
      <w:r w:rsidRPr="00847B84">
        <w:rPr>
          <w:rStyle w:val="FootnoteReference"/>
        </w:rPr>
        <w:footnoteReference w:id="112"/>
      </w:r>
      <w:r w:rsidRPr="00847B84">
        <w:t xml:space="preserve"> The ECHR held that the requirement is complied with when the limitation has basis in a domestic law and is accessible to the public</w:t>
      </w:r>
      <w:r w:rsidR="006473B8" w:rsidRPr="00847B84">
        <w:t>.</w:t>
      </w:r>
      <w:r w:rsidRPr="00847B84">
        <w:rPr>
          <w:rStyle w:val="FootnoteReference"/>
        </w:rPr>
        <w:footnoteReference w:id="113"/>
      </w:r>
    </w:p>
    <w:p w14:paraId="77FC4F11" w14:textId="2D71015B" w:rsidR="00346CE0" w:rsidRPr="00847B84" w:rsidRDefault="00346CE0" w:rsidP="00346CE0">
      <w:pPr>
        <w:ind w:firstLine="720"/>
        <w:rPr>
          <w:color w:val="000000" w:themeColor="text1"/>
        </w:rPr>
      </w:pPr>
      <w:r w:rsidRPr="00847B84">
        <w:rPr>
          <w:rFonts w:eastAsiaTheme="minorHAnsi"/>
          <w:color w:val="000000" w:themeColor="text1"/>
          <w:lang w:val="en-US"/>
          <w14:ligatures w14:val="standardContextual"/>
        </w:rPr>
        <w:t xml:space="preserve">Here, </w:t>
      </w:r>
      <w:proofErr w:type="spellStart"/>
      <w:r w:rsidRPr="00847B84">
        <w:rPr>
          <w:rFonts w:eastAsiaTheme="minorHAnsi"/>
          <w:color w:val="000000" w:themeColor="text1"/>
          <w:lang w:val="en-US"/>
          <w14:ligatures w14:val="standardContextual"/>
        </w:rPr>
        <w:t>Remisia's</w:t>
      </w:r>
      <w:proofErr w:type="spellEnd"/>
      <w:r w:rsidRPr="00847B84">
        <w:rPr>
          <w:rFonts w:eastAsiaTheme="minorHAnsi"/>
          <w:color w:val="000000" w:themeColor="text1"/>
          <w:lang w:val="en-US"/>
          <w14:ligatures w14:val="standardContextual"/>
        </w:rPr>
        <w:t xml:space="preserve"> Constitution and the DCA clearly specify which acts and forms of speech are criminalized and the ground for which their citizenship may be revoked (i.e., when they have been proven to manifest one's "disloyalty to the Crown")</w:t>
      </w:r>
      <w:r w:rsidRPr="00847B84">
        <w:rPr>
          <w:color w:val="000000" w:themeColor="text1"/>
          <w:lang w:val="en-US"/>
        </w:rPr>
        <w:t>.</w:t>
      </w:r>
      <w:r w:rsidRPr="00847B84">
        <w:rPr>
          <w:rStyle w:val="FootnoteReference"/>
          <w:color w:val="000000" w:themeColor="text1"/>
          <w:lang w:val="en-US"/>
        </w:rPr>
        <w:footnoteReference w:id="114"/>
      </w:r>
      <w:r w:rsidRPr="00847B84">
        <w:rPr>
          <w:color w:val="000000" w:themeColor="text1"/>
          <w:lang w:val="en-US"/>
        </w:rPr>
        <w:t xml:space="preserve"> </w:t>
      </w:r>
      <w:r w:rsidRPr="00847B84">
        <w:rPr>
          <w:rFonts w:eastAsiaTheme="minorHAnsi"/>
          <w:color w:val="000000" w:themeColor="text1"/>
          <w:lang w:val="en-US"/>
          <w14:ligatures w14:val="standardContextual"/>
        </w:rPr>
        <w:t xml:space="preserve"> The concept of "disloyalty to a State" is neither new</w:t>
      </w:r>
      <w:r w:rsidR="008D56C1" w:rsidRPr="00847B84">
        <w:rPr>
          <w:rStyle w:val="FootnoteReference"/>
          <w:color w:val="000000" w:themeColor="text1"/>
          <w:lang w:val="en-US"/>
        </w:rPr>
        <w:footnoteReference w:id="115"/>
      </w:r>
      <w:r w:rsidRPr="00847B84">
        <w:rPr>
          <w:rFonts w:eastAsiaTheme="minorHAnsi"/>
          <w:color w:val="000000" w:themeColor="text1"/>
          <w:lang w:val="en-US"/>
          <w14:ligatures w14:val="standardContextual"/>
        </w:rPr>
        <w:t xml:space="preserve"> nor vague and has, in fact, been incorporated in Article 8 of the CRS itself. Therefore, having established with sufficient precision which acts are penalized, the DCA satisfies the legality requirement.</w:t>
      </w:r>
    </w:p>
    <w:p w14:paraId="58DD6AFC" w14:textId="08762E51" w:rsidR="007428CC" w:rsidRPr="00847B84" w:rsidRDefault="007428CC" w:rsidP="000E4258">
      <w:pPr>
        <w:pStyle w:val="Heading5"/>
        <w:rPr>
          <w:lang w:val="en-US"/>
        </w:rPr>
      </w:pPr>
      <w:bookmarkStart w:id="57" w:name="_Toc156019729"/>
      <w:r w:rsidRPr="00847B84">
        <w:rPr>
          <w:lang w:val="en-US"/>
        </w:rPr>
        <w:t xml:space="preserve">The restriction </w:t>
      </w:r>
      <w:r w:rsidR="00310CFA" w:rsidRPr="00847B84">
        <w:rPr>
          <w:lang w:val="en-US"/>
        </w:rPr>
        <w:t>had</w:t>
      </w:r>
      <w:r w:rsidRPr="00847B84">
        <w:rPr>
          <w:lang w:val="en-US"/>
        </w:rPr>
        <w:t xml:space="preserve"> a legitimate aim.</w:t>
      </w:r>
      <w:bookmarkEnd w:id="57"/>
    </w:p>
    <w:p w14:paraId="415E1E90" w14:textId="7E6D83DB" w:rsidR="007428CC" w:rsidRPr="00847B84" w:rsidRDefault="007428CC" w:rsidP="007428CC">
      <w:pPr>
        <w:ind w:firstLine="720"/>
        <w:rPr>
          <w:lang w:val="en-US"/>
        </w:rPr>
      </w:pPr>
      <w:r w:rsidRPr="00847B84">
        <w:rPr>
          <w:lang w:val="en-US"/>
        </w:rPr>
        <w:t xml:space="preserve">Article 19(3)(b) of the ICCPR </w:t>
      </w:r>
      <w:r w:rsidR="00873605" w:rsidRPr="00847B84">
        <w:rPr>
          <w:lang w:val="en-US"/>
        </w:rPr>
        <w:t>provides that</w:t>
      </w:r>
      <w:r w:rsidRPr="00847B84">
        <w:rPr>
          <w:lang w:val="en-US"/>
        </w:rPr>
        <w:t xml:space="preserve"> </w:t>
      </w:r>
      <w:r w:rsidR="00873605" w:rsidRPr="00847B84">
        <w:rPr>
          <w:lang w:val="en-US"/>
        </w:rPr>
        <w:t xml:space="preserve">the </w:t>
      </w:r>
      <w:r w:rsidRPr="00847B84">
        <w:rPr>
          <w:lang w:val="en-US"/>
        </w:rPr>
        <w:t xml:space="preserve">protection of public order </w:t>
      </w:r>
      <w:r w:rsidR="00B400A2" w:rsidRPr="00847B84">
        <w:rPr>
          <w:lang w:val="en-US"/>
        </w:rPr>
        <w:t>is</w:t>
      </w:r>
      <w:r w:rsidRPr="00847B84">
        <w:rPr>
          <w:lang w:val="en-US"/>
        </w:rPr>
        <w:t xml:space="preserve"> a legitimate ground in restricting one’s right to freedom of expression.</w:t>
      </w:r>
      <w:r w:rsidR="007864F9" w:rsidRPr="00847B84">
        <w:rPr>
          <w:rStyle w:val="FootnoteReference"/>
          <w:lang w:val="en-US"/>
        </w:rPr>
        <w:footnoteReference w:id="116"/>
      </w:r>
      <w:r w:rsidRPr="00847B84">
        <w:rPr>
          <w:lang w:val="en-US"/>
        </w:rPr>
        <w:t xml:space="preserve"> Public order is threatened when physical order and the effective functioning of democratic institutions are disturbed.</w:t>
      </w:r>
      <w:r w:rsidRPr="00847B84">
        <w:rPr>
          <w:rStyle w:val="FootnoteReference"/>
          <w:lang w:val="en-US"/>
        </w:rPr>
        <w:footnoteReference w:id="117"/>
      </w:r>
      <w:r w:rsidRPr="00847B84">
        <w:rPr>
          <w:lang w:val="en-US"/>
        </w:rPr>
        <w:t xml:space="preserve"> In</w:t>
      </w:r>
      <w:r w:rsidRPr="00847B84">
        <w:rPr>
          <w:i/>
          <w:iCs/>
          <w:lang w:val="en-US"/>
        </w:rPr>
        <w:t xml:space="preserve"> Gauthier v. Canada</w:t>
      </w:r>
      <w:r w:rsidRPr="00847B84">
        <w:rPr>
          <w:lang w:val="en-US"/>
        </w:rPr>
        <w:t xml:space="preserve">, the </w:t>
      </w:r>
      <w:proofErr w:type="spellStart"/>
      <w:r w:rsidRPr="00847B84">
        <w:rPr>
          <w:lang w:val="en-US"/>
        </w:rPr>
        <w:t>HRComm</w:t>
      </w:r>
      <w:proofErr w:type="spellEnd"/>
      <w:r w:rsidRPr="00847B84">
        <w:rPr>
          <w:lang w:val="en-US"/>
        </w:rPr>
        <w:t xml:space="preserve"> found </w:t>
      </w:r>
      <w:r w:rsidR="00800D1A" w:rsidRPr="00847B84">
        <w:rPr>
          <w:lang w:val="en-US"/>
        </w:rPr>
        <w:t xml:space="preserve">that an individual’s right </w:t>
      </w:r>
      <w:r w:rsidRPr="00847B84">
        <w:rPr>
          <w:lang w:val="en-US"/>
        </w:rPr>
        <w:t>under Article 19 of the ICCPR was properly restricted to ensure that governmental bodies effectively carry out their functions.</w:t>
      </w:r>
      <w:r w:rsidRPr="00847B84">
        <w:rPr>
          <w:rStyle w:val="FootnoteReference"/>
          <w:lang w:val="en-US"/>
        </w:rPr>
        <w:footnoteReference w:id="118"/>
      </w:r>
    </w:p>
    <w:p w14:paraId="52C74C0F" w14:textId="6DCF1130" w:rsidR="007428CC" w:rsidRPr="00847B84" w:rsidRDefault="007428CC" w:rsidP="000E4258">
      <w:pPr>
        <w:ind w:firstLine="720"/>
        <w:rPr>
          <w:color w:val="000000" w:themeColor="text1"/>
          <w:lang w:val="en-US"/>
        </w:rPr>
      </w:pPr>
      <w:r w:rsidRPr="00847B84">
        <w:rPr>
          <w:color w:val="000000" w:themeColor="text1"/>
          <w:lang w:val="en-US"/>
        </w:rPr>
        <w:t xml:space="preserve">Here, </w:t>
      </w:r>
      <w:proofErr w:type="spellStart"/>
      <w:r w:rsidRPr="00847B84">
        <w:rPr>
          <w:color w:val="000000" w:themeColor="text1"/>
          <w:lang w:val="en-US"/>
        </w:rPr>
        <w:t>Remisia</w:t>
      </w:r>
      <w:proofErr w:type="spellEnd"/>
      <w:r w:rsidRPr="00847B84">
        <w:rPr>
          <w:color w:val="000000" w:themeColor="text1"/>
          <w:lang w:val="en-US"/>
        </w:rPr>
        <w:t xml:space="preserve"> properly deprived the </w:t>
      </w:r>
      <w:proofErr w:type="spellStart"/>
      <w:r w:rsidRPr="00847B84">
        <w:rPr>
          <w:color w:val="000000" w:themeColor="text1"/>
          <w:lang w:val="en-US"/>
        </w:rPr>
        <w:t>Sterren</w:t>
      </w:r>
      <w:proofErr w:type="spellEnd"/>
      <w:r w:rsidRPr="00847B84">
        <w:rPr>
          <w:color w:val="000000" w:themeColor="text1"/>
          <w:lang w:val="en-US"/>
        </w:rPr>
        <w:t xml:space="preserve"> Forty of their nationality</w:t>
      </w:r>
      <w:r w:rsidR="00BE7E28" w:rsidRPr="00847B84">
        <w:rPr>
          <w:color w:val="000000" w:themeColor="text1"/>
          <w:lang w:val="en-US"/>
        </w:rPr>
        <w:t xml:space="preserve"> </w:t>
      </w:r>
      <w:proofErr w:type="gramStart"/>
      <w:r w:rsidR="00BE7E28" w:rsidRPr="00847B84">
        <w:rPr>
          <w:color w:val="000000" w:themeColor="text1"/>
          <w:lang w:val="en-US"/>
        </w:rPr>
        <w:t>in order</w:t>
      </w:r>
      <w:r w:rsidRPr="00847B84">
        <w:rPr>
          <w:color w:val="000000" w:themeColor="text1"/>
          <w:lang w:val="en-US"/>
        </w:rPr>
        <w:t xml:space="preserve"> </w:t>
      </w:r>
      <w:r w:rsidR="00BE7E28" w:rsidRPr="00847B84">
        <w:rPr>
          <w:color w:val="000000" w:themeColor="text1"/>
          <w:lang w:val="en-US"/>
        </w:rPr>
        <w:t>to</w:t>
      </w:r>
      <w:proofErr w:type="gramEnd"/>
      <w:r w:rsidR="00BE7E28" w:rsidRPr="00847B84">
        <w:rPr>
          <w:color w:val="000000" w:themeColor="text1"/>
          <w:lang w:val="en-US"/>
        </w:rPr>
        <w:t xml:space="preserve"> restore</w:t>
      </w:r>
      <w:r w:rsidRPr="00847B84">
        <w:rPr>
          <w:color w:val="000000" w:themeColor="text1"/>
          <w:lang w:val="en-US"/>
        </w:rPr>
        <w:t xml:space="preserve"> public order and </w:t>
      </w:r>
      <w:r w:rsidR="00BE7E28" w:rsidRPr="00847B84">
        <w:rPr>
          <w:color w:val="000000" w:themeColor="text1"/>
          <w:lang w:val="en-US"/>
        </w:rPr>
        <w:t>protect</w:t>
      </w:r>
      <w:r w:rsidRPr="00847B84">
        <w:rPr>
          <w:color w:val="000000" w:themeColor="text1"/>
          <w:lang w:val="en-US"/>
        </w:rPr>
        <w:t xml:space="preserve"> public interest. The </w:t>
      </w:r>
      <w:proofErr w:type="spellStart"/>
      <w:r w:rsidRPr="00847B84">
        <w:rPr>
          <w:color w:val="000000" w:themeColor="text1"/>
          <w:lang w:val="en-US"/>
        </w:rPr>
        <w:t>Sterren</w:t>
      </w:r>
      <w:proofErr w:type="spellEnd"/>
      <w:r w:rsidRPr="00847B84">
        <w:rPr>
          <w:color w:val="000000" w:themeColor="text1"/>
          <w:lang w:val="en-US"/>
        </w:rPr>
        <w:t xml:space="preserve"> Forty’s actions (</w:t>
      </w:r>
      <w:r w:rsidRPr="00847B84">
        <w:rPr>
          <w:i/>
          <w:iCs/>
          <w:color w:val="000000" w:themeColor="text1"/>
          <w:lang w:val="en-US"/>
        </w:rPr>
        <w:t>e.g.</w:t>
      </w:r>
      <w:r w:rsidRPr="00847B84">
        <w:rPr>
          <w:color w:val="000000" w:themeColor="text1"/>
          <w:lang w:val="en-US"/>
        </w:rPr>
        <w:t xml:space="preserve">, chaining themselves to the </w:t>
      </w:r>
      <w:proofErr w:type="spellStart"/>
      <w:r w:rsidRPr="00847B84">
        <w:rPr>
          <w:color w:val="000000" w:themeColor="text1"/>
          <w:lang w:val="en-US"/>
        </w:rPr>
        <w:t>Sterren</w:t>
      </w:r>
      <w:proofErr w:type="spellEnd"/>
      <w:r w:rsidRPr="00847B84">
        <w:rPr>
          <w:color w:val="000000" w:themeColor="text1"/>
          <w:lang w:val="en-US"/>
        </w:rPr>
        <w:t xml:space="preserve"> Palace,</w:t>
      </w:r>
      <w:r w:rsidR="00BF2DA6" w:rsidRPr="00847B84">
        <w:rPr>
          <w:rStyle w:val="FootnoteReference"/>
          <w:color w:val="000000" w:themeColor="text1"/>
          <w:lang w:val="en-US"/>
        </w:rPr>
        <w:footnoteReference w:id="119"/>
      </w:r>
      <w:r w:rsidRPr="00847B84">
        <w:rPr>
          <w:color w:val="000000" w:themeColor="text1"/>
          <w:lang w:val="en-US"/>
        </w:rPr>
        <w:t xml:space="preserve"> crippling </w:t>
      </w:r>
      <w:r w:rsidR="00DB40D8" w:rsidRPr="00847B84">
        <w:rPr>
          <w:color w:val="000000" w:themeColor="text1"/>
          <w:lang w:val="en-US"/>
        </w:rPr>
        <w:t xml:space="preserve">a </w:t>
      </w:r>
      <w:r w:rsidR="00DB40D8" w:rsidRPr="00847B84">
        <w:t>critical national industry,</w:t>
      </w:r>
      <w:r w:rsidR="00DB40D8" w:rsidRPr="00847B84">
        <w:rPr>
          <w:rStyle w:val="FootnoteReference"/>
        </w:rPr>
        <w:footnoteReference w:id="120"/>
      </w:r>
      <w:r w:rsidRPr="00847B84">
        <w:rPr>
          <w:color w:val="000000" w:themeColor="text1"/>
          <w:lang w:val="en-US"/>
        </w:rPr>
        <w:t xml:space="preserve"> instigating nationwide demonstrations) threatened physical order while their statements (</w:t>
      </w:r>
      <w:r w:rsidRPr="00847B84">
        <w:rPr>
          <w:i/>
          <w:iCs/>
          <w:color w:val="000000" w:themeColor="text1"/>
          <w:lang w:val="en-US"/>
        </w:rPr>
        <w:t>e.g.,</w:t>
      </w:r>
      <w:r w:rsidRPr="00847B84">
        <w:rPr>
          <w:color w:val="000000" w:themeColor="text1"/>
          <w:lang w:val="en-US"/>
        </w:rPr>
        <w:t xml:space="preserve"> choosing democracy over </w:t>
      </w:r>
      <w:r w:rsidRPr="00847B84">
        <w:rPr>
          <w:color w:val="000000" w:themeColor="text1"/>
          <w:lang w:val="en-US"/>
        </w:rPr>
        <w:lastRenderedPageBreak/>
        <w:t>monarchy,</w:t>
      </w:r>
      <w:r w:rsidRPr="00847B84">
        <w:rPr>
          <w:rStyle w:val="FootnoteReference"/>
          <w:color w:val="000000" w:themeColor="text1"/>
          <w:lang w:val="en-US"/>
        </w:rPr>
        <w:footnoteReference w:id="121"/>
      </w:r>
      <w:r w:rsidRPr="00847B84">
        <w:rPr>
          <w:color w:val="000000" w:themeColor="text1"/>
          <w:lang w:val="en-US"/>
        </w:rPr>
        <w:t xml:space="preserve"> claiming Her Majesty’s betrayal</w:t>
      </w:r>
      <w:r w:rsidR="00310CFA" w:rsidRPr="00847B84">
        <w:rPr>
          <w:color w:val="000000" w:themeColor="text1"/>
          <w:lang w:val="en-US"/>
        </w:rPr>
        <w:t>,</w:t>
      </w:r>
      <w:r w:rsidRPr="00847B84">
        <w:rPr>
          <w:rStyle w:val="FootnoteReference"/>
          <w:color w:val="000000" w:themeColor="text1"/>
          <w:lang w:val="en-US"/>
        </w:rPr>
        <w:footnoteReference w:id="122"/>
      </w:r>
      <w:r w:rsidRPr="00847B84">
        <w:rPr>
          <w:color w:val="000000" w:themeColor="text1"/>
          <w:lang w:val="en-US"/>
        </w:rPr>
        <w:t xml:space="preserve"> and</w:t>
      </w:r>
      <w:r w:rsidR="006473B8" w:rsidRPr="00847B84">
        <w:rPr>
          <w:color w:val="000000" w:themeColor="text1"/>
          <w:lang w:val="en-US"/>
        </w:rPr>
        <w:t xml:space="preserve"> </w:t>
      </w:r>
      <w:r w:rsidR="00310CFA" w:rsidRPr="00847B84">
        <w:rPr>
          <w:color w:val="000000" w:themeColor="text1"/>
          <w:lang w:val="en-US"/>
        </w:rPr>
        <w:t>baseless accusations that the Queen was responsible</w:t>
      </w:r>
      <w:r w:rsidR="006473B8" w:rsidRPr="00847B84">
        <w:rPr>
          <w:color w:val="000000" w:themeColor="text1"/>
          <w:lang w:val="en-US"/>
        </w:rPr>
        <w:t xml:space="preserve"> for the ‘cobalt curse’</w:t>
      </w:r>
      <w:r w:rsidR="00310CFA" w:rsidRPr="00847B84">
        <w:rPr>
          <w:rStyle w:val="FootnoteReference"/>
          <w:color w:val="000000" w:themeColor="text1"/>
          <w:lang w:val="en-US"/>
        </w:rPr>
        <w:footnoteReference w:id="123"/>
      </w:r>
      <w:r w:rsidRPr="00847B84">
        <w:rPr>
          <w:color w:val="000000" w:themeColor="text1"/>
          <w:lang w:val="en-US"/>
        </w:rPr>
        <w:t xml:space="preserve">) bore the dangerous tendency to </w:t>
      </w:r>
      <w:r w:rsidR="00BF2DA6" w:rsidRPr="00847B84">
        <w:rPr>
          <w:color w:val="000000" w:themeColor="text1"/>
          <w:lang w:val="en-US"/>
        </w:rPr>
        <w:t xml:space="preserve">sow </w:t>
      </w:r>
      <w:r w:rsidRPr="00847B84">
        <w:rPr>
          <w:color w:val="000000" w:themeColor="text1"/>
          <w:lang w:val="en-US"/>
        </w:rPr>
        <w:t xml:space="preserve">distrust. Collectively, these threatened </w:t>
      </w:r>
      <w:proofErr w:type="spellStart"/>
      <w:r w:rsidRPr="00847B84">
        <w:rPr>
          <w:color w:val="000000" w:themeColor="text1"/>
          <w:lang w:val="en-US"/>
        </w:rPr>
        <w:t>Remisia’s</w:t>
      </w:r>
      <w:proofErr w:type="spellEnd"/>
      <w:r w:rsidRPr="00847B84">
        <w:rPr>
          <w:color w:val="000000" w:themeColor="text1"/>
          <w:lang w:val="en-US"/>
        </w:rPr>
        <w:t xml:space="preserve"> government as a whole and undermined its institutions. Under these conditions, </w:t>
      </w:r>
      <w:proofErr w:type="spellStart"/>
      <w:r w:rsidRPr="00847B84">
        <w:rPr>
          <w:color w:val="000000" w:themeColor="text1"/>
          <w:lang w:val="en-US"/>
        </w:rPr>
        <w:t>Remisia</w:t>
      </w:r>
      <w:proofErr w:type="spellEnd"/>
      <w:r w:rsidRPr="00847B84">
        <w:rPr>
          <w:color w:val="000000" w:themeColor="text1"/>
          <w:lang w:val="en-US"/>
        </w:rPr>
        <w:t xml:space="preserve"> had a legitimate aim to pursue.</w:t>
      </w:r>
    </w:p>
    <w:p w14:paraId="42BDBBCF" w14:textId="77777777" w:rsidR="007428CC" w:rsidRPr="00847B84" w:rsidRDefault="007428CC" w:rsidP="000E4258">
      <w:pPr>
        <w:pStyle w:val="Heading5"/>
        <w:rPr>
          <w:lang w:val="en-US"/>
        </w:rPr>
      </w:pPr>
      <w:bookmarkStart w:id="58" w:name="_Toc156019730"/>
      <w:r w:rsidRPr="00847B84">
        <w:rPr>
          <w:lang w:val="en-US"/>
        </w:rPr>
        <w:t>The restriction was necessary and proportionate.</w:t>
      </w:r>
      <w:bookmarkEnd w:id="58"/>
      <w:r w:rsidRPr="00847B84">
        <w:rPr>
          <w:lang w:val="en-US"/>
        </w:rPr>
        <w:t xml:space="preserve"> </w:t>
      </w:r>
    </w:p>
    <w:p w14:paraId="03DABE4F" w14:textId="1CCCB0CF" w:rsidR="007428CC" w:rsidRPr="00847B84" w:rsidRDefault="007428CC" w:rsidP="007428CC">
      <w:pPr>
        <w:ind w:firstLine="720"/>
      </w:pPr>
      <w:r w:rsidRPr="00847B84">
        <w:t>A restriction is ‘necessary’ if the measure is appropriate to achieve a legitimate aim.</w:t>
      </w:r>
      <w:r w:rsidRPr="00847B84">
        <w:rPr>
          <w:rStyle w:val="FootnoteReference"/>
        </w:rPr>
        <w:footnoteReference w:id="124"/>
      </w:r>
      <w:r w:rsidRPr="00847B84">
        <w:t xml:space="preserve"> It is ‘proportionate’ if the measure is the least restrictive measure to achieve its desired results.</w:t>
      </w:r>
      <w:r w:rsidRPr="00847B84">
        <w:rPr>
          <w:rStyle w:val="FootnoteReference"/>
        </w:rPr>
        <w:footnoteReference w:id="125"/>
      </w:r>
      <w:r w:rsidRPr="00847B84">
        <w:t xml:space="preserve"> In determining whether an imposed restriction is necessary and proportionate, States are afforded a margin of </w:t>
      </w:r>
      <w:r w:rsidR="00310CFA" w:rsidRPr="00847B84">
        <w:t xml:space="preserve">discretion </w:t>
      </w:r>
      <w:r w:rsidRPr="00847B84">
        <w:t>in limiting individuals’ freedom of expression where there is a legitimate aim to be protected.</w:t>
      </w:r>
      <w:r w:rsidRPr="00847B84">
        <w:rPr>
          <w:rStyle w:val="FootnoteReference"/>
        </w:rPr>
        <w:footnoteReference w:id="126"/>
      </w:r>
      <w:r w:rsidRPr="00847B84">
        <w:t xml:space="preserve">   </w:t>
      </w:r>
    </w:p>
    <w:p w14:paraId="152EBF3F" w14:textId="0BBA2992" w:rsidR="007428CC" w:rsidRPr="00847B84" w:rsidRDefault="007428CC" w:rsidP="002373ED">
      <w:pPr>
        <w:ind w:firstLine="720"/>
      </w:pPr>
      <w:r w:rsidRPr="00847B84">
        <w:t xml:space="preserve">Although the freedom of expression is essential for democratic societies, </w:t>
      </w:r>
      <w:proofErr w:type="spellStart"/>
      <w:r w:rsidRPr="00847B84">
        <w:t>Remisia’s</w:t>
      </w:r>
      <w:proofErr w:type="spellEnd"/>
      <w:r w:rsidRPr="00847B84">
        <w:t xml:space="preserve"> restriction was necessary as it averted further public disarray and addressed the ongoing threat to public order. The </w:t>
      </w:r>
      <w:r w:rsidR="00310CFA" w:rsidRPr="00847B84">
        <w:t xml:space="preserve">restriction </w:t>
      </w:r>
      <w:r w:rsidRPr="00847B84">
        <w:t xml:space="preserve">was also proportionate for three reasons. </w:t>
      </w:r>
      <w:r w:rsidRPr="00847B84">
        <w:rPr>
          <w:i/>
          <w:iCs/>
        </w:rPr>
        <w:t>First</w:t>
      </w:r>
      <w:r w:rsidRPr="00847B84">
        <w:t xml:space="preserve">, </w:t>
      </w:r>
      <w:proofErr w:type="spellStart"/>
      <w:r w:rsidRPr="00847B84">
        <w:t>Remisia</w:t>
      </w:r>
      <w:proofErr w:type="spellEnd"/>
      <w:r w:rsidRPr="00847B84">
        <w:t xml:space="preserve"> only resorted to the restriction after authorities requested demonstrators to disperse peacefully, offered to meet for peaceful dialogue, and issued several warnings, all to no avail. </w:t>
      </w:r>
      <w:r w:rsidR="006067C6" w:rsidRPr="00847B84">
        <w:rPr>
          <w:i/>
          <w:iCs/>
        </w:rPr>
        <w:t>Second</w:t>
      </w:r>
      <w:r w:rsidR="006067C6" w:rsidRPr="00847B84">
        <w:t xml:space="preserve">, </w:t>
      </w:r>
      <w:proofErr w:type="spellStart"/>
      <w:r w:rsidR="006067C6" w:rsidRPr="00847B84">
        <w:t>Remisia</w:t>
      </w:r>
      <w:proofErr w:type="spellEnd"/>
      <w:r w:rsidR="006067C6" w:rsidRPr="00847B84">
        <w:t xml:space="preserve"> announced that it would drop the charges against the </w:t>
      </w:r>
      <w:proofErr w:type="spellStart"/>
      <w:r w:rsidR="006067C6" w:rsidRPr="00847B84">
        <w:t>Sterren</w:t>
      </w:r>
      <w:proofErr w:type="spellEnd"/>
      <w:r w:rsidR="006067C6" w:rsidRPr="00847B84">
        <w:t xml:space="preserve"> Forty if they apologized to Her Majesty but they all refused to do so. </w:t>
      </w:r>
      <w:r w:rsidR="006067C6" w:rsidRPr="00847B84">
        <w:rPr>
          <w:i/>
          <w:iCs/>
        </w:rPr>
        <w:t>Third</w:t>
      </w:r>
      <w:r w:rsidRPr="00847B84">
        <w:t xml:space="preserve">, </w:t>
      </w:r>
      <w:r w:rsidR="00310CFA" w:rsidRPr="00847B84">
        <w:t>t</w:t>
      </w:r>
      <w:r w:rsidRPr="00847B84">
        <w:t xml:space="preserve">he </w:t>
      </w:r>
      <w:proofErr w:type="spellStart"/>
      <w:r w:rsidRPr="00847B84">
        <w:t>Sterren</w:t>
      </w:r>
      <w:proofErr w:type="spellEnd"/>
      <w:r w:rsidRPr="00847B84">
        <w:t xml:space="preserve"> Forty had the influence to start mass demonstrations across the country that garnered international attention, all the while making unfounded statements </w:t>
      </w:r>
      <w:r w:rsidRPr="00847B84">
        <w:lastRenderedPageBreak/>
        <w:t>against the Queen, Her character, and Her government.</w:t>
      </w:r>
      <w:r w:rsidRPr="00847B84">
        <w:rPr>
          <w:rStyle w:val="FootnoteReference"/>
        </w:rPr>
        <w:footnoteReference w:id="127"/>
      </w:r>
      <w:r w:rsidRPr="00847B84">
        <w:t xml:space="preserve"> Given the </w:t>
      </w:r>
      <w:proofErr w:type="spellStart"/>
      <w:r w:rsidRPr="00847B84">
        <w:t>Sterren</w:t>
      </w:r>
      <w:proofErr w:type="spellEnd"/>
      <w:r w:rsidRPr="00847B84">
        <w:t xml:space="preserve"> Forty’s influence</w:t>
      </w:r>
      <w:r w:rsidRPr="00847B84">
        <w:rPr>
          <w:rStyle w:val="FootnoteReference"/>
        </w:rPr>
        <w:footnoteReference w:id="128"/>
      </w:r>
      <w:r w:rsidRPr="00847B84">
        <w:t xml:space="preserve"> and the inflammatory nature of the statements made,</w:t>
      </w:r>
      <w:r w:rsidRPr="00847B84">
        <w:rPr>
          <w:rStyle w:val="FootnoteReference"/>
        </w:rPr>
        <w:footnoteReference w:id="129"/>
      </w:r>
      <w:r w:rsidRPr="00847B84">
        <w:t xml:space="preserve"> stricter measures </w:t>
      </w:r>
      <w:r w:rsidR="00310CFA" w:rsidRPr="00847B84">
        <w:t xml:space="preserve">were </w:t>
      </w:r>
      <w:r w:rsidRPr="00847B84">
        <w:t>justified.</w:t>
      </w:r>
    </w:p>
    <w:p w14:paraId="3D6B93CD" w14:textId="77777777" w:rsidR="007428CC" w:rsidRPr="00847B84" w:rsidRDefault="007428CC" w:rsidP="00A9717C">
      <w:pPr>
        <w:pStyle w:val="Heading4"/>
      </w:pPr>
      <w:bookmarkStart w:id="59" w:name="_Toc156019731"/>
      <w:proofErr w:type="spellStart"/>
      <w:r w:rsidRPr="00847B84">
        <w:t>Remisia</w:t>
      </w:r>
      <w:proofErr w:type="spellEnd"/>
      <w:r w:rsidRPr="00847B84">
        <w:t xml:space="preserve"> complied with the due process requirements under Article 8(4) of the CRS.</w:t>
      </w:r>
      <w:bookmarkEnd w:id="59"/>
      <w:r w:rsidRPr="00847B84">
        <w:t xml:space="preserve"> </w:t>
      </w:r>
    </w:p>
    <w:p w14:paraId="6311F6FD" w14:textId="43012E6D" w:rsidR="007428CC" w:rsidRPr="00847B84" w:rsidRDefault="00000000" w:rsidP="007428CC">
      <w:pPr>
        <w:ind w:firstLine="720"/>
      </w:pPr>
      <w:sdt>
        <w:sdtPr>
          <w:tag w:val="goog_rdk_519"/>
          <w:id w:val="770061170"/>
        </w:sdtPr>
        <w:sdtContent/>
      </w:sdt>
      <w:r w:rsidR="007428CC" w:rsidRPr="00847B84">
        <w:rPr>
          <w:color w:val="000000"/>
        </w:rPr>
        <w:t xml:space="preserve">Article 8(4) of the CRS </w:t>
      </w:r>
      <w:r w:rsidR="006067C6" w:rsidRPr="00847B84">
        <w:rPr>
          <w:color w:val="000000"/>
        </w:rPr>
        <w:t>guarantees</w:t>
      </w:r>
      <w:r w:rsidR="007428CC" w:rsidRPr="00847B84">
        <w:rPr>
          <w:color w:val="000000"/>
        </w:rPr>
        <w:t xml:space="preserve"> the right to a fair hearing by a court or other independent body.</w:t>
      </w:r>
      <w:r w:rsidR="007428CC" w:rsidRPr="00847B84">
        <w:rPr>
          <w:color w:val="000000"/>
          <w:vertAlign w:val="superscript"/>
        </w:rPr>
        <w:footnoteReference w:id="130"/>
      </w:r>
      <w:r w:rsidR="007428CC" w:rsidRPr="00847B84">
        <w:rPr>
          <w:color w:val="000000"/>
        </w:rPr>
        <w:t xml:space="preserve"> </w:t>
      </w:r>
      <w:sdt>
        <w:sdtPr>
          <w:tag w:val="goog_rdk_521"/>
          <w:id w:val="1797024394"/>
        </w:sdtPr>
        <w:sdtContent/>
      </w:sdt>
      <w:sdt>
        <w:sdtPr>
          <w:tag w:val="goog_rdk_522"/>
          <w:id w:val="-1814708803"/>
        </w:sdtPr>
        <w:sdtContent>
          <w:r w:rsidR="007428CC" w:rsidRPr="00847B84">
            <w:rPr>
              <w:color w:val="000000" w:themeColor="text1"/>
            </w:rPr>
            <w:t>In</w:t>
          </w:r>
        </w:sdtContent>
      </w:sdt>
      <w:r w:rsidR="007428CC" w:rsidRPr="00847B84">
        <w:rPr>
          <w:color w:val="000000"/>
        </w:rPr>
        <w:t xml:space="preserve"> </w:t>
      </w:r>
      <w:r w:rsidR="007428CC" w:rsidRPr="00847B84">
        <w:rPr>
          <w:i/>
          <w:color w:val="000000"/>
        </w:rPr>
        <w:t xml:space="preserve">Ramadan v. Malta, </w:t>
      </w:r>
      <w:r w:rsidR="007428CC" w:rsidRPr="00847B84">
        <w:rPr>
          <w:color w:val="000000"/>
        </w:rPr>
        <w:t>the E</w:t>
      </w:r>
      <w:r w:rsidR="006067C6" w:rsidRPr="00847B84">
        <w:rPr>
          <w:color w:val="000000"/>
        </w:rPr>
        <w:t>C</w:t>
      </w:r>
      <w:r w:rsidR="007428CC" w:rsidRPr="00847B84">
        <w:rPr>
          <w:color w:val="000000"/>
        </w:rPr>
        <w:t>HR found that the applicant was granted the opportunity to be heard through hearings and was able to challenge the decision, in compliance with the procedural safeguards concerning deprivation of nationality.</w:t>
      </w:r>
      <w:r w:rsidR="007428CC" w:rsidRPr="00847B84">
        <w:rPr>
          <w:color w:val="000000"/>
          <w:vertAlign w:val="superscript"/>
        </w:rPr>
        <w:footnoteReference w:id="131"/>
      </w:r>
      <w:r w:rsidR="007428CC" w:rsidRPr="00847B84">
        <w:rPr>
          <w:color w:val="000000"/>
        </w:rPr>
        <w:t xml:space="preserve"> Here, </w:t>
      </w:r>
      <w:proofErr w:type="spellStart"/>
      <w:r w:rsidR="007428CC" w:rsidRPr="00847B84">
        <w:rPr>
          <w:color w:val="000000"/>
        </w:rPr>
        <w:t>Remisia</w:t>
      </w:r>
      <w:proofErr w:type="spellEnd"/>
      <w:r w:rsidR="007428CC" w:rsidRPr="00847B84">
        <w:rPr>
          <w:color w:val="000000"/>
        </w:rPr>
        <w:t xml:space="preserve"> afforded the </w:t>
      </w:r>
      <w:proofErr w:type="spellStart"/>
      <w:r w:rsidR="007428CC" w:rsidRPr="00847B84">
        <w:rPr>
          <w:color w:val="000000"/>
        </w:rPr>
        <w:t>Sterren</w:t>
      </w:r>
      <w:proofErr w:type="spellEnd"/>
      <w:r w:rsidR="007428CC" w:rsidRPr="00847B84">
        <w:rPr>
          <w:color w:val="000000"/>
        </w:rPr>
        <w:t xml:space="preserve"> Forty the right to be heard by a court and an adequate opportunity to challenge their conviction</w:t>
      </w:r>
      <w:r w:rsidR="006067C6" w:rsidRPr="00847B84">
        <w:rPr>
          <w:color w:val="000000"/>
        </w:rPr>
        <w:t>,</w:t>
      </w:r>
      <w:r w:rsidR="007428CC" w:rsidRPr="00847B84">
        <w:rPr>
          <w:rStyle w:val="FootnoteReference"/>
        </w:rPr>
        <w:footnoteReference w:id="132"/>
      </w:r>
      <w:r w:rsidR="007428CC" w:rsidRPr="00847B84">
        <w:rPr>
          <w:color w:val="000000"/>
        </w:rPr>
        <w:t xml:space="preserve"> </w:t>
      </w:r>
      <w:r w:rsidR="006067C6" w:rsidRPr="00847B84">
        <w:rPr>
          <w:color w:val="000000"/>
        </w:rPr>
        <w:t>thus complying</w:t>
      </w:r>
      <w:r w:rsidR="007428CC" w:rsidRPr="00847B84">
        <w:rPr>
          <w:color w:val="000000"/>
        </w:rPr>
        <w:t xml:space="preserve"> with due process. </w:t>
      </w:r>
    </w:p>
    <w:p w14:paraId="1C2A8A14" w14:textId="18A5B391" w:rsidR="007428CC" w:rsidRPr="00847B84" w:rsidRDefault="007428CC" w:rsidP="007428CC">
      <w:pPr>
        <w:pStyle w:val="Heading3"/>
        <w:rPr>
          <w:lang w:val="en-US"/>
        </w:rPr>
      </w:pPr>
      <w:bookmarkStart w:id="60" w:name="_Toc156019732"/>
      <w:proofErr w:type="spellStart"/>
      <w:r w:rsidRPr="00847B84">
        <w:t>Remisia</w:t>
      </w:r>
      <w:proofErr w:type="spellEnd"/>
      <w:r w:rsidR="006067C6" w:rsidRPr="00847B84">
        <w:t xml:space="preserve"> did not act arbitrarily when it deprived the </w:t>
      </w:r>
      <w:proofErr w:type="spellStart"/>
      <w:r w:rsidR="006067C6" w:rsidRPr="00847B84">
        <w:t>Sterren</w:t>
      </w:r>
      <w:proofErr w:type="spellEnd"/>
      <w:r w:rsidR="006067C6" w:rsidRPr="00847B84">
        <w:t xml:space="preserve"> Forty of citizenship</w:t>
      </w:r>
      <w:r w:rsidRPr="00847B84">
        <w:t>.</w:t>
      </w:r>
      <w:bookmarkEnd w:id="60"/>
      <w:r w:rsidRPr="00847B84">
        <w:t xml:space="preserve">  </w:t>
      </w:r>
    </w:p>
    <w:p w14:paraId="26FFE3E1" w14:textId="7B231285" w:rsidR="007428CC" w:rsidRPr="00847B84" w:rsidRDefault="006067C6" w:rsidP="007428CC">
      <w:pPr>
        <w:ind w:firstLine="706"/>
        <w:rPr>
          <w:color w:val="000000"/>
        </w:rPr>
      </w:pPr>
      <w:r w:rsidRPr="00847B84">
        <w:rPr>
          <w:lang w:val="en-US"/>
        </w:rPr>
        <w:t>D</w:t>
      </w:r>
      <w:r w:rsidR="007428CC" w:rsidRPr="00847B84">
        <w:rPr>
          <w:lang w:val="en-US"/>
        </w:rPr>
        <w:t xml:space="preserve">eprivation of nationality </w:t>
      </w:r>
      <w:r w:rsidRPr="00847B84">
        <w:rPr>
          <w:lang w:val="en-US"/>
        </w:rPr>
        <w:t>is only arbitrary when</w:t>
      </w:r>
      <w:r w:rsidR="007428CC" w:rsidRPr="00847B84">
        <w:rPr>
          <w:color w:val="000000"/>
        </w:rPr>
        <w:t xml:space="preserve"> </w:t>
      </w:r>
      <w:r w:rsidRPr="00847B84">
        <w:rPr>
          <w:color w:val="000000"/>
        </w:rPr>
        <w:t>it is not in</w:t>
      </w:r>
      <w:r w:rsidR="007428CC" w:rsidRPr="00847B84">
        <w:rPr>
          <w:color w:val="000000"/>
        </w:rPr>
        <w:t xml:space="preserve"> accordance with law</w:t>
      </w:r>
      <w:r w:rsidRPr="00847B84">
        <w:rPr>
          <w:color w:val="000000"/>
        </w:rPr>
        <w:t>, un</w:t>
      </w:r>
      <w:r w:rsidR="007428CC" w:rsidRPr="00847B84">
        <w:rPr>
          <w:color w:val="000000"/>
        </w:rPr>
        <w:t xml:space="preserve">necessary and </w:t>
      </w:r>
      <w:r w:rsidRPr="00847B84">
        <w:rPr>
          <w:color w:val="000000"/>
        </w:rPr>
        <w:t>dis</w:t>
      </w:r>
      <w:r w:rsidR="007428CC" w:rsidRPr="00847B84">
        <w:rPr>
          <w:color w:val="000000"/>
        </w:rPr>
        <w:t>proportionate to achieve a legitimate aim</w:t>
      </w:r>
      <w:r w:rsidRPr="00847B84">
        <w:rPr>
          <w:color w:val="000000"/>
        </w:rPr>
        <w:t>,</w:t>
      </w:r>
      <w:r w:rsidR="007428CC" w:rsidRPr="00847B84">
        <w:rPr>
          <w:rStyle w:val="FootnoteReference"/>
        </w:rPr>
        <w:footnoteReference w:id="133"/>
      </w:r>
      <w:r w:rsidR="007428CC" w:rsidRPr="00847B84">
        <w:rPr>
          <w:color w:val="000000"/>
        </w:rPr>
        <w:t xml:space="preserve"> </w:t>
      </w:r>
      <w:r w:rsidRPr="00847B84">
        <w:rPr>
          <w:color w:val="000000"/>
        </w:rPr>
        <w:t>and done without</w:t>
      </w:r>
      <w:r w:rsidR="007428CC" w:rsidRPr="00847B84">
        <w:rPr>
          <w:color w:val="000000"/>
        </w:rPr>
        <w:t xml:space="preserve"> procedural safeguards</w:t>
      </w:r>
      <w:r w:rsidRPr="00847B84">
        <w:rPr>
          <w:color w:val="000000"/>
        </w:rPr>
        <w:t>.</w:t>
      </w:r>
      <w:r w:rsidRPr="00847B84">
        <w:rPr>
          <w:rStyle w:val="FootnoteReference"/>
          <w:color w:val="000000"/>
        </w:rPr>
        <w:footnoteReference w:id="134"/>
      </w:r>
      <w:r w:rsidR="007428CC" w:rsidRPr="00847B84">
        <w:rPr>
          <w:color w:val="000000"/>
        </w:rPr>
        <w:t xml:space="preserve"> State authorities </w:t>
      </w:r>
      <w:r w:rsidRPr="00847B84">
        <w:rPr>
          <w:color w:val="000000"/>
        </w:rPr>
        <w:t xml:space="preserve">do not act arbitrarily when they </w:t>
      </w:r>
      <w:r w:rsidR="007428CC" w:rsidRPr="00847B84">
        <w:rPr>
          <w:color w:val="000000"/>
        </w:rPr>
        <w:t>have acted swiftly and diligently.</w:t>
      </w:r>
      <w:r w:rsidR="007428CC" w:rsidRPr="00847B84">
        <w:rPr>
          <w:rStyle w:val="FootnoteReference"/>
        </w:rPr>
        <w:footnoteReference w:id="135"/>
      </w:r>
    </w:p>
    <w:p w14:paraId="41D5F492" w14:textId="25FDDE26" w:rsidR="007428CC" w:rsidRPr="00847B84" w:rsidRDefault="007428CC" w:rsidP="007428CC">
      <w:pPr>
        <w:ind w:firstLine="706"/>
      </w:pPr>
      <w:r w:rsidRPr="00847B84">
        <w:t xml:space="preserve">Here, </w:t>
      </w:r>
      <w:proofErr w:type="spellStart"/>
      <w:r w:rsidRPr="00847B84">
        <w:t>Remisia’s</w:t>
      </w:r>
      <w:proofErr w:type="spellEnd"/>
      <w:r w:rsidRPr="00847B84">
        <w:t xml:space="preserve"> deprivation of the </w:t>
      </w:r>
      <w:proofErr w:type="spellStart"/>
      <w:r w:rsidRPr="00847B84">
        <w:t>Sterren</w:t>
      </w:r>
      <w:proofErr w:type="spellEnd"/>
      <w:r w:rsidRPr="00847B84">
        <w:t xml:space="preserve"> Forty’s nationality was done in accordance with law and was necessary and proportionate to protect public order.</w:t>
      </w:r>
      <w:r w:rsidRPr="00847B84">
        <w:rPr>
          <w:rStyle w:val="FootnoteReference"/>
        </w:rPr>
        <w:footnoteReference w:id="136"/>
      </w:r>
      <w:r w:rsidRPr="00847B84">
        <w:t xml:space="preserve"> </w:t>
      </w:r>
      <w:proofErr w:type="spellStart"/>
      <w:r w:rsidRPr="00847B84">
        <w:t>Remisia</w:t>
      </w:r>
      <w:proofErr w:type="spellEnd"/>
      <w:r w:rsidRPr="00847B84">
        <w:t xml:space="preserve"> also afforded the </w:t>
      </w:r>
      <w:proofErr w:type="spellStart"/>
      <w:r w:rsidRPr="00847B84">
        <w:t>Sterren</w:t>
      </w:r>
      <w:proofErr w:type="spellEnd"/>
      <w:r w:rsidRPr="00847B84">
        <w:t xml:space="preserve"> Forty appropriate procedural safeguards.</w:t>
      </w:r>
      <w:r w:rsidRPr="00847B84">
        <w:rPr>
          <w:rStyle w:val="FootnoteReference"/>
        </w:rPr>
        <w:footnoteReference w:id="137"/>
      </w:r>
      <w:r w:rsidRPr="00847B84">
        <w:t xml:space="preserve"> Finally, the </w:t>
      </w:r>
      <w:proofErr w:type="spellStart"/>
      <w:r w:rsidRPr="00847B84">
        <w:t>Sterren</w:t>
      </w:r>
      <w:proofErr w:type="spellEnd"/>
      <w:r w:rsidRPr="00847B84">
        <w:t xml:space="preserve"> Forty’s case </w:t>
      </w:r>
      <w:r w:rsidR="00B02C85" w:rsidRPr="00847B84">
        <w:t xml:space="preserve">did not meet </w:t>
      </w:r>
      <w:r w:rsidR="00B02C85" w:rsidRPr="00847B84">
        <w:lastRenderedPageBreak/>
        <w:t>any</w:t>
      </w:r>
      <w:r w:rsidRPr="00847B84">
        <w:t xml:space="preserve"> unjust delay considering that their case was resolved in just a little over a year after their arrest. Such a span of time is well within international standards.</w:t>
      </w:r>
      <w:r w:rsidRPr="00847B84">
        <w:rPr>
          <w:rStyle w:val="FootnoteReference"/>
        </w:rPr>
        <w:footnoteReference w:id="138"/>
      </w:r>
      <w:r w:rsidRPr="00847B84">
        <w:t xml:space="preserve"> </w:t>
      </w:r>
    </w:p>
    <w:p w14:paraId="7DB3EA78" w14:textId="29918FDB" w:rsidR="005A62A6" w:rsidRPr="00847B84" w:rsidRDefault="00E02FCB" w:rsidP="002373ED">
      <w:pPr>
        <w:pStyle w:val="Heading2"/>
        <w:numPr>
          <w:ilvl w:val="0"/>
          <w:numId w:val="96"/>
        </w:numPr>
        <w:ind w:left="426" w:hanging="426"/>
      </w:pPr>
      <w:bookmarkStart w:id="61" w:name="_Toc156019733"/>
      <w:r w:rsidRPr="00847B84">
        <w:t>Antrano</w:t>
      </w:r>
      <w:r w:rsidR="005A62A6" w:rsidRPr="00847B84">
        <w:t xml:space="preserve"> violated international law </w:t>
      </w:r>
      <w:r w:rsidRPr="00847B84">
        <w:t>when it denied Saki Shaw, a Remisian citizen, access to Remisian consular representatives while she was held prisoner in Antrano.</w:t>
      </w:r>
      <w:bookmarkEnd w:id="61"/>
      <w:r w:rsidR="00A007DD" w:rsidRPr="00847B84">
        <w:t xml:space="preserve"> </w:t>
      </w:r>
    </w:p>
    <w:p w14:paraId="300C431D" w14:textId="1B99B291" w:rsidR="00C128A8" w:rsidRPr="00847B84" w:rsidRDefault="00C128A8" w:rsidP="00C128A8">
      <w:pPr>
        <w:ind w:firstLine="720"/>
        <w:rPr>
          <w:color w:val="000000" w:themeColor="text1"/>
        </w:rPr>
      </w:pPr>
      <w:r w:rsidRPr="00847B84">
        <w:rPr>
          <w:color w:val="000000" w:themeColor="text1"/>
        </w:rPr>
        <w:t>Article 36(1) of the Vienna Convention on Consular Relations [“</w:t>
      </w:r>
      <w:r w:rsidRPr="00847B84">
        <w:rPr>
          <w:b/>
          <w:color w:val="000000" w:themeColor="text1"/>
        </w:rPr>
        <w:t>VCCR</w:t>
      </w:r>
      <w:r w:rsidRPr="00847B84">
        <w:rPr>
          <w:color w:val="000000" w:themeColor="text1"/>
        </w:rPr>
        <w:t xml:space="preserve">”] guarantees that a sending State’s consular officers shall be free to communicate with, have access to, and visit detained nationals of the sending state. Saki Shaw acquired </w:t>
      </w:r>
      <w:proofErr w:type="spellStart"/>
      <w:r w:rsidRPr="00847B84">
        <w:rPr>
          <w:color w:val="000000" w:themeColor="text1"/>
        </w:rPr>
        <w:t>Remisian</w:t>
      </w:r>
      <w:proofErr w:type="spellEnd"/>
      <w:r w:rsidRPr="00847B84">
        <w:rPr>
          <w:color w:val="000000" w:themeColor="text1"/>
        </w:rPr>
        <w:t xml:space="preserve"> citizenship pursuant to </w:t>
      </w:r>
      <w:proofErr w:type="spellStart"/>
      <w:r w:rsidRPr="00847B84">
        <w:rPr>
          <w:color w:val="000000" w:themeColor="text1"/>
        </w:rPr>
        <w:t>Remisia’s</w:t>
      </w:r>
      <w:proofErr w:type="spellEnd"/>
      <w:r w:rsidRPr="00847B84">
        <w:rPr>
          <w:color w:val="000000" w:themeColor="text1"/>
        </w:rPr>
        <w:t xml:space="preserve"> Naturalization by Investment Program [“</w:t>
      </w:r>
      <w:r w:rsidRPr="00847B84">
        <w:rPr>
          <w:b/>
          <w:color w:val="000000" w:themeColor="text1"/>
        </w:rPr>
        <w:t>NIP</w:t>
      </w:r>
      <w:r w:rsidRPr="00847B84">
        <w:rPr>
          <w:color w:val="000000" w:themeColor="text1"/>
        </w:rPr>
        <w:t>”]</w:t>
      </w:r>
      <w:r w:rsidRPr="00847B84">
        <w:rPr>
          <w:rStyle w:val="FootnoteReference"/>
          <w:color w:val="000000" w:themeColor="text1"/>
        </w:rPr>
        <w:footnoteReference w:id="139"/>
      </w:r>
      <w:r w:rsidRPr="00847B84">
        <w:rPr>
          <w:color w:val="000000" w:themeColor="text1"/>
        </w:rPr>
        <w:t xml:space="preserve"> </w:t>
      </w:r>
      <w:r w:rsidR="00357405" w:rsidRPr="00847B84">
        <w:rPr>
          <w:color w:val="000000" w:themeColor="text1"/>
        </w:rPr>
        <w:t xml:space="preserve">prior to her detention in </w:t>
      </w:r>
      <w:proofErr w:type="spellStart"/>
      <w:r w:rsidR="00357405" w:rsidRPr="00847B84">
        <w:rPr>
          <w:color w:val="000000" w:themeColor="text1"/>
        </w:rPr>
        <w:t>Antrano</w:t>
      </w:r>
      <w:proofErr w:type="spellEnd"/>
      <w:r w:rsidR="00357405" w:rsidRPr="00847B84">
        <w:rPr>
          <w:color w:val="000000" w:themeColor="text1"/>
        </w:rPr>
        <w:t xml:space="preserve">. </w:t>
      </w:r>
      <w:r w:rsidRPr="00847B84">
        <w:rPr>
          <w:color w:val="000000" w:themeColor="text1"/>
        </w:rPr>
        <w:t xml:space="preserve">By denying </w:t>
      </w:r>
      <w:proofErr w:type="spellStart"/>
      <w:r w:rsidRPr="00847B84">
        <w:rPr>
          <w:color w:val="000000" w:themeColor="text1"/>
        </w:rPr>
        <w:t>Remisian</w:t>
      </w:r>
      <w:proofErr w:type="spellEnd"/>
      <w:r w:rsidRPr="00847B84">
        <w:rPr>
          <w:color w:val="000000" w:themeColor="text1"/>
        </w:rPr>
        <w:t xml:space="preserve"> consular representatives </w:t>
      </w:r>
      <w:r w:rsidR="00357405" w:rsidRPr="00847B84">
        <w:rPr>
          <w:color w:val="000000" w:themeColor="text1"/>
        </w:rPr>
        <w:t>access to Saki Shaw</w:t>
      </w:r>
      <w:r w:rsidRPr="00847B84">
        <w:rPr>
          <w:color w:val="000000" w:themeColor="text1"/>
        </w:rPr>
        <w:t xml:space="preserve">, </w:t>
      </w:r>
      <w:proofErr w:type="spellStart"/>
      <w:r w:rsidRPr="00847B84">
        <w:rPr>
          <w:color w:val="000000" w:themeColor="text1"/>
        </w:rPr>
        <w:t>Antrano</w:t>
      </w:r>
      <w:proofErr w:type="spellEnd"/>
      <w:r w:rsidRPr="00847B84">
        <w:rPr>
          <w:color w:val="000000" w:themeColor="text1"/>
        </w:rPr>
        <w:t xml:space="preserve"> violated international law.</w:t>
      </w:r>
    </w:p>
    <w:p w14:paraId="61776F26" w14:textId="77777777" w:rsidR="00C128A8" w:rsidRPr="00847B84" w:rsidRDefault="00C128A8" w:rsidP="00A86FB5">
      <w:pPr>
        <w:pStyle w:val="Heading3"/>
        <w:numPr>
          <w:ilvl w:val="0"/>
          <w:numId w:val="90"/>
        </w:numPr>
        <w:ind w:left="720"/>
      </w:pPr>
      <w:bookmarkStart w:id="62" w:name="_Toc156019734"/>
      <w:proofErr w:type="spellStart"/>
      <w:r w:rsidRPr="00847B84">
        <w:t>Antrano</w:t>
      </w:r>
      <w:proofErr w:type="spellEnd"/>
      <w:r w:rsidRPr="00847B84">
        <w:t xml:space="preserve"> violated </w:t>
      </w:r>
      <w:proofErr w:type="spellStart"/>
      <w:r w:rsidRPr="00847B84">
        <w:t>Remisia’s</w:t>
      </w:r>
      <w:proofErr w:type="spellEnd"/>
      <w:r w:rsidRPr="00847B84">
        <w:t xml:space="preserve"> rights under Article 36(1) of the VCCR.</w:t>
      </w:r>
      <w:bookmarkEnd w:id="62"/>
    </w:p>
    <w:p w14:paraId="3DEFE6D0" w14:textId="77777777" w:rsidR="00C128A8" w:rsidRPr="00847B84" w:rsidRDefault="00C128A8" w:rsidP="00A86FB5">
      <w:pPr>
        <w:pStyle w:val="Heading4"/>
        <w:numPr>
          <w:ilvl w:val="0"/>
          <w:numId w:val="91"/>
        </w:numPr>
        <w:ind w:left="1080"/>
      </w:pPr>
      <w:bookmarkStart w:id="63" w:name="_Toc156019735"/>
      <w:r w:rsidRPr="00847B84">
        <w:t>Article 36(1) of the VCCR applies with respect to the nationals of a sending State.</w:t>
      </w:r>
      <w:bookmarkEnd w:id="63"/>
    </w:p>
    <w:p w14:paraId="37768384" w14:textId="5A0A3FBA" w:rsidR="00C128A8" w:rsidRPr="00847B84" w:rsidRDefault="00C128A8" w:rsidP="00C128A8">
      <w:pPr>
        <w:ind w:firstLine="720"/>
        <w:rPr>
          <w:color w:val="000000" w:themeColor="text1"/>
        </w:rPr>
      </w:pPr>
      <w:proofErr w:type="spellStart"/>
      <w:r w:rsidRPr="00847B84">
        <w:rPr>
          <w:i/>
          <w:iCs/>
          <w:color w:val="000000" w:themeColor="text1"/>
        </w:rPr>
        <w:t>Avena</w:t>
      </w:r>
      <w:proofErr w:type="spellEnd"/>
      <w:r w:rsidR="00816D7C" w:rsidRPr="00847B84">
        <w:rPr>
          <w:i/>
          <w:iCs/>
          <w:color w:val="000000" w:themeColor="text1"/>
        </w:rPr>
        <w:t xml:space="preserve"> </w:t>
      </w:r>
      <w:r w:rsidRPr="00847B84">
        <w:rPr>
          <w:color w:val="000000" w:themeColor="text1"/>
        </w:rPr>
        <w:t>affirm that Article 36(1) of the VCCR applies to nationals of a sending State.</w:t>
      </w:r>
      <w:r w:rsidRPr="00847B84">
        <w:rPr>
          <w:rStyle w:val="FootnoteReference"/>
          <w:color w:val="000000" w:themeColor="text1"/>
        </w:rPr>
        <w:footnoteReference w:id="140"/>
      </w:r>
      <w:r w:rsidRPr="00847B84">
        <w:rPr>
          <w:color w:val="000000" w:themeColor="text1"/>
        </w:rPr>
        <w:t xml:space="preserve"> While </w:t>
      </w:r>
      <w:proofErr w:type="spellStart"/>
      <w:r w:rsidRPr="00847B84">
        <w:rPr>
          <w:color w:val="000000" w:themeColor="text1"/>
        </w:rPr>
        <w:t>Antrano</w:t>
      </w:r>
      <w:proofErr w:type="spellEnd"/>
      <w:r w:rsidRPr="00847B84">
        <w:rPr>
          <w:color w:val="000000" w:themeColor="text1"/>
        </w:rPr>
        <w:t xml:space="preserve"> may argue that it is not bound to recognize Saki Shaw’s </w:t>
      </w:r>
      <w:proofErr w:type="spellStart"/>
      <w:r w:rsidRPr="00847B84">
        <w:rPr>
          <w:color w:val="000000" w:themeColor="text1"/>
        </w:rPr>
        <w:t>Remisian</w:t>
      </w:r>
      <w:proofErr w:type="spellEnd"/>
      <w:r w:rsidRPr="00847B84">
        <w:rPr>
          <w:color w:val="000000" w:themeColor="text1"/>
        </w:rPr>
        <w:t xml:space="preserve"> citizenship, this argument cannot be sustained.</w:t>
      </w:r>
    </w:p>
    <w:p w14:paraId="58A04381" w14:textId="4218FA2C" w:rsidR="00C128A8" w:rsidRPr="00847B84" w:rsidRDefault="00080594" w:rsidP="00C128A8">
      <w:pPr>
        <w:ind w:firstLine="720"/>
        <w:rPr>
          <w:color w:val="000000" w:themeColor="text1"/>
        </w:rPr>
      </w:pPr>
      <w:r w:rsidRPr="00847B84">
        <w:t xml:space="preserve">Pursuant to its sovereignty, </w:t>
      </w:r>
      <w:proofErr w:type="spellStart"/>
      <w:r w:rsidRPr="00847B84">
        <w:t>Remisia</w:t>
      </w:r>
      <w:proofErr w:type="spellEnd"/>
      <w:r w:rsidRPr="00847B84">
        <w:t xml:space="preserve"> has the absolute discretion to </w:t>
      </w:r>
      <w:r w:rsidRPr="00847B84">
        <w:rPr>
          <w:i/>
          <w:iCs/>
        </w:rPr>
        <w:t>grant</w:t>
      </w:r>
      <w:r w:rsidRPr="00847B84">
        <w:t xml:space="preserve"> nationality to individuals.</w:t>
      </w:r>
      <w:r w:rsidRPr="00847B84">
        <w:rPr>
          <w:rStyle w:val="FootnoteReference"/>
        </w:rPr>
        <w:footnoteReference w:id="141"/>
      </w:r>
      <w:r w:rsidRPr="00847B84">
        <w:t xml:space="preserve"> </w:t>
      </w:r>
      <w:r w:rsidR="001C1725" w:rsidRPr="00847B84">
        <w:t>Such grant is entitled to</w:t>
      </w:r>
      <w:r w:rsidR="00C128A8" w:rsidRPr="00847B84">
        <w:rPr>
          <w:color w:val="000000" w:themeColor="text1"/>
        </w:rPr>
        <w:t xml:space="preserve"> </w:t>
      </w:r>
      <w:r w:rsidR="001C1725" w:rsidRPr="00847B84">
        <w:rPr>
          <w:i/>
          <w:iCs/>
          <w:color w:val="000000" w:themeColor="text1"/>
        </w:rPr>
        <w:t>recognition</w:t>
      </w:r>
      <w:r w:rsidR="00C128A8" w:rsidRPr="00847B84">
        <w:rPr>
          <w:color w:val="000000" w:themeColor="text1"/>
        </w:rPr>
        <w:t xml:space="preserve"> </w:t>
      </w:r>
      <w:r w:rsidR="001C1725" w:rsidRPr="00847B84">
        <w:rPr>
          <w:color w:val="000000" w:themeColor="text1"/>
        </w:rPr>
        <w:t>by other</w:t>
      </w:r>
      <w:r w:rsidRPr="00847B84">
        <w:rPr>
          <w:color w:val="000000" w:themeColor="text1"/>
        </w:rPr>
        <w:t xml:space="preserve"> </w:t>
      </w:r>
      <w:r w:rsidR="00C128A8" w:rsidRPr="00847B84">
        <w:rPr>
          <w:color w:val="000000" w:themeColor="text1"/>
        </w:rPr>
        <w:t>State</w:t>
      </w:r>
      <w:r w:rsidR="001C1725" w:rsidRPr="00847B84">
        <w:rPr>
          <w:color w:val="000000" w:themeColor="text1"/>
        </w:rPr>
        <w:t>s</w:t>
      </w:r>
      <w:r w:rsidR="00C128A8" w:rsidRPr="00847B84">
        <w:rPr>
          <w:color w:val="000000" w:themeColor="text1"/>
        </w:rPr>
        <w:t xml:space="preserve"> insofar as the </w:t>
      </w:r>
      <w:r w:rsidR="001C1725" w:rsidRPr="00847B84">
        <w:rPr>
          <w:color w:val="000000" w:themeColor="text1"/>
        </w:rPr>
        <w:t>grant</w:t>
      </w:r>
      <w:r w:rsidR="00C128A8" w:rsidRPr="00847B84">
        <w:rPr>
          <w:color w:val="000000" w:themeColor="text1"/>
        </w:rPr>
        <w:t xml:space="preserve"> is consistent with general principles of law relating to nationality and international custom.</w:t>
      </w:r>
      <w:r w:rsidR="00C128A8" w:rsidRPr="00847B84">
        <w:rPr>
          <w:rStyle w:val="FootnoteReference"/>
          <w:color w:val="000000" w:themeColor="text1"/>
        </w:rPr>
        <w:footnoteReference w:id="142"/>
      </w:r>
      <w:r w:rsidR="00C128A8" w:rsidRPr="00847B84">
        <w:rPr>
          <w:color w:val="000000" w:themeColor="text1"/>
        </w:rPr>
        <w:t xml:space="preserve"> This obligation </w:t>
      </w:r>
      <w:r w:rsidR="001C1725" w:rsidRPr="00847B84">
        <w:rPr>
          <w:color w:val="000000" w:themeColor="text1"/>
        </w:rPr>
        <w:t xml:space="preserve">to recognize a person’s citizenship </w:t>
      </w:r>
      <w:r w:rsidR="00C128A8" w:rsidRPr="00847B84">
        <w:rPr>
          <w:color w:val="000000" w:themeColor="text1"/>
        </w:rPr>
        <w:t>is customary</w:t>
      </w:r>
      <w:r w:rsidR="00897BE1" w:rsidRPr="00847B84">
        <w:rPr>
          <w:color w:val="000000" w:themeColor="text1"/>
        </w:rPr>
        <w:t>,</w:t>
      </w:r>
      <w:r w:rsidR="00C128A8" w:rsidRPr="00847B84">
        <w:rPr>
          <w:color w:val="000000" w:themeColor="text1"/>
        </w:rPr>
        <w:t xml:space="preserve"> as affirmed by the commonality of language in </w:t>
      </w:r>
      <w:r w:rsidR="00C128A8" w:rsidRPr="00847B84">
        <w:rPr>
          <w:color w:val="000000" w:themeColor="text1"/>
        </w:rPr>
        <w:lastRenderedPageBreak/>
        <w:t>the 1930 Hague Convention</w:t>
      </w:r>
      <w:r w:rsidR="00C128A8" w:rsidRPr="00847B84">
        <w:rPr>
          <w:rStyle w:val="FootnoteReference"/>
          <w:color w:val="000000" w:themeColor="text1"/>
        </w:rPr>
        <w:footnoteReference w:id="143"/>
      </w:r>
      <w:r w:rsidR="00C128A8" w:rsidRPr="00847B84">
        <w:rPr>
          <w:color w:val="000000" w:themeColor="text1"/>
        </w:rPr>
        <w:t xml:space="preserve"> and European Convention on Nationality</w:t>
      </w:r>
      <w:r w:rsidR="00CC25A1" w:rsidRPr="00847B84">
        <w:rPr>
          <w:color w:val="000000" w:themeColor="text1"/>
        </w:rPr>
        <w:t>,</w:t>
      </w:r>
      <w:r w:rsidR="00C128A8" w:rsidRPr="00847B84">
        <w:rPr>
          <w:rStyle w:val="FootnoteReference"/>
          <w:color w:val="000000" w:themeColor="text1"/>
        </w:rPr>
        <w:footnoteReference w:id="144"/>
      </w:r>
      <w:r w:rsidR="00C128A8" w:rsidRPr="00847B84">
        <w:rPr>
          <w:color w:val="000000" w:themeColor="text1"/>
        </w:rPr>
        <w:t xml:space="preserve"> their ratification by States,</w:t>
      </w:r>
      <w:r w:rsidR="00C128A8" w:rsidRPr="00847B84">
        <w:rPr>
          <w:rStyle w:val="FootnoteReference"/>
          <w:color w:val="000000" w:themeColor="text1"/>
        </w:rPr>
        <w:footnoteReference w:id="145"/>
      </w:r>
      <w:r w:rsidR="00C128A8" w:rsidRPr="00847B84">
        <w:rPr>
          <w:color w:val="000000" w:themeColor="text1"/>
        </w:rPr>
        <w:t xml:space="preserve"> as well as the ILC’s Draft Articles on Diplomatic Protection</w:t>
      </w:r>
      <w:r w:rsidR="00C128A8" w:rsidRPr="00847B84">
        <w:rPr>
          <w:rStyle w:val="FootnoteReference"/>
          <w:color w:val="000000" w:themeColor="text1"/>
        </w:rPr>
        <w:footnoteReference w:id="146"/>
      </w:r>
      <w:r w:rsidR="00C128A8" w:rsidRPr="00847B84">
        <w:rPr>
          <w:color w:val="000000" w:themeColor="text1"/>
        </w:rPr>
        <w:t xml:space="preserve"> and decisions of this Court.</w:t>
      </w:r>
      <w:r w:rsidR="00C128A8" w:rsidRPr="00847B84">
        <w:rPr>
          <w:rStyle w:val="FootnoteReference"/>
          <w:color w:val="000000" w:themeColor="text1"/>
        </w:rPr>
        <w:footnoteReference w:id="147"/>
      </w:r>
      <w:r w:rsidR="00C128A8" w:rsidRPr="00847B84">
        <w:rPr>
          <w:color w:val="000000" w:themeColor="text1"/>
        </w:rPr>
        <w:t xml:space="preserve"> </w:t>
      </w:r>
    </w:p>
    <w:p w14:paraId="174AA2ED" w14:textId="77777777" w:rsidR="00C128A8" w:rsidRPr="00847B84" w:rsidRDefault="00C128A8" w:rsidP="00C128A8">
      <w:pPr>
        <w:ind w:firstLine="720"/>
        <w:rPr>
          <w:color w:val="000000" w:themeColor="text1"/>
        </w:rPr>
      </w:pPr>
      <w:r w:rsidRPr="00847B84">
        <w:rPr>
          <w:color w:val="000000" w:themeColor="text1"/>
        </w:rPr>
        <w:t xml:space="preserve">Here, </w:t>
      </w:r>
      <w:proofErr w:type="spellStart"/>
      <w:r w:rsidRPr="00847B84">
        <w:rPr>
          <w:color w:val="000000" w:themeColor="text1"/>
        </w:rPr>
        <w:t>Antrano</w:t>
      </w:r>
      <w:proofErr w:type="spellEnd"/>
      <w:r w:rsidRPr="00847B84">
        <w:rPr>
          <w:color w:val="000000" w:themeColor="text1"/>
        </w:rPr>
        <w:t xml:space="preserve"> is bound to recognize </w:t>
      </w:r>
      <w:proofErr w:type="spellStart"/>
      <w:r w:rsidRPr="00847B84">
        <w:rPr>
          <w:color w:val="000000" w:themeColor="text1"/>
        </w:rPr>
        <w:t>Remisia’s</w:t>
      </w:r>
      <w:proofErr w:type="spellEnd"/>
      <w:r w:rsidRPr="00847B84">
        <w:rPr>
          <w:color w:val="000000" w:themeColor="text1"/>
        </w:rPr>
        <w:t xml:space="preserve"> grant of citizenship to Saki Shaw as the same is consistent with [</w:t>
      </w:r>
      <w:r w:rsidRPr="00847B84">
        <w:rPr>
          <w:b/>
          <w:bCs/>
          <w:color w:val="000000" w:themeColor="text1"/>
        </w:rPr>
        <w:t>a</w:t>
      </w:r>
      <w:r w:rsidRPr="00847B84">
        <w:rPr>
          <w:color w:val="000000" w:themeColor="text1"/>
        </w:rPr>
        <w:t>] general principles of law relating to nationality and [</w:t>
      </w:r>
      <w:r w:rsidRPr="00847B84">
        <w:rPr>
          <w:b/>
          <w:bCs/>
          <w:color w:val="000000" w:themeColor="text1"/>
        </w:rPr>
        <w:t>b</w:t>
      </w:r>
      <w:r w:rsidRPr="00847B84">
        <w:rPr>
          <w:color w:val="000000" w:themeColor="text1"/>
        </w:rPr>
        <w:t>] custom.</w:t>
      </w:r>
    </w:p>
    <w:p w14:paraId="255929A1" w14:textId="203ECE31" w:rsidR="00C128A8" w:rsidRPr="00847B84" w:rsidRDefault="00C128A8" w:rsidP="00A86FB5">
      <w:pPr>
        <w:pStyle w:val="Heading5"/>
        <w:numPr>
          <w:ilvl w:val="0"/>
          <w:numId w:val="92"/>
        </w:numPr>
        <w:ind w:left="1440"/>
      </w:pPr>
      <w:bookmarkStart w:id="64" w:name="_Toc156019736"/>
      <w:proofErr w:type="spellStart"/>
      <w:r w:rsidRPr="00847B84">
        <w:t>Antrano</w:t>
      </w:r>
      <w:proofErr w:type="spellEnd"/>
      <w:r w:rsidRPr="00847B84">
        <w:t xml:space="preserve"> is </w:t>
      </w:r>
      <w:r w:rsidR="00CC25A1" w:rsidRPr="00847B84">
        <w:t xml:space="preserve">obliged </w:t>
      </w:r>
      <w:r w:rsidRPr="00847B84">
        <w:t xml:space="preserve">to recognize </w:t>
      </w:r>
      <w:proofErr w:type="spellStart"/>
      <w:r w:rsidRPr="00847B84">
        <w:t>Remisia’s</w:t>
      </w:r>
      <w:proofErr w:type="spellEnd"/>
      <w:r w:rsidRPr="00847B84">
        <w:t xml:space="preserve"> grant of citizenship to Saki Shaw as the grant is consistent with the general principles of law relating to nationality.</w:t>
      </w:r>
      <w:bookmarkEnd w:id="64"/>
    </w:p>
    <w:p w14:paraId="2AEA5511" w14:textId="3392B2AB" w:rsidR="003F2B9E" w:rsidRPr="00847B84" w:rsidRDefault="003F2B9E" w:rsidP="000E4258">
      <w:pPr>
        <w:pBdr>
          <w:top w:val="nil"/>
          <w:left w:val="nil"/>
          <w:bottom w:val="nil"/>
          <w:right w:val="nil"/>
          <w:between w:val="nil"/>
        </w:pBdr>
        <w:ind w:firstLine="720"/>
        <w:rPr>
          <w:b/>
          <w:color w:val="000000"/>
        </w:rPr>
      </w:pPr>
      <w:r w:rsidRPr="00847B84">
        <w:rPr>
          <w:bCs/>
          <w:i/>
          <w:iCs/>
          <w:color w:val="000000" w:themeColor="text1"/>
        </w:rPr>
        <w:t xml:space="preserve">Jus sanguinis </w:t>
      </w:r>
      <w:r w:rsidRPr="00847B84">
        <w:rPr>
          <w:bCs/>
          <w:color w:val="000000" w:themeColor="text1"/>
        </w:rPr>
        <w:t xml:space="preserve">and </w:t>
      </w:r>
      <w:r w:rsidRPr="00847B84">
        <w:rPr>
          <w:bCs/>
          <w:i/>
          <w:iCs/>
          <w:color w:val="000000" w:themeColor="text1"/>
        </w:rPr>
        <w:t xml:space="preserve">jus soli </w:t>
      </w:r>
      <w:r w:rsidRPr="00847B84">
        <w:rPr>
          <w:bCs/>
          <w:color w:val="000000" w:themeColor="text1"/>
        </w:rPr>
        <w:t>are not the only common modes of acquiring nationality.</w:t>
      </w:r>
      <w:r w:rsidRPr="00847B84">
        <w:rPr>
          <w:rStyle w:val="FootnoteReference"/>
          <w:color w:val="000000" w:themeColor="text1"/>
        </w:rPr>
        <w:footnoteReference w:id="148"/>
      </w:r>
      <w:r w:rsidRPr="00847B84">
        <w:rPr>
          <w:bCs/>
          <w:color w:val="000000" w:themeColor="text1"/>
        </w:rPr>
        <w:t xml:space="preserve"> The wide practice of States demonstrates the grant of nationality based on other grounds.</w:t>
      </w:r>
      <w:r w:rsidRPr="00847B84">
        <w:rPr>
          <w:rStyle w:val="FootnoteReference"/>
          <w:color w:val="000000" w:themeColor="text1"/>
        </w:rPr>
        <w:footnoteReference w:id="149"/>
      </w:r>
      <w:r w:rsidRPr="00847B84">
        <w:rPr>
          <w:color w:val="000000" w:themeColor="text1"/>
        </w:rPr>
        <w:t xml:space="preserve"> In fact, 170 States allow the naturalization of aliens as long as they comply with requirements established under domestic law.</w:t>
      </w:r>
      <w:r w:rsidRPr="00847B84">
        <w:rPr>
          <w:rStyle w:val="FootnoteReference"/>
          <w:color w:val="000000" w:themeColor="text1"/>
        </w:rPr>
        <w:footnoteReference w:id="150"/>
      </w:r>
    </w:p>
    <w:p w14:paraId="297EFC90" w14:textId="0C4B3455" w:rsidR="00C128A8" w:rsidRPr="00847B84" w:rsidRDefault="003F2B9E" w:rsidP="003F2B9E">
      <w:pPr>
        <w:pBdr>
          <w:top w:val="nil"/>
          <w:left w:val="nil"/>
          <w:bottom w:val="nil"/>
          <w:right w:val="nil"/>
          <w:between w:val="nil"/>
        </w:pBdr>
        <w:ind w:firstLine="720"/>
        <w:rPr>
          <w:bCs/>
          <w:color w:val="000000" w:themeColor="text1"/>
        </w:rPr>
      </w:pPr>
      <w:r w:rsidRPr="00847B84">
        <w:rPr>
          <w:color w:val="000000" w:themeColor="text1"/>
        </w:rPr>
        <w:t xml:space="preserve">That Saki Shaw was naturalized </w:t>
      </w:r>
      <w:r w:rsidR="00080594" w:rsidRPr="00847B84">
        <w:rPr>
          <w:color w:val="000000" w:themeColor="text1"/>
        </w:rPr>
        <w:t xml:space="preserve">in </w:t>
      </w:r>
      <w:proofErr w:type="spellStart"/>
      <w:r w:rsidR="00080594" w:rsidRPr="00847B84">
        <w:rPr>
          <w:color w:val="000000" w:themeColor="text1"/>
        </w:rPr>
        <w:t>Remisia</w:t>
      </w:r>
      <w:proofErr w:type="spellEnd"/>
      <w:r w:rsidRPr="00847B84">
        <w:rPr>
          <w:color w:val="000000" w:themeColor="text1"/>
        </w:rPr>
        <w:t xml:space="preserve"> primarily by virtue of her contribution to </w:t>
      </w:r>
      <w:r w:rsidR="00080594" w:rsidRPr="00847B84">
        <w:rPr>
          <w:color w:val="000000" w:themeColor="text1"/>
        </w:rPr>
        <w:t>the State’s</w:t>
      </w:r>
      <w:r w:rsidRPr="00847B84">
        <w:rPr>
          <w:color w:val="000000" w:themeColor="text1"/>
        </w:rPr>
        <w:t xml:space="preserve"> development fund</w:t>
      </w:r>
      <w:r w:rsidRPr="00847B84">
        <w:rPr>
          <w:rStyle w:val="FootnoteReference"/>
          <w:color w:val="000000" w:themeColor="text1"/>
        </w:rPr>
        <w:footnoteReference w:id="151"/>
      </w:r>
      <w:r w:rsidRPr="00847B84">
        <w:rPr>
          <w:color w:val="000000" w:themeColor="text1"/>
        </w:rPr>
        <w:t xml:space="preserve"> does not make her citizenship </w:t>
      </w:r>
      <w:r w:rsidR="00080594" w:rsidRPr="00847B84">
        <w:rPr>
          <w:color w:val="000000" w:themeColor="text1"/>
        </w:rPr>
        <w:t>any less entitled to recognition by other States. C</w:t>
      </w:r>
      <w:r w:rsidR="00C128A8" w:rsidRPr="00847B84">
        <w:rPr>
          <w:color w:val="000000" w:themeColor="text1"/>
        </w:rPr>
        <w:t xml:space="preserve">itizenship by investment or </w:t>
      </w:r>
      <w:r w:rsidR="00C128A8" w:rsidRPr="00847B84">
        <w:rPr>
          <w:i/>
          <w:iCs/>
          <w:color w:val="000000" w:themeColor="text1"/>
        </w:rPr>
        <w:t xml:space="preserve">jus </w:t>
      </w:r>
      <w:proofErr w:type="spellStart"/>
      <w:r w:rsidR="00C128A8" w:rsidRPr="00847B84">
        <w:rPr>
          <w:i/>
          <w:iCs/>
          <w:color w:val="000000" w:themeColor="text1"/>
        </w:rPr>
        <w:t>doni</w:t>
      </w:r>
      <w:proofErr w:type="spellEnd"/>
      <w:r w:rsidR="00C128A8" w:rsidRPr="00847B84">
        <w:rPr>
          <w:i/>
          <w:iCs/>
          <w:color w:val="000000" w:themeColor="text1"/>
        </w:rPr>
        <w:t xml:space="preserve"> </w:t>
      </w:r>
      <w:r w:rsidR="00C128A8" w:rsidRPr="00847B84">
        <w:rPr>
          <w:color w:val="000000" w:themeColor="text1"/>
        </w:rPr>
        <w:t xml:space="preserve">is a </w:t>
      </w:r>
      <w:r w:rsidR="001C1725" w:rsidRPr="00847B84">
        <w:rPr>
          <w:color w:val="000000" w:themeColor="text1"/>
        </w:rPr>
        <w:t xml:space="preserve">common </w:t>
      </w:r>
      <w:r w:rsidR="00C128A8" w:rsidRPr="00847B84">
        <w:rPr>
          <w:color w:val="000000" w:themeColor="text1"/>
        </w:rPr>
        <w:t xml:space="preserve">mode of conferring nationality upon individuals for their investment or economic contribution to </w:t>
      </w:r>
      <w:r w:rsidR="008B3738" w:rsidRPr="00847B84">
        <w:rPr>
          <w:color w:val="000000" w:themeColor="text1"/>
        </w:rPr>
        <w:t>the country</w:t>
      </w:r>
      <w:r w:rsidR="00C128A8" w:rsidRPr="00847B84">
        <w:rPr>
          <w:color w:val="000000" w:themeColor="text1"/>
        </w:rPr>
        <w:t>.</w:t>
      </w:r>
      <w:r w:rsidR="00C128A8" w:rsidRPr="00847B84">
        <w:rPr>
          <w:rStyle w:val="FootnoteReference"/>
          <w:color w:val="000000" w:themeColor="text1"/>
        </w:rPr>
        <w:footnoteReference w:id="152"/>
      </w:r>
      <w:r w:rsidR="00C128A8" w:rsidRPr="00847B84">
        <w:rPr>
          <w:color w:val="000000" w:themeColor="text1"/>
        </w:rPr>
        <w:t xml:space="preserve"> </w:t>
      </w:r>
      <w:r w:rsidR="00C128A8" w:rsidRPr="00847B84">
        <w:rPr>
          <w:i/>
          <w:iCs/>
          <w:color w:val="000000" w:themeColor="text1"/>
        </w:rPr>
        <w:t xml:space="preserve">Jus </w:t>
      </w:r>
      <w:proofErr w:type="spellStart"/>
      <w:r w:rsidR="00C128A8" w:rsidRPr="00847B84">
        <w:rPr>
          <w:i/>
          <w:iCs/>
          <w:color w:val="000000" w:themeColor="text1"/>
        </w:rPr>
        <w:t>doni</w:t>
      </w:r>
      <w:proofErr w:type="spellEnd"/>
      <w:r w:rsidR="00C128A8" w:rsidRPr="00847B84">
        <w:rPr>
          <w:color w:val="000000" w:themeColor="text1"/>
        </w:rPr>
        <w:t xml:space="preserve"> is </w:t>
      </w:r>
      <w:r w:rsidR="00CC25A1" w:rsidRPr="00847B84">
        <w:rPr>
          <w:color w:val="000000" w:themeColor="text1"/>
        </w:rPr>
        <w:t>recognized</w:t>
      </w:r>
      <w:r w:rsidR="00C128A8" w:rsidRPr="00847B84">
        <w:rPr>
          <w:color w:val="000000" w:themeColor="text1"/>
        </w:rPr>
        <w:t xml:space="preserve"> </w:t>
      </w:r>
      <w:r w:rsidR="00C128A8" w:rsidRPr="00847B84">
        <w:rPr>
          <w:color w:val="000000" w:themeColor="text1"/>
        </w:rPr>
        <w:lastRenderedPageBreak/>
        <w:t>in both common law</w:t>
      </w:r>
      <w:r w:rsidR="00C128A8" w:rsidRPr="00847B84">
        <w:rPr>
          <w:rStyle w:val="FootnoteReference"/>
          <w:color w:val="000000" w:themeColor="text1"/>
        </w:rPr>
        <w:footnoteReference w:id="153"/>
      </w:r>
      <w:r w:rsidR="00C128A8" w:rsidRPr="00847B84">
        <w:rPr>
          <w:color w:val="000000" w:themeColor="text1"/>
        </w:rPr>
        <w:t xml:space="preserve"> and civil law</w:t>
      </w:r>
      <w:r w:rsidR="00C128A8" w:rsidRPr="00847B84">
        <w:rPr>
          <w:rStyle w:val="FootnoteReference"/>
          <w:color w:val="000000" w:themeColor="text1"/>
        </w:rPr>
        <w:footnoteReference w:id="154"/>
      </w:r>
      <w:r w:rsidR="00C128A8" w:rsidRPr="00847B84">
        <w:rPr>
          <w:color w:val="000000" w:themeColor="text1"/>
        </w:rPr>
        <w:t xml:space="preserve"> jurisdictions</w:t>
      </w:r>
      <w:r w:rsidR="00CC25A1" w:rsidRPr="00847B84">
        <w:rPr>
          <w:color w:val="000000" w:themeColor="text1"/>
        </w:rPr>
        <w:t xml:space="preserve"> and thus constitutes a general principle of law</w:t>
      </w:r>
      <w:r w:rsidR="00C128A8" w:rsidRPr="00847B84">
        <w:rPr>
          <w:color w:val="000000" w:themeColor="text1"/>
        </w:rPr>
        <w:t>. While it requires substantial investment</w:t>
      </w:r>
      <w:r w:rsidR="008B3738" w:rsidRPr="00847B84">
        <w:rPr>
          <w:color w:val="000000" w:themeColor="text1"/>
        </w:rPr>
        <w:t xml:space="preserve"> from an individual</w:t>
      </w:r>
      <w:r w:rsidR="00C128A8" w:rsidRPr="00847B84">
        <w:rPr>
          <w:color w:val="000000" w:themeColor="text1"/>
        </w:rPr>
        <w:t xml:space="preserve"> to the development fund of a particular State, it does not require habitual residence.</w:t>
      </w:r>
      <w:bookmarkStart w:id="65" w:name="_Ref156018886"/>
      <w:r w:rsidR="00C128A8" w:rsidRPr="00847B84">
        <w:rPr>
          <w:color w:val="000000"/>
          <w:vertAlign w:val="superscript"/>
        </w:rPr>
        <w:footnoteReference w:id="155"/>
      </w:r>
      <w:bookmarkEnd w:id="65"/>
      <w:r w:rsidR="00C128A8" w:rsidRPr="00847B84">
        <w:rPr>
          <w:color w:val="000000" w:themeColor="text1"/>
        </w:rPr>
        <w:t xml:space="preserve"> </w:t>
      </w:r>
      <w:r w:rsidRPr="00847B84">
        <w:rPr>
          <w:color w:val="000000" w:themeColor="text1"/>
        </w:rPr>
        <w:t>This is not unusual</w:t>
      </w:r>
      <w:r w:rsidR="001C1725" w:rsidRPr="00847B84">
        <w:rPr>
          <w:color w:val="000000" w:themeColor="text1"/>
        </w:rPr>
        <w:t xml:space="preserve"> – </w:t>
      </w:r>
      <w:r w:rsidRPr="00847B84">
        <w:rPr>
          <w:color w:val="000000" w:themeColor="text1"/>
        </w:rPr>
        <w:t>as observed by the tribunal i</w:t>
      </w:r>
      <w:r w:rsidR="00C128A8" w:rsidRPr="00847B84">
        <w:rPr>
          <w:color w:val="000000" w:themeColor="text1"/>
        </w:rPr>
        <w:t xml:space="preserve">n </w:t>
      </w:r>
      <w:proofErr w:type="spellStart"/>
      <w:r w:rsidR="00C128A8" w:rsidRPr="00847B84">
        <w:rPr>
          <w:i/>
          <w:iCs/>
          <w:color w:val="000000" w:themeColor="text1"/>
        </w:rPr>
        <w:t>Soufraki</w:t>
      </w:r>
      <w:proofErr w:type="spellEnd"/>
      <w:r w:rsidR="00C128A8" w:rsidRPr="00847B84">
        <w:rPr>
          <w:i/>
          <w:iCs/>
          <w:color w:val="000000" w:themeColor="text1"/>
        </w:rPr>
        <w:t xml:space="preserve"> v. </w:t>
      </w:r>
      <w:r w:rsidR="00C128A8" w:rsidRPr="00847B84">
        <w:rPr>
          <w:bCs/>
          <w:i/>
          <w:color w:val="000000"/>
        </w:rPr>
        <w:t>United Arab Emirates</w:t>
      </w:r>
      <w:r w:rsidR="00D60F97" w:rsidRPr="00847B84">
        <w:rPr>
          <w:color w:val="000000"/>
        </w:rPr>
        <w:t xml:space="preserve"> because</w:t>
      </w:r>
      <w:r w:rsidR="00C128A8" w:rsidRPr="00847B84">
        <w:rPr>
          <w:color w:val="000000"/>
        </w:rPr>
        <w:t xml:space="preserve"> it is difficult for someone with multiple business interests to construct actual residence, especially for a considerable period of time.</w:t>
      </w:r>
      <w:r w:rsidR="00C128A8" w:rsidRPr="00847B84">
        <w:rPr>
          <w:color w:val="000000"/>
          <w:vertAlign w:val="superscript"/>
        </w:rPr>
        <w:footnoteReference w:id="156"/>
      </w:r>
    </w:p>
    <w:p w14:paraId="07ABDA29" w14:textId="75AFD7FD" w:rsidR="00C128A8" w:rsidRPr="00847B84" w:rsidRDefault="00080594" w:rsidP="00C128A8">
      <w:pPr>
        <w:ind w:firstLine="720"/>
        <w:rPr>
          <w:color w:val="000000" w:themeColor="text1"/>
        </w:rPr>
      </w:pPr>
      <w:r w:rsidRPr="00847B84">
        <w:rPr>
          <w:color w:val="000000"/>
        </w:rPr>
        <w:t xml:space="preserve">As </w:t>
      </w:r>
      <w:r w:rsidRPr="00847B84">
        <w:rPr>
          <w:i/>
          <w:iCs/>
          <w:color w:val="000000"/>
        </w:rPr>
        <w:t xml:space="preserve">jus </w:t>
      </w:r>
      <w:proofErr w:type="spellStart"/>
      <w:r w:rsidRPr="00847B84">
        <w:rPr>
          <w:i/>
          <w:iCs/>
          <w:color w:val="000000"/>
        </w:rPr>
        <w:t>doni</w:t>
      </w:r>
      <w:proofErr w:type="spellEnd"/>
      <w:r w:rsidR="003F2B9E" w:rsidRPr="00847B84">
        <w:rPr>
          <w:color w:val="000000" w:themeColor="text1"/>
        </w:rPr>
        <w:t xml:space="preserve"> </w:t>
      </w:r>
      <w:r w:rsidRPr="00847B84">
        <w:rPr>
          <w:color w:val="000000" w:themeColor="text1"/>
        </w:rPr>
        <w:t>is a</w:t>
      </w:r>
      <w:r w:rsidR="00C128A8" w:rsidRPr="00847B84">
        <w:rPr>
          <w:color w:val="000000" w:themeColor="text1"/>
        </w:rPr>
        <w:t xml:space="preserve"> general principle</w:t>
      </w:r>
      <w:r w:rsidRPr="00847B84">
        <w:rPr>
          <w:color w:val="000000" w:themeColor="text1"/>
        </w:rPr>
        <w:t xml:space="preserve"> of law</w:t>
      </w:r>
      <w:r w:rsidR="00C128A8" w:rsidRPr="00847B84">
        <w:rPr>
          <w:color w:val="000000" w:themeColor="text1"/>
        </w:rPr>
        <w:t xml:space="preserve"> relating to nationality</w:t>
      </w:r>
      <w:r w:rsidRPr="00847B84">
        <w:rPr>
          <w:color w:val="000000" w:themeColor="text1"/>
        </w:rPr>
        <w:t xml:space="preserve">, </w:t>
      </w:r>
      <w:proofErr w:type="spellStart"/>
      <w:r w:rsidRPr="00847B84">
        <w:rPr>
          <w:color w:val="000000" w:themeColor="text1"/>
        </w:rPr>
        <w:t>Antrano</w:t>
      </w:r>
      <w:proofErr w:type="spellEnd"/>
      <w:r w:rsidRPr="00847B84">
        <w:rPr>
          <w:color w:val="000000" w:themeColor="text1"/>
        </w:rPr>
        <w:t xml:space="preserve"> must recognize Saki Shaw’s citizenship</w:t>
      </w:r>
      <w:r w:rsidR="00C128A8" w:rsidRPr="00847B84">
        <w:rPr>
          <w:color w:val="000000" w:themeColor="text1"/>
        </w:rPr>
        <w:t>.</w:t>
      </w:r>
    </w:p>
    <w:p w14:paraId="66DD130F" w14:textId="75FE0CE7" w:rsidR="00C128A8" w:rsidRPr="00847B84" w:rsidRDefault="00C128A8" w:rsidP="00C128A8">
      <w:pPr>
        <w:pStyle w:val="Heading5"/>
      </w:pPr>
      <w:bookmarkStart w:id="66" w:name="_Toc156019737"/>
      <w:r w:rsidRPr="00847B84">
        <w:t xml:space="preserve">The effective nationality principle does not </w:t>
      </w:r>
      <w:r w:rsidR="001C1725" w:rsidRPr="00847B84">
        <w:t xml:space="preserve">negate </w:t>
      </w:r>
      <w:proofErr w:type="spellStart"/>
      <w:r w:rsidRPr="00847B84">
        <w:t>Antrano’s</w:t>
      </w:r>
      <w:proofErr w:type="spellEnd"/>
      <w:r w:rsidRPr="00847B84">
        <w:t xml:space="preserve"> obligation to recognize Saki Shaw’s </w:t>
      </w:r>
      <w:proofErr w:type="spellStart"/>
      <w:r w:rsidRPr="00847B84">
        <w:t>Remisian</w:t>
      </w:r>
      <w:proofErr w:type="spellEnd"/>
      <w:r w:rsidRPr="00847B84">
        <w:t xml:space="preserve"> nationality.</w:t>
      </w:r>
      <w:bookmarkEnd w:id="66"/>
    </w:p>
    <w:p w14:paraId="4A31212E" w14:textId="324DDE38" w:rsidR="00C128A8" w:rsidRPr="00847B84" w:rsidRDefault="00C128A8" w:rsidP="00C128A8">
      <w:r w:rsidRPr="00847B84">
        <w:tab/>
        <w:t xml:space="preserve">The principle of effective nationality </w:t>
      </w:r>
      <w:r w:rsidR="001C1725" w:rsidRPr="00847B84">
        <w:t xml:space="preserve">requires </w:t>
      </w:r>
      <w:r w:rsidRPr="00847B84">
        <w:t xml:space="preserve">a ‘genuine link’ </w:t>
      </w:r>
      <w:r w:rsidR="001C1725" w:rsidRPr="00847B84">
        <w:t xml:space="preserve">to </w:t>
      </w:r>
      <w:r w:rsidRPr="00847B84">
        <w:t>exist between an individual and a State that seeks to exercise diplomatic protection over the individual.</w:t>
      </w:r>
      <w:r w:rsidRPr="00847B84">
        <w:rPr>
          <w:rStyle w:val="FootnoteReference"/>
        </w:rPr>
        <w:footnoteReference w:id="157"/>
      </w:r>
      <w:r w:rsidRPr="00847B84">
        <w:t xml:space="preserve"> </w:t>
      </w:r>
    </w:p>
    <w:p w14:paraId="59D2CFC8" w14:textId="77777777" w:rsidR="00C128A8" w:rsidRPr="00847B84" w:rsidRDefault="00C128A8" w:rsidP="00C128A8">
      <w:r w:rsidRPr="00847B84">
        <w:tab/>
        <w:t xml:space="preserve">The effective nationality principle, however, cannot bar </w:t>
      </w:r>
      <w:proofErr w:type="spellStart"/>
      <w:r w:rsidRPr="00847B84">
        <w:t>Antrano’s</w:t>
      </w:r>
      <w:proofErr w:type="spellEnd"/>
      <w:r w:rsidRPr="00847B84">
        <w:t xml:space="preserve"> obligation to recognize Saki Shaw’s </w:t>
      </w:r>
      <w:proofErr w:type="spellStart"/>
      <w:r w:rsidRPr="00847B84">
        <w:t>Remisian</w:t>
      </w:r>
      <w:proofErr w:type="spellEnd"/>
      <w:r w:rsidRPr="00847B84">
        <w:t xml:space="preserve"> nationality because [</w:t>
      </w:r>
      <w:proofErr w:type="spellStart"/>
      <w:r w:rsidRPr="00847B84">
        <w:rPr>
          <w:b/>
          <w:bCs/>
        </w:rPr>
        <w:t>i</w:t>
      </w:r>
      <w:proofErr w:type="spellEnd"/>
      <w:r w:rsidRPr="00847B84">
        <w:t>] the principle is not customary and [</w:t>
      </w:r>
      <w:r w:rsidRPr="00847B84">
        <w:rPr>
          <w:b/>
          <w:bCs/>
        </w:rPr>
        <w:t>ii</w:t>
      </w:r>
      <w:r w:rsidRPr="00847B84">
        <w:t>] even if it is, it finds no application to the field of consular protection. In any event, [</w:t>
      </w:r>
      <w:r w:rsidRPr="00847B84">
        <w:rPr>
          <w:b/>
          <w:bCs/>
        </w:rPr>
        <w:t>iii</w:t>
      </w:r>
      <w:r w:rsidRPr="00847B84">
        <w:t xml:space="preserve">] Saki Shaw has a genuine link to </w:t>
      </w:r>
      <w:proofErr w:type="spellStart"/>
      <w:r w:rsidRPr="00847B84">
        <w:t>Remisia</w:t>
      </w:r>
      <w:proofErr w:type="spellEnd"/>
      <w:r w:rsidRPr="00847B84">
        <w:t>.</w:t>
      </w:r>
    </w:p>
    <w:p w14:paraId="0779FEFB" w14:textId="77777777" w:rsidR="00C128A8" w:rsidRPr="00847B84" w:rsidRDefault="00C128A8" w:rsidP="00A86FB5">
      <w:pPr>
        <w:pStyle w:val="Heading6"/>
        <w:numPr>
          <w:ilvl w:val="0"/>
          <w:numId w:val="93"/>
        </w:numPr>
        <w:ind w:left="1800" w:hanging="360"/>
      </w:pPr>
      <w:r w:rsidRPr="00847B84">
        <w:t>The effective nationality principle is not customary.</w:t>
      </w:r>
    </w:p>
    <w:p w14:paraId="6E37960F" w14:textId="0C126993" w:rsidR="00C128A8" w:rsidRPr="00847B84" w:rsidRDefault="001C1725" w:rsidP="00C128A8">
      <w:pPr>
        <w:ind w:firstLine="720"/>
        <w:rPr>
          <w:color w:val="000000" w:themeColor="text1"/>
        </w:rPr>
      </w:pPr>
      <w:r w:rsidRPr="00847B84">
        <w:rPr>
          <w:color w:val="000000" w:themeColor="text1"/>
        </w:rPr>
        <w:t xml:space="preserve">The effective nationality principle </w:t>
      </w:r>
      <w:r w:rsidR="00F94404" w:rsidRPr="00847B84">
        <w:rPr>
          <w:color w:val="000000" w:themeColor="text1"/>
        </w:rPr>
        <w:t>fails to meet the requirement of</w:t>
      </w:r>
      <w:r w:rsidRPr="00847B84">
        <w:rPr>
          <w:color w:val="000000" w:themeColor="text1"/>
        </w:rPr>
        <w:t xml:space="preserve"> </w:t>
      </w:r>
      <w:r w:rsidR="00C128A8" w:rsidRPr="00847B84">
        <w:rPr>
          <w:color w:val="000000" w:themeColor="text1"/>
        </w:rPr>
        <w:t xml:space="preserve">settled state practice and </w:t>
      </w:r>
      <w:proofErr w:type="spellStart"/>
      <w:r w:rsidR="00C128A8" w:rsidRPr="00847B84">
        <w:rPr>
          <w:i/>
          <w:iCs/>
          <w:color w:val="000000" w:themeColor="text1"/>
        </w:rPr>
        <w:t>opinio</w:t>
      </w:r>
      <w:proofErr w:type="spellEnd"/>
      <w:r w:rsidR="00C128A8" w:rsidRPr="00847B84">
        <w:rPr>
          <w:i/>
          <w:iCs/>
          <w:color w:val="000000" w:themeColor="text1"/>
        </w:rPr>
        <w:t xml:space="preserve"> juris</w:t>
      </w:r>
      <w:r w:rsidR="00C128A8" w:rsidRPr="00847B84">
        <w:rPr>
          <w:color w:val="000000" w:themeColor="text1"/>
        </w:rPr>
        <w:t>.</w:t>
      </w:r>
      <w:r w:rsidR="00C128A8" w:rsidRPr="00847B84">
        <w:rPr>
          <w:rStyle w:val="FootnoteReference"/>
          <w:color w:val="000000" w:themeColor="text1"/>
        </w:rPr>
        <w:footnoteReference w:id="158"/>
      </w:r>
    </w:p>
    <w:p w14:paraId="53B3EBD2" w14:textId="77777777" w:rsidR="0008354B" w:rsidRPr="00847B84" w:rsidRDefault="00C128A8" w:rsidP="0008354B">
      <w:pPr>
        <w:ind w:firstLine="720"/>
        <w:rPr>
          <w:color w:val="000000" w:themeColor="text1"/>
        </w:rPr>
      </w:pPr>
      <w:r w:rsidRPr="00847B84">
        <w:rPr>
          <w:i/>
          <w:iCs/>
          <w:color w:val="000000" w:themeColor="text1"/>
        </w:rPr>
        <w:lastRenderedPageBreak/>
        <w:t>First</w:t>
      </w:r>
      <w:r w:rsidRPr="00847B84">
        <w:rPr>
          <w:color w:val="000000" w:themeColor="text1"/>
        </w:rPr>
        <w:t xml:space="preserve">, </w:t>
      </w:r>
      <w:r w:rsidR="00754DB3" w:rsidRPr="00847B84">
        <w:rPr>
          <w:color w:val="000000" w:themeColor="text1"/>
        </w:rPr>
        <w:t xml:space="preserve">out of 190 countries, </w:t>
      </w:r>
      <w:r w:rsidR="00772B5F" w:rsidRPr="00847B84">
        <w:rPr>
          <w:color w:val="000000" w:themeColor="text1"/>
        </w:rPr>
        <w:t>only half</w:t>
      </w:r>
      <w:r w:rsidR="00754DB3" w:rsidRPr="00847B84">
        <w:rPr>
          <w:color w:val="000000" w:themeColor="text1"/>
        </w:rPr>
        <w:t xml:space="preserve"> allow dual citizenship, with only a quarter not accepting dual citizenship at all.</w:t>
      </w:r>
      <w:r w:rsidR="003E5425" w:rsidRPr="00847B84">
        <w:rPr>
          <w:rStyle w:val="FootnoteReference"/>
          <w:color w:val="000000" w:themeColor="text1"/>
        </w:rPr>
        <w:footnoteReference w:id="159"/>
      </w:r>
      <w:r w:rsidR="00754DB3" w:rsidRPr="00847B84">
        <w:rPr>
          <w:color w:val="000000" w:themeColor="text1"/>
        </w:rPr>
        <w:t xml:space="preserve"> This includes the practice of the US, Canada, Italy, France, Tunisia, and the </w:t>
      </w:r>
      <w:r w:rsidR="00F94404" w:rsidRPr="00847B84">
        <w:rPr>
          <w:color w:val="000000" w:themeColor="text1"/>
        </w:rPr>
        <w:t>UK</w:t>
      </w:r>
      <w:r w:rsidR="00754DB3" w:rsidRPr="00847B84">
        <w:rPr>
          <w:color w:val="000000" w:themeColor="text1"/>
        </w:rPr>
        <w:t xml:space="preserve">, which </w:t>
      </w:r>
      <w:r w:rsidR="003E5425" w:rsidRPr="00847B84">
        <w:rPr>
          <w:color w:val="000000" w:themeColor="text1"/>
        </w:rPr>
        <w:t xml:space="preserve">assists its nationals, as long as they are </w:t>
      </w:r>
      <w:r w:rsidR="00B93EB5" w:rsidRPr="00847B84">
        <w:rPr>
          <w:color w:val="000000" w:themeColor="text1"/>
        </w:rPr>
        <w:t>nationals</w:t>
      </w:r>
      <w:r w:rsidR="003E5425" w:rsidRPr="00847B84">
        <w:rPr>
          <w:color w:val="000000" w:themeColor="text1"/>
        </w:rPr>
        <w:t xml:space="preserve"> </w:t>
      </w:r>
      <w:r w:rsidR="00B93EB5" w:rsidRPr="00847B84">
        <w:rPr>
          <w:color w:val="000000" w:themeColor="text1"/>
        </w:rPr>
        <w:t>by their domestic</w:t>
      </w:r>
      <w:r w:rsidR="003E5425" w:rsidRPr="00847B84">
        <w:rPr>
          <w:color w:val="000000" w:themeColor="text1"/>
        </w:rPr>
        <w:t xml:space="preserve"> law</w:t>
      </w:r>
      <w:r w:rsidRPr="00847B84">
        <w:rPr>
          <w:color w:val="000000" w:themeColor="text1"/>
        </w:rPr>
        <w:t>.</w:t>
      </w:r>
      <w:r w:rsidRPr="00847B84">
        <w:rPr>
          <w:rStyle w:val="FootnoteReference"/>
          <w:color w:val="000000" w:themeColor="text1"/>
        </w:rPr>
        <w:footnoteReference w:id="160"/>
      </w:r>
      <w:r w:rsidRPr="00847B84">
        <w:rPr>
          <w:color w:val="000000" w:themeColor="text1"/>
        </w:rPr>
        <w:t xml:space="preserve"> </w:t>
      </w:r>
    </w:p>
    <w:p w14:paraId="2C984D71" w14:textId="7285937D" w:rsidR="00C128A8" w:rsidRPr="00847B84" w:rsidRDefault="00C128A8" w:rsidP="0008354B">
      <w:pPr>
        <w:ind w:firstLine="720"/>
        <w:rPr>
          <w:color w:val="000000" w:themeColor="text1"/>
        </w:rPr>
      </w:pPr>
      <w:r w:rsidRPr="00847B84">
        <w:rPr>
          <w:i/>
          <w:iCs/>
          <w:color w:val="000000" w:themeColor="text1"/>
        </w:rPr>
        <w:t>Second</w:t>
      </w:r>
      <w:r w:rsidRPr="00847B84">
        <w:rPr>
          <w:color w:val="000000" w:themeColor="text1"/>
        </w:rPr>
        <w:t xml:space="preserve">, </w:t>
      </w:r>
      <w:proofErr w:type="spellStart"/>
      <w:r w:rsidRPr="00847B84">
        <w:rPr>
          <w:i/>
          <w:iCs/>
          <w:color w:val="000000" w:themeColor="text1"/>
        </w:rPr>
        <w:t>opinio</w:t>
      </w:r>
      <w:proofErr w:type="spellEnd"/>
      <w:r w:rsidRPr="00847B84">
        <w:rPr>
          <w:i/>
          <w:iCs/>
          <w:color w:val="000000" w:themeColor="text1"/>
        </w:rPr>
        <w:t xml:space="preserve"> juris </w:t>
      </w:r>
      <w:r w:rsidRPr="00847B84">
        <w:rPr>
          <w:color w:val="000000" w:themeColor="text1"/>
        </w:rPr>
        <w:t>is proven through diplomatic correspondences, widespread acceptance in literary work,</w:t>
      </w:r>
      <w:r w:rsidRPr="00847B84">
        <w:rPr>
          <w:rStyle w:val="FootnoteReference"/>
          <w:color w:val="000000" w:themeColor="text1"/>
        </w:rPr>
        <w:footnoteReference w:id="161"/>
      </w:r>
      <w:r w:rsidRPr="00847B84">
        <w:rPr>
          <w:color w:val="000000" w:themeColor="text1"/>
        </w:rPr>
        <w:t xml:space="preserve"> and decisions</w:t>
      </w:r>
      <w:r w:rsidR="00A74DED" w:rsidRPr="00847B84">
        <w:rPr>
          <w:color w:val="000000" w:themeColor="text1"/>
        </w:rPr>
        <w:t xml:space="preserve"> of tribunals</w:t>
      </w:r>
      <w:r w:rsidRPr="00847B84">
        <w:rPr>
          <w:color w:val="000000" w:themeColor="text1"/>
        </w:rPr>
        <w:t>.</w:t>
      </w:r>
      <w:r w:rsidRPr="00847B84">
        <w:rPr>
          <w:rStyle w:val="FootnoteReference"/>
          <w:color w:val="000000" w:themeColor="text1"/>
        </w:rPr>
        <w:footnoteReference w:id="162"/>
      </w:r>
      <w:r w:rsidRPr="00847B84">
        <w:rPr>
          <w:color w:val="000000" w:themeColor="text1"/>
        </w:rPr>
        <w:t xml:space="preserve"> The ILC, in its Draft Articles on Diplomatic Protection, rejected the requirement of an effective link to exercise diplomatic protection.</w:t>
      </w:r>
      <w:r w:rsidRPr="00847B84">
        <w:rPr>
          <w:rStyle w:val="FootnoteReference"/>
          <w:color w:val="000000" w:themeColor="text1"/>
        </w:rPr>
        <w:footnoteReference w:id="163"/>
      </w:r>
      <w:r w:rsidRPr="00847B84">
        <w:rPr>
          <w:color w:val="000000" w:themeColor="text1"/>
        </w:rPr>
        <w:t xml:space="preserve"> </w:t>
      </w:r>
      <w:r w:rsidR="003472A3" w:rsidRPr="00847B84">
        <w:rPr>
          <w:color w:val="000000" w:themeColor="text1"/>
        </w:rPr>
        <w:t>To</w:t>
      </w:r>
      <w:r w:rsidRPr="00847B84">
        <w:rPr>
          <w:color w:val="000000" w:themeColor="text1"/>
        </w:rPr>
        <w:t xml:space="preserve"> the contrary, dual nationals may be protected by both States of nationality.</w:t>
      </w:r>
      <w:r w:rsidRPr="00847B84">
        <w:rPr>
          <w:rStyle w:val="FootnoteReference"/>
          <w:color w:val="000000" w:themeColor="text1"/>
        </w:rPr>
        <w:footnoteReference w:id="164"/>
      </w:r>
      <w:r w:rsidRPr="00847B84">
        <w:rPr>
          <w:color w:val="000000" w:themeColor="text1"/>
        </w:rPr>
        <w:t xml:space="preserve"> This is supported by decisions of tribunals, as in the </w:t>
      </w:r>
      <w:proofErr w:type="spellStart"/>
      <w:r w:rsidRPr="00847B84">
        <w:rPr>
          <w:i/>
          <w:iCs/>
          <w:color w:val="000000" w:themeColor="text1"/>
        </w:rPr>
        <w:t>Micheletti</w:t>
      </w:r>
      <w:proofErr w:type="spellEnd"/>
      <w:r w:rsidRPr="00847B84">
        <w:rPr>
          <w:i/>
          <w:iCs/>
          <w:color w:val="000000" w:themeColor="text1"/>
        </w:rPr>
        <w:t xml:space="preserve"> Case</w:t>
      </w:r>
      <w:r w:rsidRPr="00847B84">
        <w:rPr>
          <w:color w:val="000000" w:themeColor="text1"/>
        </w:rPr>
        <w:t xml:space="preserve"> where the European Court of Justice rejected the application of effective nationality to determine one’s nationality.</w:t>
      </w:r>
      <w:r w:rsidRPr="00847B84">
        <w:rPr>
          <w:rStyle w:val="FootnoteReference"/>
          <w:color w:val="000000" w:themeColor="text1"/>
        </w:rPr>
        <w:footnoteReference w:id="165"/>
      </w:r>
      <w:r w:rsidRPr="00847B84">
        <w:rPr>
          <w:color w:val="000000" w:themeColor="text1"/>
        </w:rPr>
        <w:t xml:space="preserve"> </w:t>
      </w:r>
    </w:p>
    <w:p w14:paraId="69DFB347" w14:textId="1B18AE9F" w:rsidR="00C128A8" w:rsidRPr="00847B84" w:rsidRDefault="00C128A8" w:rsidP="00C128A8">
      <w:pPr>
        <w:pStyle w:val="Heading6"/>
      </w:pPr>
      <w:r w:rsidRPr="00847B84">
        <w:t xml:space="preserve">Even assuming the effective nationality principle is customary, it finds no application </w:t>
      </w:r>
      <w:r w:rsidR="00F94404" w:rsidRPr="00847B84">
        <w:t xml:space="preserve">in </w:t>
      </w:r>
      <w:r w:rsidRPr="00847B84">
        <w:t xml:space="preserve">the field of consular protection. </w:t>
      </w:r>
    </w:p>
    <w:p w14:paraId="45ED92B8" w14:textId="1997D203" w:rsidR="00C128A8" w:rsidRPr="00847B84" w:rsidRDefault="00C128A8" w:rsidP="00C128A8">
      <w:pPr>
        <w:ind w:firstLine="709"/>
      </w:pPr>
      <w:r w:rsidRPr="00847B84">
        <w:t>Diplomatic protection pertains to the remedial procedure</w:t>
      </w:r>
      <w:bookmarkStart w:id="67" w:name="_Ref156018854"/>
      <w:r w:rsidRPr="00847B84">
        <w:rPr>
          <w:rStyle w:val="FootnoteReference"/>
        </w:rPr>
        <w:footnoteReference w:id="166"/>
      </w:r>
      <w:bookmarkEnd w:id="67"/>
      <w:r w:rsidRPr="00847B84">
        <w:t xml:space="preserve"> where a State seeks to espouse the claims of its nationals against another State.</w:t>
      </w:r>
      <w:r w:rsidRPr="00847B84">
        <w:rPr>
          <w:rStyle w:val="FootnoteReference"/>
        </w:rPr>
        <w:footnoteReference w:id="167"/>
      </w:r>
      <w:r w:rsidRPr="00847B84">
        <w:t xml:space="preserve"> In contrast, consular protection pertains to the </w:t>
      </w:r>
      <w:r w:rsidRPr="00847B84">
        <w:lastRenderedPageBreak/>
        <w:t>rights conferred under the VCCR.</w:t>
      </w:r>
      <w:r w:rsidRPr="00847B84">
        <w:rPr>
          <w:rStyle w:val="FootnoteReference"/>
        </w:rPr>
        <w:footnoteReference w:id="168"/>
      </w:r>
      <w:r w:rsidRPr="00847B84">
        <w:t xml:space="preserve"> Nothing in the VCCR</w:t>
      </w:r>
      <w:r w:rsidRPr="00847B84">
        <w:rPr>
          <w:rStyle w:val="FootnoteReference"/>
        </w:rPr>
        <w:footnoteReference w:id="169"/>
      </w:r>
      <w:r w:rsidRPr="00847B84">
        <w:t xml:space="preserve"> or its </w:t>
      </w:r>
      <w:proofErr w:type="spellStart"/>
      <w:r w:rsidRPr="00847B84">
        <w:rPr>
          <w:i/>
          <w:iCs/>
        </w:rPr>
        <w:t>traveaux</w:t>
      </w:r>
      <w:proofErr w:type="spellEnd"/>
      <w:r w:rsidRPr="00847B84">
        <w:rPr>
          <w:i/>
          <w:iCs/>
        </w:rPr>
        <w:t xml:space="preserve"> </w:t>
      </w:r>
      <w:proofErr w:type="spellStart"/>
      <w:r w:rsidRPr="00847B84">
        <w:rPr>
          <w:i/>
          <w:iCs/>
        </w:rPr>
        <w:t>pr</w:t>
      </w:r>
      <w:r w:rsidR="00C0400D" w:rsidRPr="00847B84">
        <w:rPr>
          <w:i/>
          <w:iCs/>
        </w:rPr>
        <w:t>é</w:t>
      </w:r>
      <w:r w:rsidRPr="00847B84">
        <w:rPr>
          <w:i/>
          <w:iCs/>
        </w:rPr>
        <w:t>paratoires</w:t>
      </w:r>
      <w:proofErr w:type="spellEnd"/>
      <w:r w:rsidRPr="00847B84">
        <w:rPr>
          <w:rStyle w:val="FootnoteReference"/>
        </w:rPr>
        <w:footnoteReference w:id="170"/>
      </w:r>
      <w:r w:rsidRPr="00847B84">
        <w:t xml:space="preserve"> discusses the need for a ‘genuine link’ before a sending State </w:t>
      </w:r>
      <w:r w:rsidR="008F3C7A" w:rsidRPr="00847B84">
        <w:t>may</w:t>
      </w:r>
      <w:r w:rsidRPr="00847B84">
        <w:t xml:space="preserve"> afford consular protection to its nationals. Notably, the </w:t>
      </w:r>
      <w:proofErr w:type="spellStart"/>
      <w:r w:rsidRPr="00847B84">
        <w:rPr>
          <w:i/>
          <w:iCs/>
        </w:rPr>
        <w:t>Nottebohm</w:t>
      </w:r>
      <w:proofErr w:type="spellEnd"/>
      <w:r w:rsidRPr="00847B84">
        <w:rPr>
          <w:i/>
          <w:iCs/>
        </w:rPr>
        <w:t xml:space="preserve"> Case</w:t>
      </w:r>
      <w:r w:rsidRPr="00847B84">
        <w:t xml:space="preserve"> applied the effective nationality principle </w:t>
      </w:r>
      <w:r w:rsidR="001D205B" w:rsidRPr="00847B84">
        <w:t xml:space="preserve">only </w:t>
      </w:r>
      <w:r w:rsidRPr="00847B84">
        <w:t>in the context of diplomatic, not consular, protection</w:t>
      </w:r>
      <w:r w:rsidRPr="00847B84">
        <w:rPr>
          <w:rStyle w:val="FootnoteReference"/>
        </w:rPr>
        <w:footnoteReference w:id="171"/>
      </w:r>
      <w:r w:rsidRPr="00847B84">
        <w:t xml:space="preserve"> and as such, the doctrine is not controlling here.</w:t>
      </w:r>
    </w:p>
    <w:p w14:paraId="46227436" w14:textId="77777777" w:rsidR="00C128A8" w:rsidRPr="00847B84" w:rsidRDefault="00C128A8" w:rsidP="00C128A8">
      <w:pPr>
        <w:pStyle w:val="Heading6"/>
      </w:pPr>
      <w:r w:rsidRPr="00847B84">
        <w:t xml:space="preserve">In any event, Saki Shaw has a genuine link to </w:t>
      </w:r>
      <w:proofErr w:type="spellStart"/>
      <w:r w:rsidRPr="00847B84">
        <w:t>Remisia</w:t>
      </w:r>
      <w:proofErr w:type="spellEnd"/>
      <w:r w:rsidRPr="00847B84">
        <w:t>.</w:t>
      </w:r>
    </w:p>
    <w:p w14:paraId="32D10D84" w14:textId="77777777" w:rsidR="00C128A8" w:rsidRPr="00847B84" w:rsidRDefault="00C128A8" w:rsidP="00C128A8">
      <w:pPr>
        <w:ind w:firstLine="720"/>
        <w:rPr>
          <w:color w:val="000000" w:themeColor="text1"/>
        </w:rPr>
      </w:pPr>
      <w:r w:rsidRPr="00847B84">
        <w:rPr>
          <w:color w:val="000000" w:themeColor="text1"/>
        </w:rPr>
        <w:t>In cases</w:t>
      </w:r>
      <w:r w:rsidRPr="00847B84">
        <w:rPr>
          <w:rStyle w:val="FootnoteReference"/>
          <w:color w:val="000000" w:themeColor="text1"/>
        </w:rPr>
        <w:footnoteReference w:id="172"/>
      </w:r>
      <w:r w:rsidRPr="00847B84">
        <w:rPr>
          <w:color w:val="000000" w:themeColor="text1"/>
        </w:rPr>
        <w:t xml:space="preserve"> where genuine link was tested, tribunals shared the view that no single factor is indispensable. Instead, every factor must be examined according to the circumstances of a case.</w:t>
      </w:r>
      <w:r w:rsidRPr="00847B84">
        <w:rPr>
          <w:rStyle w:val="FootnoteReference"/>
          <w:color w:val="000000" w:themeColor="text1"/>
        </w:rPr>
        <w:footnoteReference w:id="173"/>
      </w:r>
    </w:p>
    <w:p w14:paraId="190048E3" w14:textId="792595BA" w:rsidR="00C128A8" w:rsidRPr="00847B84" w:rsidRDefault="00C128A8" w:rsidP="00C128A8">
      <w:pPr>
        <w:ind w:firstLine="720"/>
        <w:rPr>
          <w:color w:val="000000" w:themeColor="text1"/>
        </w:rPr>
      </w:pPr>
      <w:r w:rsidRPr="00847B84">
        <w:rPr>
          <w:color w:val="000000" w:themeColor="text1"/>
        </w:rPr>
        <w:t xml:space="preserve">Relevantly, in </w:t>
      </w:r>
      <w:proofErr w:type="spellStart"/>
      <w:r w:rsidRPr="00847B84">
        <w:rPr>
          <w:i/>
          <w:iCs/>
          <w:color w:val="000000" w:themeColor="text1"/>
        </w:rPr>
        <w:t>Nottebohm</w:t>
      </w:r>
      <w:proofErr w:type="spellEnd"/>
      <w:r w:rsidRPr="00847B84">
        <w:rPr>
          <w:color w:val="000000" w:themeColor="text1"/>
        </w:rPr>
        <w:t xml:space="preserve">, Judge Read refused to recognize </w:t>
      </w:r>
      <w:proofErr w:type="spellStart"/>
      <w:r w:rsidRPr="00847B84">
        <w:rPr>
          <w:color w:val="000000" w:themeColor="text1"/>
        </w:rPr>
        <w:t>Nottebohm’s</w:t>
      </w:r>
      <w:proofErr w:type="spellEnd"/>
      <w:r w:rsidRPr="00847B84">
        <w:rPr>
          <w:color w:val="000000" w:themeColor="text1"/>
        </w:rPr>
        <w:t xml:space="preserve"> “lack of residence” as a decisive factor </w:t>
      </w:r>
      <w:r w:rsidR="004C7498" w:rsidRPr="00847B84">
        <w:rPr>
          <w:color w:val="000000" w:themeColor="text1"/>
        </w:rPr>
        <w:t>in</w:t>
      </w:r>
      <w:r w:rsidRPr="00847B84">
        <w:rPr>
          <w:color w:val="000000" w:themeColor="text1"/>
        </w:rPr>
        <w:t xml:space="preserve"> the recognition of his nationality.</w:t>
      </w:r>
      <w:r w:rsidRPr="00847B84">
        <w:rPr>
          <w:rStyle w:val="FootnoteReference"/>
          <w:color w:val="000000" w:themeColor="text1"/>
        </w:rPr>
        <w:footnoteReference w:id="174"/>
      </w:r>
      <w:r w:rsidRPr="00847B84">
        <w:rPr>
          <w:color w:val="000000" w:themeColor="text1"/>
        </w:rPr>
        <w:t xml:space="preserve"> This is supported by the </w:t>
      </w:r>
      <w:r w:rsidRPr="00847B84">
        <w:rPr>
          <w:i/>
          <w:iCs/>
          <w:color w:val="000000" w:themeColor="text1"/>
        </w:rPr>
        <w:t>Merge Claim</w:t>
      </w:r>
      <w:r w:rsidRPr="00847B84">
        <w:rPr>
          <w:rStyle w:val="FootnoteReference"/>
          <w:color w:val="000000" w:themeColor="text1"/>
        </w:rPr>
        <w:footnoteReference w:id="175"/>
      </w:r>
      <w:r w:rsidRPr="00847B84">
        <w:rPr>
          <w:i/>
          <w:iCs/>
          <w:color w:val="000000" w:themeColor="text1"/>
        </w:rPr>
        <w:t xml:space="preserve"> </w:t>
      </w:r>
      <w:r w:rsidRPr="00847B84">
        <w:rPr>
          <w:color w:val="000000" w:themeColor="text1"/>
        </w:rPr>
        <w:t>and</w:t>
      </w:r>
      <w:r w:rsidRPr="00847B84">
        <w:rPr>
          <w:i/>
          <w:iCs/>
          <w:color w:val="000000" w:themeColor="text1"/>
        </w:rPr>
        <w:t xml:space="preserve"> A/18 Case</w:t>
      </w:r>
      <w:r w:rsidRPr="00847B84">
        <w:rPr>
          <w:rStyle w:val="FootnoteReference"/>
          <w:color w:val="000000" w:themeColor="text1"/>
        </w:rPr>
        <w:footnoteReference w:id="176"/>
      </w:r>
      <w:r w:rsidRPr="00847B84">
        <w:rPr>
          <w:color w:val="000000" w:themeColor="text1"/>
        </w:rPr>
        <w:t xml:space="preserve"> where all relevant factors, including participation in public life and other evidence of attachment, were considered as a whole. </w:t>
      </w:r>
    </w:p>
    <w:p w14:paraId="3AF8EE54" w14:textId="6BFBDBC8" w:rsidR="00C128A8" w:rsidRPr="00847B84" w:rsidRDefault="00C128A8" w:rsidP="00C128A8">
      <w:pPr>
        <w:ind w:firstLine="720"/>
        <w:rPr>
          <w:color w:val="000000" w:themeColor="text1"/>
        </w:rPr>
      </w:pPr>
      <w:r w:rsidRPr="00847B84">
        <w:rPr>
          <w:color w:val="000000" w:themeColor="text1"/>
        </w:rPr>
        <w:t xml:space="preserve">Here, Saki Shaw has proven her participation in </w:t>
      </w:r>
      <w:proofErr w:type="spellStart"/>
      <w:r w:rsidRPr="00847B84">
        <w:rPr>
          <w:color w:val="000000" w:themeColor="text1"/>
        </w:rPr>
        <w:t>Remisian</w:t>
      </w:r>
      <w:proofErr w:type="spellEnd"/>
      <w:r w:rsidRPr="00847B84">
        <w:rPr>
          <w:color w:val="000000" w:themeColor="text1"/>
        </w:rPr>
        <w:t xml:space="preserve"> public life by establishing the </w:t>
      </w:r>
      <w:proofErr w:type="spellStart"/>
      <w:r w:rsidRPr="00847B84">
        <w:rPr>
          <w:color w:val="000000" w:themeColor="text1"/>
        </w:rPr>
        <w:t>Lithos-Remisia</w:t>
      </w:r>
      <w:proofErr w:type="spellEnd"/>
      <w:r w:rsidRPr="00847B84">
        <w:rPr>
          <w:color w:val="000000" w:themeColor="text1"/>
        </w:rPr>
        <w:t xml:space="preserve"> Cooperative and playing an active part in supporting </w:t>
      </w:r>
      <w:proofErr w:type="spellStart"/>
      <w:r w:rsidR="00F94404" w:rsidRPr="00847B84">
        <w:rPr>
          <w:color w:val="000000" w:themeColor="text1"/>
        </w:rPr>
        <w:t>Remisia’s</w:t>
      </w:r>
      <w:proofErr w:type="spellEnd"/>
      <w:r w:rsidRPr="00847B84">
        <w:rPr>
          <w:color w:val="000000" w:themeColor="text1"/>
        </w:rPr>
        <w:t xml:space="preserve"> goals and aspirations.</w:t>
      </w:r>
      <w:r w:rsidRPr="00847B84">
        <w:rPr>
          <w:rStyle w:val="FootnoteReference"/>
          <w:color w:val="000000" w:themeColor="text1"/>
        </w:rPr>
        <w:footnoteReference w:id="177"/>
      </w:r>
      <w:r w:rsidRPr="00847B84">
        <w:rPr>
          <w:color w:val="000000" w:themeColor="text1"/>
        </w:rPr>
        <w:t xml:space="preserve"> She also has a close personal relationship with </w:t>
      </w:r>
      <w:proofErr w:type="spellStart"/>
      <w:r w:rsidRPr="00847B84">
        <w:rPr>
          <w:color w:val="000000" w:themeColor="text1"/>
        </w:rPr>
        <w:t>Remisia’s</w:t>
      </w:r>
      <w:proofErr w:type="spellEnd"/>
      <w:r w:rsidRPr="00847B84">
        <w:rPr>
          <w:color w:val="000000" w:themeColor="text1"/>
        </w:rPr>
        <w:t xml:space="preserve"> Monarchy.</w:t>
      </w:r>
      <w:r w:rsidRPr="00847B84">
        <w:rPr>
          <w:rStyle w:val="FootnoteReference"/>
          <w:color w:val="000000" w:themeColor="text1"/>
        </w:rPr>
        <w:footnoteReference w:id="178"/>
      </w:r>
      <w:r w:rsidRPr="00847B84">
        <w:rPr>
          <w:color w:val="000000" w:themeColor="text1"/>
        </w:rPr>
        <w:t xml:space="preserve"> Considering these factors as a whole, Saki Shaw is genuinely linked to </w:t>
      </w:r>
      <w:proofErr w:type="spellStart"/>
      <w:r w:rsidRPr="00847B84">
        <w:rPr>
          <w:color w:val="000000" w:themeColor="text1"/>
        </w:rPr>
        <w:t>Remisia</w:t>
      </w:r>
      <w:proofErr w:type="spellEnd"/>
      <w:r w:rsidRPr="00847B84">
        <w:rPr>
          <w:color w:val="000000" w:themeColor="text1"/>
        </w:rPr>
        <w:t>. The fact that she maintains no residence therein is not decisive of the issue.</w:t>
      </w:r>
    </w:p>
    <w:p w14:paraId="7ADBD964" w14:textId="77777777" w:rsidR="00C128A8" w:rsidRPr="00847B84" w:rsidRDefault="00C128A8" w:rsidP="00A86FB5">
      <w:pPr>
        <w:pStyle w:val="Heading4"/>
      </w:pPr>
      <w:bookmarkStart w:id="68" w:name="_Toc156019738"/>
      <w:proofErr w:type="spellStart"/>
      <w:r w:rsidRPr="00847B84">
        <w:lastRenderedPageBreak/>
        <w:t>Antrano</w:t>
      </w:r>
      <w:proofErr w:type="spellEnd"/>
      <w:r w:rsidRPr="00847B84">
        <w:t xml:space="preserve"> is bound to recognize Saki Shaw’s </w:t>
      </w:r>
      <w:proofErr w:type="spellStart"/>
      <w:r w:rsidRPr="00847B84">
        <w:t>Remisian</w:t>
      </w:r>
      <w:proofErr w:type="spellEnd"/>
      <w:r w:rsidRPr="00847B84">
        <w:t xml:space="preserve"> nationality as it is estopped from claiming otherwise.</w:t>
      </w:r>
      <w:bookmarkEnd w:id="68"/>
    </w:p>
    <w:p w14:paraId="5F2FB91A" w14:textId="36F61F68" w:rsidR="00C128A8" w:rsidRPr="00847B84" w:rsidRDefault="00C128A8" w:rsidP="00C128A8">
      <w:pPr>
        <w:ind w:firstLine="709"/>
        <w:rPr>
          <w:color w:val="000000" w:themeColor="text1"/>
        </w:rPr>
      </w:pPr>
      <w:r w:rsidRPr="00847B84">
        <w:rPr>
          <w:color w:val="000000" w:themeColor="text1"/>
        </w:rPr>
        <w:t>International estoppel precludes a State from taking a position contrary to its prior conduct or statement.</w:t>
      </w:r>
      <w:r w:rsidRPr="00847B84">
        <w:rPr>
          <w:rStyle w:val="FootnoteReference"/>
          <w:color w:val="000000" w:themeColor="text1"/>
        </w:rPr>
        <w:footnoteReference w:id="179"/>
      </w:r>
      <w:r w:rsidRPr="00847B84">
        <w:rPr>
          <w:color w:val="000000" w:themeColor="text1"/>
        </w:rPr>
        <w:t xml:space="preserve"> For estoppel to bind a State, three requisites must concur:</w:t>
      </w:r>
      <w:r w:rsidRPr="00847B84">
        <w:rPr>
          <w:rStyle w:val="FootnoteReference"/>
          <w:color w:val="000000" w:themeColor="text1"/>
        </w:rPr>
        <w:footnoteReference w:id="180"/>
      </w:r>
      <w:r w:rsidRPr="00847B84">
        <w:rPr>
          <w:color w:val="000000" w:themeColor="text1"/>
        </w:rPr>
        <w:t xml:space="preserve"> there needs to be a clear conduct </w:t>
      </w:r>
      <w:r w:rsidR="00F94404" w:rsidRPr="00847B84">
        <w:rPr>
          <w:color w:val="000000" w:themeColor="text1"/>
        </w:rPr>
        <w:t xml:space="preserve">by </w:t>
      </w:r>
      <w:r w:rsidRPr="00847B84">
        <w:rPr>
          <w:color w:val="000000" w:themeColor="text1"/>
        </w:rPr>
        <w:t xml:space="preserve">a State; such conduct must be voluntary, unconditional, and authorized; and the party relying on such conduct would be prejudiced by the conduct. Here, all requisites are present. </w:t>
      </w:r>
    </w:p>
    <w:p w14:paraId="44DD0A50" w14:textId="7662ADEF" w:rsidR="00C128A8" w:rsidRPr="00847B84" w:rsidRDefault="00C128A8" w:rsidP="00C128A8">
      <w:pPr>
        <w:ind w:firstLine="720"/>
        <w:rPr>
          <w:color w:val="000000" w:themeColor="text1"/>
        </w:rPr>
      </w:pPr>
      <w:r w:rsidRPr="00847B84">
        <w:rPr>
          <w:i/>
          <w:iCs/>
          <w:color w:val="000000" w:themeColor="text1"/>
        </w:rPr>
        <w:t>First</w:t>
      </w:r>
      <w:r w:rsidRPr="00847B84">
        <w:rPr>
          <w:color w:val="000000" w:themeColor="text1"/>
        </w:rPr>
        <w:t xml:space="preserve">, following </w:t>
      </w:r>
      <w:r w:rsidRPr="00847B84">
        <w:rPr>
          <w:i/>
          <w:iCs/>
          <w:color w:val="000000" w:themeColor="text1"/>
        </w:rPr>
        <w:t>Serbian Loans</w:t>
      </w:r>
      <w:r w:rsidRPr="00847B84">
        <w:rPr>
          <w:color w:val="000000" w:themeColor="text1"/>
        </w:rPr>
        <w:t>,</w:t>
      </w:r>
      <w:r w:rsidRPr="00847B84">
        <w:rPr>
          <w:rStyle w:val="FootnoteReference"/>
          <w:color w:val="000000" w:themeColor="text1"/>
        </w:rPr>
        <w:footnoteReference w:id="181"/>
      </w:r>
      <w:r w:rsidRPr="00847B84">
        <w:rPr>
          <w:color w:val="000000" w:themeColor="text1"/>
        </w:rPr>
        <w:t xml:space="preserve"> </w:t>
      </w:r>
      <w:r w:rsidRPr="00847B84">
        <w:rPr>
          <w:i/>
          <w:iCs/>
          <w:color w:val="000000" w:themeColor="text1"/>
        </w:rPr>
        <w:t>El Salvador</w:t>
      </w:r>
      <w:r w:rsidR="00F94404" w:rsidRPr="00847B84">
        <w:rPr>
          <w:i/>
          <w:iCs/>
          <w:color w:val="000000" w:themeColor="text1"/>
        </w:rPr>
        <w:t>/</w:t>
      </w:r>
      <w:r w:rsidRPr="00847B84">
        <w:rPr>
          <w:i/>
          <w:iCs/>
          <w:color w:val="000000" w:themeColor="text1"/>
        </w:rPr>
        <w:t>Honduras</w:t>
      </w:r>
      <w:r w:rsidRPr="00847B84">
        <w:rPr>
          <w:color w:val="000000" w:themeColor="text1"/>
        </w:rPr>
        <w:t>,</w:t>
      </w:r>
      <w:r w:rsidRPr="00847B84">
        <w:rPr>
          <w:rStyle w:val="FootnoteReference"/>
          <w:color w:val="000000" w:themeColor="text1"/>
        </w:rPr>
        <w:footnoteReference w:id="182"/>
      </w:r>
      <w:r w:rsidRPr="00847B84">
        <w:rPr>
          <w:i/>
          <w:iCs/>
          <w:color w:val="000000" w:themeColor="text1"/>
        </w:rPr>
        <w:t xml:space="preserve"> </w:t>
      </w:r>
      <w:r w:rsidRPr="00847B84">
        <w:rPr>
          <w:color w:val="000000" w:themeColor="text1"/>
        </w:rPr>
        <w:t xml:space="preserve">and </w:t>
      </w:r>
      <w:r w:rsidRPr="00847B84">
        <w:rPr>
          <w:i/>
          <w:iCs/>
          <w:color w:val="000000" w:themeColor="text1"/>
        </w:rPr>
        <w:t>Nicaragua</w:t>
      </w:r>
      <w:r w:rsidRPr="00847B84">
        <w:rPr>
          <w:color w:val="000000" w:themeColor="text1"/>
        </w:rPr>
        <w:t>,</w:t>
      </w:r>
      <w:r w:rsidRPr="00847B84">
        <w:rPr>
          <w:rStyle w:val="FootnoteReference"/>
          <w:color w:val="000000" w:themeColor="text1"/>
        </w:rPr>
        <w:footnoteReference w:id="183"/>
      </w:r>
      <w:r w:rsidRPr="00847B84">
        <w:rPr>
          <w:i/>
          <w:iCs/>
          <w:color w:val="000000" w:themeColor="text1"/>
        </w:rPr>
        <w:t xml:space="preserve"> </w:t>
      </w:r>
      <w:r w:rsidRPr="00847B84">
        <w:rPr>
          <w:color w:val="000000" w:themeColor="text1"/>
        </w:rPr>
        <w:t xml:space="preserve">the requirement of clear conduct is satisfied when the conduct of the State is definite and consistent, evincing a particular state of affairs, instead of ambiguous statements. In presenting a passport to State authorities, the holder represents herself </w:t>
      </w:r>
      <w:r w:rsidR="00CC449E" w:rsidRPr="00847B84">
        <w:rPr>
          <w:color w:val="000000" w:themeColor="text1"/>
        </w:rPr>
        <w:t>as</w:t>
      </w:r>
      <w:r w:rsidRPr="00847B84">
        <w:rPr>
          <w:color w:val="000000" w:themeColor="text1"/>
        </w:rPr>
        <w:t xml:space="preserve"> a national of the issuing State</w:t>
      </w:r>
      <w:r w:rsidRPr="00847B84">
        <w:rPr>
          <w:rStyle w:val="FootnoteReference"/>
          <w:color w:val="000000" w:themeColor="text1"/>
        </w:rPr>
        <w:footnoteReference w:id="184"/>
      </w:r>
      <w:r w:rsidRPr="00847B84">
        <w:rPr>
          <w:color w:val="000000" w:themeColor="text1"/>
        </w:rPr>
        <w:t xml:space="preserve"> as a passport is </w:t>
      </w:r>
      <w:r w:rsidRPr="00847B84">
        <w:rPr>
          <w:i/>
          <w:iCs/>
          <w:color w:val="000000" w:themeColor="text1"/>
        </w:rPr>
        <w:t xml:space="preserve">prima facie </w:t>
      </w:r>
      <w:r w:rsidRPr="00847B84">
        <w:rPr>
          <w:color w:val="000000" w:themeColor="text1"/>
        </w:rPr>
        <w:t>evidence of one’s nationality.</w:t>
      </w:r>
      <w:r w:rsidRPr="00847B84">
        <w:rPr>
          <w:rStyle w:val="FootnoteReference"/>
          <w:color w:val="000000" w:themeColor="text1"/>
        </w:rPr>
        <w:footnoteReference w:id="185"/>
      </w:r>
      <w:r w:rsidRPr="00847B84">
        <w:rPr>
          <w:color w:val="000000" w:themeColor="text1"/>
        </w:rPr>
        <w:t xml:space="preserve"> Thus, the </w:t>
      </w:r>
      <w:proofErr w:type="spellStart"/>
      <w:r w:rsidRPr="00847B84">
        <w:rPr>
          <w:color w:val="000000" w:themeColor="text1"/>
        </w:rPr>
        <w:t>Antranan</w:t>
      </w:r>
      <w:proofErr w:type="spellEnd"/>
      <w:r w:rsidRPr="00847B84">
        <w:rPr>
          <w:color w:val="000000" w:themeColor="text1"/>
        </w:rPr>
        <w:t xml:space="preserve"> immigration officer’s act of allowing Saki Shaw to enter </w:t>
      </w:r>
      <w:proofErr w:type="spellStart"/>
      <w:r w:rsidRPr="00847B84">
        <w:rPr>
          <w:color w:val="000000" w:themeColor="text1"/>
        </w:rPr>
        <w:t>Antrano</w:t>
      </w:r>
      <w:proofErr w:type="spellEnd"/>
      <w:r w:rsidRPr="00847B84">
        <w:rPr>
          <w:color w:val="000000" w:themeColor="text1"/>
        </w:rPr>
        <w:t xml:space="preserve"> using her </w:t>
      </w:r>
      <w:proofErr w:type="spellStart"/>
      <w:r w:rsidRPr="00847B84">
        <w:rPr>
          <w:color w:val="000000" w:themeColor="text1"/>
        </w:rPr>
        <w:t>Remisian</w:t>
      </w:r>
      <w:proofErr w:type="spellEnd"/>
      <w:r w:rsidRPr="00847B84">
        <w:rPr>
          <w:color w:val="000000" w:themeColor="text1"/>
        </w:rPr>
        <w:t xml:space="preserve"> passport shows</w:t>
      </w:r>
      <w:r w:rsidR="00CC449E" w:rsidRPr="00847B84">
        <w:rPr>
          <w:color w:val="000000" w:themeColor="text1"/>
        </w:rPr>
        <w:t xml:space="preserve"> the</w:t>
      </w:r>
      <w:r w:rsidRPr="00847B84">
        <w:rPr>
          <w:color w:val="000000" w:themeColor="text1"/>
        </w:rPr>
        <w:t xml:space="preserve"> clear and unambiguous recognition of Saki Shaw’s </w:t>
      </w:r>
      <w:proofErr w:type="spellStart"/>
      <w:r w:rsidRPr="00847B84">
        <w:rPr>
          <w:color w:val="000000" w:themeColor="text1"/>
        </w:rPr>
        <w:t>Remisian</w:t>
      </w:r>
      <w:proofErr w:type="spellEnd"/>
      <w:r w:rsidRPr="00847B84">
        <w:rPr>
          <w:color w:val="000000" w:themeColor="text1"/>
        </w:rPr>
        <w:t xml:space="preserve"> citizenship.</w:t>
      </w:r>
    </w:p>
    <w:p w14:paraId="0A5D98AC" w14:textId="77777777" w:rsidR="007C5844" w:rsidRPr="00847B84" w:rsidRDefault="007C5844" w:rsidP="007C5844">
      <w:pPr>
        <w:ind w:firstLine="720"/>
        <w:rPr>
          <w:color w:val="000000" w:themeColor="text1"/>
        </w:rPr>
      </w:pPr>
      <w:r w:rsidRPr="00847B84">
        <w:rPr>
          <w:i/>
          <w:iCs/>
          <w:color w:val="000000" w:themeColor="text1"/>
        </w:rPr>
        <w:t>Second</w:t>
      </w:r>
      <w:r w:rsidRPr="00847B84">
        <w:rPr>
          <w:color w:val="000000" w:themeColor="text1"/>
        </w:rPr>
        <w:t xml:space="preserve">, the </w:t>
      </w:r>
      <w:r w:rsidRPr="00847B84">
        <w:rPr>
          <w:i/>
          <w:iCs/>
          <w:color w:val="000000" w:themeColor="text1"/>
        </w:rPr>
        <w:t xml:space="preserve">Gulf of Maine </w:t>
      </w:r>
      <w:r w:rsidRPr="00847B84">
        <w:rPr>
          <w:color w:val="000000" w:themeColor="text1"/>
        </w:rPr>
        <w:t xml:space="preserve">and </w:t>
      </w:r>
      <w:r w:rsidRPr="00847B84">
        <w:rPr>
          <w:i/>
          <w:iCs/>
          <w:color w:val="000000" w:themeColor="text1"/>
        </w:rPr>
        <w:t xml:space="preserve">Legal Status of Eastern Greenland </w:t>
      </w:r>
      <w:r w:rsidRPr="00847B84">
        <w:rPr>
          <w:color w:val="000000" w:themeColor="text1"/>
        </w:rPr>
        <w:t>cases provide that conduct is authorized and unconditional if it is made by an organ competent to bind the State</w:t>
      </w:r>
      <w:r w:rsidRPr="00847B84">
        <w:rPr>
          <w:rStyle w:val="FootnoteReference"/>
          <w:color w:val="000000" w:themeColor="text1"/>
        </w:rPr>
        <w:footnoteReference w:id="186"/>
      </w:r>
      <w:r w:rsidRPr="00847B84">
        <w:rPr>
          <w:color w:val="000000" w:themeColor="text1"/>
        </w:rPr>
        <w:t xml:space="preserve"> without express conditions.</w:t>
      </w:r>
      <w:r w:rsidRPr="00847B84">
        <w:rPr>
          <w:rStyle w:val="FootnoteReference"/>
          <w:color w:val="000000" w:themeColor="text1"/>
        </w:rPr>
        <w:footnoteReference w:id="187"/>
      </w:r>
      <w:r w:rsidRPr="00847B84">
        <w:rPr>
          <w:color w:val="000000" w:themeColor="text1"/>
        </w:rPr>
        <w:t xml:space="preserve"> The immigration officer, as an officer exercising elements of governmental authority with respect to the entry of aliens,</w:t>
      </w:r>
      <w:r w:rsidRPr="00847B84">
        <w:rPr>
          <w:rStyle w:val="FootnoteReference"/>
          <w:color w:val="000000" w:themeColor="text1"/>
        </w:rPr>
        <w:footnoteReference w:id="188"/>
      </w:r>
      <w:r w:rsidRPr="00847B84">
        <w:rPr>
          <w:color w:val="000000" w:themeColor="text1"/>
        </w:rPr>
        <w:t xml:space="preserve"> is capable of binding </w:t>
      </w:r>
      <w:proofErr w:type="spellStart"/>
      <w:r w:rsidRPr="00847B84">
        <w:rPr>
          <w:color w:val="000000" w:themeColor="text1"/>
        </w:rPr>
        <w:t>Antrano</w:t>
      </w:r>
      <w:proofErr w:type="spellEnd"/>
      <w:r w:rsidRPr="00847B84">
        <w:rPr>
          <w:color w:val="000000" w:themeColor="text1"/>
        </w:rPr>
        <w:t xml:space="preserve">. </w:t>
      </w:r>
      <w:r w:rsidRPr="00847B84">
        <w:rPr>
          <w:color w:val="000000" w:themeColor="text1"/>
        </w:rPr>
        <w:lastRenderedPageBreak/>
        <w:t xml:space="preserve">Moreover, the immigration officer did not attach conditions to his acceptance of Saki Shaw’s </w:t>
      </w:r>
      <w:proofErr w:type="spellStart"/>
      <w:r w:rsidRPr="00847B84">
        <w:rPr>
          <w:color w:val="000000" w:themeColor="text1"/>
        </w:rPr>
        <w:t>Remisian</w:t>
      </w:r>
      <w:proofErr w:type="spellEnd"/>
      <w:r w:rsidRPr="00847B84">
        <w:rPr>
          <w:color w:val="000000" w:themeColor="text1"/>
        </w:rPr>
        <w:t xml:space="preserve"> passport. Thus, the immigration officer’s conduct is voluntary, authorized, and unconditional.</w:t>
      </w:r>
    </w:p>
    <w:p w14:paraId="43B6B675" w14:textId="77777777" w:rsidR="007C5844" w:rsidRPr="00847B84" w:rsidRDefault="007C5844" w:rsidP="007C5844">
      <w:pPr>
        <w:ind w:firstLine="720"/>
        <w:rPr>
          <w:color w:val="000000" w:themeColor="text1"/>
        </w:rPr>
      </w:pPr>
      <w:r w:rsidRPr="00847B84">
        <w:rPr>
          <w:i/>
          <w:iCs/>
          <w:color w:val="000000" w:themeColor="text1"/>
        </w:rPr>
        <w:t>Third</w:t>
      </w:r>
      <w:r w:rsidRPr="00847B84">
        <w:rPr>
          <w:color w:val="000000" w:themeColor="text1"/>
        </w:rPr>
        <w:t>, the party relying on a State’s conduct must have been prejudiced for estoppel to lie.</w:t>
      </w:r>
      <w:r w:rsidRPr="00847B84">
        <w:rPr>
          <w:rStyle w:val="FootnoteReference"/>
          <w:color w:val="000000" w:themeColor="text1"/>
        </w:rPr>
        <w:footnoteReference w:id="189"/>
      </w:r>
      <w:r w:rsidRPr="00847B84">
        <w:rPr>
          <w:color w:val="000000" w:themeColor="text1"/>
        </w:rPr>
        <w:t xml:space="preserve"> </w:t>
      </w:r>
      <w:proofErr w:type="spellStart"/>
      <w:r w:rsidRPr="00847B84">
        <w:rPr>
          <w:color w:val="000000" w:themeColor="text1"/>
        </w:rPr>
        <w:t>Antrano’s</w:t>
      </w:r>
      <w:proofErr w:type="spellEnd"/>
      <w:r w:rsidRPr="00847B84">
        <w:rPr>
          <w:color w:val="000000" w:themeColor="text1"/>
        </w:rPr>
        <w:t xml:space="preserve"> sudden turnaround and refusal to recognize Saki Shaw’s </w:t>
      </w:r>
      <w:proofErr w:type="spellStart"/>
      <w:r w:rsidRPr="00847B84">
        <w:rPr>
          <w:color w:val="000000" w:themeColor="text1"/>
        </w:rPr>
        <w:t>Remisian</w:t>
      </w:r>
      <w:proofErr w:type="spellEnd"/>
      <w:r w:rsidRPr="00847B84">
        <w:rPr>
          <w:color w:val="000000" w:themeColor="text1"/>
        </w:rPr>
        <w:t xml:space="preserve"> citizenship caused her prejudice as she was ultimately refused access to </w:t>
      </w:r>
      <w:proofErr w:type="spellStart"/>
      <w:r w:rsidRPr="00847B84">
        <w:rPr>
          <w:color w:val="000000" w:themeColor="text1"/>
        </w:rPr>
        <w:t>Remisian</w:t>
      </w:r>
      <w:proofErr w:type="spellEnd"/>
      <w:r w:rsidRPr="00847B84">
        <w:rPr>
          <w:color w:val="000000" w:themeColor="text1"/>
        </w:rPr>
        <w:t xml:space="preserve"> consular representatives during her detention.</w:t>
      </w:r>
      <w:r w:rsidRPr="00847B84">
        <w:rPr>
          <w:rStyle w:val="FootnoteReference"/>
          <w:color w:val="000000" w:themeColor="text1"/>
        </w:rPr>
        <w:footnoteReference w:id="190"/>
      </w:r>
    </w:p>
    <w:p w14:paraId="53827447" w14:textId="77777777" w:rsidR="007C5844" w:rsidRPr="00847B84" w:rsidRDefault="007C5844" w:rsidP="007C5844">
      <w:pPr>
        <w:ind w:firstLine="720"/>
        <w:rPr>
          <w:color w:val="000000" w:themeColor="text1"/>
        </w:rPr>
      </w:pPr>
      <w:r w:rsidRPr="00847B84">
        <w:rPr>
          <w:i/>
          <w:iCs/>
          <w:color w:val="000000" w:themeColor="text1"/>
        </w:rPr>
        <w:t>Finally</w:t>
      </w:r>
      <w:r w:rsidRPr="00847B84">
        <w:rPr>
          <w:color w:val="000000" w:themeColor="text1"/>
        </w:rPr>
        <w:t>, estoppel may lie against a State, despite the lack of ‘good faith reliance’ on the part of the party claiming estoppel.</w:t>
      </w:r>
      <w:r w:rsidRPr="00847B84">
        <w:rPr>
          <w:rStyle w:val="FootnoteReference"/>
          <w:color w:val="000000" w:themeColor="text1"/>
        </w:rPr>
        <w:footnoteReference w:id="191"/>
      </w:r>
      <w:r w:rsidRPr="00847B84">
        <w:rPr>
          <w:color w:val="000000" w:themeColor="text1"/>
        </w:rPr>
        <w:t xml:space="preserve"> In </w:t>
      </w:r>
      <w:r w:rsidRPr="00847B84">
        <w:rPr>
          <w:i/>
          <w:iCs/>
          <w:color w:val="000000" w:themeColor="text1"/>
        </w:rPr>
        <w:t>Pious Fund of California</w:t>
      </w:r>
      <w:r w:rsidRPr="00847B84">
        <w:rPr>
          <w:color w:val="000000" w:themeColor="text1"/>
        </w:rPr>
        <w:t>,</w:t>
      </w:r>
      <w:r w:rsidRPr="00847B84">
        <w:rPr>
          <w:rStyle w:val="FootnoteReference"/>
          <w:color w:val="000000" w:themeColor="text1"/>
        </w:rPr>
        <w:footnoteReference w:id="192"/>
      </w:r>
      <w:r w:rsidRPr="00847B84">
        <w:rPr>
          <w:color w:val="000000" w:themeColor="text1"/>
        </w:rPr>
        <w:t xml:space="preserve"> </w:t>
      </w:r>
      <w:r w:rsidRPr="00847B84">
        <w:rPr>
          <w:i/>
          <w:iCs/>
          <w:color w:val="000000" w:themeColor="text1"/>
        </w:rPr>
        <w:t>Anglo-Fisheries</w:t>
      </w:r>
      <w:r w:rsidRPr="00847B84">
        <w:rPr>
          <w:color w:val="000000" w:themeColor="text1"/>
        </w:rPr>
        <w:t>,</w:t>
      </w:r>
      <w:r w:rsidRPr="00847B84">
        <w:rPr>
          <w:rStyle w:val="FootnoteReference"/>
          <w:color w:val="000000" w:themeColor="text1"/>
        </w:rPr>
        <w:footnoteReference w:id="193"/>
      </w:r>
      <w:r w:rsidRPr="00847B84">
        <w:rPr>
          <w:color w:val="000000" w:themeColor="text1"/>
        </w:rPr>
        <w:t xml:space="preserve"> and </w:t>
      </w:r>
      <w:r w:rsidRPr="00847B84">
        <w:rPr>
          <w:i/>
          <w:iCs/>
          <w:color w:val="000000" w:themeColor="text1"/>
        </w:rPr>
        <w:t>Russian Indemnity</w:t>
      </w:r>
      <w:r w:rsidRPr="00847B84">
        <w:rPr>
          <w:color w:val="000000" w:themeColor="text1"/>
        </w:rPr>
        <w:t>,</w:t>
      </w:r>
      <w:r w:rsidRPr="00847B84">
        <w:rPr>
          <w:rStyle w:val="FootnoteReference"/>
          <w:color w:val="000000" w:themeColor="text1"/>
        </w:rPr>
        <w:footnoteReference w:id="194"/>
      </w:r>
      <w:r w:rsidRPr="00847B84">
        <w:rPr>
          <w:color w:val="000000" w:themeColor="text1"/>
        </w:rPr>
        <w:t xml:space="preserve"> acts gave rise to estoppel despite the lack of good faith reliance. Thus, </w:t>
      </w:r>
      <w:proofErr w:type="spellStart"/>
      <w:r w:rsidRPr="00847B84">
        <w:rPr>
          <w:color w:val="000000" w:themeColor="text1"/>
        </w:rPr>
        <w:t>Remisia</w:t>
      </w:r>
      <w:proofErr w:type="spellEnd"/>
      <w:r w:rsidRPr="00847B84">
        <w:rPr>
          <w:color w:val="000000" w:themeColor="text1"/>
        </w:rPr>
        <w:t xml:space="preserve"> need not prove ‘good faith reliance’ on Saki Shaw’s part for estoppel to lie against </w:t>
      </w:r>
      <w:proofErr w:type="spellStart"/>
      <w:r w:rsidRPr="00847B84">
        <w:rPr>
          <w:color w:val="000000" w:themeColor="text1"/>
        </w:rPr>
        <w:t>Antrano</w:t>
      </w:r>
      <w:proofErr w:type="spellEnd"/>
      <w:r w:rsidRPr="00847B84">
        <w:rPr>
          <w:color w:val="000000" w:themeColor="text1"/>
        </w:rPr>
        <w:t xml:space="preserve">. </w:t>
      </w:r>
    </w:p>
    <w:p w14:paraId="615B53A6" w14:textId="77777777" w:rsidR="00C128A8" w:rsidRPr="00847B84" w:rsidRDefault="00C128A8" w:rsidP="00C128A8">
      <w:pPr>
        <w:pStyle w:val="Heading3"/>
      </w:pPr>
      <w:bookmarkStart w:id="69" w:name="_Toc156019739"/>
      <w:r w:rsidRPr="00847B84">
        <w:t xml:space="preserve">In turn, </w:t>
      </w:r>
      <w:proofErr w:type="spellStart"/>
      <w:r w:rsidRPr="00847B84">
        <w:t>Antrano</w:t>
      </w:r>
      <w:proofErr w:type="spellEnd"/>
      <w:r w:rsidRPr="00847B84">
        <w:t xml:space="preserve"> violated </w:t>
      </w:r>
      <w:proofErr w:type="spellStart"/>
      <w:r w:rsidRPr="00847B84">
        <w:t>Remisia’s</w:t>
      </w:r>
      <w:proofErr w:type="spellEnd"/>
      <w:r w:rsidRPr="00847B84">
        <w:t xml:space="preserve"> rights to consular notification, visitation, and communication with respect to its detained national.</w:t>
      </w:r>
      <w:bookmarkEnd w:id="69"/>
    </w:p>
    <w:p w14:paraId="65B6115F" w14:textId="1BCCCF5D" w:rsidR="007C5844" w:rsidRPr="00847B84" w:rsidRDefault="007C5844" w:rsidP="007C5844">
      <w:pPr>
        <w:ind w:firstLine="720"/>
        <w:rPr>
          <w:color w:val="000000" w:themeColor="text1"/>
        </w:rPr>
      </w:pPr>
      <w:r w:rsidRPr="00847B84">
        <w:rPr>
          <w:color w:val="000000" w:themeColor="text1"/>
        </w:rPr>
        <w:t xml:space="preserve">Article 36(1) of the VCCR requires receiving States to notify without delay the consular post of the sending State whenever a national of the sending State </w:t>
      </w:r>
      <w:r w:rsidR="00F85CC6" w:rsidRPr="00847B84">
        <w:rPr>
          <w:color w:val="000000" w:themeColor="text1"/>
        </w:rPr>
        <w:t>is</w:t>
      </w:r>
      <w:r w:rsidRPr="00847B84">
        <w:rPr>
          <w:color w:val="000000" w:themeColor="text1"/>
        </w:rPr>
        <w:t xml:space="preserve"> detained in the former’s territory.</w:t>
      </w:r>
      <w:r w:rsidRPr="00847B84">
        <w:rPr>
          <w:rStyle w:val="FootnoteReference"/>
          <w:color w:val="000000" w:themeColor="text1"/>
        </w:rPr>
        <w:footnoteReference w:id="195"/>
      </w:r>
      <w:r w:rsidRPr="00847B84">
        <w:rPr>
          <w:color w:val="000000" w:themeColor="text1"/>
        </w:rPr>
        <w:t xml:space="preserve"> In </w:t>
      </w:r>
      <w:proofErr w:type="spellStart"/>
      <w:r w:rsidRPr="00847B84">
        <w:rPr>
          <w:i/>
          <w:iCs/>
          <w:color w:val="000000" w:themeColor="text1"/>
        </w:rPr>
        <w:t>Avena</w:t>
      </w:r>
      <w:proofErr w:type="spellEnd"/>
      <w:r w:rsidRPr="00847B84">
        <w:rPr>
          <w:color w:val="000000" w:themeColor="text1"/>
        </w:rPr>
        <w:t xml:space="preserve">, the Court held that the obligation to notify arises once </w:t>
      </w:r>
      <w:r w:rsidR="00EA0146" w:rsidRPr="00847B84">
        <w:rPr>
          <w:color w:val="000000" w:themeColor="text1"/>
        </w:rPr>
        <w:t>a State</w:t>
      </w:r>
      <w:r w:rsidRPr="00847B84">
        <w:rPr>
          <w:color w:val="000000" w:themeColor="text1"/>
        </w:rPr>
        <w:t xml:space="preserve"> realize</w:t>
      </w:r>
      <w:r w:rsidR="007E30E4" w:rsidRPr="00847B84">
        <w:rPr>
          <w:color w:val="000000" w:themeColor="text1"/>
        </w:rPr>
        <w:t>s</w:t>
      </w:r>
      <w:r w:rsidRPr="00847B84">
        <w:rPr>
          <w:color w:val="000000" w:themeColor="text1"/>
        </w:rPr>
        <w:t xml:space="preserve"> that the person in </w:t>
      </w:r>
      <w:r w:rsidR="007E30E4" w:rsidRPr="00847B84">
        <w:rPr>
          <w:color w:val="000000" w:themeColor="text1"/>
        </w:rPr>
        <w:t xml:space="preserve">its </w:t>
      </w:r>
      <w:r w:rsidRPr="00847B84">
        <w:rPr>
          <w:color w:val="000000" w:themeColor="text1"/>
        </w:rPr>
        <w:t>custody is a foreign national.</w:t>
      </w:r>
      <w:r w:rsidRPr="00847B84">
        <w:rPr>
          <w:rStyle w:val="FootnoteReference"/>
          <w:color w:val="000000" w:themeColor="text1"/>
        </w:rPr>
        <w:footnoteReference w:id="196"/>
      </w:r>
      <w:r w:rsidRPr="00847B84">
        <w:rPr>
          <w:color w:val="000000" w:themeColor="text1"/>
        </w:rPr>
        <w:t xml:space="preserve"> Here, </w:t>
      </w:r>
      <w:proofErr w:type="spellStart"/>
      <w:r w:rsidRPr="00847B84">
        <w:rPr>
          <w:color w:val="000000" w:themeColor="text1"/>
        </w:rPr>
        <w:t>Antranan</w:t>
      </w:r>
      <w:proofErr w:type="spellEnd"/>
      <w:r w:rsidRPr="00847B84">
        <w:rPr>
          <w:color w:val="000000" w:themeColor="text1"/>
        </w:rPr>
        <w:t xml:space="preserve"> authorities knew from the </w:t>
      </w:r>
      <w:r w:rsidRPr="00847B84">
        <w:rPr>
          <w:color w:val="000000" w:themeColor="text1"/>
        </w:rPr>
        <w:lastRenderedPageBreak/>
        <w:t xml:space="preserve">beginning that Saki Shaw was a </w:t>
      </w:r>
      <w:proofErr w:type="spellStart"/>
      <w:r w:rsidRPr="00847B84">
        <w:rPr>
          <w:color w:val="000000" w:themeColor="text1"/>
        </w:rPr>
        <w:t>Remisian</w:t>
      </w:r>
      <w:proofErr w:type="spellEnd"/>
      <w:r w:rsidRPr="00847B84">
        <w:rPr>
          <w:color w:val="000000" w:themeColor="text1"/>
        </w:rPr>
        <w:t xml:space="preserve"> national.</w:t>
      </w:r>
      <w:r w:rsidRPr="00847B84">
        <w:rPr>
          <w:rStyle w:val="FootnoteReference"/>
          <w:color w:val="000000" w:themeColor="text1"/>
        </w:rPr>
        <w:footnoteReference w:id="197"/>
      </w:r>
      <w:r w:rsidRPr="00847B84">
        <w:rPr>
          <w:color w:val="000000" w:themeColor="text1"/>
        </w:rPr>
        <w:t xml:space="preserve"> By failing to notify </w:t>
      </w:r>
      <w:proofErr w:type="spellStart"/>
      <w:r w:rsidRPr="00847B84">
        <w:rPr>
          <w:color w:val="000000" w:themeColor="text1"/>
        </w:rPr>
        <w:t>Remisia</w:t>
      </w:r>
      <w:proofErr w:type="spellEnd"/>
      <w:r w:rsidRPr="00847B84">
        <w:rPr>
          <w:color w:val="000000" w:themeColor="text1"/>
        </w:rPr>
        <w:t xml:space="preserve"> of</w:t>
      </w:r>
      <w:r w:rsidR="007E30E4" w:rsidRPr="00847B84">
        <w:rPr>
          <w:color w:val="000000" w:themeColor="text1"/>
        </w:rPr>
        <w:t xml:space="preserve"> </w:t>
      </w:r>
      <w:r w:rsidRPr="00847B84">
        <w:rPr>
          <w:color w:val="000000" w:themeColor="text1"/>
        </w:rPr>
        <w:t xml:space="preserve">her detention, </w:t>
      </w:r>
      <w:proofErr w:type="spellStart"/>
      <w:r w:rsidRPr="00847B84">
        <w:rPr>
          <w:color w:val="000000" w:themeColor="text1"/>
        </w:rPr>
        <w:t>Antrano</w:t>
      </w:r>
      <w:proofErr w:type="spellEnd"/>
      <w:r w:rsidRPr="00847B84">
        <w:rPr>
          <w:color w:val="000000" w:themeColor="text1"/>
        </w:rPr>
        <w:t xml:space="preserve"> violated </w:t>
      </w:r>
      <w:proofErr w:type="spellStart"/>
      <w:r w:rsidRPr="00847B84">
        <w:rPr>
          <w:color w:val="000000" w:themeColor="text1"/>
        </w:rPr>
        <w:t>Remisia’s</w:t>
      </w:r>
      <w:proofErr w:type="spellEnd"/>
      <w:r w:rsidRPr="00847B84">
        <w:rPr>
          <w:color w:val="000000" w:themeColor="text1"/>
        </w:rPr>
        <w:t xml:space="preserve"> right to be notified under Article 36(1).</w:t>
      </w:r>
    </w:p>
    <w:p w14:paraId="14C55317" w14:textId="5C618394" w:rsidR="007C5844" w:rsidRPr="00847B84" w:rsidRDefault="007C5844" w:rsidP="007C5844">
      <w:pPr>
        <w:ind w:firstLine="720"/>
        <w:rPr>
          <w:color w:val="000000" w:themeColor="text1"/>
        </w:rPr>
      </w:pPr>
      <w:r w:rsidRPr="00847B84">
        <w:rPr>
          <w:color w:val="000000" w:themeColor="text1"/>
        </w:rPr>
        <w:t>Article 36(1) also guarantees a sending State’s right to communicate with and visit its detained nationals, so as to arrange for their representation.</w:t>
      </w:r>
      <w:r w:rsidRPr="00847B84">
        <w:rPr>
          <w:rStyle w:val="FootnoteReference"/>
          <w:color w:val="000000" w:themeColor="text1"/>
        </w:rPr>
        <w:footnoteReference w:id="198"/>
      </w:r>
      <w:r w:rsidRPr="00847B84">
        <w:rPr>
          <w:color w:val="000000" w:themeColor="text1"/>
        </w:rPr>
        <w:t xml:space="preserve"> </w:t>
      </w:r>
      <w:proofErr w:type="spellStart"/>
      <w:r w:rsidRPr="00847B84">
        <w:rPr>
          <w:color w:val="000000" w:themeColor="text1"/>
        </w:rPr>
        <w:t>Antrano’s</w:t>
      </w:r>
      <w:proofErr w:type="spellEnd"/>
      <w:r w:rsidRPr="00847B84">
        <w:rPr>
          <w:color w:val="000000" w:themeColor="text1"/>
        </w:rPr>
        <w:t xml:space="preserve"> refusal to let </w:t>
      </w:r>
      <w:proofErr w:type="spellStart"/>
      <w:r w:rsidRPr="00847B84">
        <w:rPr>
          <w:color w:val="000000" w:themeColor="text1"/>
        </w:rPr>
        <w:t>Remisian</w:t>
      </w:r>
      <w:proofErr w:type="spellEnd"/>
      <w:r w:rsidRPr="00847B84">
        <w:rPr>
          <w:color w:val="000000" w:themeColor="text1"/>
        </w:rPr>
        <w:t xml:space="preserve"> consular officers visit Saki Shaw and </w:t>
      </w:r>
      <w:r w:rsidR="00E71324" w:rsidRPr="00847B84">
        <w:rPr>
          <w:color w:val="000000" w:themeColor="text1"/>
        </w:rPr>
        <w:t xml:space="preserve">its </w:t>
      </w:r>
      <w:r w:rsidRPr="00847B84">
        <w:rPr>
          <w:color w:val="000000" w:themeColor="text1"/>
        </w:rPr>
        <w:t xml:space="preserve">failure to provide </w:t>
      </w:r>
      <w:proofErr w:type="spellStart"/>
      <w:r w:rsidRPr="00847B84">
        <w:rPr>
          <w:color w:val="000000" w:themeColor="text1"/>
        </w:rPr>
        <w:t>Remisia</w:t>
      </w:r>
      <w:proofErr w:type="spellEnd"/>
      <w:r w:rsidRPr="00847B84">
        <w:rPr>
          <w:color w:val="000000" w:themeColor="text1"/>
        </w:rPr>
        <w:t xml:space="preserve"> with an opportunity to arrange for Saki Shaw’s legal representation violate </w:t>
      </w:r>
      <w:proofErr w:type="spellStart"/>
      <w:r w:rsidRPr="00847B84">
        <w:rPr>
          <w:color w:val="000000" w:themeColor="text1"/>
        </w:rPr>
        <w:t>Remisia’s</w:t>
      </w:r>
      <w:proofErr w:type="spellEnd"/>
      <w:r w:rsidRPr="00847B84">
        <w:rPr>
          <w:color w:val="000000" w:themeColor="text1"/>
        </w:rPr>
        <w:t xml:space="preserve"> VCCR rights.</w:t>
      </w:r>
      <w:r w:rsidRPr="00847B84">
        <w:rPr>
          <w:rStyle w:val="FootnoteReference"/>
          <w:color w:val="000000" w:themeColor="text1"/>
        </w:rPr>
        <w:footnoteReference w:id="199"/>
      </w:r>
    </w:p>
    <w:p w14:paraId="3F942D28" w14:textId="77777777" w:rsidR="00C128A8" w:rsidRPr="00847B84" w:rsidRDefault="00C128A8" w:rsidP="00C128A8">
      <w:pPr>
        <w:pStyle w:val="Heading3"/>
      </w:pPr>
      <w:bookmarkStart w:id="70" w:name="_Toc156019740"/>
      <w:proofErr w:type="spellStart"/>
      <w:r w:rsidRPr="00847B84">
        <w:t>Antrano</w:t>
      </w:r>
      <w:proofErr w:type="spellEnd"/>
      <w:r w:rsidRPr="00847B84">
        <w:t xml:space="preserve"> violated Saki Shaw’s individual rights under the VCCR and ICCPR.</w:t>
      </w:r>
      <w:bookmarkEnd w:id="70"/>
    </w:p>
    <w:p w14:paraId="2A933F1F" w14:textId="37542E3E" w:rsidR="007C5844" w:rsidRPr="00847B84" w:rsidRDefault="007C5844" w:rsidP="007C5844">
      <w:pPr>
        <w:ind w:firstLine="720"/>
        <w:rPr>
          <w:color w:val="000000" w:themeColor="text1"/>
        </w:rPr>
      </w:pPr>
      <w:r w:rsidRPr="00847B84">
        <w:t xml:space="preserve">The Court in </w:t>
      </w:r>
      <w:r w:rsidRPr="00847B84">
        <w:rPr>
          <w:i/>
          <w:color w:val="000000"/>
        </w:rPr>
        <w:t>Jadhav</w:t>
      </w:r>
      <w:r w:rsidRPr="00847B84">
        <w:rPr>
          <w:color w:val="000000"/>
        </w:rPr>
        <w:t xml:space="preserve"> ha</w:t>
      </w:r>
      <w:r w:rsidR="00F85CC6" w:rsidRPr="00847B84">
        <w:rPr>
          <w:color w:val="000000"/>
        </w:rPr>
        <w:t>s</w:t>
      </w:r>
      <w:r w:rsidRPr="00847B84">
        <w:rPr>
          <w:color w:val="000000"/>
        </w:rPr>
        <w:t xml:space="preserve"> affirmed </w:t>
      </w:r>
      <w:r w:rsidR="00F85CC6" w:rsidRPr="00847B84">
        <w:rPr>
          <w:color w:val="000000"/>
        </w:rPr>
        <w:t xml:space="preserve">that Article 36(1) of the VCCR </w:t>
      </w:r>
      <w:r w:rsidRPr="00847B84">
        <w:rPr>
          <w:color w:val="000000"/>
        </w:rPr>
        <w:t>grants nationals of a sending State individually enforceable rights to have access to</w:t>
      </w:r>
      <w:r w:rsidR="00F85CC6" w:rsidRPr="00847B84">
        <w:rPr>
          <w:color w:val="000000"/>
        </w:rPr>
        <w:t xml:space="preserve"> </w:t>
      </w:r>
      <w:r w:rsidRPr="00847B84">
        <w:rPr>
          <w:color w:val="000000"/>
        </w:rPr>
        <w:t>consular officers of the sending State.</w:t>
      </w:r>
      <w:r w:rsidR="00F85CC6" w:rsidRPr="00847B84">
        <w:rPr>
          <w:color w:val="000000"/>
          <w:vertAlign w:val="superscript"/>
        </w:rPr>
        <w:footnoteReference w:id="200"/>
      </w:r>
      <w:r w:rsidRPr="00847B84">
        <w:rPr>
          <w:color w:val="000000"/>
        </w:rPr>
        <w:t xml:space="preserve"> </w:t>
      </w:r>
      <w:r w:rsidR="00F85CC6" w:rsidRPr="00847B84">
        <w:rPr>
          <w:color w:val="000000"/>
        </w:rPr>
        <w:t>Thus</w:t>
      </w:r>
      <w:r w:rsidRPr="00847B84">
        <w:rPr>
          <w:color w:val="000000"/>
        </w:rPr>
        <w:t xml:space="preserve">, </w:t>
      </w:r>
      <w:proofErr w:type="spellStart"/>
      <w:r w:rsidRPr="00847B84">
        <w:rPr>
          <w:color w:val="000000" w:themeColor="text1"/>
        </w:rPr>
        <w:t>Antrano’s</w:t>
      </w:r>
      <w:proofErr w:type="spellEnd"/>
      <w:r w:rsidRPr="00847B84">
        <w:rPr>
          <w:color w:val="000000" w:themeColor="text1"/>
        </w:rPr>
        <w:t xml:space="preserve"> refusal to provide Saki Shaw access to </w:t>
      </w:r>
      <w:proofErr w:type="spellStart"/>
      <w:r w:rsidRPr="00847B84">
        <w:rPr>
          <w:color w:val="000000" w:themeColor="text1"/>
        </w:rPr>
        <w:t>Remisian</w:t>
      </w:r>
      <w:proofErr w:type="spellEnd"/>
      <w:r w:rsidRPr="00847B84">
        <w:rPr>
          <w:color w:val="000000" w:themeColor="text1"/>
        </w:rPr>
        <w:t xml:space="preserve"> consular representatives during her detention violated her rights under the VCCR.</w:t>
      </w:r>
    </w:p>
    <w:p w14:paraId="6DE9562F" w14:textId="46205A8B" w:rsidR="007C5844" w:rsidRPr="00847B84" w:rsidRDefault="007C5844" w:rsidP="007C5844">
      <w:pPr>
        <w:ind w:firstLine="720"/>
        <w:rPr>
          <w:rFonts w:eastAsia="TimesNewRomanPSMT"/>
        </w:rPr>
      </w:pPr>
      <w:r w:rsidRPr="00847B84">
        <w:rPr>
          <w:color w:val="000000" w:themeColor="text1"/>
        </w:rPr>
        <w:t xml:space="preserve">Separately, </w:t>
      </w:r>
      <w:r w:rsidRPr="00847B84">
        <w:rPr>
          <w:color w:val="000000"/>
        </w:rPr>
        <w:t>Article 14 of the ICCPR provides minimum due process guarantees to individuals facing courts and tribunals, regardless of the nature of the proceedings before such bodies.</w:t>
      </w:r>
      <w:r w:rsidRPr="00847B84">
        <w:rPr>
          <w:color w:val="000000"/>
          <w:vertAlign w:val="superscript"/>
        </w:rPr>
        <w:footnoteReference w:id="201"/>
      </w:r>
      <w:r w:rsidRPr="00847B84">
        <w:rPr>
          <w:color w:val="000000"/>
        </w:rPr>
        <w:t xml:space="preserve"> It includes the right to be given facilities for one’s defense, including legal representation of one’s choosing.</w:t>
      </w:r>
      <w:r w:rsidRPr="00847B84">
        <w:rPr>
          <w:color w:val="000000"/>
          <w:vertAlign w:val="superscript"/>
        </w:rPr>
        <w:footnoteReference w:id="202"/>
      </w:r>
      <w:r w:rsidRPr="00847B84">
        <w:rPr>
          <w:i/>
          <w:iCs/>
          <w:color w:val="000000"/>
        </w:rPr>
        <w:t xml:space="preserve"> </w:t>
      </w:r>
      <w:r w:rsidRPr="00847B84">
        <w:rPr>
          <w:color w:val="000000"/>
        </w:rPr>
        <w:t xml:space="preserve">In </w:t>
      </w:r>
      <w:r w:rsidRPr="00847B84">
        <w:rPr>
          <w:i/>
          <w:iCs/>
          <w:color w:val="000000"/>
        </w:rPr>
        <w:t>Jadhav</w:t>
      </w:r>
      <w:r w:rsidRPr="00847B84">
        <w:rPr>
          <w:color w:val="000000"/>
        </w:rPr>
        <w:t>, Judge Robinson opined that the right to consular access is amongst the guarantees in Article 14 as it is tied to the ability of an individual to defend herself before a competent tribunal.</w:t>
      </w:r>
      <w:r w:rsidRPr="00847B84">
        <w:rPr>
          <w:color w:val="000000"/>
          <w:vertAlign w:val="superscript"/>
        </w:rPr>
        <w:footnoteReference w:id="203"/>
      </w:r>
      <w:r w:rsidRPr="00847B84">
        <w:rPr>
          <w:color w:val="000000"/>
        </w:rPr>
        <w:t xml:space="preserve"> Thus, </w:t>
      </w:r>
      <w:proofErr w:type="spellStart"/>
      <w:r w:rsidRPr="00847B84">
        <w:rPr>
          <w:color w:val="000000"/>
        </w:rPr>
        <w:t>Antrano</w:t>
      </w:r>
      <w:proofErr w:type="spellEnd"/>
      <w:r w:rsidRPr="00847B84">
        <w:rPr>
          <w:color w:val="000000"/>
        </w:rPr>
        <w:t xml:space="preserve"> also violated the ICCPR.</w:t>
      </w:r>
      <w:r w:rsidRPr="00847B84">
        <w:rPr>
          <w:rFonts w:eastAsia="TimesNewRomanPSMT"/>
        </w:rPr>
        <w:t xml:space="preserve"> </w:t>
      </w:r>
    </w:p>
    <w:p w14:paraId="0C189E9E" w14:textId="42A283FF" w:rsidR="005A62A6" w:rsidRPr="00847B84" w:rsidRDefault="005A62A6" w:rsidP="002373ED">
      <w:pPr>
        <w:pStyle w:val="Heading2"/>
        <w:numPr>
          <w:ilvl w:val="0"/>
          <w:numId w:val="96"/>
        </w:numPr>
        <w:ind w:left="360" w:hanging="360"/>
        <w:rPr>
          <w:color w:val="000000"/>
        </w:rPr>
      </w:pPr>
      <w:bookmarkStart w:id="71" w:name="_Toc156019741"/>
      <w:r w:rsidRPr="00847B84">
        <w:t xml:space="preserve">Remisia </w:t>
      </w:r>
      <w:r w:rsidR="00A007DD" w:rsidRPr="00847B84">
        <w:t>did not violate international law by refusing to allow dr. malex to enter remisia.</w:t>
      </w:r>
      <w:bookmarkEnd w:id="71"/>
      <w:r w:rsidR="00A007DD" w:rsidRPr="00847B84">
        <w:t xml:space="preserve"> </w:t>
      </w:r>
    </w:p>
    <w:p w14:paraId="514A5663" w14:textId="3C70F603" w:rsidR="007C5844" w:rsidRPr="00847B84" w:rsidRDefault="007C5844" w:rsidP="007C5844">
      <w:pPr>
        <w:ind w:firstLine="720"/>
      </w:pPr>
      <w:bookmarkStart w:id="72" w:name="_Toc92780865"/>
      <w:bookmarkStart w:id="73" w:name="_Toc92907378"/>
      <w:bookmarkStart w:id="74" w:name="_Toc92947796"/>
      <w:bookmarkStart w:id="75" w:name="_Toc92949371"/>
      <w:r w:rsidRPr="00847B84">
        <w:lastRenderedPageBreak/>
        <w:t>International law guarantees the protection of State sovereignty</w:t>
      </w:r>
      <w:r w:rsidRPr="00847B84">
        <w:rPr>
          <w:rStyle w:val="FootnoteReference"/>
        </w:rPr>
        <w:footnoteReference w:id="204"/>
      </w:r>
      <w:r w:rsidRPr="00847B84">
        <w:t xml:space="preserve"> and territorial integrity.</w:t>
      </w:r>
      <w:r w:rsidRPr="00847B84">
        <w:rPr>
          <w:rStyle w:val="FootnoteReference"/>
        </w:rPr>
        <w:footnoteReference w:id="205"/>
      </w:r>
      <w:r w:rsidRPr="00847B84">
        <w:t xml:space="preserve"> Pursuant to these principles and as recognized in the </w:t>
      </w:r>
      <w:r w:rsidRPr="00847B84">
        <w:rPr>
          <w:i/>
          <w:iCs/>
        </w:rPr>
        <w:t>Rights of Passage Case</w:t>
      </w:r>
      <w:r w:rsidRPr="00847B84">
        <w:t>, a State has the power to refuse the entry of foreign nationals absent binding international obligations to the contrary.</w:t>
      </w:r>
      <w:r w:rsidRPr="00847B84">
        <w:rPr>
          <w:rStyle w:val="FootnoteReference"/>
        </w:rPr>
        <w:footnoteReference w:id="206"/>
      </w:r>
      <w:r w:rsidRPr="00847B84">
        <w:t xml:space="preserve"> </w:t>
      </w:r>
      <w:r w:rsidR="00D829DA" w:rsidRPr="00847B84">
        <w:t>Thus</w:t>
      </w:r>
      <w:r w:rsidRPr="00847B84">
        <w:t xml:space="preserve">, </w:t>
      </w:r>
      <w:proofErr w:type="spellStart"/>
      <w:r w:rsidRPr="00847B84">
        <w:t>Remisia</w:t>
      </w:r>
      <w:proofErr w:type="spellEnd"/>
      <w:r w:rsidR="00D829DA" w:rsidRPr="00847B84">
        <w:t xml:space="preserve"> had the right to</w:t>
      </w:r>
      <w:r w:rsidRPr="00847B84">
        <w:t xml:space="preserve"> </w:t>
      </w:r>
      <w:r w:rsidR="00D829DA" w:rsidRPr="00847B84">
        <w:t>refuse</w:t>
      </w:r>
      <w:r w:rsidRPr="00847B84">
        <w:t xml:space="preserve"> Dr. </w:t>
      </w:r>
      <w:proofErr w:type="spellStart"/>
      <w:r w:rsidRPr="00847B84">
        <w:t>Malex’s</w:t>
      </w:r>
      <w:proofErr w:type="spellEnd"/>
      <w:r w:rsidRPr="00847B84">
        <w:t xml:space="preserve"> entry. While </w:t>
      </w:r>
      <w:proofErr w:type="spellStart"/>
      <w:r w:rsidRPr="00847B84">
        <w:t>Antrano</w:t>
      </w:r>
      <w:proofErr w:type="spellEnd"/>
      <w:r w:rsidRPr="00847B84">
        <w:t xml:space="preserve"> argues that </w:t>
      </w:r>
      <w:proofErr w:type="spellStart"/>
      <w:r w:rsidRPr="00847B84">
        <w:t>Remisia</w:t>
      </w:r>
      <w:proofErr w:type="spellEnd"/>
      <w:r w:rsidRPr="00847B84">
        <w:t xml:space="preserve"> was duty-bound to allow Dr. </w:t>
      </w:r>
      <w:proofErr w:type="spellStart"/>
      <w:r w:rsidRPr="00847B84">
        <w:t>Malex’s</w:t>
      </w:r>
      <w:proofErr w:type="spellEnd"/>
      <w:r w:rsidRPr="00847B84">
        <w:t xml:space="preserve"> entry pursuant to UNSC’s Resolution 99997, such argument holds no water because Resolution 99997 is procedurally and substantively infirm and, in any event, imposes no binding obligations on </w:t>
      </w:r>
      <w:proofErr w:type="spellStart"/>
      <w:r w:rsidRPr="00847B84">
        <w:t>Remisia</w:t>
      </w:r>
      <w:proofErr w:type="spellEnd"/>
      <w:r w:rsidRPr="00847B84">
        <w:t>.</w:t>
      </w:r>
    </w:p>
    <w:p w14:paraId="6FE3FD3A" w14:textId="4C79BFAF" w:rsidR="006578A7" w:rsidRPr="00847B84" w:rsidRDefault="006578A7" w:rsidP="00330691">
      <w:pPr>
        <w:pStyle w:val="Heading3"/>
        <w:numPr>
          <w:ilvl w:val="0"/>
          <w:numId w:val="78"/>
        </w:numPr>
        <w:ind w:left="720"/>
        <w:rPr>
          <w:lang w:val="en-US"/>
        </w:rPr>
      </w:pPr>
      <w:bookmarkStart w:id="76" w:name="_Toc156019742"/>
      <w:r w:rsidRPr="00847B84">
        <w:rPr>
          <w:lang w:val="en-US"/>
        </w:rPr>
        <w:t xml:space="preserve">Preliminarily, </w:t>
      </w:r>
      <w:r w:rsidR="00D829DA" w:rsidRPr="00847B84">
        <w:rPr>
          <w:lang w:val="en-US"/>
        </w:rPr>
        <w:t xml:space="preserve">the Court </w:t>
      </w:r>
      <w:r w:rsidR="00714BF0" w:rsidRPr="00847B84">
        <w:rPr>
          <w:lang w:val="en-US"/>
        </w:rPr>
        <w:t xml:space="preserve">must refuse to exercise jurisdiction over </w:t>
      </w:r>
      <w:proofErr w:type="spellStart"/>
      <w:r w:rsidR="00714BF0" w:rsidRPr="00847B84">
        <w:rPr>
          <w:lang w:val="en-US"/>
        </w:rPr>
        <w:t>Antrano’s</w:t>
      </w:r>
      <w:proofErr w:type="spellEnd"/>
      <w:r w:rsidR="00714BF0" w:rsidRPr="00847B84">
        <w:rPr>
          <w:lang w:val="en-US"/>
        </w:rPr>
        <w:t xml:space="preserve"> claims as the UNSC remains </w:t>
      </w:r>
      <w:r w:rsidR="00D829DA" w:rsidRPr="00847B84">
        <w:rPr>
          <w:lang w:val="en-US"/>
        </w:rPr>
        <w:t>“</w:t>
      </w:r>
      <w:r w:rsidR="00714BF0" w:rsidRPr="00847B84">
        <w:rPr>
          <w:lang w:val="en-US"/>
        </w:rPr>
        <w:t>seized of the matter</w:t>
      </w:r>
      <w:r w:rsidR="00D829DA" w:rsidRPr="00847B84">
        <w:rPr>
          <w:lang w:val="en-US"/>
        </w:rPr>
        <w:t>”</w:t>
      </w:r>
      <w:r w:rsidR="00714BF0" w:rsidRPr="00847B84">
        <w:rPr>
          <w:lang w:val="en-US"/>
        </w:rPr>
        <w:t xml:space="preserve"> underlying Resolution 99997.</w:t>
      </w:r>
      <w:bookmarkEnd w:id="76"/>
    </w:p>
    <w:p w14:paraId="0C4189C2" w14:textId="7D0BD876" w:rsidR="007C5844" w:rsidRPr="00847B84" w:rsidRDefault="007C5844" w:rsidP="007C5844">
      <w:pPr>
        <w:ind w:firstLine="709"/>
        <w:rPr>
          <w:lang w:val="en-US"/>
        </w:rPr>
      </w:pPr>
      <w:r w:rsidRPr="00847B84">
        <w:rPr>
          <w:lang w:val="en-US"/>
        </w:rPr>
        <w:t>UN Organs are independent of one another, with distinct areas of jurisdiction.</w:t>
      </w:r>
      <w:bookmarkStart w:id="77" w:name="_Ref156018771"/>
      <w:r w:rsidRPr="00847B84">
        <w:rPr>
          <w:rStyle w:val="FootnoteReference"/>
          <w:lang w:val="en-US"/>
        </w:rPr>
        <w:footnoteReference w:id="207"/>
      </w:r>
      <w:bookmarkEnd w:id="77"/>
      <w:r w:rsidRPr="00847B84">
        <w:rPr>
          <w:lang w:val="en-US"/>
        </w:rPr>
        <w:t xml:space="preserve"> Each organ is supreme in its own sphere of competence</w:t>
      </w:r>
      <w:r w:rsidRPr="00847B84">
        <w:rPr>
          <w:rStyle w:val="FootnoteReference"/>
          <w:lang w:val="en-US"/>
        </w:rPr>
        <w:footnoteReference w:id="208"/>
      </w:r>
      <w:r w:rsidRPr="00847B84">
        <w:rPr>
          <w:lang w:val="en-US"/>
        </w:rPr>
        <w:t xml:space="preserve"> </w:t>
      </w:r>
      <w:r w:rsidR="000F37FA" w:rsidRPr="00847B84">
        <w:rPr>
          <w:lang w:val="en-US"/>
        </w:rPr>
        <w:t xml:space="preserve">which </w:t>
      </w:r>
      <w:r w:rsidRPr="00847B84">
        <w:rPr>
          <w:lang w:val="en-US"/>
        </w:rPr>
        <w:t>must not be encroached upon by other UN bodies.</w:t>
      </w:r>
      <w:r w:rsidRPr="00847B84">
        <w:rPr>
          <w:rStyle w:val="FootnoteReference"/>
          <w:lang w:val="en-US"/>
        </w:rPr>
        <w:footnoteReference w:id="209"/>
      </w:r>
      <w:r w:rsidRPr="00847B84">
        <w:rPr>
          <w:lang w:val="en-US"/>
        </w:rPr>
        <w:t xml:space="preserve"> The UNSC has primary</w:t>
      </w:r>
      <w:r w:rsidRPr="00847B84">
        <w:rPr>
          <w:rStyle w:val="FootnoteReference"/>
          <w:lang w:val="en-US"/>
        </w:rPr>
        <w:footnoteReference w:id="210"/>
      </w:r>
      <w:r w:rsidRPr="00847B84">
        <w:rPr>
          <w:lang w:val="en-US"/>
        </w:rPr>
        <w:t xml:space="preserve"> competence over all matters concerning the maintenance of international peace and security.</w:t>
      </w:r>
      <w:r w:rsidRPr="00847B84">
        <w:rPr>
          <w:rStyle w:val="FootnoteReference"/>
          <w:lang w:val="en-US"/>
        </w:rPr>
        <w:footnoteReference w:id="211"/>
      </w:r>
      <w:r w:rsidRPr="00847B84">
        <w:rPr>
          <w:lang w:val="en-US"/>
        </w:rPr>
        <w:t xml:space="preserve"> While the ICJ is the principal judicial organ of the UN,</w:t>
      </w:r>
      <w:r w:rsidRPr="00847B84">
        <w:rPr>
          <w:rStyle w:val="FootnoteReference"/>
          <w:lang w:val="en-US"/>
        </w:rPr>
        <w:footnoteReference w:id="212"/>
      </w:r>
      <w:r w:rsidRPr="00847B84">
        <w:rPr>
          <w:lang w:val="en-US"/>
        </w:rPr>
        <w:t xml:space="preserve"> drafters of the UN Charter refused to grant the ICJ the power to review UNSC decisions as it would </w:t>
      </w:r>
      <w:r w:rsidRPr="00847B84">
        <w:rPr>
          <w:lang w:val="en-US"/>
        </w:rPr>
        <w:lastRenderedPageBreak/>
        <w:t>unduly expand the Court’s powers</w:t>
      </w:r>
      <w:r w:rsidRPr="00847B84">
        <w:rPr>
          <w:rStyle w:val="FootnoteReference"/>
          <w:lang w:val="en-US"/>
        </w:rPr>
        <w:footnoteReference w:id="213"/>
      </w:r>
      <w:r w:rsidRPr="00847B84">
        <w:rPr>
          <w:lang w:val="en-US"/>
        </w:rPr>
        <w:t xml:space="preserve"> and disturb the balance established by the Charter.</w:t>
      </w:r>
      <w:r w:rsidRPr="00847B84">
        <w:rPr>
          <w:rStyle w:val="FootnoteReference"/>
          <w:lang w:val="en-US"/>
        </w:rPr>
        <w:footnoteReference w:id="214"/>
      </w:r>
      <w:r w:rsidRPr="00847B84">
        <w:rPr>
          <w:lang w:val="en-US"/>
        </w:rPr>
        <w:t xml:space="preserve"> </w:t>
      </w:r>
      <w:r w:rsidR="000F37FA" w:rsidRPr="00847B84">
        <w:rPr>
          <w:lang w:val="en-US"/>
        </w:rPr>
        <w:t>In practice, the UNSC has emphasized this separation of functions in its resolutions by indicating that it decides</w:t>
      </w:r>
      <w:r w:rsidR="000F37FA" w:rsidRPr="00847B84">
        <w:rPr>
          <w:i/>
          <w:iCs/>
          <w:lang w:val="en-US"/>
        </w:rPr>
        <w:t xml:space="preserve"> </w:t>
      </w:r>
      <w:r w:rsidR="000F37FA" w:rsidRPr="00847B84">
        <w:rPr>
          <w:lang w:val="en-US"/>
        </w:rPr>
        <w:t>“to remain actively seized of the matter.”</w:t>
      </w:r>
      <w:r w:rsidR="000F37FA" w:rsidRPr="00847B84">
        <w:rPr>
          <w:rStyle w:val="FootnoteReference"/>
          <w:lang w:val="en-US"/>
        </w:rPr>
        <w:footnoteReference w:id="215"/>
      </w:r>
      <w:r w:rsidR="000F37FA" w:rsidRPr="00847B84">
        <w:rPr>
          <w:vertAlign w:val="superscript"/>
          <w:lang w:val="en-US"/>
        </w:rPr>
        <w:t xml:space="preserve"> </w:t>
      </w:r>
      <w:r w:rsidR="000F37FA" w:rsidRPr="00847B84">
        <w:rPr>
          <w:lang w:val="en-US"/>
        </w:rPr>
        <w:t>By “seizing itself of the matter,” the UNSC puts an end to the Court’s jurisdiction.</w:t>
      </w:r>
      <w:r w:rsidR="000F37FA" w:rsidRPr="00847B84">
        <w:rPr>
          <w:rStyle w:val="FootnoteReference"/>
          <w:lang w:val="en-US"/>
        </w:rPr>
        <w:footnoteReference w:id="216"/>
      </w:r>
    </w:p>
    <w:p w14:paraId="494E9EA8" w14:textId="1BD3EF13" w:rsidR="007C5844" w:rsidRPr="00847B84" w:rsidRDefault="007C5844" w:rsidP="007C5844">
      <w:pPr>
        <w:ind w:firstLine="709"/>
        <w:rPr>
          <w:lang w:val="en-US"/>
        </w:rPr>
      </w:pPr>
      <w:r w:rsidRPr="00847B84">
        <w:rPr>
          <w:lang w:val="en-US"/>
        </w:rPr>
        <w:t xml:space="preserve">Indeed, the Court itself has recognized that it does not possess powers of judicial review over matters within the competence of </w:t>
      </w:r>
      <w:r w:rsidR="000F37FA" w:rsidRPr="00847B84">
        <w:rPr>
          <w:lang w:val="en-US"/>
        </w:rPr>
        <w:t>the UNSC</w:t>
      </w:r>
      <w:r w:rsidRPr="00847B84">
        <w:rPr>
          <w:lang w:val="en-US"/>
        </w:rPr>
        <w:t>.</w:t>
      </w:r>
      <w:r w:rsidRPr="00847B84">
        <w:rPr>
          <w:rStyle w:val="FootnoteReference"/>
          <w:lang w:val="en-US"/>
        </w:rPr>
        <w:footnoteReference w:id="217"/>
      </w:r>
      <w:r w:rsidRPr="00847B84">
        <w:rPr>
          <w:lang w:val="en-US"/>
        </w:rPr>
        <w:t xml:space="preserve"> In </w:t>
      </w:r>
      <w:r w:rsidRPr="00847B84">
        <w:rPr>
          <w:i/>
          <w:iCs/>
          <w:lang w:val="en-US"/>
        </w:rPr>
        <w:t>Lockerbie</w:t>
      </w:r>
      <w:r w:rsidRPr="00847B84">
        <w:rPr>
          <w:lang w:val="en-US"/>
        </w:rPr>
        <w:t>, for example, the ICJ refused to grant provisional measures to Libya on the ground that the UNSC already issued a binding resolution.</w:t>
      </w:r>
      <w:r w:rsidRPr="00847B84">
        <w:rPr>
          <w:rStyle w:val="FootnoteReference"/>
          <w:lang w:val="en-US"/>
        </w:rPr>
        <w:footnoteReference w:id="218"/>
      </w:r>
      <w:r w:rsidRPr="00847B84">
        <w:rPr>
          <w:lang w:val="en-US"/>
        </w:rPr>
        <w:t xml:space="preserve"> </w:t>
      </w:r>
      <w:r w:rsidR="000F37FA" w:rsidRPr="00847B84">
        <w:rPr>
          <w:lang w:val="en-US"/>
        </w:rPr>
        <w:t>This is because i</w:t>
      </w:r>
      <w:r w:rsidRPr="00847B84">
        <w:rPr>
          <w:lang w:val="en-US"/>
        </w:rPr>
        <w:t>f the Court were to take cognizance of matters seized by the UNSC, it would preempt, and even substitute</w:t>
      </w:r>
      <w:r w:rsidR="000F37FA" w:rsidRPr="00847B84">
        <w:rPr>
          <w:lang w:val="en-US"/>
        </w:rPr>
        <w:t>,</w:t>
      </w:r>
      <w:r w:rsidRPr="00847B84">
        <w:rPr>
          <w:lang w:val="en-US"/>
        </w:rPr>
        <w:t xml:space="preserve"> the UNSC on the same issues.</w:t>
      </w:r>
      <w:r w:rsidRPr="00847B84">
        <w:rPr>
          <w:rStyle w:val="FootnoteReference"/>
          <w:lang w:val="en-US"/>
        </w:rPr>
        <w:footnoteReference w:id="219"/>
      </w:r>
    </w:p>
    <w:p w14:paraId="1B7893B3" w14:textId="4B801161" w:rsidR="007C5844" w:rsidRPr="00847B84" w:rsidRDefault="007C5844" w:rsidP="007C5844">
      <w:pPr>
        <w:ind w:firstLine="709"/>
        <w:rPr>
          <w:lang w:val="en-US"/>
        </w:rPr>
      </w:pPr>
      <w:r w:rsidRPr="00847B84">
        <w:rPr>
          <w:lang w:val="en-US"/>
        </w:rPr>
        <w:t xml:space="preserve">Here, the UNSC took cognizance of the establishment of the United Nations Inspection Mission to </w:t>
      </w:r>
      <w:proofErr w:type="spellStart"/>
      <w:r w:rsidRPr="00847B84">
        <w:rPr>
          <w:lang w:val="en-US"/>
        </w:rPr>
        <w:t>Remisia</w:t>
      </w:r>
      <w:proofErr w:type="spellEnd"/>
      <w:r w:rsidRPr="00847B84">
        <w:rPr>
          <w:lang w:val="en-US"/>
        </w:rPr>
        <w:t xml:space="preserve"> [“</w:t>
      </w:r>
      <w:r w:rsidRPr="00847B84">
        <w:rPr>
          <w:b/>
          <w:bCs/>
          <w:lang w:val="en-US"/>
        </w:rPr>
        <w:t>UNIMR</w:t>
      </w:r>
      <w:r w:rsidRPr="00847B84">
        <w:rPr>
          <w:lang w:val="en-US"/>
        </w:rPr>
        <w:t>”], pursuant to its mandate to ensure the maintenance of peace and security,</w:t>
      </w:r>
      <w:r w:rsidRPr="00847B84">
        <w:rPr>
          <w:rStyle w:val="FootnoteReference"/>
          <w:lang w:val="en-US"/>
        </w:rPr>
        <w:footnoteReference w:id="220"/>
      </w:r>
      <w:r w:rsidRPr="00847B84">
        <w:rPr>
          <w:lang w:val="en-US"/>
        </w:rPr>
        <w:t xml:space="preserve"> and decided to </w:t>
      </w:r>
      <w:r w:rsidR="00C81B3E" w:rsidRPr="00847B84">
        <w:rPr>
          <w:lang w:val="en-US"/>
        </w:rPr>
        <w:t>“</w:t>
      </w:r>
      <w:r w:rsidRPr="00847B84">
        <w:rPr>
          <w:lang w:val="en-US"/>
        </w:rPr>
        <w:t>remain seized of the matter.</w:t>
      </w:r>
      <w:r w:rsidR="00C81B3E" w:rsidRPr="00847B84">
        <w:rPr>
          <w:lang w:val="en-US"/>
        </w:rPr>
        <w:t>”</w:t>
      </w:r>
      <w:r w:rsidRPr="00847B84">
        <w:rPr>
          <w:rStyle w:val="FootnoteReference"/>
          <w:lang w:val="en-US"/>
        </w:rPr>
        <w:footnoteReference w:id="221"/>
      </w:r>
      <w:r w:rsidRPr="00847B84">
        <w:rPr>
          <w:lang w:val="en-US"/>
        </w:rPr>
        <w:t xml:space="preserve"> Since </w:t>
      </w:r>
      <w:proofErr w:type="spellStart"/>
      <w:r w:rsidRPr="00847B84">
        <w:rPr>
          <w:lang w:val="en-US"/>
        </w:rPr>
        <w:t>Antrano’s</w:t>
      </w:r>
      <w:proofErr w:type="spellEnd"/>
      <w:r w:rsidRPr="00847B84">
        <w:rPr>
          <w:lang w:val="en-US"/>
        </w:rPr>
        <w:t xml:space="preserve"> claims fall within the UNSC’s exclusive competence, the Court must refuse to exercise its jurisdiction over such claims.</w:t>
      </w:r>
    </w:p>
    <w:p w14:paraId="0AE22178" w14:textId="77777777" w:rsidR="006578A7" w:rsidRPr="00847B84" w:rsidRDefault="006578A7" w:rsidP="00330691">
      <w:pPr>
        <w:pStyle w:val="Heading3"/>
      </w:pPr>
      <w:bookmarkStart w:id="78" w:name="_Toc156019743"/>
      <w:proofErr w:type="spellStart"/>
      <w:r w:rsidRPr="00847B84">
        <w:t>Remisia</w:t>
      </w:r>
      <w:proofErr w:type="spellEnd"/>
      <w:r w:rsidRPr="00847B84">
        <w:t xml:space="preserve"> did not violate its obligations under Article 25 of the UN Charter when it refused to allow Dr. </w:t>
      </w:r>
      <w:proofErr w:type="spellStart"/>
      <w:r w:rsidRPr="00847B84">
        <w:t>Malex’s</w:t>
      </w:r>
      <w:proofErr w:type="spellEnd"/>
      <w:r w:rsidRPr="00847B84">
        <w:t xml:space="preserve"> entry.</w:t>
      </w:r>
      <w:bookmarkEnd w:id="78"/>
    </w:p>
    <w:p w14:paraId="202AB6C9" w14:textId="0DC3BE12" w:rsidR="006578A7" w:rsidRPr="00847B84" w:rsidRDefault="006578A7" w:rsidP="00330691">
      <w:pPr>
        <w:pStyle w:val="Heading4"/>
        <w:numPr>
          <w:ilvl w:val="0"/>
          <w:numId w:val="80"/>
        </w:numPr>
        <w:ind w:left="1080"/>
      </w:pPr>
      <w:bookmarkStart w:id="79" w:name="_Toc156019744"/>
      <w:r w:rsidRPr="00847B84">
        <w:t>Resolution 99997 is invalid for failing to conform to substantive and procedural requirements under Article</w:t>
      </w:r>
      <w:r w:rsidR="000F37FA" w:rsidRPr="00847B84">
        <w:t>s</w:t>
      </w:r>
      <w:r w:rsidRPr="00847B84">
        <w:t xml:space="preserve"> 2(7) and 27, respectively, of the UN Charter.</w:t>
      </w:r>
      <w:bookmarkEnd w:id="79"/>
    </w:p>
    <w:p w14:paraId="21B30DB8" w14:textId="77777777" w:rsidR="006578A7" w:rsidRPr="00847B84" w:rsidRDefault="006578A7" w:rsidP="00330691">
      <w:pPr>
        <w:pStyle w:val="Heading5"/>
        <w:numPr>
          <w:ilvl w:val="0"/>
          <w:numId w:val="81"/>
        </w:numPr>
        <w:ind w:left="1440"/>
      </w:pPr>
      <w:bookmarkStart w:id="80" w:name="_Toc156019745"/>
      <w:r w:rsidRPr="00847B84">
        <w:lastRenderedPageBreak/>
        <w:t xml:space="preserve">The UNSC violated the principle of non-intervention by interfering with matters that are essentially within </w:t>
      </w:r>
      <w:proofErr w:type="spellStart"/>
      <w:r w:rsidRPr="00847B84">
        <w:t>Remisia’s</w:t>
      </w:r>
      <w:proofErr w:type="spellEnd"/>
      <w:r w:rsidRPr="00847B84">
        <w:t xml:space="preserve"> domestic jurisdiction.</w:t>
      </w:r>
      <w:bookmarkEnd w:id="80"/>
    </w:p>
    <w:p w14:paraId="5AF4448B" w14:textId="2B3CC9D0" w:rsidR="007C5844" w:rsidRPr="00847B84" w:rsidRDefault="007C5844" w:rsidP="007C5844">
      <w:pPr>
        <w:ind w:firstLine="720"/>
      </w:pPr>
      <w:r w:rsidRPr="00847B84">
        <w:t>Article 2(7) prohibits the UN, including the UNSC,</w:t>
      </w:r>
      <w:r w:rsidRPr="00847B84">
        <w:rPr>
          <w:rStyle w:val="FootnoteReference"/>
        </w:rPr>
        <w:footnoteReference w:id="222"/>
      </w:r>
      <w:r w:rsidRPr="00847B84">
        <w:t xml:space="preserve"> from intervening in matters that are “essentially” within the domestic jurisdiction of a Member State. A matter is </w:t>
      </w:r>
      <w:r w:rsidRPr="00847B84">
        <w:rPr>
          <w:i/>
          <w:iCs/>
        </w:rPr>
        <w:t>essentially</w:t>
      </w:r>
      <w:r w:rsidRPr="00847B84">
        <w:t xml:space="preserve"> within a State’s domestic jurisdiction if it is governed by domestic law in principle.</w:t>
      </w:r>
      <w:r w:rsidRPr="00847B84">
        <w:rPr>
          <w:rStyle w:val="FootnoteReference"/>
        </w:rPr>
        <w:footnoteReference w:id="223"/>
      </w:r>
      <w:r w:rsidRPr="00847B84">
        <w:t xml:space="preserve"> The drafting history of Article 2(7) shows that the drafters intentionally used the term “</w:t>
      </w:r>
      <w:r w:rsidRPr="00847B84">
        <w:rPr>
          <w:i/>
          <w:iCs/>
        </w:rPr>
        <w:t>essentially</w:t>
      </w:r>
      <w:r w:rsidRPr="00847B84">
        <w:t>”</w:t>
      </w:r>
      <w:r w:rsidRPr="00847B84">
        <w:rPr>
          <w:i/>
          <w:iCs/>
        </w:rPr>
        <w:t xml:space="preserve"> </w:t>
      </w:r>
      <w:r w:rsidRPr="00847B84">
        <w:t>instead of “</w:t>
      </w:r>
      <w:r w:rsidRPr="00847B84">
        <w:rPr>
          <w:i/>
          <w:iCs/>
        </w:rPr>
        <w:t>solely</w:t>
      </w:r>
      <w:r w:rsidRPr="00847B84">
        <w:t>”</w:t>
      </w:r>
      <w:r w:rsidRPr="00847B84">
        <w:rPr>
          <w:rStyle w:val="FootnoteReference"/>
        </w:rPr>
        <w:footnoteReference w:id="224"/>
      </w:r>
      <w:r w:rsidRPr="00847B84">
        <w:t xml:space="preserve"> to grant broader protections to a State’s </w:t>
      </w:r>
      <w:proofErr w:type="spellStart"/>
      <w:r w:rsidRPr="00847B84">
        <w:rPr>
          <w:i/>
          <w:iCs/>
        </w:rPr>
        <w:t>domaine</w:t>
      </w:r>
      <w:proofErr w:type="spellEnd"/>
      <w:r w:rsidRPr="00847B84">
        <w:rPr>
          <w:i/>
          <w:iCs/>
        </w:rPr>
        <w:t xml:space="preserve"> </w:t>
      </w:r>
      <w:proofErr w:type="spellStart"/>
      <w:r w:rsidRPr="00847B84">
        <w:rPr>
          <w:i/>
          <w:iCs/>
        </w:rPr>
        <w:t>réservé</w:t>
      </w:r>
      <w:proofErr w:type="spellEnd"/>
      <w:r w:rsidRPr="00847B84">
        <w:t>. Thus, that a matter might be governed by rules of international law does not take it outside the guarantees provided by Article 2(7).</w:t>
      </w:r>
      <w:r w:rsidRPr="00847B84">
        <w:rPr>
          <w:rStyle w:val="FootnoteReference"/>
        </w:rPr>
        <w:footnoteReference w:id="225"/>
      </w:r>
    </w:p>
    <w:p w14:paraId="67F6773D" w14:textId="31811EEE" w:rsidR="007C5844" w:rsidRPr="00847B84" w:rsidRDefault="007C5844" w:rsidP="007C5844">
      <w:pPr>
        <w:ind w:firstLine="720"/>
      </w:pPr>
      <w:r w:rsidRPr="00847B84">
        <w:t xml:space="preserve">Here, </w:t>
      </w:r>
      <w:proofErr w:type="spellStart"/>
      <w:r w:rsidRPr="00847B84">
        <w:t>Remisia’s</w:t>
      </w:r>
      <w:proofErr w:type="spellEnd"/>
      <w:r w:rsidRPr="00847B84">
        <w:t xml:space="preserve"> deprivation of the </w:t>
      </w:r>
      <w:proofErr w:type="spellStart"/>
      <w:r w:rsidRPr="00847B84">
        <w:t>Sterren</w:t>
      </w:r>
      <w:proofErr w:type="spellEnd"/>
      <w:r w:rsidRPr="00847B84">
        <w:t xml:space="preserve"> Forty’s citizenship based on the DCA is a matter falling within </w:t>
      </w:r>
      <w:proofErr w:type="spellStart"/>
      <w:r w:rsidRPr="00847B84">
        <w:t>Remisia’s</w:t>
      </w:r>
      <w:proofErr w:type="spellEnd"/>
      <w:r w:rsidRPr="00847B84">
        <w:t xml:space="preserve"> domestic jurisdiction.</w:t>
      </w:r>
      <w:r w:rsidR="00EB24F3" w:rsidRPr="00847B84">
        <w:rPr>
          <w:rStyle w:val="FootnoteReference"/>
        </w:rPr>
        <w:footnoteReference w:id="226"/>
      </w:r>
      <w:r w:rsidRPr="00847B84">
        <w:t xml:space="preserve"> Even assuming that such deprivation is governed by rules of international law, such matter remains essentially within </w:t>
      </w:r>
      <w:proofErr w:type="spellStart"/>
      <w:r w:rsidRPr="00847B84">
        <w:t>Remisia’s</w:t>
      </w:r>
      <w:proofErr w:type="spellEnd"/>
      <w:r w:rsidRPr="00847B84">
        <w:t xml:space="preserve"> domestic jurisdiction given that it concerns former </w:t>
      </w:r>
      <w:proofErr w:type="spellStart"/>
      <w:r w:rsidRPr="00847B84">
        <w:t>Remisians</w:t>
      </w:r>
      <w:proofErr w:type="spellEnd"/>
      <w:r w:rsidRPr="00847B84">
        <w:t xml:space="preserve">, their acts occurring in </w:t>
      </w:r>
      <w:proofErr w:type="spellStart"/>
      <w:r w:rsidRPr="00847B84">
        <w:t>Remisia’s</w:t>
      </w:r>
      <w:proofErr w:type="spellEnd"/>
      <w:r w:rsidRPr="00847B84">
        <w:t xml:space="preserve"> territory, and </w:t>
      </w:r>
      <w:proofErr w:type="spellStart"/>
      <w:r w:rsidRPr="00847B84">
        <w:t>Remisia’s</w:t>
      </w:r>
      <w:proofErr w:type="spellEnd"/>
      <w:r w:rsidRPr="00847B84">
        <w:t xml:space="preserve"> implementation of its own domestic law. Thus, the UNSC unlawfully intervened when it adopted Resolution No. 99997.</w:t>
      </w:r>
    </w:p>
    <w:p w14:paraId="7D7E553B" w14:textId="77777777" w:rsidR="006578A7" w:rsidRPr="00847B84" w:rsidRDefault="006578A7" w:rsidP="006578A7">
      <w:pPr>
        <w:pStyle w:val="Heading5"/>
      </w:pPr>
      <w:bookmarkStart w:id="81" w:name="_Toc156019746"/>
      <w:proofErr w:type="spellStart"/>
      <w:r w:rsidRPr="00847B84">
        <w:t>Antrano’s</w:t>
      </w:r>
      <w:proofErr w:type="spellEnd"/>
      <w:r w:rsidRPr="00847B84">
        <w:t xml:space="preserve"> failure to abstain from voting makes Resolution 99997 procedurally infirm.</w:t>
      </w:r>
      <w:bookmarkEnd w:id="81"/>
    </w:p>
    <w:p w14:paraId="7F177BB3" w14:textId="77777777" w:rsidR="007C5844" w:rsidRPr="00847B84" w:rsidRDefault="007C5844" w:rsidP="007C5844">
      <w:pPr>
        <w:ind w:firstLine="720"/>
      </w:pPr>
      <w:r w:rsidRPr="00847B84">
        <w:t>Decisions of the UNSC on all non-procedural matters shall be made by an affirmative vote of at least nine members including the concurring votes of the permanent members; further, in decisions under Chapter VI, a party to a dispute must abstain from voting.</w:t>
      </w:r>
      <w:r w:rsidRPr="00847B84">
        <w:rPr>
          <w:rStyle w:val="FootnoteReference"/>
        </w:rPr>
        <w:footnoteReference w:id="227"/>
      </w:r>
    </w:p>
    <w:p w14:paraId="42F179C3" w14:textId="77777777" w:rsidR="007C5844" w:rsidRPr="00847B84" w:rsidRDefault="007C5844" w:rsidP="007C5844">
      <w:pPr>
        <w:ind w:firstLine="720"/>
      </w:pPr>
      <w:r w:rsidRPr="00847B84">
        <w:lastRenderedPageBreak/>
        <w:t>A dispute between parties exist when there is a disagreement on a point of law, a conflict of legal views or interests, or a claim is positively opposed by another.</w:t>
      </w:r>
      <w:r w:rsidRPr="00847B84">
        <w:rPr>
          <w:rStyle w:val="FootnoteReference"/>
        </w:rPr>
        <w:footnoteReference w:id="228"/>
      </w:r>
      <w:r w:rsidRPr="00847B84">
        <w:t xml:space="preserve"> </w:t>
      </w:r>
    </w:p>
    <w:p w14:paraId="44D911B8" w14:textId="5616F259" w:rsidR="007C5844" w:rsidRPr="00847B84" w:rsidRDefault="007C5844" w:rsidP="007C5844">
      <w:pPr>
        <w:ind w:firstLine="720"/>
      </w:pPr>
      <w:r w:rsidRPr="00847B84">
        <w:t xml:space="preserve">Here, a dispute exists between </w:t>
      </w:r>
      <w:proofErr w:type="spellStart"/>
      <w:r w:rsidRPr="00847B84">
        <w:t>Antrano</w:t>
      </w:r>
      <w:proofErr w:type="spellEnd"/>
      <w:r w:rsidRPr="00847B84">
        <w:t xml:space="preserve"> and </w:t>
      </w:r>
      <w:proofErr w:type="spellStart"/>
      <w:r w:rsidRPr="00847B84">
        <w:t>Remisia</w:t>
      </w:r>
      <w:proofErr w:type="spellEnd"/>
      <w:r w:rsidRPr="00847B84">
        <w:t xml:space="preserve"> by virtue of their conflicting legal views regarding the </w:t>
      </w:r>
      <w:proofErr w:type="spellStart"/>
      <w:r w:rsidRPr="00847B84">
        <w:t>Sterren</w:t>
      </w:r>
      <w:proofErr w:type="spellEnd"/>
      <w:r w:rsidRPr="00847B84">
        <w:t xml:space="preserve"> Forty. Considering that the UNSC adopted Resolution 99997 pursuant to its Chapter VI powers, </w:t>
      </w:r>
      <w:proofErr w:type="spellStart"/>
      <w:r w:rsidRPr="00847B84">
        <w:t>Antrano</w:t>
      </w:r>
      <w:proofErr w:type="spellEnd"/>
      <w:r w:rsidRPr="00847B84">
        <w:t>, as a member of the UNSC</w:t>
      </w:r>
      <w:r w:rsidR="00BD080E" w:rsidRPr="00847B84">
        <w:t>,</w:t>
      </w:r>
      <w:r w:rsidRPr="00847B84">
        <w:rPr>
          <w:rStyle w:val="FootnoteReference"/>
        </w:rPr>
        <w:footnoteReference w:id="229"/>
      </w:r>
      <w:r w:rsidR="00BD080E" w:rsidRPr="00847B84">
        <w:t xml:space="preserve"> </w:t>
      </w:r>
      <w:r w:rsidRPr="00847B84">
        <w:t>should have abstained from voting on the Resolution. The unanimous adoption</w:t>
      </w:r>
      <w:r w:rsidRPr="00847B84">
        <w:rPr>
          <w:rStyle w:val="FootnoteReference"/>
        </w:rPr>
        <w:footnoteReference w:id="230"/>
      </w:r>
      <w:r w:rsidRPr="00847B84">
        <w:t xml:space="preserve"> of Resolution 99997 makes it procedurally infirm and, therefore, invalid.</w:t>
      </w:r>
    </w:p>
    <w:p w14:paraId="4CDA4013" w14:textId="473B3B08" w:rsidR="006578A7" w:rsidRPr="00847B84" w:rsidRDefault="006578A7" w:rsidP="004A7E71">
      <w:pPr>
        <w:pStyle w:val="Heading4"/>
      </w:pPr>
      <w:bookmarkStart w:id="82" w:name="_Toc156019747"/>
      <w:r w:rsidRPr="00847B84">
        <w:t xml:space="preserve">Resolution 99997 </w:t>
      </w:r>
      <w:r w:rsidR="00C26140" w:rsidRPr="00847B84">
        <w:t>i</w:t>
      </w:r>
      <w:r w:rsidRPr="00847B84">
        <w:t xml:space="preserve">mposes no binding obligations upon </w:t>
      </w:r>
      <w:proofErr w:type="spellStart"/>
      <w:r w:rsidRPr="00847B84">
        <w:t>Remisia</w:t>
      </w:r>
      <w:proofErr w:type="spellEnd"/>
      <w:r w:rsidRPr="00847B84">
        <w:t>.</w:t>
      </w:r>
      <w:bookmarkEnd w:id="82"/>
    </w:p>
    <w:p w14:paraId="318993AC" w14:textId="5449D929" w:rsidR="007C5844" w:rsidRPr="00847B84" w:rsidRDefault="007C5844" w:rsidP="006578A7">
      <w:pPr>
        <w:ind w:firstLine="720"/>
      </w:pPr>
      <w:r w:rsidRPr="00847B84">
        <w:t xml:space="preserve">Following the Court’s approach in </w:t>
      </w:r>
      <w:r w:rsidRPr="00847B84">
        <w:rPr>
          <w:i/>
          <w:iCs/>
        </w:rPr>
        <w:t>Namibia</w:t>
      </w:r>
      <w:r w:rsidRPr="00847B84">
        <w:t>,</w:t>
      </w:r>
      <w:r w:rsidRPr="00847B84">
        <w:rPr>
          <w:rStyle w:val="FootnoteReference"/>
        </w:rPr>
        <w:footnoteReference w:id="231"/>
      </w:r>
      <w:r w:rsidRPr="00847B84">
        <w:rPr>
          <w:i/>
          <w:iCs/>
        </w:rPr>
        <w:t xml:space="preserve"> </w:t>
      </w:r>
      <w:r w:rsidRPr="00847B84">
        <w:t>an examination of [</w:t>
      </w:r>
      <w:r w:rsidR="00D534C6" w:rsidRPr="00847B84">
        <w:rPr>
          <w:b/>
          <w:bCs/>
        </w:rPr>
        <w:t>a</w:t>
      </w:r>
      <w:r w:rsidRPr="00847B84">
        <w:t>] the Charter provisions invoked in Resolution 99997, [</w:t>
      </w:r>
      <w:r w:rsidR="00D534C6" w:rsidRPr="00847B84">
        <w:rPr>
          <w:b/>
          <w:bCs/>
        </w:rPr>
        <w:t>b</w:t>
      </w:r>
      <w:r w:rsidRPr="00847B84">
        <w:t>] the terms of Resolution 99997, and [</w:t>
      </w:r>
      <w:r w:rsidR="00D534C6" w:rsidRPr="00847B84">
        <w:rPr>
          <w:b/>
          <w:bCs/>
        </w:rPr>
        <w:t>c</w:t>
      </w:r>
      <w:r w:rsidRPr="00847B84">
        <w:t xml:space="preserve">] the UNSC’s refusal to take additional measures against </w:t>
      </w:r>
      <w:proofErr w:type="spellStart"/>
      <w:r w:rsidRPr="00847B84">
        <w:t>Remisia</w:t>
      </w:r>
      <w:proofErr w:type="spellEnd"/>
      <w:r w:rsidRPr="00847B84">
        <w:t xml:space="preserve"> shows that Resolution 99997 was not intended to create binding obligations upon </w:t>
      </w:r>
      <w:proofErr w:type="spellStart"/>
      <w:r w:rsidRPr="00847B84">
        <w:t>Remisia</w:t>
      </w:r>
      <w:proofErr w:type="spellEnd"/>
      <w:r w:rsidR="00BD080E" w:rsidRPr="00847B84">
        <w:t>.</w:t>
      </w:r>
    </w:p>
    <w:p w14:paraId="7C38BC74" w14:textId="5B69D6AF" w:rsidR="006578A7" w:rsidRPr="00847B84" w:rsidRDefault="00BD080E" w:rsidP="004A7E71">
      <w:pPr>
        <w:pStyle w:val="Heading5"/>
        <w:numPr>
          <w:ilvl w:val="0"/>
          <w:numId w:val="104"/>
        </w:numPr>
        <w:ind w:left="1418"/>
      </w:pPr>
      <w:bookmarkStart w:id="83" w:name="_Toc156019748"/>
      <w:r w:rsidRPr="00847B84">
        <w:t>Resolutions adopted in the exercise of the UNSC’s Chapter VI powers are generally recommendatory</w:t>
      </w:r>
      <w:r w:rsidR="006578A7" w:rsidRPr="00847B84">
        <w:t>.</w:t>
      </w:r>
      <w:bookmarkEnd w:id="83"/>
    </w:p>
    <w:p w14:paraId="5F91A554" w14:textId="3A6DC43A" w:rsidR="007C5844" w:rsidRPr="00847B84" w:rsidRDefault="007C5844" w:rsidP="007C5844">
      <w:pPr>
        <w:ind w:firstLine="720"/>
      </w:pPr>
      <w:r w:rsidRPr="00847B84">
        <w:t xml:space="preserve">The UNSC, in the exercise of its Chapter VI powers, </w:t>
      </w:r>
      <w:r w:rsidR="00BD080E" w:rsidRPr="00847B84">
        <w:t>may</w:t>
      </w:r>
      <w:r w:rsidRPr="00847B84">
        <w:t xml:space="preserve"> assist parties in the pacific settlement of disputes.</w:t>
      </w:r>
      <w:r w:rsidRPr="00847B84">
        <w:rPr>
          <w:rStyle w:val="FootnoteReference"/>
        </w:rPr>
        <w:footnoteReference w:id="232"/>
      </w:r>
      <w:r w:rsidRPr="00847B84">
        <w:t xml:space="preserve"> </w:t>
      </w:r>
      <w:r w:rsidR="00470FEA" w:rsidRPr="00847B84">
        <w:t>As the pacific settlement of disputes under international law is ultimately consent-based,</w:t>
      </w:r>
      <w:r w:rsidR="00470FEA" w:rsidRPr="00847B84">
        <w:rPr>
          <w:rStyle w:val="FootnoteReference"/>
        </w:rPr>
        <w:footnoteReference w:id="233"/>
      </w:r>
      <w:r w:rsidR="00470FEA" w:rsidRPr="00847B84">
        <w:t xml:space="preserve"> r</w:t>
      </w:r>
      <w:r w:rsidR="00BD080E" w:rsidRPr="00847B84">
        <w:t>esolutions</w:t>
      </w:r>
      <w:r w:rsidRPr="00847B84">
        <w:t xml:space="preserve"> </w:t>
      </w:r>
      <w:r w:rsidR="00BD080E" w:rsidRPr="00847B84">
        <w:t xml:space="preserve">adopted by the UNSC under </w:t>
      </w:r>
      <w:r w:rsidRPr="00847B84">
        <w:t>Chapter VI</w:t>
      </w:r>
      <w:r w:rsidR="00BD080E" w:rsidRPr="00847B84">
        <w:t xml:space="preserve"> are</w:t>
      </w:r>
      <w:r w:rsidRPr="00847B84">
        <w:t xml:space="preserve"> generally recommendatory, </w:t>
      </w:r>
      <w:r w:rsidR="00470FEA" w:rsidRPr="00847B84">
        <w:t>unless there is a clear intent to</w:t>
      </w:r>
      <w:r w:rsidRPr="00847B84">
        <w:t xml:space="preserve"> </w:t>
      </w:r>
      <w:r w:rsidR="00470FEA" w:rsidRPr="00847B84">
        <w:t>bind Member States</w:t>
      </w:r>
      <w:r w:rsidRPr="00847B84">
        <w:t>.</w:t>
      </w:r>
      <w:r w:rsidRPr="00847B84">
        <w:rPr>
          <w:rStyle w:val="FootnoteReference"/>
        </w:rPr>
        <w:footnoteReference w:id="234"/>
      </w:r>
      <w:r w:rsidRPr="00847B84">
        <w:t xml:space="preserve"> This is in contrast with </w:t>
      </w:r>
      <w:r w:rsidRPr="00847B84">
        <w:lastRenderedPageBreak/>
        <w:t xml:space="preserve">the UNSC’s Chapter VII powers, which </w:t>
      </w:r>
      <w:r w:rsidR="00BD080E" w:rsidRPr="00847B84">
        <w:t>generally impose</w:t>
      </w:r>
      <w:r w:rsidRPr="00847B84">
        <w:t xml:space="preserve"> </w:t>
      </w:r>
      <w:r w:rsidR="00BD080E" w:rsidRPr="00847B84">
        <w:t>binding</w:t>
      </w:r>
      <w:r w:rsidRPr="00847B84">
        <w:t xml:space="preserve"> obligation</w:t>
      </w:r>
      <w:r w:rsidR="00BD080E" w:rsidRPr="00847B84">
        <w:t>s</w:t>
      </w:r>
      <w:r w:rsidRPr="00847B84">
        <w:t xml:space="preserve"> upon states</w:t>
      </w:r>
      <w:r w:rsidR="00BD080E" w:rsidRPr="00847B84">
        <w:t xml:space="preserve"> and</w:t>
      </w:r>
      <w:r w:rsidRPr="00847B84">
        <w:t xml:space="preserve"> </w:t>
      </w:r>
      <w:r w:rsidR="00BD080E" w:rsidRPr="00847B84">
        <w:t>trigger</w:t>
      </w:r>
      <w:r w:rsidRPr="00847B84">
        <w:t xml:space="preserve"> Article 25 of the Charter.</w:t>
      </w:r>
      <w:r w:rsidRPr="00847B84">
        <w:rPr>
          <w:rStyle w:val="FootnoteReference"/>
        </w:rPr>
        <w:footnoteReference w:id="235"/>
      </w:r>
    </w:p>
    <w:p w14:paraId="71807583" w14:textId="6538E506" w:rsidR="007C5844" w:rsidRPr="00847B84" w:rsidRDefault="007C5844" w:rsidP="007C5844">
      <w:pPr>
        <w:ind w:firstLine="720"/>
      </w:pPr>
      <w:r w:rsidRPr="00847B84">
        <w:t xml:space="preserve">In </w:t>
      </w:r>
      <w:r w:rsidRPr="00847B84">
        <w:rPr>
          <w:i/>
          <w:iCs/>
        </w:rPr>
        <w:t>Lockerbie</w:t>
      </w:r>
      <w:r w:rsidRPr="00847B84">
        <w:t>, this Court applied Article 25 of the Charter after finding that the resolution was issued under Chapter VII and expressly framed as a decision.</w:t>
      </w:r>
      <w:r w:rsidRPr="00847B84">
        <w:rPr>
          <w:rStyle w:val="FootnoteReference"/>
        </w:rPr>
        <w:footnoteReference w:id="236"/>
      </w:r>
      <w:r w:rsidRPr="00847B84">
        <w:t xml:space="preserve"> Similarly, in </w:t>
      </w:r>
      <w:r w:rsidRPr="00847B84">
        <w:rPr>
          <w:i/>
          <w:iCs/>
        </w:rPr>
        <w:t>Namibia</w:t>
      </w:r>
      <w:r w:rsidRPr="00847B84">
        <w:t xml:space="preserve">, this Court ruled that Resolution 276 </w:t>
      </w:r>
      <w:r w:rsidR="00470FEA" w:rsidRPr="00847B84">
        <w:t xml:space="preserve">issued under Chapter VI </w:t>
      </w:r>
      <w:r w:rsidRPr="00847B84">
        <w:t>was binding only because it invoked Article 25 of the Charter.</w:t>
      </w:r>
      <w:r w:rsidRPr="00847B84">
        <w:rPr>
          <w:rStyle w:val="FootnoteReference"/>
        </w:rPr>
        <w:footnoteReference w:id="237"/>
      </w:r>
      <w:r w:rsidRPr="00847B84">
        <w:t xml:space="preserve"> </w:t>
      </w:r>
    </w:p>
    <w:p w14:paraId="682905F1" w14:textId="53AD0BEC" w:rsidR="007C5844" w:rsidRPr="00847B84" w:rsidRDefault="007C5844" w:rsidP="007C5844">
      <w:pPr>
        <w:ind w:firstLine="720"/>
      </w:pPr>
      <w:r w:rsidRPr="00847B84">
        <w:t xml:space="preserve">Here, Resolution 99997 was issued pursuant to </w:t>
      </w:r>
      <w:r w:rsidR="00470FEA" w:rsidRPr="00847B84">
        <w:t>the UNSC’s</w:t>
      </w:r>
      <w:r w:rsidRPr="00847B84">
        <w:t xml:space="preserve"> Chapter VI power</w:t>
      </w:r>
      <w:r w:rsidR="00470FEA" w:rsidRPr="00847B84">
        <w:t>s</w:t>
      </w:r>
      <w:r w:rsidRPr="00847B84">
        <w:t xml:space="preserve"> and did not refer to the Article 25 of the Charter.</w:t>
      </w:r>
      <w:r w:rsidRPr="00847B84">
        <w:rPr>
          <w:rStyle w:val="FootnoteReference"/>
        </w:rPr>
        <w:footnoteReference w:id="238"/>
      </w:r>
      <w:r w:rsidRPr="00847B84">
        <w:t xml:space="preserve"> </w:t>
      </w:r>
      <w:r w:rsidR="00470FEA" w:rsidRPr="00847B84">
        <w:t>Taken together, they show an intent on the part of the UNSC not to create binding obligations on Member States</w:t>
      </w:r>
      <w:r w:rsidRPr="00847B84">
        <w:t>.</w:t>
      </w:r>
    </w:p>
    <w:p w14:paraId="286263D0" w14:textId="77777777" w:rsidR="006578A7" w:rsidRPr="00847B84" w:rsidRDefault="006578A7" w:rsidP="004A7E71">
      <w:pPr>
        <w:pStyle w:val="Heading5"/>
      </w:pPr>
      <w:bookmarkStart w:id="84" w:name="_Toc156019749"/>
      <w:r w:rsidRPr="00847B84">
        <w:t>The terms used by Resolution 99997 impose no binding obligations.</w:t>
      </w:r>
      <w:bookmarkEnd w:id="84"/>
      <w:r w:rsidRPr="00847B84">
        <w:t xml:space="preserve">  </w:t>
      </w:r>
    </w:p>
    <w:p w14:paraId="59F774F9" w14:textId="7D71080E" w:rsidR="007C5844" w:rsidRPr="00847B84" w:rsidRDefault="007C5844" w:rsidP="007C5844">
      <w:pPr>
        <w:ind w:firstLine="720"/>
        <w:rPr>
          <w:color w:val="000000" w:themeColor="text1"/>
        </w:rPr>
      </w:pPr>
      <w:r w:rsidRPr="00847B84">
        <w:rPr>
          <w:color w:val="000000" w:themeColor="text1"/>
        </w:rPr>
        <w:t xml:space="preserve">Following the test </w:t>
      </w:r>
      <w:r w:rsidR="00470FEA" w:rsidRPr="00847B84">
        <w:rPr>
          <w:color w:val="000000" w:themeColor="text1"/>
        </w:rPr>
        <w:t>laid down</w:t>
      </w:r>
      <w:r w:rsidRPr="00847B84">
        <w:rPr>
          <w:color w:val="000000" w:themeColor="text1"/>
        </w:rPr>
        <w:t xml:space="preserve"> in </w:t>
      </w:r>
      <w:r w:rsidRPr="00847B84">
        <w:rPr>
          <w:i/>
          <w:iCs/>
          <w:color w:val="000000" w:themeColor="text1"/>
        </w:rPr>
        <w:t>Kosovo</w:t>
      </w:r>
      <w:r w:rsidRPr="00847B84">
        <w:rPr>
          <w:rStyle w:val="FootnoteReference"/>
          <w:color w:val="000000" w:themeColor="text1"/>
        </w:rPr>
        <w:footnoteReference w:id="239"/>
      </w:r>
      <w:r w:rsidRPr="00847B84">
        <w:rPr>
          <w:color w:val="000000" w:themeColor="text1"/>
        </w:rPr>
        <w:t xml:space="preserve"> and </w:t>
      </w:r>
      <w:r w:rsidRPr="00847B84">
        <w:rPr>
          <w:i/>
          <w:iCs/>
          <w:color w:val="000000" w:themeColor="text1"/>
        </w:rPr>
        <w:t>Namibia</w:t>
      </w:r>
      <w:r w:rsidR="00470FEA" w:rsidRPr="00847B84">
        <w:rPr>
          <w:color w:val="000000" w:themeColor="text1"/>
        </w:rPr>
        <w:t>,</w:t>
      </w:r>
      <w:r w:rsidRPr="00847B84">
        <w:rPr>
          <w:rStyle w:val="FootnoteReference"/>
          <w:color w:val="000000" w:themeColor="text1"/>
        </w:rPr>
        <w:footnoteReference w:id="240"/>
      </w:r>
      <w:r w:rsidRPr="00847B84">
        <w:rPr>
          <w:i/>
          <w:iCs/>
          <w:color w:val="000000" w:themeColor="text1"/>
        </w:rPr>
        <w:t xml:space="preserve"> </w:t>
      </w:r>
      <w:r w:rsidRPr="00847B84">
        <w:rPr>
          <w:color w:val="000000" w:themeColor="text1"/>
        </w:rPr>
        <w:t xml:space="preserve">the Court </w:t>
      </w:r>
      <w:r w:rsidR="00470FEA" w:rsidRPr="00847B84">
        <w:rPr>
          <w:color w:val="000000" w:themeColor="text1"/>
        </w:rPr>
        <w:t xml:space="preserve">may </w:t>
      </w:r>
      <w:r w:rsidRPr="00847B84">
        <w:rPr>
          <w:color w:val="000000" w:themeColor="text1"/>
        </w:rPr>
        <w:t xml:space="preserve">likewise determine the binding effect of Resolution 99997 based on </w:t>
      </w:r>
      <w:r w:rsidR="00470FEA" w:rsidRPr="00847B84">
        <w:rPr>
          <w:color w:val="000000" w:themeColor="text1"/>
        </w:rPr>
        <w:t xml:space="preserve">its text and past </w:t>
      </w:r>
      <w:r w:rsidRPr="00847B84">
        <w:rPr>
          <w:color w:val="000000" w:themeColor="text1"/>
        </w:rPr>
        <w:t>UNSC practice.</w:t>
      </w:r>
      <w:r w:rsidRPr="00847B84">
        <w:rPr>
          <w:rStyle w:val="FootnoteReference"/>
          <w:color w:val="000000" w:themeColor="text1"/>
        </w:rPr>
        <w:footnoteReference w:id="241"/>
      </w:r>
    </w:p>
    <w:p w14:paraId="054F641B" w14:textId="13CF1E34" w:rsidR="007C5844" w:rsidRPr="00847B84" w:rsidRDefault="00A83577" w:rsidP="007C5844">
      <w:pPr>
        <w:ind w:firstLine="720"/>
        <w:rPr>
          <w:color w:val="000000" w:themeColor="text1"/>
        </w:rPr>
      </w:pPr>
      <w:r w:rsidRPr="00847B84">
        <w:rPr>
          <w:color w:val="000000" w:themeColor="text1"/>
        </w:rPr>
        <w:t>Paragraph two of Resolution 99997 simply “</w:t>
      </w:r>
      <w:r w:rsidRPr="00847B84">
        <w:rPr>
          <w:i/>
          <w:iCs/>
          <w:color w:val="000000" w:themeColor="text1"/>
        </w:rPr>
        <w:t>calls upon</w:t>
      </w:r>
      <w:r w:rsidRPr="00847B84">
        <w:rPr>
          <w:color w:val="000000" w:themeColor="text1"/>
        </w:rPr>
        <w:t xml:space="preserve">” </w:t>
      </w:r>
      <w:proofErr w:type="spellStart"/>
      <w:r w:rsidRPr="00847B84">
        <w:rPr>
          <w:color w:val="000000" w:themeColor="text1"/>
        </w:rPr>
        <w:t>Remisia</w:t>
      </w:r>
      <w:proofErr w:type="spellEnd"/>
      <w:r w:rsidRPr="00847B84">
        <w:rPr>
          <w:color w:val="000000" w:themeColor="text1"/>
        </w:rPr>
        <w:t xml:space="preserve"> to cooperate with the UNIMR. </w:t>
      </w:r>
      <w:r w:rsidR="007C5844" w:rsidRPr="00847B84">
        <w:rPr>
          <w:color w:val="000000" w:themeColor="text1"/>
        </w:rPr>
        <w:t>In Resolution No. 582, the term “</w:t>
      </w:r>
      <w:r w:rsidR="007C5844" w:rsidRPr="00847B84">
        <w:rPr>
          <w:i/>
          <w:iCs/>
          <w:color w:val="000000" w:themeColor="text1"/>
        </w:rPr>
        <w:t>calls upon”</w:t>
      </w:r>
      <w:r w:rsidR="007C5844" w:rsidRPr="00847B84">
        <w:rPr>
          <w:color w:val="000000" w:themeColor="text1"/>
        </w:rPr>
        <w:t xml:space="preserve"> was </w:t>
      </w:r>
      <w:r w:rsidRPr="00847B84">
        <w:rPr>
          <w:color w:val="000000" w:themeColor="text1"/>
        </w:rPr>
        <w:t xml:space="preserve">also </w:t>
      </w:r>
      <w:r w:rsidR="007C5844" w:rsidRPr="00847B84">
        <w:rPr>
          <w:color w:val="000000" w:themeColor="text1"/>
        </w:rPr>
        <w:t xml:space="preserve">used, but was considered as </w:t>
      </w:r>
      <w:r w:rsidRPr="00847B84">
        <w:rPr>
          <w:color w:val="000000" w:themeColor="text1"/>
        </w:rPr>
        <w:t>non-</w:t>
      </w:r>
      <w:r w:rsidR="007C5844" w:rsidRPr="00847B84">
        <w:rPr>
          <w:color w:val="000000" w:themeColor="text1"/>
        </w:rPr>
        <w:t>binding.</w:t>
      </w:r>
      <w:r w:rsidR="007C5844" w:rsidRPr="00847B84">
        <w:rPr>
          <w:rStyle w:val="FootnoteReference"/>
          <w:color w:val="000000" w:themeColor="text1"/>
        </w:rPr>
        <w:footnoteReference w:id="242"/>
      </w:r>
      <w:r w:rsidR="007C5844" w:rsidRPr="00847B84">
        <w:rPr>
          <w:color w:val="000000" w:themeColor="text1"/>
        </w:rPr>
        <w:t xml:space="preserve"> This is consistent with the practice of the UNSC to use stronger language such as </w:t>
      </w:r>
      <w:r w:rsidR="007C5844" w:rsidRPr="00847B84">
        <w:rPr>
          <w:color w:val="000000" w:themeColor="text1"/>
        </w:rPr>
        <w:lastRenderedPageBreak/>
        <w:t>“</w:t>
      </w:r>
      <w:r w:rsidR="007C5844" w:rsidRPr="00847B84">
        <w:rPr>
          <w:i/>
          <w:iCs/>
          <w:color w:val="000000" w:themeColor="text1"/>
        </w:rPr>
        <w:t>requires</w:t>
      </w:r>
      <w:r w:rsidR="007C5844" w:rsidRPr="00847B84">
        <w:rPr>
          <w:color w:val="000000" w:themeColor="text1"/>
        </w:rPr>
        <w:t>”,</w:t>
      </w:r>
      <w:r w:rsidR="007C5844" w:rsidRPr="00847B84">
        <w:rPr>
          <w:rStyle w:val="FootnoteReference"/>
          <w:color w:val="000000" w:themeColor="text1"/>
        </w:rPr>
        <w:footnoteReference w:id="243"/>
      </w:r>
      <w:r w:rsidR="007C5844" w:rsidRPr="00847B84">
        <w:rPr>
          <w:color w:val="000000" w:themeColor="text1"/>
        </w:rPr>
        <w:t xml:space="preserve"> “</w:t>
      </w:r>
      <w:r w:rsidR="007C5844" w:rsidRPr="00847B84">
        <w:rPr>
          <w:i/>
          <w:iCs/>
          <w:color w:val="000000" w:themeColor="text1"/>
        </w:rPr>
        <w:t>demands</w:t>
      </w:r>
      <w:r w:rsidR="007C5844" w:rsidRPr="00847B84">
        <w:rPr>
          <w:color w:val="000000" w:themeColor="text1"/>
        </w:rPr>
        <w:t>”,</w:t>
      </w:r>
      <w:r w:rsidR="007C5844" w:rsidRPr="00847B84">
        <w:rPr>
          <w:rStyle w:val="FootnoteReference"/>
          <w:color w:val="000000" w:themeColor="text1"/>
        </w:rPr>
        <w:footnoteReference w:id="244"/>
      </w:r>
      <w:r w:rsidR="007C5844" w:rsidRPr="00847B84">
        <w:rPr>
          <w:color w:val="000000" w:themeColor="text1"/>
        </w:rPr>
        <w:t xml:space="preserve"> and “</w:t>
      </w:r>
      <w:r w:rsidR="007C5844" w:rsidRPr="00847B84">
        <w:rPr>
          <w:i/>
          <w:iCs/>
          <w:color w:val="000000" w:themeColor="text1"/>
        </w:rPr>
        <w:t>warns</w:t>
      </w:r>
      <w:r w:rsidR="007C5844" w:rsidRPr="00847B84">
        <w:rPr>
          <w:color w:val="000000" w:themeColor="text1"/>
        </w:rPr>
        <w:t>”</w:t>
      </w:r>
      <w:r w:rsidR="007C5844" w:rsidRPr="00847B84">
        <w:rPr>
          <w:rStyle w:val="FootnoteReference"/>
          <w:color w:val="000000" w:themeColor="text1"/>
        </w:rPr>
        <w:footnoteReference w:id="245"/>
      </w:r>
      <w:r w:rsidR="007C5844" w:rsidRPr="00847B84">
        <w:rPr>
          <w:color w:val="000000" w:themeColor="text1"/>
        </w:rPr>
        <w:t xml:space="preserve"> in Resolutions they consider binding.</w:t>
      </w:r>
      <w:r w:rsidR="007C5844" w:rsidRPr="00847B84">
        <w:rPr>
          <w:rStyle w:val="FootnoteReference"/>
          <w:color w:val="000000" w:themeColor="text1"/>
        </w:rPr>
        <w:footnoteReference w:id="246"/>
      </w:r>
      <w:r w:rsidR="007C5844" w:rsidRPr="00847B84">
        <w:rPr>
          <w:color w:val="000000" w:themeColor="text1"/>
        </w:rPr>
        <w:t xml:space="preserve"> </w:t>
      </w:r>
      <w:r w:rsidR="007C5844" w:rsidRPr="00847B84">
        <w:t>Given that the no such language was used here, Resolution 99997 can only be interpreted as non-binding.</w:t>
      </w:r>
    </w:p>
    <w:p w14:paraId="08B4CF49" w14:textId="77777777" w:rsidR="006578A7" w:rsidRPr="00847B84" w:rsidRDefault="006578A7" w:rsidP="004A7E71">
      <w:pPr>
        <w:pStyle w:val="Heading5"/>
      </w:pPr>
      <w:bookmarkStart w:id="85" w:name="_Toc156019750"/>
      <w:r w:rsidRPr="00847B84">
        <w:t xml:space="preserve">The UNSC’s refusal to take additional measures against </w:t>
      </w:r>
      <w:proofErr w:type="spellStart"/>
      <w:r w:rsidRPr="00847B84">
        <w:t>Remisia</w:t>
      </w:r>
      <w:proofErr w:type="spellEnd"/>
      <w:r w:rsidRPr="00847B84">
        <w:t xml:space="preserve"> affirms the non-binding character of Resolution 99997.</w:t>
      </w:r>
      <w:bookmarkEnd w:id="85"/>
      <w:r w:rsidRPr="00847B84">
        <w:t xml:space="preserve"> </w:t>
      </w:r>
    </w:p>
    <w:p w14:paraId="511A7D7F" w14:textId="0BC67AB3" w:rsidR="007C5844" w:rsidRPr="00847B84" w:rsidRDefault="007C5844" w:rsidP="007C5844">
      <w:pPr>
        <w:ind w:firstLine="720"/>
      </w:pPr>
      <w:r w:rsidRPr="00847B84">
        <w:t>Applying the VCLT</w:t>
      </w:r>
      <w:r w:rsidR="007864F9" w:rsidRPr="00847B84">
        <w:t xml:space="preserve"> [“</w:t>
      </w:r>
      <w:r w:rsidR="007864F9" w:rsidRPr="00847B84">
        <w:rPr>
          <w:b/>
          <w:bCs/>
          <w:i/>
          <w:iCs/>
        </w:rPr>
        <w:t>Vienna Convention on Law of the Treaties</w:t>
      </w:r>
      <w:r w:rsidR="007864F9" w:rsidRPr="00847B84">
        <w:t>”]</w:t>
      </w:r>
      <w:r w:rsidR="007864F9" w:rsidRPr="00847B84">
        <w:rPr>
          <w:rStyle w:val="FootnoteReference"/>
        </w:rPr>
        <w:footnoteReference w:id="247"/>
      </w:r>
      <w:r w:rsidRPr="00847B84">
        <w:t xml:space="preserve"> analogously,</w:t>
      </w:r>
      <w:r w:rsidRPr="00847B84">
        <w:rPr>
          <w:rStyle w:val="FootnoteReference"/>
        </w:rPr>
        <w:footnoteReference w:id="248"/>
      </w:r>
      <w:r w:rsidRPr="00847B84">
        <w:t xml:space="preserve"> where contemporaneous acts or subsequent conduct may be used to interpret the intent behind a treaty,</w:t>
      </w:r>
      <w:r w:rsidRPr="00847B84">
        <w:rPr>
          <w:rStyle w:val="FootnoteReference"/>
        </w:rPr>
        <w:footnoteReference w:id="249"/>
      </w:r>
      <w:r w:rsidRPr="00847B84">
        <w:t xml:space="preserve"> and consistent with the post-authorization practice of the UNSC,</w:t>
      </w:r>
      <w:r w:rsidRPr="00847B84">
        <w:rPr>
          <w:rStyle w:val="FootnoteReference"/>
        </w:rPr>
        <w:footnoteReference w:id="250"/>
      </w:r>
      <w:r w:rsidRPr="00847B84">
        <w:t xml:space="preserve"> this Court </w:t>
      </w:r>
      <w:r w:rsidR="00A83577" w:rsidRPr="00847B84">
        <w:t xml:space="preserve">may </w:t>
      </w:r>
      <w:r w:rsidRPr="00847B84">
        <w:t>likewise look into the UNSC’s actions after the adoption of Resolution 99997 in determining its binding character.</w:t>
      </w:r>
    </w:p>
    <w:p w14:paraId="004D60B6" w14:textId="3512184D" w:rsidR="007C5844" w:rsidRPr="00847B84" w:rsidRDefault="007C5844" w:rsidP="007C5844">
      <w:pPr>
        <w:ind w:firstLine="720"/>
      </w:pPr>
      <w:r w:rsidRPr="00847B84">
        <w:t xml:space="preserve">In </w:t>
      </w:r>
      <w:r w:rsidRPr="00847B84">
        <w:rPr>
          <w:i/>
          <w:iCs/>
        </w:rPr>
        <w:t>Lockerbie</w:t>
      </w:r>
      <w:r w:rsidRPr="00847B84">
        <w:t xml:space="preserve">, for instance, the UNSC adopted Resolution 748 to reiterate the binding obligations of Libya initially contained in an earlier resolution. </w:t>
      </w:r>
      <w:r w:rsidR="00A83577" w:rsidRPr="00847B84">
        <w:t xml:space="preserve">Unlike in </w:t>
      </w:r>
      <w:r w:rsidR="00A83577" w:rsidRPr="00847B84">
        <w:rPr>
          <w:i/>
          <w:iCs/>
        </w:rPr>
        <w:t>Lockerbie</w:t>
      </w:r>
      <w:r w:rsidR="00A83577" w:rsidRPr="00847B84">
        <w:t xml:space="preserve">, however, the UNSC </w:t>
      </w:r>
      <w:r w:rsidR="00031EA3" w:rsidRPr="00847B84">
        <w:t xml:space="preserve">refused to adopt additional measures against </w:t>
      </w:r>
      <w:proofErr w:type="spellStart"/>
      <w:r w:rsidR="00031EA3" w:rsidRPr="00847B84">
        <w:t>Remisia</w:t>
      </w:r>
      <w:proofErr w:type="spellEnd"/>
      <w:r w:rsidR="00031EA3" w:rsidRPr="00847B84">
        <w:rPr>
          <w:rStyle w:val="FootnoteReference"/>
        </w:rPr>
        <w:footnoteReference w:id="251"/>
      </w:r>
      <w:r w:rsidR="00031EA3" w:rsidRPr="00847B84">
        <w:t xml:space="preserve"> even as the latter refused to allow Dr. </w:t>
      </w:r>
      <w:proofErr w:type="spellStart"/>
      <w:r w:rsidR="00031EA3" w:rsidRPr="00847B84">
        <w:t>Malex’s</w:t>
      </w:r>
      <w:proofErr w:type="spellEnd"/>
      <w:r w:rsidR="00031EA3" w:rsidRPr="00847B84">
        <w:t xml:space="preserve"> entry. This only</w:t>
      </w:r>
      <w:r w:rsidRPr="00847B84">
        <w:t xml:space="preserve"> </w:t>
      </w:r>
      <w:r w:rsidR="00031EA3" w:rsidRPr="00847B84">
        <w:t xml:space="preserve">confirms that the UNSC did not intend </w:t>
      </w:r>
      <w:r w:rsidRPr="00847B84">
        <w:t>Resolution 99997</w:t>
      </w:r>
      <w:r w:rsidR="00031EA3" w:rsidRPr="00847B84">
        <w:t xml:space="preserve"> to impose binding obligations upon </w:t>
      </w:r>
      <w:proofErr w:type="spellStart"/>
      <w:r w:rsidR="00031EA3" w:rsidRPr="00847B84">
        <w:t>Remisia</w:t>
      </w:r>
      <w:proofErr w:type="spellEnd"/>
      <w:r w:rsidRPr="00847B84">
        <w:t>.</w:t>
      </w:r>
    </w:p>
    <w:p w14:paraId="2CE00DC8" w14:textId="77777777" w:rsidR="006578A7" w:rsidRPr="00847B84" w:rsidRDefault="006578A7" w:rsidP="004A7E71">
      <w:pPr>
        <w:pStyle w:val="Heading4"/>
      </w:pPr>
      <w:bookmarkStart w:id="86" w:name="_Toc156019751"/>
      <w:r w:rsidRPr="00847B84">
        <w:t xml:space="preserve">Even assuming Resolution 99997 imposes binding obligations upon </w:t>
      </w:r>
      <w:proofErr w:type="spellStart"/>
      <w:r w:rsidRPr="00847B84">
        <w:t>Remisia</w:t>
      </w:r>
      <w:proofErr w:type="spellEnd"/>
      <w:r w:rsidRPr="00847B84">
        <w:t xml:space="preserve">, </w:t>
      </w:r>
      <w:proofErr w:type="spellStart"/>
      <w:r w:rsidRPr="00847B84">
        <w:t>Remisia’s</w:t>
      </w:r>
      <w:proofErr w:type="spellEnd"/>
      <w:r w:rsidRPr="00847B84">
        <w:t xml:space="preserve"> act of denying Dr. </w:t>
      </w:r>
      <w:proofErr w:type="spellStart"/>
      <w:r w:rsidRPr="00847B84">
        <w:t>Malex’s</w:t>
      </w:r>
      <w:proofErr w:type="spellEnd"/>
      <w:r w:rsidRPr="00847B84">
        <w:t xml:space="preserve"> entry is not inconsistent with such obligations.</w:t>
      </w:r>
      <w:bookmarkEnd w:id="86"/>
    </w:p>
    <w:p w14:paraId="3364AE50" w14:textId="77777777" w:rsidR="007C5844" w:rsidRPr="00847B84" w:rsidRDefault="007C5844" w:rsidP="007C5844">
      <w:pPr>
        <w:ind w:firstLine="720"/>
      </w:pPr>
      <w:r w:rsidRPr="00847B84">
        <w:lastRenderedPageBreak/>
        <w:t xml:space="preserve">In interpreting UNSC resolutions, this Court in </w:t>
      </w:r>
      <w:r w:rsidRPr="00847B84">
        <w:rPr>
          <w:i/>
          <w:iCs/>
        </w:rPr>
        <w:t xml:space="preserve">Kosovo </w:t>
      </w:r>
      <w:r w:rsidRPr="00847B84">
        <w:t>stated that resort must be had to the resolution’s language, considering its context and object and purpose,</w:t>
      </w:r>
      <w:r w:rsidRPr="00847B84">
        <w:rPr>
          <w:rStyle w:val="FootnoteReference"/>
        </w:rPr>
        <w:t xml:space="preserve"> </w:t>
      </w:r>
      <w:r w:rsidRPr="00847B84">
        <w:rPr>
          <w:rStyle w:val="FootnoteReference"/>
        </w:rPr>
        <w:footnoteReference w:id="252"/>
      </w:r>
      <w:r w:rsidRPr="00847B84">
        <w:t xml:space="preserve"> and previous practice of the UNSC.</w:t>
      </w:r>
      <w:r w:rsidRPr="00847B84">
        <w:rPr>
          <w:rStyle w:val="FootnoteReference"/>
        </w:rPr>
        <w:footnoteReference w:id="253"/>
      </w:r>
      <w:r w:rsidRPr="00847B84">
        <w:t xml:space="preserve"> Here, the object and purpose of Resolution 99997 is to investigate the circumstances surrounding the revocation of the </w:t>
      </w:r>
      <w:proofErr w:type="spellStart"/>
      <w:r w:rsidRPr="00847B84">
        <w:t>Sterren</w:t>
      </w:r>
      <w:proofErr w:type="spellEnd"/>
      <w:r w:rsidRPr="00847B84">
        <w:t xml:space="preserve"> Forty’s citizenship, and establishing for that purpose, the UNIMR.</w:t>
      </w:r>
      <w:r w:rsidRPr="00847B84">
        <w:rPr>
          <w:rStyle w:val="FootnoteReference"/>
        </w:rPr>
        <w:footnoteReference w:id="254"/>
      </w:r>
      <w:r w:rsidRPr="00847B84">
        <w:t xml:space="preserve"> To achieve this, Resolution 99997 </w:t>
      </w:r>
      <w:r w:rsidRPr="00847B84">
        <w:rPr>
          <w:rFonts w:eastAsia="TimesNewRomanPSMT"/>
        </w:rPr>
        <w:t>calls upon</w:t>
      </w:r>
      <w:r w:rsidRPr="00847B84">
        <w:rPr>
          <w:rFonts w:eastAsia="TimesNewRomanPSMT"/>
          <w:i/>
          <w:iCs/>
        </w:rPr>
        <w:t xml:space="preserve"> </w:t>
      </w:r>
      <w:proofErr w:type="spellStart"/>
      <w:r w:rsidRPr="00847B84">
        <w:rPr>
          <w:rFonts w:eastAsia="TimesNewRomanPSMT"/>
        </w:rPr>
        <w:t>Remisia</w:t>
      </w:r>
      <w:proofErr w:type="spellEnd"/>
      <w:r w:rsidRPr="00847B84">
        <w:rPr>
          <w:rFonts w:eastAsia="TimesNewRomanPSMT"/>
        </w:rPr>
        <w:t xml:space="preserve"> “to </w:t>
      </w:r>
      <w:r w:rsidRPr="00847B84">
        <w:rPr>
          <w:rFonts w:eastAsia="TimesNewRomanPSMT"/>
          <w:i/>
          <w:iCs/>
        </w:rPr>
        <w:t>cooperate fully</w:t>
      </w:r>
      <w:r w:rsidRPr="00847B84">
        <w:rPr>
          <w:rFonts w:eastAsia="TimesNewRomanPSMT"/>
        </w:rPr>
        <w:t xml:space="preserve"> with the [UNIMR] by providing access to all documentary, testimonial, and physical information and evidence that is deemed relevant to the [UNIMR].”</w:t>
      </w:r>
      <w:r w:rsidRPr="00847B84">
        <w:rPr>
          <w:rStyle w:val="FootnoteReference"/>
          <w:rFonts w:eastAsia="TimesNewRomanPSMT"/>
        </w:rPr>
        <w:footnoteReference w:id="255"/>
      </w:r>
      <w:r w:rsidRPr="00847B84">
        <w:rPr>
          <w:rFonts w:eastAsia="TimesNewRomanPSMT"/>
        </w:rPr>
        <w:t xml:space="preserve"> ‘</w:t>
      </w:r>
      <w:r w:rsidRPr="00847B84">
        <w:rPr>
          <w:rFonts w:eastAsia="TimesNewRomanPSMT"/>
          <w:i/>
          <w:iCs/>
        </w:rPr>
        <w:t>Cooperating fully</w:t>
      </w:r>
      <w:r w:rsidRPr="00847B84">
        <w:rPr>
          <w:rFonts w:eastAsia="TimesNewRomanPSMT"/>
        </w:rPr>
        <w:t>’, as understood in its ordinary meaning, means taking actions to serve and accomplish a specific objective.</w:t>
      </w:r>
      <w:r w:rsidRPr="00847B84">
        <w:rPr>
          <w:rStyle w:val="FootnoteReference"/>
          <w:rFonts w:eastAsia="TimesNewRomanPSMT"/>
        </w:rPr>
        <w:footnoteReference w:id="256"/>
      </w:r>
      <w:r w:rsidRPr="00847B84">
        <w:rPr>
          <w:rFonts w:eastAsia="TimesNewRomanPSMT"/>
        </w:rPr>
        <w:t xml:space="preserve"> </w:t>
      </w:r>
    </w:p>
    <w:p w14:paraId="387FF6F3" w14:textId="2811EB1D" w:rsidR="007C5844" w:rsidRPr="00847B84" w:rsidRDefault="007C5844" w:rsidP="007C5844">
      <w:pPr>
        <w:ind w:firstLine="720"/>
        <w:rPr>
          <w:rFonts w:eastAsia="TimesNewRomanPSMT"/>
        </w:rPr>
      </w:pPr>
      <w:r w:rsidRPr="00847B84">
        <w:rPr>
          <w:rFonts w:eastAsia="TimesNewRomanPSMT"/>
        </w:rPr>
        <w:t xml:space="preserve">In Resolution 1267 concerning </w:t>
      </w:r>
      <w:r w:rsidRPr="00847B84">
        <w:rPr>
          <w:rFonts w:eastAsia="TimesNewRomanPSMT"/>
          <w:i/>
          <w:iCs/>
        </w:rPr>
        <w:t>Al Qaida</w:t>
      </w:r>
      <w:r w:rsidRPr="00847B84">
        <w:rPr>
          <w:rFonts w:eastAsia="TimesNewRomanPSMT"/>
        </w:rPr>
        <w:t>, the UNSC demanded that States “</w:t>
      </w:r>
      <w:r w:rsidRPr="00847B84">
        <w:rPr>
          <w:rFonts w:eastAsia="TimesNewRomanPSMT"/>
          <w:i/>
          <w:iCs/>
        </w:rPr>
        <w:t>cooperate fully</w:t>
      </w:r>
      <w:r w:rsidRPr="00847B84">
        <w:rPr>
          <w:rFonts w:eastAsia="TimesNewRomanPSMT"/>
        </w:rPr>
        <w:t>” with the UNSC Committee</w:t>
      </w:r>
      <w:r w:rsidRPr="00847B84">
        <w:rPr>
          <w:rStyle w:val="FootnoteReference"/>
          <w:rFonts w:eastAsia="TimesNewRomanPSMT"/>
        </w:rPr>
        <w:footnoteReference w:id="257"/>
      </w:r>
      <w:r w:rsidRPr="00847B84">
        <w:rPr>
          <w:rFonts w:eastAsia="TimesNewRomanPSMT"/>
        </w:rPr>
        <w:t xml:space="preserve"> in its tasks related to the suppression of terrorism, which include recommending and reporting its counter terrorism efforts and designating financial resources for implementation.</w:t>
      </w:r>
      <w:r w:rsidRPr="00847B84">
        <w:rPr>
          <w:rStyle w:val="FootnoteReference"/>
          <w:rFonts w:eastAsia="TimesNewRomanPSMT"/>
        </w:rPr>
        <w:footnoteReference w:id="258"/>
      </w:r>
      <w:r w:rsidRPr="00847B84">
        <w:rPr>
          <w:rFonts w:eastAsia="TimesNewRomanPSMT"/>
        </w:rPr>
        <w:t xml:space="preserve"> In </w:t>
      </w:r>
      <w:r w:rsidR="002F68F3" w:rsidRPr="00847B84">
        <w:rPr>
          <w:rFonts w:eastAsia="TimesNewRomanPSMT"/>
        </w:rPr>
        <w:t>“</w:t>
      </w:r>
      <w:r w:rsidRPr="00847B84">
        <w:rPr>
          <w:rFonts w:eastAsia="TimesNewRomanPSMT"/>
          <w:i/>
          <w:iCs/>
        </w:rPr>
        <w:t>cooperating fully</w:t>
      </w:r>
      <w:r w:rsidRPr="00847B84">
        <w:rPr>
          <w:rFonts w:eastAsia="TimesNewRomanPSMT"/>
        </w:rPr>
        <w:t>,</w:t>
      </w:r>
      <w:r w:rsidR="002F68F3" w:rsidRPr="00847B84">
        <w:rPr>
          <w:rFonts w:eastAsia="TimesNewRomanPSMT"/>
        </w:rPr>
        <w:t>”</w:t>
      </w:r>
      <w:r w:rsidRPr="00847B84">
        <w:rPr>
          <w:rFonts w:eastAsia="TimesNewRomanPSMT"/>
        </w:rPr>
        <w:t xml:space="preserve"> States were not required to report or act on every single task as listed by the UNSC and they maintained the discretion to choose how best to achieve the object and purpose of Resolution 1267. This is consistent with </w:t>
      </w:r>
      <w:r w:rsidR="002F68F3" w:rsidRPr="00847B84">
        <w:rPr>
          <w:rFonts w:eastAsia="TimesNewRomanPSMT"/>
        </w:rPr>
        <w:t xml:space="preserve">UNSC’s </w:t>
      </w:r>
      <w:r w:rsidRPr="00847B84">
        <w:rPr>
          <w:rFonts w:eastAsia="TimesNewRomanPSMT"/>
        </w:rPr>
        <w:t xml:space="preserve">previous practice involving the establishment of </w:t>
      </w:r>
      <w:r w:rsidR="00526B4D" w:rsidRPr="00847B84">
        <w:rPr>
          <w:rFonts w:eastAsia="TimesNewRomanPSMT"/>
        </w:rPr>
        <w:t xml:space="preserve">investigation </w:t>
      </w:r>
      <w:r w:rsidRPr="00847B84">
        <w:rPr>
          <w:rFonts w:eastAsia="TimesNewRomanPSMT"/>
        </w:rPr>
        <w:t>missions,</w:t>
      </w:r>
      <w:r w:rsidRPr="00847B84">
        <w:rPr>
          <w:rStyle w:val="FootnoteReference"/>
          <w:rFonts w:eastAsia="TimesNewRomanPSMT"/>
        </w:rPr>
        <w:footnoteReference w:id="259"/>
      </w:r>
      <w:r w:rsidRPr="00847B84">
        <w:rPr>
          <w:rFonts w:eastAsia="TimesNewRomanPSMT"/>
        </w:rPr>
        <w:t xml:space="preserve"> which did not necessitate the entry of mission members </w:t>
      </w:r>
      <w:r w:rsidR="002F68F3" w:rsidRPr="00847B84">
        <w:rPr>
          <w:rFonts w:eastAsia="TimesNewRomanPSMT"/>
        </w:rPr>
        <w:t>provided</w:t>
      </w:r>
      <w:r w:rsidRPr="00847B84">
        <w:rPr>
          <w:rFonts w:eastAsia="TimesNewRomanPSMT"/>
        </w:rPr>
        <w:t xml:space="preserve"> the purpose of those missions can be achieved through other means. </w:t>
      </w:r>
    </w:p>
    <w:p w14:paraId="29AE78B3" w14:textId="52757859" w:rsidR="00A007DD" w:rsidRPr="00847B84" w:rsidRDefault="007C5844" w:rsidP="000E4258">
      <w:pPr>
        <w:ind w:firstLine="720"/>
        <w:rPr>
          <w:b/>
          <w:caps/>
          <w:color w:val="000000"/>
        </w:rPr>
      </w:pPr>
      <w:r w:rsidRPr="00847B84">
        <w:rPr>
          <w:rFonts w:eastAsia="TimesNewRomanPSMT"/>
        </w:rPr>
        <w:t xml:space="preserve">Hence, </w:t>
      </w:r>
      <w:proofErr w:type="spellStart"/>
      <w:r w:rsidRPr="00847B84">
        <w:rPr>
          <w:rFonts w:eastAsia="TimesNewRomanPSMT"/>
        </w:rPr>
        <w:t>Remisia’s</w:t>
      </w:r>
      <w:proofErr w:type="spellEnd"/>
      <w:r w:rsidRPr="00847B84">
        <w:rPr>
          <w:rFonts w:eastAsia="TimesNewRomanPSMT"/>
        </w:rPr>
        <w:t xml:space="preserve"> denial of Dr. </w:t>
      </w:r>
      <w:proofErr w:type="spellStart"/>
      <w:r w:rsidRPr="00847B84">
        <w:rPr>
          <w:rFonts w:eastAsia="TimesNewRomanPSMT"/>
        </w:rPr>
        <w:t>Malex’s</w:t>
      </w:r>
      <w:proofErr w:type="spellEnd"/>
      <w:r w:rsidRPr="00847B84">
        <w:rPr>
          <w:rFonts w:eastAsia="TimesNewRomanPSMT"/>
        </w:rPr>
        <w:t xml:space="preserve"> entry does not violate Resolution 99997 because there are other means of achieving its object and purpose, such as providing the UNIMR with information upon its request. To be sure, had the UNSC intended to absolutely require that </w:t>
      </w:r>
      <w:proofErr w:type="spellStart"/>
      <w:r w:rsidRPr="00847B84">
        <w:rPr>
          <w:rFonts w:eastAsia="TimesNewRomanPSMT"/>
        </w:rPr>
        <w:t>Remisia</w:t>
      </w:r>
      <w:proofErr w:type="spellEnd"/>
      <w:r w:rsidRPr="00847B84">
        <w:rPr>
          <w:rFonts w:eastAsia="TimesNewRomanPSMT"/>
        </w:rPr>
        <w:t xml:space="preserve"> </w:t>
      </w:r>
      <w:r w:rsidRPr="00847B84">
        <w:rPr>
          <w:rFonts w:eastAsia="TimesNewRomanPSMT"/>
        </w:rPr>
        <w:lastRenderedPageBreak/>
        <w:t>allow the entry of Mission Members, it could have easily said so in the Resolution as it has done so in the past.</w:t>
      </w:r>
      <w:r w:rsidRPr="00847B84">
        <w:rPr>
          <w:rStyle w:val="FootnoteReference"/>
          <w:rFonts w:eastAsia="TimesNewRomanPSMT"/>
        </w:rPr>
        <w:footnoteReference w:id="260"/>
      </w:r>
      <w:r w:rsidRPr="00847B84">
        <w:rPr>
          <w:rFonts w:eastAsia="TimesNewRomanPSMT"/>
        </w:rPr>
        <w:t xml:space="preserve"> </w:t>
      </w:r>
    </w:p>
    <w:p w14:paraId="08E3196F" w14:textId="77777777" w:rsidR="005F4267" w:rsidRPr="00847B84" w:rsidRDefault="005F4267">
      <w:pPr>
        <w:spacing w:after="0" w:line="240" w:lineRule="auto"/>
        <w:jc w:val="left"/>
        <w:rPr>
          <w:b/>
          <w:caps/>
          <w:color w:val="000000"/>
        </w:rPr>
      </w:pPr>
      <w:r w:rsidRPr="00847B84">
        <w:br w:type="page"/>
      </w:r>
    </w:p>
    <w:p w14:paraId="6D8DBACD" w14:textId="077E071A" w:rsidR="005A62A6" w:rsidRPr="00847B84" w:rsidRDefault="005A62A6" w:rsidP="00C57840">
      <w:pPr>
        <w:pStyle w:val="Heading1"/>
      </w:pPr>
      <w:bookmarkStart w:id="87" w:name="_Toc156019752"/>
      <w:r w:rsidRPr="00847B84">
        <w:lastRenderedPageBreak/>
        <w:t>PRAYER</w:t>
      </w:r>
      <w:r w:rsidR="008620EF" w:rsidRPr="00847B84">
        <w:t>S</w:t>
      </w:r>
      <w:r w:rsidR="000E452F" w:rsidRPr="00847B84">
        <w:t xml:space="preserve"> </w:t>
      </w:r>
      <w:r w:rsidRPr="00847B84">
        <w:t>FOR RELIEF</w:t>
      </w:r>
      <w:bookmarkEnd w:id="72"/>
      <w:bookmarkEnd w:id="73"/>
      <w:bookmarkEnd w:id="74"/>
      <w:bookmarkEnd w:id="75"/>
      <w:bookmarkEnd w:id="87"/>
      <w:r w:rsidRPr="00847B84">
        <w:t xml:space="preserve"> </w:t>
      </w:r>
    </w:p>
    <w:p w14:paraId="714437F1" w14:textId="04F1E10F" w:rsidR="005A62A6" w:rsidRPr="00847B84" w:rsidRDefault="005A62A6" w:rsidP="005A62A6">
      <w:pPr>
        <w:widowControl w:val="0"/>
        <w:rPr>
          <w:rFonts w:eastAsia="Times"/>
        </w:rPr>
      </w:pPr>
      <w:r w:rsidRPr="00847B84">
        <w:t xml:space="preserve">For the aforementioned reasons, the </w:t>
      </w:r>
      <w:r w:rsidR="00DE0400" w:rsidRPr="00847B84">
        <w:t>Kingdom</w:t>
      </w:r>
      <w:r w:rsidRPr="00847B84">
        <w:t xml:space="preserve"> of </w:t>
      </w:r>
      <w:proofErr w:type="spellStart"/>
      <w:r w:rsidR="00DE0400" w:rsidRPr="00847B84">
        <w:rPr>
          <w:rFonts w:eastAsia="Times"/>
        </w:rPr>
        <w:t>Remisia</w:t>
      </w:r>
      <w:proofErr w:type="spellEnd"/>
      <w:r w:rsidRPr="00847B84">
        <w:rPr>
          <w:rFonts w:eastAsia="Times"/>
        </w:rPr>
        <w:t>, respectfully prays that this Court:</w:t>
      </w:r>
    </w:p>
    <w:p w14:paraId="612300ED" w14:textId="4CFBD6BB" w:rsidR="005A62A6" w:rsidRPr="00847B84" w:rsidRDefault="005A62A6" w:rsidP="005A62A6">
      <w:pPr>
        <w:pStyle w:val="ListParagraph"/>
        <w:widowControl w:val="0"/>
        <w:numPr>
          <w:ilvl w:val="0"/>
          <w:numId w:val="50"/>
        </w:numPr>
        <w:rPr>
          <w:rFonts w:eastAsia="Times"/>
        </w:rPr>
      </w:pPr>
      <w:r w:rsidRPr="00847B84">
        <w:rPr>
          <w:b/>
        </w:rPr>
        <w:t>DECLARE</w:t>
      </w:r>
      <w:r w:rsidRPr="00847B84">
        <w:rPr>
          <w:bCs/>
        </w:rPr>
        <w:t xml:space="preserve"> </w:t>
      </w:r>
      <w:r w:rsidRPr="00847B84">
        <w:t>that</w:t>
      </w:r>
      <w:r w:rsidR="00DE0400" w:rsidRPr="00847B84">
        <w:t xml:space="preserve"> </w:t>
      </w:r>
      <w:proofErr w:type="spellStart"/>
      <w:r w:rsidR="00DE0400" w:rsidRPr="00847B84">
        <w:t>Antrano</w:t>
      </w:r>
      <w:proofErr w:type="spellEnd"/>
      <w:r w:rsidR="00DE0400" w:rsidRPr="00847B84">
        <w:t xml:space="preserve"> lacks standing to bring the matter of deprivation of nationality of the “</w:t>
      </w:r>
      <w:proofErr w:type="spellStart"/>
      <w:r w:rsidR="00DE0400" w:rsidRPr="00847B84">
        <w:t>Sterren</w:t>
      </w:r>
      <w:proofErr w:type="spellEnd"/>
      <w:r w:rsidR="00DE0400" w:rsidRPr="00847B84">
        <w:t xml:space="preserve"> Forty” to this Court</w:t>
      </w:r>
      <w:r w:rsidRPr="00847B84">
        <w:t>;</w:t>
      </w:r>
    </w:p>
    <w:p w14:paraId="16E75EFD" w14:textId="5D7444E7" w:rsidR="005A62A6" w:rsidRPr="00847B84" w:rsidRDefault="005A62A6" w:rsidP="005A62A6">
      <w:pPr>
        <w:numPr>
          <w:ilvl w:val="0"/>
          <w:numId w:val="50"/>
        </w:numPr>
        <w:pBdr>
          <w:top w:val="nil"/>
          <w:left w:val="nil"/>
          <w:bottom w:val="nil"/>
          <w:right w:val="nil"/>
          <w:between w:val="nil"/>
        </w:pBdr>
        <w:spacing w:after="0"/>
        <w:rPr>
          <w:color w:val="000000"/>
        </w:rPr>
      </w:pPr>
      <w:r w:rsidRPr="00847B84">
        <w:rPr>
          <w:b/>
          <w:bCs/>
          <w:color w:val="000000"/>
        </w:rPr>
        <w:t>DECLARE</w:t>
      </w:r>
      <w:r w:rsidRPr="00847B84">
        <w:rPr>
          <w:color w:val="000000"/>
        </w:rPr>
        <w:t xml:space="preserve"> </w:t>
      </w:r>
      <w:r w:rsidR="00DE0400" w:rsidRPr="00847B84">
        <w:rPr>
          <w:color w:val="000000"/>
        </w:rPr>
        <w:t xml:space="preserve">that </w:t>
      </w:r>
      <w:proofErr w:type="spellStart"/>
      <w:r w:rsidR="00DE0400" w:rsidRPr="00847B84">
        <w:rPr>
          <w:color w:val="000000"/>
        </w:rPr>
        <w:t>Remisia</w:t>
      </w:r>
      <w:proofErr w:type="spellEnd"/>
      <w:r w:rsidR="00DE0400" w:rsidRPr="00847B84">
        <w:rPr>
          <w:color w:val="000000"/>
        </w:rPr>
        <w:t xml:space="preserve"> did not violate international law when it deprived the “</w:t>
      </w:r>
      <w:proofErr w:type="spellStart"/>
      <w:r w:rsidR="00DE0400" w:rsidRPr="00847B84">
        <w:rPr>
          <w:color w:val="000000"/>
        </w:rPr>
        <w:t>Sterren</w:t>
      </w:r>
      <w:proofErr w:type="spellEnd"/>
      <w:r w:rsidR="00DE0400" w:rsidRPr="00847B84">
        <w:rPr>
          <w:color w:val="000000"/>
        </w:rPr>
        <w:t xml:space="preserve"> Forty” of their </w:t>
      </w:r>
      <w:proofErr w:type="spellStart"/>
      <w:r w:rsidR="00DE0400" w:rsidRPr="00847B84">
        <w:rPr>
          <w:color w:val="000000"/>
        </w:rPr>
        <w:t>Remisian</w:t>
      </w:r>
      <w:proofErr w:type="spellEnd"/>
      <w:r w:rsidR="00DE0400" w:rsidRPr="00847B84">
        <w:rPr>
          <w:color w:val="000000"/>
        </w:rPr>
        <w:t xml:space="preserve"> citizenship in accordance with the DCA</w:t>
      </w:r>
      <w:r w:rsidRPr="00847B84">
        <w:rPr>
          <w:color w:val="000000"/>
        </w:rPr>
        <w:t>;</w:t>
      </w:r>
    </w:p>
    <w:p w14:paraId="4533D00C" w14:textId="77777777" w:rsidR="005A62A6" w:rsidRPr="00847B84" w:rsidRDefault="005A62A6" w:rsidP="005A62A6">
      <w:pPr>
        <w:pBdr>
          <w:top w:val="nil"/>
          <w:left w:val="nil"/>
          <w:bottom w:val="nil"/>
          <w:right w:val="nil"/>
          <w:between w:val="nil"/>
        </w:pBdr>
        <w:spacing w:after="0"/>
        <w:ind w:left="720"/>
        <w:rPr>
          <w:color w:val="000000"/>
        </w:rPr>
      </w:pPr>
    </w:p>
    <w:p w14:paraId="6FC148C7" w14:textId="5FEAD796" w:rsidR="005A62A6" w:rsidRPr="00847B84" w:rsidRDefault="005A62A6" w:rsidP="005A62A6">
      <w:pPr>
        <w:numPr>
          <w:ilvl w:val="0"/>
          <w:numId w:val="50"/>
        </w:numPr>
        <w:pBdr>
          <w:top w:val="nil"/>
          <w:left w:val="nil"/>
          <w:bottom w:val="nil"/>
          <w:right w:val="nil"/>
          <w:between w:val="nil"/>
        </w:pBdr>
        <w:spacing w:after="0"/>
        <w:rPr>
          <w:color w:val="000000"/>
        </w:rPr>
      </w:pPr>
      <w:r w:rsidRPr="00847B84">
        <w:rPr>
          <w:b/>
          <w:bCs/>
          <w:color w:val="000000"/>
        </w:rPr>
        <w:t>DECLARE</w:t>
      </w:r>
      <w:r w:rsidRPr="00847B84">
        <w:rPr>
          <w:color w:val="000000"/>
        </w:rPr>
        <w:t xml:space="preserve"> that</w:t>
      </w:r>
      <w:r w:rsidR="00DE0400" w:rsidRPr="00847B84">
        <w:rPr>
          <w:color w:val="000000"/>
        </w:rPr>
        <w:t xml:space="preserve"> </w:t>
      </w:r>
      <w:proofErr w:type="spellStart"/>
      <w:r w:rsidR="00DE0400" w:rsidRPr="00847B84">
        <w:rPr>
          <w:color w:val="000000"/>
        </w:rPr>
        <w:t>Antrano</w:t>
      </w:r>
      <w:proofErr w:type="spellEnd"/>
      <w:r w:rsidR="00DE0400" w:rsidRPr="00847B84">
        <w:rPr>
          <w:color w:val="000000"/>
        </w:rPr>
        <w:t xml:space="preserve"> violated international law when it denied Saki Shaw, a </w:t>
      </w:r>
      <w:proofErr w:type="spellStart"/>
      <w:r w:rsidR="00DE0400" w:rsidRPr="00847B84">
        <w:rPr>
          <w:color w:val="000000"/>
        </w:rPr>
        <w:t>Remisian</w:t>
      </w:r>
      <w:proofErr w:type="spellEnd"/>
      <w:r w:rsidR="00DE0400" w:rsidRPr="00847B84">
        <w:rPr>
          <w:color w:val="000000"/>
        </w:rPr>
        <w:t xml:space="preserve"> citizen, access to </w:t>
      </w:r>
      <w:proofErr w:type="spellStart"/>
      <w:r w:rsidR="00DE0400" w:rsidRPr="00847B84">
        <w:rPr>
          <w:color w:val="000000"/>
        </w:rPr>
        <w:t>Remisian</w:t>
      </w:r>
      <w:proofErr w:type="spellEnd"/>
      <w:r w:rsidR="00DE0400" w:rsidRPr="00847B84">
        <w:rPr>
          <w:color w:val="000000"/>
        </w:rPr>
        <w:t xml:space="preserve"> consular representatives while she was held prisoner in </w:t>
      </w:r>
      <w:proofErr w:type="spellStart"/>
      <w:r w:rsidR="00DE0400" w:rsidRPr="00847B84">
        <w:rPr>
          <w:color w:val="000000"/>
        </w:rPr>
        <w:t>Antrano</w:t>
      </w:r>
      <w:proofErr w:type="spellEnd"/>
      <w:r w:rsidRPr="00847B84">
        <w:rPr>
          <w:color w:val="000000"/>
        </w:rPr>
        <w:t>; and</w:t>
      </w:r>
    </w:p>
    <w:p w14:paraId="6511F420" w14:textId="77777777" w:rsidR="005A62A6" w:rsidRPr="00847B84" w:rsidRDefault="005A62A6" w:rsidP="005A62A6">
      <w:pPr>
        <w:pBdr>
          <w:top w:val="nil"/>
          <w:left w:val="nil"/>
          <w:bottom w:val="nil"/>
          <w:right w:val="nil"/>
          <w:between w:val="nil"/>
        </w:pBdr>
        <w:spacing w:after="0"/>
        <w:rPr>
          <w:color w:val="000000"/>
        </w:rPr>
      </w:pPr>
    </w:p>
    <w:p w14:paraId="7CCF56CC" w14:textId="21A915AA" w:rsidR="005A62A6" w:rsidRPr="00847B84" w:rsidRDefault="005A62A6" w:rsidP="005A62A6">
      <w:pPr>
        <w:numPr>
          <w:ilvl w:val="0"/>
          <w:numId w:val="50"/>
        </w:numPr>
        <w:pBdr>
          <w:top w:val="nil"/>
          <w:left w:val="nil"/>
          <w:bottom w:val="nil"/>
          <w:right w:val="nil"/>
          <w:between w:val="nil"/>
        </w:pBdr>
        <w:spacing w:after="0"/>
        <w:rPr>
          <w:color w:val="000000"/>
        </w:rPr>
      </w:pPr>
      <w:r w:rsidRPr="00847B84">
        <w:rPr>
          <w:b/>
          <w:bCs/>
          <w:color w:val="000000"/>
        </w:rPr>
        <w:t>DECLARE</w:t>
      </w:r>
      <w:r w:rsidRPr="00847B84">
        <w:rPr>
          <w:color w:val="000000"/>
        </w:rPr>
        <w:t xml:space="preserve"> </w:t>
      </w:r>
      <w:r w:rsidR="00DE0400" w:rsidRPr="00847B84">
        <w:rPr>
          <w:color w:val="000000"/>
        </w:rPr>
        <w:t xml:space="preserve">that </w:t>
      </w:r>
      <w:proofErr w:type="spellStart"/>
      <w:r w:rsidR="00DE0400" w:rsidRPr="00847B84">
        <w:rPr>
          <w:color w:val="000000"/>
        </w:rPr>
        <w:t>Remisia</w:t>
      </w:r>
      <w:proofErr w:type="spellEnd"/>
      <w:r w:rsidR="00DE0400" w:rsidRPr="00847B84">
        <w:rPr>
          <w:color w:val="000000"/>
        </w:rPr>
        <w:t xml:space="preserve"> did not violate international law by refusing to allow Dr. </w:t>
      </w:r>
      <w:proofErr w:type="spellStart"/>
      <w:r w:rsidR="00DE0400" w:rsidRPr="00847B84">
        <w:rPr>
          <w:color w:val="000000"/>
        </w:rPr>
        <w:t>Malex</w:t>
      </w:r>
      <w:proofErr w:type="spellEnd"/>
      <w:r w:rsidR="00DE0400" w:rsidRPr="00847B84">
        <w:rPr>
          <w:color w:val="000000"/>
        </w:rPr>
        <w:t xml:space="preserve"> to enter </w:t>
      </w:r>
      <w:proofErr w:type="spellStart"/>
      <w:r w:rsidR="00DE0400" w:rsidRPr="00847B84">
        <w:rPr>
          <w:color w:val="000000"/>
        </w:rPr>
        <w:t>Remisia</w:t>
      </w:r>
      <w:proofErr w:type="spellEnd"/>
      <w:r w:rsidRPr="00847B84">
        <w:rPr>
          <w:color w:val="000000"/>
        </w:rPr>
        <w:t>.</w:t>
      </w:r>
    </w:p>
    <w:p w14:paraId="3941D4E2" w14:textId="77777777" w:rsidR="005A62A6" w:rsidRPr="00847B84" w:rsidRDefault="005A62A6" w:rsidP="005A62A6">
      <w:pPr>
        <w:ind w:left="1134"/>
        <w:rPr>
          <w:rFonts w:eastAsia="Times"/>
        </w:rPr>
      </w:pPr>
    </w:p>
    <w:p w14:paraId="2D90B6D9" w14:textId="77777777" w:rsidR="005A62A6" w:rsidRPr="00847B84" w:rsidRDefault="005A62A6" w:rsidP="005A62A6">
      <w:pPr>
        <w:jc w:val="right"/>
        <w:rPr>
          <w:rFonts w:eastAsia="Times"/>
        </w:rPr>
      </w:pPr>
      <w:r w:rsidRPr="00847B84">
        <w:rPr>
          <w:rFonts w:eastAsia="Times"/>
        </w:rPr>
        <w:t>Respectfully submitted,</w:t>
      </w:r>
    </w:p>
    <w:p w14:paraId="54D1AB67" w14:textId="17EA279A" w:rsidR="007828FC" w:rsidRPr="002E5644" w:rsidRDefault="005A62A6" w:rsidP="007828FC">
      <w:pPr>
        <w:jc w:val="right"/>
        <w:rPr>
          <w:rFonts w:eastAsia="Times"/>
          <w:smallCaps/>
        </w:rPr>
      </w:pPr>
      <w:r w:rsidRPr="00847B84">
        <w:rPr>
          <w:rFonts w:eastAsia="Times"/>
          <w:b/>
        </w:rPr>
        <w:t xml:space="preserve"> </w:t>
      </w:r>
      <w:r w:rsidRPr="00847B84">
        <w:rPr>
          <w:rFonts w:eastAsia="Times"/>
          <w:b/>
          <w:smallCaps/>
        </w:rPr>
        <w:t xml:space="preserve">Agents for </w:t>
      </w:r>
      <w:r w:rsidR="00DE0400" w:rsidRPr="00847B84">
        <w:rPr>
          <w:rFonts w:eastAsia="Times"/>
          <w:b/>
          <w:smallCaps/>
        </w:rPr>
        <w:t>Responden</w:t>
      </w:r>
      <w:r w:rsidR="007828FC" w:rsidRPr="00847B84">
        <w:rPr>
          <w:rFonts w:eastAsia="Times"/>
          <w:b/>
          <w:smallCaps/>
        </w:rPr>
        <w:t>t</w:t>
      </w:r>
    </w:p>
    <w:p w14:paraId="26AA02E0" w14:textId="02E14816" w:rsidR="005A62A6" w:rsidRPr="002E5644" w:rsidRDefault="005A62A6"/>
    <w:sectPr w:rsidR="005A62A6" w:rsidRPr="002E5644" w:rsidSect="00F729F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6C92F" w14:textId="77777777" w:rsidR="00F729F7" w:rsidRDefault="00F729F7" w:rsidP="00DE0400">
      <w:pPr>
        <w:spacing w:after="0" w:line="240" w:lineRule="auto"/>
      </w:pPr>
      <w:r>
        <w:separator/>
      </w:r>
    </w:p>
  </w:endnote>
  <w:endnote w:type="continuationSeparator" w:id="0">
    <w:p w14:paraId="0361D15E" w14:textId="77777777" w:rsidR="00F729F7" w:rsidRDefault="00F729F7" w:rsidP="00DE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 Vu Serif">
    <w:altName w:val="Cambria"/>
    <w:panose1 w:val="020B0604020202020204"/>
    <w:charset w:val="00"/>
    <w:family w:val="roman"/>
    <w:notTrueType/>
    <w:pitch w:val="default"/>
    <w:sig w:usb0="00000003" w:usb1="00000000" w:usb2="00000000" w:usb3="00000000" w:csb0="00000001" w:csb1="00000000"/>
  </w:font>
  <w:font w:name="Times New Roman Bold">
    <w:altName w:val="Times New Roman"/>
    <w:panose1 w:val="020B0604020202020204"/>
    <w:charset w:val="00"/>
    <w:family w:val="auto"/>
    <w:pitch w:val="variable"/>
    <w:sig w:usb0="E0002AFF" w:usb1="C0007841"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07A45" w14:textId="77777777" w:rsidR="00112E6D" w:rsidRDefault="00112E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C4B" w14:textId="77777777" w:rsidR="00112E6D" w:rsidRDefault="00112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8A974" w14:textId="77777777" w:rsidR="00112E6D" w:rsidRDefault="00112E6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69FE" w14:textId="77777777" w:rsidR="00112E6D" w:rsidRDefault="00112E6D" w:rsidP="00537FB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8003" w14:textId="77777777" w:rsidR="00112E6D" w:rsidRDefault="00112E6D" w:rsidP="00537FB1"/>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3B74" w14:textId="77777777" w:rsidR="00112E6D" w:rsidRDefault="00112E6D" w:rsidP="00537F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192D" w14:textId="77777777" w:rsidR="00F729F7" w:rsidRDefault="00F729F7" w:rsidP="00DE0400">
      <w:pPr>
        <w:spacing w:after="0" w:line="240" w:lineRule="auto"/>
      </w:pPr>
      <w:r>
        <w:separator/>
      </w:r>
      <w:r>
        <w:separator/>
      </w:r>
      <w:r>
        <w:separator/>
      </w:r>
      <w:r>
        <w:separator/>
      </w:r>
    </w:p>
  </w:footnote>
  <w:footnote w:type="continuationSeparator" w:id="0">
    <w:p w14:paraId="5DA811E8" w14:textId="77777777" w:rsidR="00F729F7" w:rsidRDefault="00F729F7" w:rsidP="00DE0400">
      <w:pPr>
        <w:spacing w:after="0" w:line="240" w:lineRule="auto"/>
      </w:pPr>
      <w:r>
        <w:continuationSeparator/>
      </w:r>
    </w:p>
  </w:footnote>
  <w:footnote w:id="1">
    <w:p w14:paraId="5929F05F" w14:textId="1447A999" w:rsidR="006578A7" w:rsidRPr="00B81C3D" w:rsidRDefault="006578A7" w:rsidP="004567C3">
      <w:pPr>
        <w:pStyle w:val="FootnoteText"/>
        <w:tabs>
          <w:tab w:val="left" w:pos="4536"/>
        </w:tabs>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sz w:val="24"/>
          <w:szCs w:val="24"/>
        </w:rPr>
        <w:t>Gaja</w:t>
      </w:r>
      <w:proofErr w:type="spellEnd"/>
      <w:r w:rsidRPr="00B81C3D">
        <w:rPr>
          <w:sz w:val="24"/>
          <w:szCs w:val="24"/>
        </w:rPr>
        <w:t xml:space="preserve">, </w:t>
      </w:r>
      <w:r w:rsidRPr="00B81C3D">
        <w:rPr>
          <w:i/>
          <w:sz w:val="24"/>
          <w:szCs w:val="24"/>
        </w:rPr>
        <w:t>Standing</w:t>
      </w:r>
      <w:r w:rsidRPr="00B81C3D">
        <w:rPr>
          <w:sz w:val="24"/>
          <w:szCs w:val="24"/>
        </w:rPr>
        <w:t xml:space="preserve">, in </w:t>
      </w:r>
      <w:r w:rsidRPr="00B81C3D">
        <w:rPr>
          <w:smallCaps/>
          <w:sz w:val="24"/>
          <w:szCs w:val="24"/>
        </w:rPr>
        <w:t>Max Planck Encyclopedias of International Law</w:t>
      </w:r>
      <w:r w:rsidRPr="00B81C3D">
        <w:rPr>
          <w:sz w:val="24"/>
          <w:szCs w:val="24"/>
        </w:rPr>
        <w:t xml:space="preserve"> 1 (2018).</w:t>
      </w:r>
    </w:p>
  </w:footnote>
  <w:footnote w:id="2">
    <w:p w14:paraId="38F75B42" w14:textId="36527854" w:rsidR="006578A7" w:rsidRPr="00B81C3D" w:rsidRDefault="006578A7" w:rsidP="004567C3">
      <w:pPr>
        <w:pStyle w:val="FootnoteText"/>
        <w:spacing w:afterLines="30" w:after="72"/>
        <w:ind w:left="567" w:hanging="567"/>
        <w:rPr>
          <w:color w:val="000000" w:themeColor="text1"/>
          <w:sz w:val="24"/>
          <w:szCs w:val="24"/>
        </w:rPr>
      </w:pPr>
      <w:r w:rsidRPr="00B81C3D">
        <w:rPr>
          <w:rStyle w:val="FootnoteReference"/>
          <w:sz w:val="24"/>
          <w:szCs w:val="24"/>
        </w:rPr>
        <w:footnoteRef/>
      </w:r>
      <w:r w:rsidRPr="00B81C3D">
        <w:rPr>
          <w:sz w:val="24"/>
          <w:szCs w:val="24"/>
        </w:rPr>
        <w:t xml:space="preserve">  </w:t>
      </w:r>
      <w:r w:rsidR="001E132E" w:rsidRPr="00B81C3D">
        <w:rPr>
          <w:color w:val="000000" w:themeColor="text1"/>
          <w:sz w:val="24"/>
          <w:szCs w:val="24"/>
        </w:rPr>
        <w:t>South West Africa (Eth. v. S. Afr.; Liber. v. S. Afr.), Second Phase, 1966 I.C.J. 6, ¶</w:t>
      </w:r>
      <w:r w:rsidR="001E132E" w:rsidRPr="00B81C3D">
        <w:rPr>
          <w:sz w:val="24"/>
          <w:szCs w:val="24"/>
        </w:rPr>
        <w:t>51 [“</w:t>
      </w:r>
      <w:r w:rsidR="001E132E" w:rsidRPr="00B81C3D">
        <w:rPr>
          <w:b/>
          <w:bCs/>
          <w:sz w:val="24"/>
          <w:szCs w:val="24"/>
        </w:rPr>
        <w:t>1966</w:t>
      </w:r>
      <w:r w:rsidR="001E132E" w:rsidRPr="00B81C3D">
        <w:rPr>
          <w:b/>
          <w:bCs/>
          <w:i/>
          <w:iCs/>
          <w:sz w:val="24"/>
          <w:szCs w:val="24"/>
        </w:rPr>
        <w:t xml:space="preserve"> South West Africa</w:t>
      </w:r>
      <w:r w:rsidR="001E132E" w:rsidRPr="00B81C3D">
        <w:rPr>
          <w:sz w:val="24"/>
          <w:szCs w:val="24"/>
        </w:rPr>
        <w:t>”]</w:t>
      </w:r>
      <w:r w:rsidR="0054380C" w:rsidRPr="00B81C3D">
        <w:rPr>
          <w:sz w:val="24"/>
          <w:szCs w:val="24"/>
        </w:rPr>
        <w:t>.</w:t>
      </w:r>
    </w:p>
  </w:footnote>
  <w:footnote w:id="3">
    <w:p w14:paraId="41438B6D" w14:textId="393DB537" w:rsidR="0054380C" w:rsidRPr="00B81C3D" w:rsidRDefault="0054380C" w:rsidP="004567C3">
      <w:pPr>
        <w:pStyle w:val="FootnoteText"/>
        <w:spacing w:after="0"/>
        <w:rPr>
          <w:sz w:val="24"/>
          <w:szCs w:val="24"/>
          <w:lang w:val="en-US"/>
        </w:rPr>
      </w:pPr>
      <w:r w:rsidRPr="00B81C3D">
        <w:rPr>
          <w:rStyle w:val="FootnoteReference"/>
          <w:sz w:val="24"/>
          <w:szCs w:val="24"/>
        </w:rPr>
        <w:footnoteRef/>
      </w:r>
      <w:r w:rsidRPr="00B81C3D">
        <w:rPr>
          <w:sz w:val="24"/>
          <w:szCs w:val="24"/>
        </w:rPr>
        <w:t xml:space="preserve"> </w:t>
      </w:r>
      <w:r w:rsidR="005205CD" w:rsidRPr="00B81C3D">
        <w:rPr>
          <w:sz w:val="24"/>
          <w:szCs w:val="24"/>
        </w:rPr>
        <w:t>Book 25: Materials on the Responsibility of States for Internationally Wrongful Acts</w:t>
      </w:r>
      <w:r w:rsidR="004E5036" w:rsidRPr="00B81C3D">
        <w:rPr>
          <w:sz w:val="24"/>
          <w:szCs w:val="24"/>
        </w:rPr>
        <w:t xml:space="preserve">, </w:t>
      </w:r>
      <w:r w:rsidR="004E5036" w:rsidRPr="00B81C3D">
        <w:rPr>
          <w:smallCaps/>
          <w:sz w:val="24"/>
          <w:szCs w:val="24"/>
        </w:rPr>
        <w:t>United Nations Legislative Series</w:t>
      </w:r>
      <w:r w:rsidR="004E5036" w:rsidRPr="00B81C3D">
        <w:rPr>
          <w:sz w:val="24"/>
          <w:szCs w:val="24"/>
        </w:rPr>
        <w:t>, art. 42,</w:t>
      </w:r>
      <w:r w:rsidR="004E5036" w:rsidRPr="00B81C3D">
        <w:rPr>
          <w:color w:val="000000" w:themeColor="text1"/>
          <w:sz w:val="24"/>
          <w:szCs w:val="24"/>
        </w:rPr>
        <w:t xml:space="preserve"> ¶</w:t>
      </w:r>
      <w:r w:rsidR="004E5036" w:rsidRPr="00B81C3D">
        <w:rPr>
          <w:sz w:val="24"/>
          <w:szCs w:val="24"/>
        </w:rPr>
        <w:t xml:space="preserve">2. </w:t>
      </w:r>
    </w:p>
  </w:footnote>
  <w:footnote w:id="4">
    <w:p w14:paraId="78B7DC5F" w14:textId="74D2FC4F" w:rsidR="004567C3" w:rsidRPr="00B81C3D" w:rsidRDefault="004567C3" w:rsidP="004567C3">
      <w:pPr>
        <w:pStyle w:val="FootnoteText"/>
        <w:spacing w:after="0"/>
        <w:rPr>
          <w:sz w:val="24"/>
          <w:szCs w:val="24"/>
          <w:lang w:val="en-US"/>
        </w:rPr>
      </w:pPr>
      <w:r w:rsidRPr="00B81C3D">
        <w:rPr>
          <w:rStyle w:val="FootnoteReference"/>
          <w:sz w:val="24"/>
          <w:szCs w:val="24"/>
        </w:rPr>
        <w:footnoteRef/>
      </w:r>
      <w:r w:rsidRPr="00B81C3D">
        <w:rPr>
          <w:sz w:val="24"/>
          <w:szCs w:val="24"/>
        </w:rPr>
        <w:t xml:space="preserve"> </w:t>
      </w:r>
      <w:r w:rsidR="005205CD" w:rsidRPr="00B81C3D">
        <w:rPr>
          <w:sz w:val="24"/>
          <w:szCs w:val="24"/>
        </w:rPr>
        <w:t>I</w:t>
      </w:r>
      <w:r w:rsidR="005205CD" w:rsidRPr="00B81C3D">
        <w:rPr>
          <w:rFonts w:eastAsiaTheme="minorHAnsi"/>
          <w:sz w:val="24"/>
          <w:szCs w:val="24"/>
          <w:lang w:val="en-US"/>
          <w14:ligatures w14:val="standardContextual"/>
        </w:rPr>
        <w:t xml:space="preserve">LC, </w:t>
      </w:r>
      <w:r w:rsidR="005205CD" w:rsidRPr="00B81C3D">
        <w:rPr>
          <w:rFonts w:eastAsiaTheme="minorHAnsi"/>
          <w:i/>
          <w:iCs/>
          <w:sz w:val="24"/>
          <w:szCs w:val="24"/>
          <w:lang w:val="en-US"/>
          <w14:ligatures w14:val="standardContextual"/>
        </w:rPr>
        <w:t>Draft Articles on Responsibility of States for Internationally Wrongful Acts, with commentaries,</w:t>
      </w:r>
      <w:r w:rsidR="005205CD" w:rsidRPr="00B81C3D">
        <w:rPr>
          <w:rFonts w:eastAsiaTheme="minorHAnsi"/>
          <w:sz w:val="24"/>
          <w:szCs w:val="24"/>
          <w:lang w:val="en-US"/>
          <w14:ligatures w14:val="standardContextual"/>
        </w:rPr>
        <w:t xml:space="preserve"> U.N. Doc. A/56/10, art.42, ¶2 [“</w:t>
      </w:r>
      <w:r w:rsidR="005205CD" w:rsidRPr="00B81C3D">
        <w:rPr>
          <w:rFonts w:eastAsiaTheme="minorHAnsi"/>
          <w:b/>
          <w:bCs/>
          <w:sz w:val="24"/>
          <w:szCs w:val="24"/>
          <w:lang w:val="en-US"/>
          <w14:ligatures w14:val="standardContextual"/>
        </w:rPr>
        <w:t>ARSIWA Commentary</w:t>
      </w:r>
      <w:r w:rsidR="005205CD" w:rsidRPr="00B81C3D">
        <w:rPr>
          <w:rFonts w:eastAsiaTheme="minorHAnsi"/>
          <w:sz w:val="24"/>
          <w:szCs w:val="24"/>
          <w:lang w:val="en-US"/>
          <w14:ligatures w14:val="standardContextual"/>
        </w:rPr>
        <w:t>”].</w:t>
      </w:r>
    </w:p>
  </w:footnote>
  <w:footnote w:id="5">
    <w:p w14:paraId="44911939" w14:textId="14DEF793" w:rsidR="006578A7" w:rsidRPr="00B81C3D" w:rsidRDefault="006578A7" w:rsidP="004567C3">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076F28" w:rsidRPr="00B81C3D">
        <w:rPr>
          <w:sz w:val="24"/>
          <w:szCs w:val="24"/>
        </w:rPr>
        <w:t>HRComm</w:t>
      </w:r>
      <w:proofErr w:type="spellEnd"/>
      <w:r w:rsidR="004D0610" w:rsidRPr="00B81C3D">
        <w:rPr>
          <w:sz w:val="24"/>
          <w:szCs w:val="24"/>
        </w:rPr>
        <w:t xml:space="preserve">, </w:t>
      </w:r>
      <w:r w:rsidRPr="00B81C3D">
        <w:rPr>
          <w:i/>
          <w:iCs/>
          <w:sz w:val="24"/>
          <w:szCs w:val="24"/>
        </w:rPr>
        <w:t>General Comment 24</w:t>
      </w:r>
      <w:r w:rsidRPr="00B81C3D">
        <w:rPr>
          <w:sz w:val="24"/>
          <w:szCs w:val="24"/>
        </w:rPr>
        <w:t>, U</w:t>
      </w:r>
      <w:r w:rsidR="00FA4A9C" w:rsidRPr="00B81C3D">
        <w:rPr>
          <w:sz w:val="24"/>
          <w:szCs w:val="24"/>
        </w:rPr>
        <w:t>.</w:t>
      </w:r>
      <w:r w:rsidRPr="00B81C3D">
        <w:rPr>
          <w:sz w:val="24"/>
          <w:szCs w:val="24"/>
        </w:rPr>
        <w:t>N</w:t>
      </w:r>
      <w:r w:rsidR="00FA4A9C" w:rsidRPr="00B81C3D">
        <w:rPr>
          <w:sz w:val="24"/>
          <w:szCs w:val="24"/>
        </w:rPr>
        <w:t>.</w:t>
      </w:r>
      <w:r w:rsidRPr="00B81C3D">
        <w:rPr>
          <w:sz w:val="24"/>
          <w:szCs w:val="24"/>
        </w:rPr>
        <w:t xml:space="preserve"> Doc</w:t>
      </w:r>
      <w:r w:rsidR="00FA4A9C" w:rsidRPr="00B81C3D">
        <w:rPr>
          <w:sz w:val="24"/>
          <w:szCs w:val="24"/>
        </w:rPr>
        <w:t>.</w:t>
      </w:r>
      <w:r w:rsidR="0054380C" w:rsidRPr="00B81C3D">
        <w:rPr>
          <w:sz w:val="24"/>
          <w:szCs w:val="24"/>
        </w:rPr>
        <w:t xml:space="preserve"> </w:t>
      </w:r>
      <w:r w:rsidRPr="00B81C3D">
        <w:rPr>
          <w:sz w:val="24"/>
          <w:szCs w:val="24"/>
        </w:rPr>
        <w:t>CCPR/C/21/Rev.1/Add.6 (1994),</w:t>
      </w:r>
      <w:r w:rsidR="006A76B8" w:rsidRPr="00B81C3D">
        <w:rPr>
          <w:color w:val="000000" w:themeColor="text1"/>
          <w:sz w:val="24"/>
          <w:szCs w:val="24"/>
        </w:rPr>
        <w:t>¶</w:t>
      </w:r>
      <w:r w:rsidRPr="00B81C3D">
        <w:rPr>
          <w:sz w:val="24"/>
          <w:szCs w:val="24"/>
        </w:rPr>
        <w:t>17</w:t>
      </w:r>
      <w:r w:rsidR="004D0610" w:rsidRPr="00B81C3D">
        <w:rPr>
          <w:sz w:val="24"/>
          <w:szCs w:val="24"/>
        </w:rPr>
        <w:t xml:space="preserve"> [“</w:t>
      </w:r>
      <w:r w:rsidR="004D0610" w:rsidRPr="00B81C3D">
        <w:rPr>
          <w:b/>
          <w:bCs/>
          <w:sz w:val="24"/>
          <w:szCs w:val="24"/>
        </w:rPr>
        <w:t>GC 24</w:t>
      </w:r>
      <w:r w:rsidR="004D0610" w:rsidRPr="00B81C3D">
        <w:rPr>
          <w:sz w:val="24"/>
          <w:szCs w:val="24"/>
        </w:rPr>
        <w:t>”].</w:t>
      </w:r>
    </w:p>
  </w:footnote>
  <w:footnote w:id="6">
    <w:p w14:paraId="0D817222" w14:textId="776B35F1"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0D7E82" w:rsidRPr="00B81C3D">
        <w:rPr>
          <w:sz w:val="24"/>
          <w:szCs w:val="24"/>
          <w:lang w:val="en-US"/>
        </w:rPr>
        <w:t xml:space="preserve"> </w:t>
      </w:r>
      <w:r w:rsidR="00841F01" w:rsidRPr="00B81C3D">
        <w:rPr>
          <w:sz w:val="24"/>
          <w:szCs w:val="24"/>
          <w:lang w:val="en-US"/>
        </w:rPr>
        <w:t>ARSIWA Commentary,</w:t>
      </w:r>
      <w:r w:rsidR="00891256" w:rsidRPr="00B81C3D">
        <w:rPr>
          <w:sz w:val="24"/>
          <w:szCs w:val="24"/>
          <w:lang w:val="en-US"/>
        </w:rPr>
        <w:t xml:space="preserve"> </w:t>
      </w:r>
      <w:r w:rsidR="002A7134" w:rsidRPr="00B81C3D">
        <w:rPr>
          <w:sz w:val="24"/>
          <w:szCs w:val="24"/>
          <w:lang w:val="en-US"/>
        </w:rPr>
        <w:t>art.42</w:t>
      </w:r>
      <w:r w:rsidR="00FA4A9C" w:rsidRPr="00B81C3D">
        <w:rPr>
          <w:sz w:val="24"/>
          <w:szCs w:val="24"/>
          <w:lang w:val="en-US"/>
        </w:rPr>
        <w:t>,</w:t>
      </w:r>
      <w:r w:rsidR="00841F01" w:rsidRPr="00B81C3D">
        <w:rPr>
          <w:sz w:val="24"/>
          <w:szCs w:val="24"/>
          <w:lang w:val="en-US"/>
        </w:rPr>
        <w:t xml:space="preserve"> </w:t>
      </w:r>
      <w:r w:rsidR="00841F01" w:rsidRPr="00B81C3D">
        <w:rPr>
          <w:color w:val="000000" w:themeColor="text1"/>
          <w:sz w:val="24"/>
          <w:szCs w:val="24"/>
        </w:rPr>
        <w:t>¶</w:t>
      </w:r>
      <w:r w:rsidR="00841F01" w:rsidRPr="00B81C3D">
        <w:rPr>
          <w:sz w:val="24"/>
          <w:szCs w:val="24"/>
          <w:lang w:val="en-US"/>
        </w:rPr>
        <w:t>2</w:t>
      </w:r>
      <w:r w:rsidR="002A7134" w:rsidRPr="00B81C3D">
        <w:rPr>
          <w:sz w:val="24"/>
          <w:szCs w:val="24"/>
          <w:lang w:val="en-US"/>
        </w:rPr>
        <w:t>.</w:t>
      </w:r>
    </w:p>
  </w:footnote>
  <w:footnote w:id="7">
    <w:p w14:paraId="3A042E56" w14:textId="33112A05" w:rsidR="006578A7" w:rsidRPr="00B81C3D" w:rsidRDefault="006578A7" w:rsidP="00C75971">
      <w:pPr>
        <w:pStyle w:val="FootnoteText"/>
        <w:spacing w:afterLines="30" w:after="72"/>
        <w:ind w:left="567" w:hanging="567"/>
        <w:rPr>
          <w:b/>
          <w:bCs/>
          <w:color w:val="000000" w:themeColor="text1"/>
          <w:sz w:val="24"/>
          <w:szCs w:val="24"/>
        </w:rPr>
      </w:pPr>
      <w:r w:rsidRPr="00B81C3D">
        <w:rPr>
          <w:rStyle w:val="FootnoteReference"/>
          <w:sz w:val="24"/>
          <w:szCs w:val="24"/>
        </w:rPr>
        <w:footnoteRef/>
      </w:r>
      <w:r w:rsidRPr="00B81C3D">
        <w:rPr>
          <w:sz w:val="24"/>
          <w:szCs w:val="24"/>
        </w:rPr>
        <w:t xml:space="preserve"> </w:t>
      </w:r>
      <w:r w:rsidR="002A7134" w:rsidRPr="00B81C3D">
        <w:rPr>
          <w:color w:val="000000" w:themeColor="text1"/>
          <w:sz w:val="24"/>
          <w:szCs w:val="24"/>
        </w:rPr>
        <w:t>Barcelona Traction, Light and Power Company, Limited (Belg. v. Spain), Second Phase, 1970 I.C.J. 3,¶</w:t>
      </w:r>
      <w:r w:rsidR="002A7134" w:rsidRPr="00B81C3D">
        <w:rPr>
          <w:sz w:val="24"/>
          <w:szCs w:val="24"/>
        </w:rPr>
        <w:t>33</w:t>
      </w:r>
      <w:r w:rsidR="002A7134" w:rsidRPr="00B81C3D">
        <w:rPr>
          <w:color w:val="000000" w:themeColor="text1"/>
          <w:sz w:val="24"/>
          <w:szCs w:val="24"/>
        </w:rPr>
        <w:t xml:space="preserve"> [“</w:t>
      </w:r>
      <w:r w:rsidR="002A7134" w:rsidRPr="00B81C3D">
        <w:rPr>
          <w:b/>
          <w:bCs/>
          <w:i/>
          <w:iCs/>
          <w:color w:val="000000" w:themeColor="text1"/>
          <w:sz w:val="24"/>
          <w:szCs w:val="24"/>
        </w:rPr>
        <w:t>Barcelona Traction</w:t>
      </w:r>
      <w:r w:rsidR="002A7134" w:rsidRPr="00B81C3D">
        <w:rPr>
          <w:color w:val="000000" w:themeColor="text1"/>
          <w:sz w:val="24"/>
          <w:szCs w:val="24"/>
        </w:rPr>
        <w:t>”]</w:t>
      </w:r>
      <w:r w:rsidR="00E30218" w:rsidRPr="00B81C3D">
        <w:rPr>
          <w:color w:val="000000" w:themeColor="text1"/>
          <w:sz w:val="24"/>
          <w:szCs w:val="24"/>
        </w:rPr>
        <w:t>; Q</w:t>
      </w:r>
      <w:r w:rsidR="00D55CDE" w:rsidRPr="00B81C3D">
        <w:rPr>
          <w:color w:val="000000" w:themeColor="text1"/>
          <w:sz w:val="24"/>
          <w:szCs w:val="24"/>
        </w:rPr>
        <w:t>uestions relating to the Obligation to Prosecute or Extradite (Belg. v. Sen.), 2012 I.C.J. 422, ¶</w:t>
      </w:r>
      <w:r w:rsidR="00D55CDE" w:rsidRPr="00B81C3D">
        <w:rPr>
          <w:sz w:val="24"/>
          <w:szCs w:val="24"/>
        </w:rPr>
        <w:t xml:space="preserve">68 </w:t>
      </w:r>
      <w:r w:rsidR="001E132E" w:rsidRPr="00B81C3D">
        <w:rPr>
          <w:color w:val="000000" w:themeColor="text1"/>
          <w:sz w:val="24"/>
          <w:szCs w:val="24"/>
        </w:rPr>
        <w:t>[“</w:t>
      </w:r>
      <w:r w:rsidR="001E132E" w:rsidRPr="00B81C3D">
        <w:rPr>
          <w:b/>
          <w:bCs/>
          <w:i/>
          <w:iCs/>
          <w:color w:val="000000" w:themeColor="text1"/>
          <w:sz w:val="24"/>
          <w:szCs w:val="24"/>
        </w:rPr>
        <w:t>Belg</w:t>
      </w:r>
      <w:r w:rsidR="00FA4A9C" w:rsidRPr="00B81C3D">
        <w:rPr>
          <w:b/>
          <w:bCs/>
          <w:i/>
          <w:iCs/>
          <w:color w:val="000000" w:themeColor="text1"/>
          <w:sz w:val="24"/>
          <w:szCs w:val="24"/>
        </w:rPr>
        <w:t>ium/</w:t>
      </w:r>
      <w:r w:rsidR="001E132E" w:rsidRPr="00B81C3D">
        <w:rPr>
          <w:b/>
          <w:bCs/>
          <w:i/>
          <w:iCs/>
          <w:color w:val="000000" w:themeColor="text1"/>
          <w:sz w:val="24"/>
          <w:szCs w:val="24"/>
        </w:rPr>
        <w:t>Sen</w:t>
      </w:r>
      <w:r w:rsidR="00FA4A9C" w:rsidRPr="00B81C3D">
        <w:rPr>
          <w:b/>
          <w:bCs/>
          <w:i/>
          <w:iCs/>
          <w:color w:val="000000" w:themeColor="text1"/>
          <w:sz w:val="24"/>
          <w:szCs w:val="24"/>
        </w:rPr>
        <w:t>egal</w:t>
      </w:r>
      <w:r w:rsidR="001E132E" w:rsidRPr="00B81C3D">
        <w:rPr>
          <w:color w:val="000000" w:themeColor="text1"/>
          <w:sz w:val="24"/>
          <w:szCs w:val="24"/>
        </w:rPr>
        <w:t>”]</w:t>
      </w:r>
      <w:r w:rsidRPr="00B81C3D">
        <w:rPr>
          <w:rStyle w:val="normaltextrun"/>
          <w:color w:val="000000"/>
          <w:sz w:val="24"/>
          <w:szCs w:val="24"/>
          <w:shd w:val="clear" w:color="auto" w:fill="FFFFFF"/>
        </w:rPr>
        <w:t>.</w:t>
      </w:r>
    </w:p>
  </w:footnote>
  <w:footnote w:id="8">
    <w:p w14:paraId="4D72649F" w14:textId="3A93ACFD" w:rsidR="006578A7" w:rsidRPr="00B81C3D" w:rsidRDefault="006578A7" w:rsidP="00C75971">
      <w:pPr>
        <w:pStyle w:val="FootnoteText"/>
        <w:spacing w:afterLines="30" w:after="72"/>
        <w:ind w:left="567" w:hanging="567"/>
        <w:rPr>
          <w:rFonts w:eastAsia="Times"/>
          <w:sz w:val="24"/>
          <w:szCs w:val="24"/>
        </w:rPr>
      </w:pPr>
      <w:r w:rsidRPr="00B81C3D">
        <w:rPr>
          <w:rStyle w:val="FootnoteReference"/>
          <w:sz w:val="24"/>
          <w:szCs w:val="24"/>
        </w:rPr>
        <w:footnoteRef/>
      </w:r>
      <w:r w:rsidRPr="00B81C3D">
        <w:rPr>
          <w:sz w:val="24"/>
          <w:szCs w:val="24"/>
        </w:rPr>
        <w:t xml:space="preserve"> </w:t>
      </w:r>
      <w:r w:rsidR="00DD2428" w:rsidRPr="00B81C3D">
        <w:rPr>
          <w:i/>
          <w:sz w:val="24"/>
          <w:szCs w:val="24"/>
        </w:rPr>
        <w:t>Id.</w:t>
      </w:r>
    </w:p>
  </w:footnote>
  <w:footnote w:id="9">
    <w:p w14:paraId="388AF743" w14:textId="701F3DC0"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EE40E3" w:rsidRPr="00B81C3D">
        <w:rPr>
          <w:sz w:val="24"/>
          <w:szCs w:val="24"/>
        </w:rPr>
        <w:fldChar w:fldCharType="begin"/>
      </w:r>
      <w:r w:rsidR="00EE40E3" w:rsidRPr="00B81C3D">
        <w:rPr>
          <w:sz w:val="24"/>
          <w:szCs w:val="24"/>
        </w:rPr>
        <w:instrText xml:space="preserve"> REF _Ref156017698 \p \h </w:instrText>
      </w:r>
      <w:r w:rsidR="00355D5A" w:rsidRPr="00B81C3D">
        <w:rPr>
          <w:sz w:val="24"/>
          <w:szCs w:val="24"/>
        </w:rPr>
        <w:instrText xml:space="preserve"> \* MERGEFORMAT </w:instrText>
      </w:r>
      <w:r w:rsidR="00EE40E3" w:rsidRPr="00B81C3D">
        <w:rPr>
          <w:sz w:val="24"/>
          <w:szCs w:val="24"/>
        </w:rPr>
      </w:r>
      <w:r w:rsidR="00EE40E3" w:rsidRPr="00B81C3D">
        <w:rPr>
          <w:sz w:val="24"/>
          <w:szCs w:val="24"/>
        </w:rPr>
        <w:fldChar w:fldCharType="end"/>
      </w:r>
      <w:r w:rsidR="00EE40E3" w:rsidRPr="00B81C3D">
        <w:rPr>
          <w:sz w:val="24"/>
          <w:szCs w:val="24"/>
        </w:rPr>
        <w:fldChar w:fldCharType="begin"/>
      </w:r>
      <w:r w:rsidR="00EE40E3" w:rsidRPr="00B81C3D">
        <w:rPr>
          <w:sz w:val="24"/>
          <w:szCs w:val="24"/>
        </w:rPr>
        <w:instrText xml:space="preserve"> REF _Ref156017698 \p \h </w:instrText>
      </w:r>
      <w:r w:rsidR="00355D5A" w:rsidRPr="00B81C3D">
        <w:rPr>
          <w:sz w:val="24"/>
          <w:szCs w:val="24"/>
        </w:rPr>
        <w:instrText xml:space="preserve"> \* MERGEFORMAT </w:instrText>
      </w:r>
      <w:r w:rsidR="00EE40E3" w:rsidRPr="00B81C3D">
        <w:rPr>
          <w:sz w:val="24"/>
          <w:szCs w:val="24"/>
        </w:rPr>
      </w:r>
      <w:r w:rsidR="00EE40E3" w:rsidRPr="00B81C3D">
        <w:rPr>
          <w:sz w:val="24"/>
          <w:szCs w:val="24"/>
        </w:rPr>
        <w:fldChar w:fldCharType="end"/>
      </w:r>
      <w:r w:rsidR="00EE40E3" w:rsidRPr="00B81C3D">
        <w:rPr>
          <w:sz w:val="24"/>
          <w:szCs w:val="24"/>
        </w:rPr>
        <w:fldChar w:fldCharType="begin"/>
      </w:r>
      <w:r w:rsidR="00EE40E3" w:rsidRPr="00B81C3D">
        <w:rPr>
          <w:sz w:val="24"/>
          <w:szCs w:val="24"/>
        </w:rPr>
        <w:instrText xml:space="preserve"> REF _Ref156017698 \p \h </w:instrText>
      </w:r>
      <w:r w:rsidR="00355D5A" w:rsidRPr="00B81C3D">
        <w:rPr>
          <w:sz w:val="24"/>
          <w:szCs w:val="24"/>
        </w:rPr>
        <w:instrText xml:space="preserve"> \* MERGEFORMAT </w:instrText>
      </w:r>
      <w:r w:rsidR="00EE40E3" w:rsidRPr="00B81C3D">
        <w:rPr>
          <w:sz w:val="24"/>
          <w:szCs w:val="24"/>
        </w:rPr>
      </w:r>
      <w:r w:rsidR="00EE40E3" w:rsidRPr="00B81C3D">
        <w:rPr>
          <w:sz w:val="24"/>
          <w:szCs w:val="24"/>
        </w:rPr>
        <w:fldChar w:fldCharType="end"/>
      </w:r>
      <w:r w:rsidR="00BF1E3D" w:rsidRPr="00B81C3D">
        <w:rPr>
          <w:rFonts w:eastAsia="Times"/>
          <w:i/>
          <w:iCs/>
          <w:sz w:val="24"/>
          <w:szCs w:val="24"/>
        </w:rPr>
        <w:t>Belg</w:t>
      </w:r>
      <w:r w:rsidR="00FA4A9C" w:rsidRPr="00B81C3D">
        <w:rPr>
          <w:rFonts w:eastAsia="Times"/>
          <w:i/>
          <w:iCs/>
          <w:sz w:val="24"/>
          <w:szCs w:val="24"/>
        </w:rPr>
        <w:t>ium/Senegal</w:t>
      </w:r>
      <w:r w:rsidR="00DD2428" w:rsidRPr="00B81C3D">
        <w:rPr>
          <w:rFonts w:eastAsia="Times"/>
          <w:sz w:val="24"/>
          <w:szCs w:val="24"/>
        </w:rPr>
        <w:t xml:space="preserve">, </w:t>
      </w:r>
      <w:r w:rsidR="00BF1E3D" w:rsidRPr="00B81C3D">
        <w:rPr>
          <w:sz w:val="24"/>
          <w:szCs w:val="24"/>
        </w:rPr>
        <w:t>¶68.</w:t>
      </w:r>
    </w:p>
  </w:footnote>
  <w:footnote w:id="10">
    <w:p w14:paraId="698C0522" w14:textId="3485D750" w:rsidR="004D0610" w:rsidRPr="00B81C3D" w:rsidRDefault="004D0610"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 xml:space="preserve">Rights of Nationals of the </w:t>
      </w:r>
      <w:r w:rsidR="00076F28" w:rsidRPr="00B81C3D">
        <w:rPr>
          <w:sz w:val="24"/>
          <w:szCs w:val="24"/>
        </w:rPr>
        <w:t>USA</w:t>
      </w:r>
      <w:r w:rsidRPr="00B81C3D">
        <w:rPr>
          <w:sz w:val="24"/>
          <w:szCs w:val="24"/>
        </w:rPr>
        <w:t xml:space="preserve"> in Morocco (Fr. v. U.S.), 1952, I.C.J. 196</w:t>
      </w:r>
      <w:r w:rsidR="002A7134" w:rsidRPr="00B81C3D">
        <w:rPr>
          <w:sz w:val="24"/>
          <w:szCs w:val="24"/>
        </w:rPr>
        <w:t>.</w:t>
      </w:r>
      <w:r w:rsidRPr="00B81C3D">
        <w:rPr>
          <w:sz w:val="24"/>
          <w:szCs w:val="24"/>
        </w:rPr>
        <w:t xml:space="preserve"> </w:t>
      </w:r>
    </w:p>
  </w:footnote>
  <w:footnote w:id="11">
    <w:p w14:paraId="3BADE43C" w14:textId="0DA1D535" w:rsidR="004D0610" w:rsidRPr="00B81C3D" w:rsidRDefault="004D0610"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Territorial Dispute (Libyan Arab Jamahiriya/Chad), 1994 I.C.J. 6,¶55-56</w:t>
      </w:r>
      <w:r w:rsidR="002A7134" w:rsidRPr="00B81C3D">
        <w:rPr>
          <w:sz w:val="24"/>
          <w:szCs w:val="24"/>
        </w:rPr>
        <w:t>.</w:t>
      </w:r>
    </w:p>
  </w:footnote>
  <w:footnote w:id="12">
    <w:p w14:paraId="1919A771" w14:textId="699E31E1" w:rsidR="004D0610" w:rsidRPr="00B81C3D" w:rsidRDefault="004D0610"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Competence of the ILO to Regulate Incidentally the Personal Work of the Employer, Advisory Opinion, 1926 P.C.I.J. Ser. B No. 13</w:t>
      </w:r>
      <w:r w:rsidR="00076F28" w:rsidRPr="00B81C3D">
        <w:rPr>
          <w:sz w:val="24"/>
          <w:szCs w:val="24"/>
        </w:rPr>
        <w:t>,</w:t>
      </w:r>
      <w:r w:rsidRPr="00B81C3D">
        <w:rPr>
          <w:sz w:val="24"/>
          <w:szCs w:val="24"/>
        </w:rPr>
        <w:t>18</w:t>
      </w:r>
      <w:r w:rsidR="002A7134" w:rsidRPr="00B81C3D">
        <w:rPr>
          <w:sz w:val="24"/>
          <w:szCs w:val="24"/>
        </w:rPr>
        <w:t>.</w:t>
      </w:r>
    </w:p>
  </w:footnote>
  <w:footnote w:id="13">
    <w:p w14:paraId="74C5777C" w14:textId="09FB8D96" w:rsidR="006578A7" w:rsidRPr="00B81C3D" w:rsidRDefault="006578A7" w:rsidP="00C75971">
      <w:pPr>
        <w:pStyle w:val="FootnoteText"/>
        <w:spacing w:afterLines="30" w:after="72"/>
        <w:ind w:left="567" w:hanging="567"/>
        <w:rPr>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r w:rsidR="004D0610" w:rsidRPr="00B81C3D">
        <w:rPr>
          <w:sz w:val="24"/>
          <w:szCs w:val="24"/>
        </w:rPr>
        <w:t>GC 24</w:t>
      </w:r>
      <w:r w:rsidR="00891256" w:rsidRPr="00B81C3D">
        <w:rPr>
          <w:sz w:val="24"/>
          <w:szCs w:val="24"/>
        </w:rPr>
        <w:t xml:space="preserve">, </w:t>
      </w:r>
      <w:r w:rsidR="00CD4B0C" w:rsidRPr="00B81C3D">
        <w:rPr>
          <w:sz w:val="24"/>
          <w:szCs w:val="24"/>
        </w:rPr>
        <w:t>¶17.</w:t>
      </w:r>
    </w:p>
  </w:footnote>
  <w:footnote w:id="14">
    <w:p w14:paraId="5685BAF8" w14:textId="4D230584"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rStyle w:val="normaltextrun"/>
          <w:color w:val="000000" w:themeColor="text1"/>
          <w:sz w:val="24"/>
          <w:szCs w:val="24"/>
          <w:shd w:val="clear" w:color="auto" w:fill="FFFFFF"/>
        </w:rPr>
        <w:t>Convention on the Reduction of Statelessness</w:t>
      </w:r>
      <w:r w:rsidR="004D0610" w:rsidRPr="00B81C3D">
        <w:rPr>
          <w:rStyle w:val="normaltextrun"/>
          <w:color w:val="000000" w:themeColor="text1"/>
          <w:sz w:val="24"/>
          <w:szCs w:val="24"/>
          <w:shd w:val="clear" w:color="auto" w:fill="FFFFFF"/>
        </w:rPr>
        <w:t xml:space="preserve">, </w:t>
      </w:r>
      <w:r w:rsidR="00DF2B8B" w:rsidRPr="00B81C3D">
        <w:rPr>
          <w:rStyle w:val="normaltextrun"/>
          <w:color w:val="000000" w:themeColor="text1"/>
          <w:sz w:val="24"/>
          <w:szCs w:val="24"/>
          <w:shd w:val="clear" w:color="auto" w:fill="FFFFFF"/>
        </w:rPr>
        <w:t>preamble</w:t>
      </w:r>
      <w:r w:rsidRPr="00B81C3D">
        <w:rPr>
          <w:rStyle w:val="normaltextrun"/>
          <w:color w:val="000000" w:themeColor="text1"/>
          <w:sz w:val="24"/>
          <w:szCs w:val="24"/>
          <w:shd w:val="clear" w:color="auto" w:fill="FFFFFF"/>
        </w:rPr>
        <w:t>,</w:t>
      </w:r>
      <w:r w:rsidR="004D0610" w:rsidRPr="00B81C3D">
        <w:rPr>
          <w:rStyle w:val="normaltextrun"/>
          <w:color w:val="000000" w:themeColor="text1"/>
          <w:sz w:val="24"/>
          <w:szCs w:val="24"/>
          <w:shd w:val="clear" w:color="auto" w:fill="FFFFFF"/>
        </w:rPr>
        <w:t xml:space="preserve"> </w:t>
      </w:r>
      <w:r w:rsidRPr="00B81C3D">
        <w:rPr>
          <w:rStyle w:val="normaltextrun"/>
          <w:color w:val="000000" w:themeColor="text1"/>
          <w:sz w:val="24"/>
          <w:szCs w:val="24"/>
          <w:shd w:val="clear" w:color="auto" w:fill="FFFFFF"/>
        </w:rPr>
        <w:t>1961, 989 U.N.T.S 175</w:t>
      </w:r>
      <w:r w:rsidR="00CE1E10" w:rsidRPr="00B81C3D">
        <w:rPr>
          <w:rStyle w:val="normaltextrun"/>
          <w:color w:val="000000" w:themeColor="text1"/>
          <w:sz w:val="24"/>
          <w:szCs w:val="24"/>
          <w:shd w:val="clear" w:color="auto" w:fill="FFFFFF"/>
        </w:rPr>
        <w:t xml:space="preserve"> [“</w:t>
      </w:r>
      <w:r w:rsidR="00CE1E10" w:rsidRPr="00B81C3D">
        <w:rPr>
          <w:rStyle w:val="normaltextrun"/>
          <w:b/>
          <w:bCs/>
          <w:color w:val="000000" w:themeColor="text1"/>
          <w:sz w:val="24"/>
          <w:szCs w:val="24"/>
          <w:shd w:val="clear" w:color="auto" w:fill="FFFFFF"/>
        </w:rPr>
        <w:t>CRS</w:t>
      </w:r>
      <w:r w:rsidR="00CE1E10" w:rsidRPr="00B81C3D">
        <w:rPr>
          <w:rStyle w:val="normaltextrun"/>
          <w:color w:val="000000" w:themeColor="text1"/>
          <w:sz w:val="24"/>
          <w:szCs w:val="24"/>
          <w:shd w:val="clear" w:color="auto" w:fill="FFFFFF"/>
        </w:rPr>
        <w:t>”]</w:t>
      </w:r>
      <w:r w:rsidR="00CE1E10" w:rsidRPr="00B81C3D">
        <w:rPr>
          <w:rStyle w:val="normaltextrun"/>
          <w:b/>
          <w:bCs/>
          <w:color w:val="000000" w:themeColor="text1"/>
          <w:sz w:val="24"/>
          <w:szCs w:val="24"/>
          <w:shd w:val="clear" w:color="auto" w:fill="FFFFFF"/>
        </w:rPr>
        <w:t>.</w:t>
      </w:r>
    </w:p>
  </w:footnote>
  <w:footnote w:id="15">
    <w:p w14:paraId="63629DB9" w14:textId="2380EB42"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4D0610" w:rsidRPr="00B81C3D">
        <w:rPr>
          <w:sz w:val="24"/>
          <w:szCs w:val="24"/>
          <w:lang w:val="en-US"/>
        </w:rPr>
        <w:t>Corfu Channel (</w:t>
      </w:r>
      <w:r w:rsidR="00A80DE0" w:rsidRPr="00B81C3D">
        <w:rPr>
          <w:sz w:val="24"/>
          <w:szCs w:val="24"/>
          <w:lang w:val="en-US"/>
        </w:rPr>
        <w:t>UK</w:t>
      </w:r>
      <w:r w:rsidR="004D0610" w:rsidRPr="00B81C3D">
        <w:rPr>
          <w:sz w:val="24"/>
          <w:szCs w:val="24"/>
          <w:lang w:val="en-US"/>
        </w:rPr>
        <w:t xml:space="preserve"> v. Albania), 1949 I.C.J.</w:t>
      </w:r>
      <w:r w:rsidR="002A7134" w:rsidRPr="00B81C3D">
        <w:rPr>
          <w:sz w:val="24"/>
          <w:szCs w:val="24"/>
          <w:lang w:val="en-US"/>
        </w:rPr>
        <w:t xml:space="preserve"> </w:t>
      </w:r>
      <w:r w:rsidR="00FA4A9C" w:rsidRPr="00B81C3D">
        <w:rPr>
          <w:sz w:val="24"/>
          <w:szCs w:val="24"/>
          <w:lang w:val="en-US"/>
        </w:rPr>
        <w:t xml:space="preserve">22 </w:t>
      </w:r>
      <w:r w:rsidR="004D0610" w:rsidRPr="00B81C3D">
        <w:rPr>
          <w:sz w:val="24"/>
          <w:szCs w:val="24"/>
          <w:lang w:val="en-US"/>
        </w:rPr>
        <w:t>[“</w:t>
      </w:r>
      <w:r w:rsidR="004D0610" w:rsidRPr="00B81C3D">
        <w:rPr>
          <w:b/>
          <w:bCs/>
          <w:i/>
          <w:iCs/>
          <w:sz w:val="24"/>
          <w:szCs w:val="24"/>
          <w:lang w:val="en-US"/>
        </w:rPr>
        <w:t>Corfu Channel</w:t>
      </w:r>
      <w:r w:rsidR="004D0610" w:rsidRPr="00B81C3D">
        <w:rPr>
          <w:sz w:val="24"/>
          <w:szCs w:val="24"/>
          <w:lang w:val="en-US"/>
        </w:rPr>
        <w:t>”]</w:t>
      </w:r>
      <w:r w:rsidR="002A7134" w:rsidRPr="00B81C3D">
        <w:rPr>
          <w:sz w:val="24"/>
          <w:szCs w:val="24"/>
          <w:lang w:val="en-US"/>
        </w:rPr>
        <w:t xml:space="preserve">; Military and Paramilitary Activities (Nicaragua v. </w:t>
      </w:r>
      <w:r w:rsidR="00A80DE0" w:rsidRPr="00B81C3D">
        <w:rPr>
          <w:sz w:val="24"/>
          <w:szCs w:val="24"/>
          <w:lang w:val="en-US"/>
        </w:rPr>
        <w:t>US</w:t>
      </w:r>
      <w:r w:rsidR="002A7134" w:rsidRPr="00B81C3D">
        <w:rPr>
          <w:sz w:val="24"/>
          <w:szCs w:val="24"/>
          <w:lang w:val="en-US"/>
        </w:rPr>
        <w:t>) 1986 I.C.J</w:t>
      </w:r>
      <w:r w:rsidR="00FA4A9C" w:rsidRPr="00B81C3D">
        <w:rPr>
          <w:sz w:val="24"/>
          <w:szCs w:val="24"/>
          <w:lang w:val="en-US"/>
        </w:rPr>
        <w:t>.</w:t>
      </w:r>
      <w:r w:rsidR="00E23B44" w:rsidRPr="00B81C3D">
        <w:rPr>
          <w:sz w:val="24"/>
          <w:szCs w:val="24"/>
          <w:lang w:val="en-US"/>
        </w:rPr>
        <w:t xml:space="preserve"> </w:t>
      </w:r>
      <w:r w:rsidR="002A7134" w:rsidRPr="00B81C3D">
        <w:rPr>
          <w:sz w:val="24"/>
          <w:szCs w:val="24"/>
          <w:lang w:val="en-US"/>
        </w:rPr>
        <w:t>113-114.</w:t>
      </w:r>
    </w:p>
  </w:footnote>
  <w:footnote w:id="16">
    <w:p w14:paraId="5949B60C" w14:textId="1DFD9768" w:rsidR="006578A7" w:rsidRPr="00B81C3D" w:rsidRDefault="006578A7" w:rsidP="00C75971">
      <w:pPr>
        <w:pStyle w:val="FootnoteText"/>
        <w:spacing w:afterLines="30" w:after="72"/>
        <w:ind w:left="567" w:hanging="567"/>
        <w:rPr>
          <w:color w:val="000000" w:themeColor="text1"/>
          <w:sz w:val="24"/>
          <w:szCs w:val="24"/>
          <w:shd w:val="clear" w:color="auto" w:fill="FFFFFF"/>
        </w:rPr>
      </w:pPr>
      <w:r w:rsidRPr="00B81C3D">
        <w:rPr>
          <w:rStyle w:val="FootnoteReference"/>
          <w:sz w:val="24"/>
          <w:szCs w:val="24"/>
        </w:rPr>
        <w:footnoteRef/>
      </w:r>
      <w:r w:rsidRPr="00B81C3D">
        <w:rPr>
          <w:sz w:val="24"/>
          <w:szCs w:val="24"/>
        </w:rPr>
        <w:t xml:space="preserve"> </w:t>
      </w:r>
      <w:proofErr w:type="spellStart"/>
      <w:r w:rsidR="00A80DE0" w:rsidRPr="00B81C3D">
        <w:rPr>
          <w:rStyle w:val="Strong"/>
          <w:b w:val="0"/>
          <w:bCs w:val="0"/>
          <w:color w:val="000000" w:themeColor="text1"/>
          <w:sz w:val="24"/>
          <w:szCs w:val="24"/>
          <w:shd w:val="clear" w:color="auto" w:fill="FFFFFF"/>
        </w:rPr>
        <w:t>HRComm</w:t>
      </w:r>
      <w:proofErr w:type="spellEnd"/>
      <w:r w:rsidR="004D0610" w:rsidRPr="00B81C3D">
        <w:rPr>
          <w:rStyle w:val="Strong"/>
          <w:rFonts w:eastAsiaTheme="majorEastAsia"/>
          <w:b w:val="0"/>
          <w:bCs w:val="0"/>
          <w:color w:val="000000" w:themeColor="text1"/>
          <w:sz w:val="24"/>
          <w:szCs w:val="24"/>
          <w:shd w:val="clear" w:color="auto" w:fill="FFFFFF"/>
        </w:rPr>
        <w:t xml:space="preserve">, </w:t>
      </w:r>
      <w:r w:rsidR="004D0610" w:rsidRPr="00B81C3D">
        <w:rPr>
          <w:rStyle w:val="Strong"/>
          <w:rFonts w:eastAsiaTheme="majorEastAsia"/>
          <w:b w:val="0"/>
          <w:bCs w:val="0"/>
          <w:i/>
          <w:iCs/>
          <w:color w:val="000000" w:themeColor="text1"/>
          <w:sz w:val="24"/>
          <w:szCs w:val="24"/>
          <w:shd w:val="clear" w:color="auto" w:fill="FFFFFF"/>
        </w:rPr>
        <w:t>General Comment 31</w:t>
      </w:r>
      <w:r w:rsidR="004D0610" w:rsidRPr="00B81C3D">
        <w:rPr>
          <w:rStyle w:val="Strong"/>
          <w:rFonts w:eastAsiaTheme="majorEastAsia"/>
          <w:b w:val="0"/>
          <w:bCs w:val="0"/>
          <w:color w:val="000000" w:themeColor="text1"/>
          <w:sz w:val="24"/>
          <w:szCs w:val="24"/>
          <w:shd w:val="clear" w:color="auto" w:fill="FFFFFF"/>
        </w:rPr>
        <w:t>, U.N. Doc. CCPR/C/21/Rev.1/Add.13</w:t>
      </w:r>
      <w:r w:rsidR="004D0610" w:rsidRPr="00B81C3D">
        <w:rPr>
          <w:rStyle w:val="Strong"/>
          <w:b w:val="0"/>
          <w:bCs w:val="0"/>
          <w:color w:val="000000" w:themeColor="text1"/>
          <w:sz w:val="24"/>
          <w:szCs w:val="24"/>
          <w:shd w:val="clear" w:color="auto" w:fill="FFFFFF"/>
        </w:rPr>
        <w:t xml:space="preserve">, </w:t>
      </w:r>
      <w:r w:rsidR="004D0610" w:rsidRPr="00B81C3D">
        <w:rPr>
          <w:rStyle w:val="normaltextrun"/>
          <w:color w:val="000000" w:themeColor="text1"/>
          <w:sz w:val="24"/>
          <w:szCs w:val="24"/>
          <w:shd w:val="clear" w:color="auto" w:fill="FFFFFF"/>
        </w:rPr>
        <w:t>¶</w:t>
      </w:r>
      <w:r w:rsidR="004D0610" w:rsidRPr="00B81C3D">
        <w:rPr>
          <w:rStyle w:val="Strong"/>
          <w:b w:val="0"/>
          <w:bCs w:val="0"/>
          <w:color w:val="000000" w:themeColor="text1"/>
          <w:sz w:val="24"/>
          <w:szCs w:val="24"/>
        </w:rPr>
        <w:t>9</w:t>
      </w:r>
      <w:r w:rsidR="004D0610" w:rsidRPr="00B81C3D">
        <w:rPr>
          <w:rStyle w:val="Strong"/>
          <w:color w:val="000000" w:themeColor="text1"/>
          <w:sz w:val="24"/>
          <w:szCs w:val="24"/>
        </w:rPr>
        <w:t xml:space="preserve"> </w:t>
      </w:r>
      <w:r w:rsidR="004D0610" w:rsidRPr="00B81C3D">
        <w:rPr>
          <w:rStyle w:val="Strong"/>
          <w:rFonts w:eastAsiaTheme="majorEastAsia"/>
          <w:b w:val="0"/>
          <w:bCs w:val="0"/>
          <w:color w:val="000000" w:themeColor="text1"/>
          <w:sz w:val="24"/>
          <w:szCs w:val="24"/>
          <w:shd w:val="clear" w:color="auto" w:fill="FFFFFF"/>
        </w:rPr>
        <w:t>(2004)</w:t>
      </w:r>
      <w:r w:rsidR="00D16241" w:rsidRPr="00B81C3D">
        <w:rPr>
          <w:rStyle w:val="Strong"/>
          <w:rFonts w:eastAsiaTheme="majorEastAsia"/>
          <w:b w:val="0"/>
          <w:bCs w:val="0"/>
          <w:color w:val="000000" w:themeColor="text1"/>
          <w:sz w:val="24"/>
          <w:szCs w:val="24"/>
          <w:shd w:val="clear" w:color="auto" w:fill="FFFFFF"/>
        </w:rPr>
        <w:t>.</w:t>
      </w:r>
    </w:p>
  </w:footnote>
  <w:footnote w:id="17">
    <w:p w14:paraId="7BD9BD27" w14:textId="6FC8F797"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GC 24,</w:t>
      </w:r>
      <w:r w:rsidR="00D96841" w:rsidRPr="00B81C3D">
        <w:rPr>
          <w:sz w:val="24"/>
          <w:szCs w:val="24"/>
          <w:lang w:val="en-US"/>
        </w:rPr>
        <w:t xml:space="preserve"> </w:t>
      </w:r>
      <w:r w:rsidRPr="00B81C3D">
        <w:rPr>
          <w:color w:val="000000" w:themeColor="text1"/>
          <w:sz w:val="24"/>
          <w:szCs w:val="24"/>
        </w:rPr>
        <w:t>¶</w:t>
      </w:r>
      <w:r w:rsidRPr="00B81C3D">
        <w:rPr>
          <w:sz w:val="24"/>
          <w:szCs w:val="24"/>
          <w:lang w:val="en-US"/>
        </w:rPr>
        <w:t>17.</w:t>
      </w:r>
    </w:p>
  </w:footnote>
  <w:footnote w:id="18">
    <w:p w14:paraId="6B3A765A" w14:textId="784D0649"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i/>
          <w:sz w:val="24"/>
          <w:szCs w:val="24"/>
        </w:rPr>
        <w:t>Barcelona Traction,</w:t>
      </w:r>
      <w:r w:rsidR="00114F01" w:rsidRPr="00B81C3D">
        <w:rPr>
          <w:iCs/>
          <w:sz w:val="24"/>
          <w:szCs w:val="24"/>
        </w:rPr>
        <w:t xml:space="preserve"> </w:t>
      </w:r>
      <w:r w:rsidRPr="00B81C3D">
        <w:rPr>
          <w:color w:val="000000" w:themeColor="text1"/>
          <w:sz w:val="24"/>
          <w:szCs w:val="24"/>
        </w:rPr>
        <w:t>¶</w:t>
      </w:r>
      <w:r w:rsidRPr="00B81C3D">
        <w:rPr>
          <w:sz w:val="24"/>
          <w:szCs w:val="24"/>
        </w:rPr>
        <w:t>33;</w:t>
      </w:r>
      <w:r w:rsidR="004D0610" w:rsidRPr="00B81C3D">
        <w:rPr>
          <w:color w:val="000000" w:themeColor="text1"/>
          <w:sz w:val="24"/>
          <w:szCs w:val="24"/>
        </w:rPr>
        <w:t xml:space="preserve"> </w:t>
      </w:r>
      <w:r w:rsidR="004D0610" w:rsidRPr="00B81C3D">
        <w:rPr>
          <w:i/>
          <w:iCs/>
          <w:color w:val="000000" w:themeColor="text1"/>
          <w:sz w:val="24"/>
          <w:szCs w:val="24"/>
        </w:rPr>
        <w:t>Belg</w:t>
      </w:r>
      <w:r w:rsidR="00FA4A9C" w:rsidRPr="00B81C3D">
        <w:rPr>
          <w:i/>
          <w:iCs/>
          <w:color w:val="000000" w:themeColor="text1"/>
          <w:sz w:val="24"/>
          <w:szCs w:val="24"/>
        </w:rPr>
        <w:t>ium/Senegal</w:t>
      </w:r>
      <w:r w:rsidR="00114F01" w:rsidRPr="00B81C3D">
        <w:rPr>
          <w:sz w:val="24"/>
          <w:szCs w:val="24"/>
        </w:rPr>
        <w:t xml:space="preserve">, </w:t>
      </w:r>
      <w:r w:rsidRPr="00B81C3D">
        <w:rPr>
          <w:sz w:val="24"/>
          <w:szCs w:val="24"/>
        </w:rPr>
        <w:t>¶68.</w:t>
      </w:r>
    </w:p>
  </w:footnote>
  <w:footnote w:id="19">
    <w:p w14:paraId="3CDB5E32" w14:textId="4EA1288D"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sz w:val="24"/>
          <w:szCs w:val="24"/>
        </w:rPr>
        <w:t>Barcelona Traction</w:t>
      </w:r>
      <w:r w:rsidR="00114F01" w:rsidRPr="00B81C3D">
        <w:rPr>
          <w:iCs/>
          <w:sz w:val="24"/>
          <w:szCs w:val="24"/>
        </w:rPr>
        <w:t xml:space="preserve">, </w:t>
      </w:r>
      <w:r w:rsidRPr="00B81C3D">
        <w:rPr>
          <w:color w:val="000000" w:themeColor="text1"/>
          <w:sz w:val="24"/>
          <w:szCs w:val="24"/>
        </w:rPr>
        <w:t>¶</w:t>
      </w:r>
      <w:r w:rsidRPr="00B81C3D">
        <w:rPr>
          <w:sz w:val="24"/>
          <w:szCs w:val="24"/>
        </w:rPr>
        <w:t>34.</w:t>
      </w:r>
    </w:p>
  </w:footnote>
  <w:footnote w:id="20">
    <w:p w14:paraId="46B9759C" w14:textId="00A06661" w:rsidR="006578A7" w:rsidRPr="00B81C3D" w:rsidRDefault="006578A7" w:rsidP="00C75971">
      <w:pPr>
        <w:pStyle w:val="FootnoteText"/>
        <w:spacing w:afterLines="30" w:after="72"/>
        <w:ind w:left="567" w:hanging="567"/>
        <w:rPr>
          <w:color w:val="000000" w:themeColor="text1"/>
          <w:sz w:val="24"/>
          <w:szCs w:val="24"/>
        </w:rPr>
      </w:pPr>
      <w:r w:rsidRPr="00B81C3D">
        <w:rPr>
          <w:rStyle w:val="FootnoteReference"/>
          <w:sz w:val="24"/>
          <w:szCs w:val="24"/>
        </w:rPr>
        <w:footnoteRef/>
      </w:r>
      <w:r w:rsidR="004D0610" w:rsidRPr="00B81C3D">
        <w:rPr>
          <w:color w:val="000000" w:themeColor="text1"/>
          <w:sz w:val="24"/>
          <w:szCs w:val="24"/>
        </w:rPr>
        <w:t>1966</w:t>
      </w:r>
      <w:r w:rsidR="004D0610" w:rsidRPr="00B81C3D">
        <w:rPr>
          <w:i/>
          <w:iCs/>
          <w:color w:val="000000" w:themeColor="text1"/>
          <w:sz w:val="24"/>
          <w:szCs w:val="24"/>
        </w:rPr>
        <w:t xml:space="preserve"> South West Africa</w:t>
      </w:r>
      <w:r w:rsidR="004D0610" w:rsidRPr="00B81C3D">
        <w:rPr>
          <w:color w:val="000000" w:themeColor="text1"/>
          <w:sz w:val="24"/>
          <w:szCs w:val="24"/>
        </w:rPr>
        <w:t xml:space="preserve"> (Tanaka, J., </w:t>
      </w:r>
      <w:proofErr w:type="spellStart"/>
      <w:r w:rsidR="004D0610" w:rsidRPr="00B81C3D">
        <w:rPr>
          <w:color w:val="000000" w:themeColor="text1"/>
          <w:sz w:val="24"/>
          <w:szCs w:val="24"/>
        </w:rPr>
        <w:t>diss</w:t>
      </w:r>
      <w:r w:rsidR="00B820B9" w:rsidRPr="00B81C3D">
        <w:rPr>
          <w:color w:val="000000" w:themeColor="text1"/>
          <w:sz w:val="24"/>
          <w:szCs w:val="24"/>
        </w:rPr>
        <w:t>.op</w:t>
      </w:r>
      <w:proofErr w:type="spellEnd"/>
      <w:r w:rsidR="00B820B9" w:rsidRPr="00B81C3D">
        <w:rPr>
          <w:color w:val="000000" w:themeColor="text1"/>
          <w:sz w:val="24"/>
          <w:szCs w:val="24"/>
        </w:rPr>
        <w:t>.</w:t>
      </w:r>
      <w:r w:rsidR="004D0610" w:rsidRPr="00B81C3D">
        <w:rPr>
          <w:color w:val="000000" w:themeColor="text1"/>
          <w:sz w:val="24"/>
          <w:szCs w:val="24"/>
        </w:rPr>
        <w:t xml:space="preserve">), 298; </w:t>
      </w:r>
      <w:r w:rsidR="004D0610" w:rsidRPr="00B81C3D">
        <w:rPr>
          <w:i/>
          <w:iCs/>
          <w:color w:val="000000" w:themeColor="text1"/>
          <w:sz w:val="24"/>
          <w:szCs w:val="24"/>
        </w:rPr>
        <w:t xml:space="preserve">Barcelona Traction </w:t>
      </w:r>
      <w:r w:rsidR="004D0610" w:rsidRPr="00B81C3D">
        <w:rPr>
          <w:color w:val="000000" w:themeColor="text1"/>
          <w:sz w:val="24"/>
          <w:szCs w:val="24"/>
        </w:rPr>
        <w:t>(</w:t>
      </w:r>
      <w:proofErr w:type="spellStart"/>
      <w:r w:rsidR="004D0610" w:rsidRPr="00B81C3D">
        <w:rPr>
          <w:color w:val="000000" w:themeColor="text1"/>
          <w:sz w:val="24"/>
          <w:szCs w:val="24"/>
        </w:rPr>
        <w:t>Ammoun</w:t>
      </w:r>
      <w:proofErr w:type="spellEnd"/>
      <w:r w:rsidR="004D0610" w:rsidRPr="00B81C3D">
        <w:rPr>
          <w:color w:val="000000" w:themeColor="text1"/>
          <w:sz w:val="24"/>
          <w:szCs w:val="24"/>
        </w:rPr>
        <w:t xml:space="preserve">, J., </w:t>
      </w:r>
      <w:proofErr w:type="spellStart"/>
      <w:r w:rsidR="00076F28" w:rsidRPr="00B81C3D">
        <w:rPr>
          <w:color w:val="000000" w:themeColor="text1"/>
          <w:sz w:val="24"/>
          <w:szCs w:val="24"/>
        </w:rPr>
        <w:t>diss.op</w:t>
      </w:r>
      <w:proofErr w:type="spellEnd"/>
      <w:r w:rsidR="00076F28" w:rsidRPr="00B81C3D">
        <w:rPr>
          <w:color w:val="000000" w:themeColor="text1"/>
          <w:sz w:val="24"/>
          <w:szCs w:val="24"/>
        </w:rPr>
        <w:t>.</w:t>
      </w:r>
      <w:r w:rsidR="004D0610" w:rsidRPr="00B81C3D">
        <w:rPr>
          <w:color w:val="000000" w:themeColor="text1"/>
          <w:sz w:val="24"/>
          <w:szCs w:val="24"/>
        </w:rPr>
        <w:t>) 301</w:t>
      </w:r>
      <w:r w:rsidR="00D96841" w:rsidRPr="00B81C3D">
        <w:rPr>
          <w:sz w:val="24"/>
          <w:szCs w:val="24"/>
        </w:rPr>
        <w:t>.</w:t>
      </w:r>
    </w:p>
  </w:footnote>
  <w:footnote w:id="21">
    <w:p w14:paraId="53E1CC85" w14:textId="70C84059"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sz w:val="24"/>
          <w:szCs w:val="24"/>
        </w:rPr>
        <w:t>Barcelona Traction</w:t>
      </w:r>
      <w:r w:rsidR="00114F01" w:rsidRPr="00B81C3D">
        <w:rPr>
          <w:iCs/>
          <w:sz w:val="24"/>
          <w:szCs w:val="24"/>
        </w:rPr>
        <w:t xml:space="preserve">, </w:t>
      </w:r>
      <w:r w:rsidRPr="00B81C3D">
        <w:rPr>
          <w:color w:val="000000" w:themeColor="text1"/>
          <w:sz w:val="24"/>
          <w:szCs w:val="24"/>
        </w:rPr>
        <w:t>¶</w:t>
      </w:r>
      <w:r w:rsidRPr="00B81C3D">
        <w:rPr>
          <w:sz w:val="24"/>
          <w:szCs w:val="24"/>
        </w:rPr>
        <w:t>34.</w:t>
      </w:r>
    </w:p>
  </w:footnote>
  <w:footnote w:id="22">
    <w:p w14:paraId="17AD62EA" w14:textId="649CC803" w:rsidR="006578A7" w:rsidRPr="00B81C3D" w:rsidRDefault="006578A7" w:rsidP="00C75971">
      <w:pPr>
        <w:pStyle w:val="FootnoteText"/>
        <w:spacing w:afterLines="30" w:after="72"/>
        <w:ind w:left="567" w:hanging="567"/>
        <w:rPr>
          <w:smallCaps/>
          <w:color w:val="000000" w:themeColor="text1"/>
          <w:sz w:val="24"/>
          <w:szCs w:val="24"/>
        </w:rPr>
      </w:pPr>
      <w:r w:rsidRPr="00B81C3D">
        <w:rPr>
          <w:rStyle w:val="FootnoteReference"/>
          <w:sz w:val="24"/>
          <w:szCs w:val="24"/>
        </w:rPr>
        <w:footnoteRef/>
      </w:r>
      <w:r w:rsidRPr="00B81C3D">
        <w:rPr>
          <w:sz w:val="24"/>
          <w:szCs w:val="24"/>
        </w:rPr>
        <w:t xml:space="preserve"> </w:t>
      </w:r>
      <w:r w:rsidR="001E3782" w:rsidRPr="00B81C3D">
        <w:rPr>
          <w:smallCaps/>
          <w:color w:val="000000" w:themeColor="text1"/>
          <w:sz w:val="24"/>
          <w:szCs w:val="24"/>
        </w:rPr>
        <w:t>Donnelly, Universal Human Rights in Theory and Practice 1</w:t>
      </w:r>
      <w:r w:rsidR="00076F28" w:rsidRPr="00B81C3D">
        <w:rPr>
          <w:smallCaps/>
          <w:color w:val="000000" w:themeColor="text1"/>
          <w:sz w:val="24"/>
          <w:szCs w:val="24"/>
        </w:rPr>
        <w:t>59-60</w:t>
      </w:r>
      <w:r w:rsidR="001E3782" w:rsidRPr="00B81C3D">
        <w:rPr>
          <w:smallCaps/>
          <w:color w:val="000000" w:themeColor="text1"/>
          <w:sz w:val="24"/>
          <w:szCs w:val="24"/>
        </w:rPr>
        <w:t xml:space="preserve"> </w:t>
      </w:r>
      <w:r w:rsidR="001E3782" w:rsidRPr="00B81C3D">
        <w:rPr>
          <w:color w:val="000000" w:themeColor="text1"/>
          <w:sz w:val="24"/>
          <w:szCs w:val="24"/>
        </w:rPr>
        <w:t>(2</w:t>
      </w:r>
      <w:r w:rsidR="00076F28" w:rsidRPr="00B81C3D">
        <w:rPr>
          <w:color w:val="000000" w:themeColor="text1"/>
          <w:sz w:val="24"/>
          <w:szCs w:val="24"/>
        </w:rPr>
        <w:t>nd</w:t>
      </w:r>
      <w:r w:rsidR="001E3782" w:rsidRPr="00B81C3D">
        <w:rPr>
          <w:color w:val="000000" w:themeColor="text1"/>
          <w:sz w:val="24"/>
          <w:szCs w:val="24"/>
        </w:rPr>
        <w:t xml:space="preserve"> ed. </w:t>
      </w:r>
      <w:r w:rsidR="001E3782" w:rsidRPr="00B81C3D">
        <w:rPr>
          <w:smallCaps/>
          <w:color w:val="000000" w:themeColor="text1"/>
          <w:sz w:val="24"/>
          <w:szCs w:val="24"/>
        </w:rPr>
        <w:t xml:space="preserve">2003); </w:t>
      </w:r>
      <w:proofErr w:type="spellStart"/>
      <w:r w:rsidR="001E3782" w:rsidRPr="00B81C3D">
        <w:rPr>
          <w:color w:val="000000" w:themeColor="text1"/>
          <w:sz w:val="24"/>
          <w:szCs w:val="24"/>
        </w:rPr>
        <w:t>Weissbrodt</w:t>
      </w:r>
      <w:proofErr w:type="spellEnd"/>
      <w:r w:rsidR="001E3782" w:rsidRPr="00B81C3D">
        <w:rPr>
          <w:color w:val="000000" w:themeColor="text1"/>
          <w:sz w:val="24"/>
          <w:szCs w:val="24"/>
        </w:rPr>
        <w:t xml:space="preserve"> and Collins, </w:t>
      </w:r>
      <w:r w:rsidR="001E3782" w:rsidRPr="00B81C3D">
        <w:rPr>
          <w:i/>
          <w:iCs/>
          <w:color w:val="000000" w:themeColor="text1"/>
          <w:sz w:val="24"/>
          <w:szCs w:val="24"/>
        </w:rPr>
        <w:t xml:space="preserve">The Human Rights of Stateless Persons, </w:t>
      </w:r>
      <w:r w:rsidR="001E3782" w:rsidRPr="00B81C3D">
        <w:rPr>
          <w:smallCaps/>
          <w:color w:val="000000" w:themeColor="text1"/>
          <w:sz w:val="24"/>
          <w:szCs w:val="24"/>
        </w:rPr>
        <w:t xml:space="preserve">28 </w:t>
      </w:r>
      <w:proofErr w:type="spellStart"/>
      <w:r w:rsidR="00FA4A9C" w:rsidRPr="00B81C3D">
        <w:rPr>
          <w:smallCaps/>
          <w:color w:val="000000" w:themeColor="text1"/>
          <w:sz w:val="24"/>
          <w:szCs w:val="24"/>
        </w:rPr>
        <w:t>Hum.Rights</w:t>
      </w:r>
      <w:proofErr w:type="spellEnd"/>
      <w:r w:rsidR="00FA4A9C" w:rsidRPr="00B81C3D">
        <w:rPr>
          <w:smallCaps/>
          <w:color w:val="000000" w:themeColor="text1"/>
          <w:sz w:val="24"/>
          <w:szCs w:val="24"/>
        </w:rPr>
        <w:t xml:space="preserve"> </w:t>
      </w:r>
      <w:r w:rsidR="001E3782" w:rsidRPr="00B81C3D">
        <w:rPr>
          <w:smallCaps/>
          <w:color w:val="000000" w:themeColor="text1"/>
          <w:sz w:val="24"/>
          <w:szCs w:val="24"/>
        </w:rPr>
        <w:t xml:space="preserve">Quarterly 1, 249 (2006). </w:t>
      </w:r>
    </w:p>
  </w:footnote>
  <w:footnote w:id="23">
    <w:p w14:paraId="71B85B2F" w14:textId="3D6548BF"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ARSIWA Commentary,</w:t>
      </w:r>
      <w:r w:rsidR="00F871E7" w:rsidRPr="00B81C3D">
        <w:rPr>
          <w:sz w:val="24"/>
          <w:szCs w:val="24"/>
          <w:lang w:val="en-US"/>
        </w:rPr>
        <w:t xml:space="preserve"> </w:t>
      </w:r>
      <w:r w:rsidR="00FA4A9C" w:rsidRPr="00B81C3D">
        <w:rPr>
          <w:sz w:val="24"/>
          <w:szCs w:val="24"/>
          <w:lang w:val="en-US"/>
        </w:rPr>
        <w:t>a</w:t>
      </w:r>
      <w:r w:rsidRPr="00B81C3D">
        <w:rPr>
          <w:sz w:val="24"/>
          <w:szCs w:val="24"/>
          <w:lang w:val="en-US"/>
        </w:rPr>
        <w:t>rt. 42,</w:t>
      </w:r>
      <w:r w:rsidR="00FA4A9C" w:rsidRPr="00B81C3D">
        <w:rPr>
          <w:sz w:val="24"/>
          <w:szCs w:val="24"/>
          <w:lang w:val="en-US"/>
        </w:rPr>
        <w:t xml:space="preserve"> </w:t>
      </w:r>
      <w:r w:rsidRPr="00B81C3D">
        <w:rPr>
          <w:color w:val="000000" w:themeColor="text1"/>
          <w:sz w:val="24"/>
          <w:szCs w:val="24"/>
        </w:rPr>
        <w:t>¶</w:t>
      </w:r>
      <w:r w:rsidRPr="00B81C3D">
        <w:rPr>
          <w:sz w:val="24"/>
          <w:szCs w:val="24"/>
          <w:lang w:val="en-US"/>
        </w:rPr>
        <w:t>12.</w:t>
      </w:r>
    </w:p>
  </w:footnote>
  <w:footnote w:id="24">
    <w:p w14:paraId="488F1269" w14:textId="5D0758C7"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iCs/>
          <w:sz w:val="24"/>
          <w:szCs w:val="24"/>
        </w:rPr>
        <w:t>Legality of the Use of Force</w:t>
      </w:r>
      <w:r w:rsidR="001E3782" w:rsidRPr="00B81C3D">
        <w:rPr>
          <w:sz w:val="24"/>
          <w:szCs w:val="24"/>
        </w:rPr>
        <w:t xml:space="preserve"> (Serb. and Montenegro v. Belg.), 2004 I.C.J. 279</w:t>
      </w:r>
      <w:r w:rsidR="001E3782" w:rsidRPr="00B81C3D">
        <w:rPr>
          <w:sz w:val="24"/>
          <w:szCs w:val="24"/>
        </w:rPr>
        <w:fldChar w:fldCharType="begin"/>
      </w:r>
      <w:r w:rsidR="001E3782" w:rsidRPr="00B81C3D">
        <w:rPr>
          <w:sz w:val="24"/>
          <w:szCs w:val="24"/>
        </w:rPr>
        <w:instrText xml:space="preserve"> TA \l "</w:instrText>
      </w:r>
      <w:r w:rsidR="001E3782" w:rsidRPr="00B81C3D">
        <w:rPr>
          <w:i/>
          <w:sz w:val="24"/>
          <w:szCs w:val="24"/>
        </w:rPr>
        <w:instrText xml:space="preserve">Legality of the Use of Force </w:instrText>
      </w:r>
      <w:r w:rsidR="001E3782" w:rsidRPr="00B81C3D">
        <w:rPr>
          <w:sz w:val="24"/>
          <w:szCs w:val="24"/>
        </w:rPr>
        <w:instrText xml:space="preserve">(2004) ICJ Rep 279" \s "Legality of the Use of Force (2004) ICJ Rep 279" \c 4 </w:instrText>
      </w:r>
      <w:r w:rsidR="001E3782" w:rsidRPr="00B81C3D">
        <w:rPr>
          <w:sz w:val="24"/>
          <w:szCs w:val="24"/>
        </w:rPr>
        <w:fldChar w:fldCharType="end"/>
      </w:r>
      <w:r w:rsidR="001E3782" w:rsidRPr="00B81C3D">
        <w:rPr>
          <w:sz w:val="24"/>
          <w:szCs w:val="24"/>
        </w:rPr>
        <w:t xml:space="preserve">, </w:t>
      </w:r>
      <w:r w:rsidR="001E3782" w:rsidRPr="00B81C3D">
        <w:rPr>
          <w:color w:val="000000" w:themeColor="text1"/>
          <w:sz w:val="24"/>
          <w:szCs w:val="24"/>
        </w:rPr>
        <w:t xml:space="preserve">¶64 </w:t>
      </w:r>
      <w:r w:rsidR="001E3782" w:rsidRPr="00B81C3D">
        <w:rPr>
          <w:sz w:val="24"/>
          <w:szCs w:val="24"/>
        </w:rPr>
        <w:t>(</w:t>
      </w:r>
      <w:proofErr w:type="spellStart"/>
      <w:r w:rsidR="001E3782" w:rsidRPr="00B81C3D">
        <w:rPr>
          <w:sz w:val="24"/>
          <w:szCs w:val="24"/>
        </w:rPr>
        <w:t>Kreća</w:t>
      </w:r>
      <w:proofErr w:type="spellEnd"/>
      <w:r w:rsidR="001E3782" w:rsidRPr="00B81C3D">
        <w:rPr>
          <w:sz w:val="24"/>
          <w:szCs w:val="24"/>
        </w:rPr>
        <w:t xml:space="preserve">, J., </w:t>
      </w:r>
      <w:proofErr w:type="spellStart"/>
      <w:r w:rsidR="00DC40DB" w:rsidRPr="00B81C3D">
        <w:rPr>
          <w:sz w:val="24"/>
          <w:szCs w:val="24"/>
        </w:rPr>
        <w:t>sep.op</w:t>
      </w:r>
      <w:proofErr w:type="spellEnd"/>
      <w:r w:rsidR="00DC40DB" w:rsidRPr="00B81C3D">
        <w:rPr>
          <w:sz w:val="24"/>
          <w:szCs w:val="24"/>
        </w:rPr>
        <w:t>.</w:t>
      </w:r>
      <w:r w:rsidR="001E3782" w:rsidRPr="00B81C3D">
        <w:rPr>
          <w:sz w:val="24"/>
          <w:szCs w:val="24"/>
        </w:rPr>
        <w:t>)</w:t>
      </w:r>
      <w:r w:rsidR="00067A33" w:rsidRPr="00B81C3D">
        <w:rPr>
          <w:sz w:val="24"/>
          <w:szCs w:val="24"/>
        </w:rPr>
        <w:t>.</w:t>
      </w:r>
    </w:p>
  </w:footnote>
  <w:footnote w:id="25">
    <w:p w14:paraId="37AE2B1A" w14:textId="7DE5A3FB"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i/>
          <w:iCs/>
          <w:sz w:val="24"/>
          <w:szCs w:val="24"/>
          <w:lang w:val="en-US"/>
        </w:rPr>
        <w:t>,</w:t>
      </w:r>
      <w:r w:rsidR="00D96841" w:rsidRPr="00B81C3D">
        <w:rPr>
          <w:i/>
          <w:iCs/>
          <w:sz w:val="24"/>
          <w:szCs w:val="24"/>
          <w:lang w:val="en-US"/>
        </w:rPr>
        <w:t xml:space="preserve"> </w:t>
      </w:r>
      <w:r w:rsidRPr="00B81C3D">
        <w:rPr>
          <w:color w:val="000000" w:themeColor="text1"/>
          <w:sz w:val="24"/>
          <w:szCs w:val="24"/>
        </w:rPr>
        <w:t>¶4</w:t>
      </w:r>
      <w:r w:rsidR="00067A33" w:rsidRPr="00B81C3D">
        <w:rPr>
          <w:color w:val="000000" w:themeColor="text1"/>
          <w:sz w:val="24"/>
          <w:szCs w:val="24"/>
        </w:rPr>
        <w:t>.</w:t>
      </w:r>
    </w:p>
  </w:footnote>
  <w:footnote w:id="26">
    <w:p w14:paraId="2FDB514E" w14:textId="2B5987A2"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1966 </w:t>
      </w:r>
      <w:r w:rsidRPr="00B81C3D">
        <w:rPr>
          <w:i/>
          <w:iCs/>
          <w:sz w:val="24"/>
          <w:szCs w:val="24"/>
        </w:rPr>
        <w:t>South West Africa,</w:t>
      </w:r>
      <w:r w:rsidR="00E11007" w:rsidRPr="00B81C3D">
        <w:rPr>
          <w:i/>
          <w:iCs/>
          <w:sz w:val="24"/>
          <w:szCs w:val="24"/>
        </w:rPr>
        <w:t xml:space="preserve"> </w:t>
      </w:r>
      <w:r w:rsidRPr="00B81C3D">
        <w:rPr>
          <w:color w:val="000000" w:themeColor="text1"/>
          <w:sz w:val="24"/>
          <w:szCs w:val="24"/>
        </w:rPr>
        <w:t>¶</w:t>
      </w:r>
      <w:r w:rsidRPr="00B81C3D">
        <w:rPr>
          <w:sz w:val="24"/>
          <w:szCs w:val="24"/>
        </w:rPr>
        <w:t>88.</w:t>
      </w:r>
    </w:p>
  </w:footnote>
  <w:footnote w:id="27">
    <w:p w14:paraId="0BCAF24F" w14:textId="2B64C388"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BE0815" w:rsidRPr="00B81C3D">
        <w:rPr>
          <w:i/>
          <w:iCs/>
          <w:sz w:val="24"/>
          <w:szCs w:val="24"/>
        </w:rPr>
        <w:t>Id.</w:t>
      </w:r>
    </w:p>
  </w:footnote>
  <w:footnote w:id="28">
    <w:p w14:paraId="03BE736E" w14:textId="579C86F6" w:rsidR="006578A7" w:rsidRPr="00B81C3D" w:rsidRDefault="006578A7" w:rsidP="00C75971">
      <w:pPr>
        <w:pStyle w:val="NoSpacing"/>
        <w:spacing w:afterLines="30" w:after="72"/>
        <w:ind w:left="567" w:hanging="567"/>
        <w:rPr>
          <w:color w:val="000000"/>
          <w:sz w:val="24"/>
          <w:szCs w:val="24"/>
          <w:shd w:val="clear" w:color="auto" w:fill="FFFFFF"/>
        </w:rPr>
      </w:pPr>
      <w:r w:rsidRPr="00B81C3D">
        <w:rPr>
          <w:rStyle w:val="FootnoteReference"/>
          <w:sz w:val="24"/>
          <w:szCs w:val="24"/>
        </w:rPr>
        <w:footnoteRef/>
      </w:r>
      <w:r w:rsidRPr="00B81C3D">
        <w:rPr>
          <w:sz w:val="24"/>
          <w:szCs w:val="24"/>
        </w:rPr>
        <w:t xml:space="preserve"> </w:t>
      </w:r>
      <w:r w:rsidR="001E3782" w:rsidRPr="00B81C3D">
        <w:rPr>
          <w:sz w:val="24"/>
          <w:szCs w:val="24"/>
        </w:rPr>
        <w:t xml:space="preserve">Statute of the </w:t>
      </w:r>
      <w:r w:rsidR="00393ABB" w:rsidRPr="00B81C3D">
        <w:rPr>
          <w:sz w:val="24"/>
          <w:szCs w:val="24"/>
        </w:rPr>
        <w:t>ICJ</w:t>
      </w:r>
      <w:r w:rsidR="001E3782" w:rsidRPr="00B81C3D">
        <w:rPr>
          <w:sz w:val="24"/>
          <w:szCs w:val="24"/>
        </w:rPr>
        <w:t>, 33 U.N.T.S. 993, art. 38(1)</w:t>
      </w:r>
      <w:r w:rsidR="001E3782" w:rsidRPr="00B81C3D">
        <w:rPr>
          <w:color w:val="000000" w:themeColor="text1"/>
          <w:sz w:val="24"/>
          <w:szCs w:val="24"/>
        </w:rPr>
        <w:t>;</w:t>
      </w:r>
      <w:r w:rsidR="001E3782" w:rsidRPr="00B81C3D">
        <w:rPr>
          <w:b/>
          <w:bCs/>
          <w:color w:val="000000" w:themeColor="text1"/>
          <w:sz w:val="24"/>
          <w:szCs w:val="24"/>
        </w:rPr>
        <w:t xml:space="preserve"> </w:t>
      </w:r>
      <w:r w:rsidR="001E3782" w:rsidRPr="00B81C3D">
        <w:rPr>
          <w:rStyle w:val="normaltextrun"/>
          <w:smallCaps/>
          <w:color w:val="000000"/>
          <w:sz w:val="24"/>
          <w:szCs w:val="24"/>
          <w:shd w:val="clear" w:color="auto" w:fill="FFFFFF"/>
        </w:rPr>
        <w:t>Crawford, </w:t>
      </w:r>
      <w:proofErr w:type="spellStart"/>
      <w:r w:rsidR="001E3782" w:rsidRPr="00B81C3D">
        <w:rPr>
          <w:rStyle w:val="normaltextrun"/>
          <w:smallCaps/>
          <w:color w:val="000000"/>
          <w:sz w:val="24"/>
          <w:szCs w:val="24"/>
          <w:shd w:val="clear" w:color="auto" w:fill="FFFFFF"/>
        </w:rPr>
        <w:t>Brownlie’s</w:t>
      </w:r>
      <w:proofErr w:type="spellEnd"/>
      <w:r w:rsidR="001E3782" w:rsidRPr="00B81C3D">
        <w:rPr>
          <w:rStyle w:val="normaltextrun"/>
          <w:smallCaps/>
          <w:color w:val="000000"/>
          <w:sz w:val="24"/>
          <w:szCs w:val="24"/>
          <w:shd w:val="clear" w:color="auto" w:fill="FFFFFF"/>
        </w:rPr>
        <w:t> Principles of Public International Law 495</w:t>
      </w:r>
      <w:r w:rsidR="00FA4A9C" w:rsidRPr="00B81C3D">
        <w:rPr>
          <w:rStyle w:val="normaltextrun"/>
          <w:smallCaps/>
          <w:color w:val="000000"/>
          <w:sz w:val="24"/>
          <w:szCs w:val="24"/>
          <w:shd w:val="clear" w:color="auto" w:fill="FFFFFF"/>
        </w:rPr>
        <w:t xml:space="preserve"> (</w:t>
      </w:r>
      <w:r w:rsidR="001E3782" w:rsidRPr="00B81C3D">
        <w:rPr>
          <w:rStyle w:val="normaltextrun"/>
          <w:smallCaps/>
          <w:color w:val="000000"/>
          <w:sz w:val="24"/>
          <w:szCs w:val="24"/>
          <w:shd w:val="clear" w:color="auto" w:fill="FFFFFF"/>
        </w:rPr>
        <w:t>9</w:t>
      </w:r>
      <w:r w:rsidR="001E3782" w:rsidRPr="00B81C3D">
        <w:rPr>
          <w:rStyle w:val="normaltextrun"/>
          <w:smallCaps/>
          <w:color w:val="000000"/>
          <w:sz w:val="24"/>
          <w:szCs w:val="24"/>
          <w:shd w:val="clear" w:color="auto" w:fill="FFFFFF"/>
          <w:vertAlign w:val="superscript"/>
        </w:rPr>
        <w:t>th</w:t>
      </w:r>
      <w:r w:rsidR="001E3782" w:rsidRPr="00B81C3D">
        <w:rPr>
          <w:rStyle w:val="normaltextrun"/>
          <w:smallCaps/>
          <w:color w:val="000000"/>
          <w:sz w:val="24"/>
          <w:szCs w:val="24"/>
          <w:shd w:val="clear" w:color="auto" w:fill="FFFFFF"/>
        </w:rPr>
        <w:t xml:space="preserve"> ed. 2019</w:t>
      </w:r>
      <w:r w:rsidR="00FA4A9C" w:rsidRPr="00B81C3D">
        <w:rPr>
          <w:rStyle w:val="normaltextrun"/>
          <w:smallCaps/>
          <w:color w:val="000000"/>
          <w:sz w:val="24"/>
          <w:szCs w:val="24"/>
          <w:shd w:val="clear" w:color="auto" w:fill="FFFFFF"/>
        </w:rPr>
        <w:t>)</w:t>
      </w:r>
      <w:r w:rsidR="00A80DE0" w:rsidRPr="00B81C3D">
        <w:rPr>
          <w:rStyle w:val="normaltextrun"/>
          <w:smallCaps/>
          <w:color w:val="000000"/>
          <w:sz w:val="24"/>
          <w:szCs w:val="24"/>
          <w:shd w:val="clear" w:color="auto" w:fill="FFFFFF"/>
        </w:rPr>
        <w:t>.</w:t>
      </w:r>
    </w:p>
  </w:footnote>
  <w:footnote w:id="29">
    <w:p w14:paraId="3C5EF550" w14:textId="1D416E9C"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rStyle w:val="normaltextrun"/>
          <w:color w:val="000000"/>
          <w:sz w:val="24"/>
          <w:szCs w:val="24"/>
          <w:shd w:val="clear" w:color="auto" w:fill="FFFFFF"/>
        </w:rPr>
        <w:t> </w:t>
      </w:r>
      <w:proofErr w:type="spellStart"/>
      <w:r w:rsidR="001E3782" w:rsidRPr="00B81C3D">
        <w:rPr>
          <w:rStyle w:val="normaltextrun"/>
          <w:color w:val="000000"/>
          <w:sz w:val="24"/>
          <w:szCs w:val="24"/>
          <w:shd w:val="clear" w:color="auto" w:fill="FFFFFF"/>
        </w:rPr>
        <w:t>Vallisoletana</w:t>
      </w:r>
      <w:proofErr w:type="spellEnd"/>
      <w:r w:rsidR="001E3782" w:rsidRPr="00B81C3D">
        <w:rPr>
          <w:rStyle w:val="normaltextrun"/>
          <w:color w:val="000000"/>
          <w:sz w:val="24"/>
          <w:szCs w:val="24"/>
          <w:shd w:val="clear" w:color="auto" w:fill="FFFFFF"/>
        </w:rPr>
        <w:t> S.L. v. Republic of El Salvador, ICSID Case No. ARB/03/26, Award, ¶¶226–27 (2006).</w:t>
      </w:r>
    </w:p>
  </w:footnote>
  <w:footnote w:id="30">
    <w:p w14:paraId="21F5DA4D" w14:textId="5DC378DB" w:rsidR="006578A7" w:rsidRPr="00B81C3D" w:rsidRDefault="006578A7" w:rsidP="00C75971">
      <w:pPr>
        <w:pStyle w:val="NoSpacing"/>
        <w:spacing w:afterLines="30" w:after="72"/>
        <w:ind w:left="567" w:hanging="567"/>
        <w:rPr>
          <w:b/>
          <w:bCs/>
          <w:sz w:val="24"/>
          <w:szCs w:val="24"/>
        </w:rPr>
      </w:pPr>
      <w:r w:rsidRPr="00B81C3D">
        <w:rPr>
          <w:rStyle w:val="FootnoteReference"/>
          <w:color w:val="000000" w:themeColor="text1"/>
          <w:sz w:val="24"/>
          <w:szCs w:val="24"/>
        </w:rPr>
        <w:footnoteRef/>
      </w:r>
      <w:r w:rsidR="00954A40" w:rsidRPr="00B81C3D">
        <w:rPr>
          <w:sz w:val="24"/>
          <w:szCs w:val="24"/>
        </w:rPr>
        <w:t xml:space="preserve"> ILC</w:t>
      </w:r>
      <w:r w:rsidR="001E3782" w:rsidRPr="00B81C3D">
        <w:rPr>
          <w:sz w:val="24"/>
          <w:szCs w:val="24"/>
        </w:rPr>
        <w:t xml:space="preserve">, </w:t>
      </w:r>
      <w:r w:rsidR="001E3782" w:rsidRPr="00B81C3D">
        <w:rPr>
          <w:i/>
          <w:sz w:val="24"/>
          <w:szCs w:val="24"/>
        </w:rPr>
        <w:t xml:space="preserve">Draft Conclusion 5, Report of the </w:t>
      </w:r>
      <w:r w:rsidR="00954A40" w:rsidRPr="00B81C3D">
        <w:rPr>
          <w:i/>
          <w:iCs/>
          <w:sz w:val="24"/>
          <w:szCs w:val="24"/>
        </w:rPr>
        <w:t>ILC</w:t>
      </w:r>
      <w:r w:rsidR="001E3782" w:rsidRPr="00B81C3D">
        <w:rPr>
          <w:i/>
          <w:iCs/>
          <w:sz w:val="24"/>
          <w:szCs w:val="24"/>
        </w:rPr>
        <w:t xml:space="preserve"> on the work of its seventy-fourth session, </w:t>
      </w:r>
      <w:r w:rsidR="001E3782" w:rsidRPr="00B81C3D">
        <w:rPr>
          <w:sz w:val="24"/>
          <w:szCs w:val="24"/>
        </w:rPr>
        <w:t>chap. IV ¶30-41, ILC Report A/78/10 (2023) ¶20 [“</w:t>
      </w:r>
      <w:r w:rsidR="001E3782" w:rsidRPr="00B81C3D">
        <w:rPr>
          <w:b/>
          <w:bCs/>
          <w:sz w:val="24"/>
          <w:szCs w:val="24"/>
        </w:rPr>
        <w:t>Draft Conclusion 5</w:t>
      </w:r>
      <w:r w:rsidR="001E3782" w:rsidRPr="00B81C3D">
        <w:rPr>
          <w:sz w:val="24"/>
          <w:szCs w:val="24"/>
        </w:rPr>
        <w:t>”]</w:t>
      </w:r>
      <w:r w:rsidR="00954A40" w:rsidRPr="00B81C3D">
        <w:rPr>
          <w:sz w:val="24"/>
          <w:szCs w:val="24"/>
        </w:rPr>
        <w:t>.</w:t>
      </w:r>
    </w:p>
  </w:footnote>
  <w:footnote w:id="31">
    <w:p w14:paraId="6FC48673" w14:textId="4D1A240F" w:rsidR="006578A7" w:rsidRPr="00B81C3D" w:rsidRDefault="006578A7" w:rsidP="00A9717C">
      <w:pPr>
        <w:pStyle w:val="NoSpacing"/>
        <w:spacing w:afterLines="30" w:after="72"/>
        <w:ind w:left="567" w:hanging="567"/>
        <w:rPr>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r w:rsidR="00F871E7" w:rsidRPr="00B81C3D">
        <w:rPr>
          <w:i/>
          <w:iCs/>
          <w:sz w:val="24"/>
          <w:szCs w:val="24"/>
        </w:rPr>
        <w:t>Id.</w:t>
      </w:r>
      <w:r w:rsidR="001E3782" w:rsidRPr="00B81C3D">
        <w:rPr>
          <w:sz w:val="24"/>
          <w:szCs w:val="24"/>
        </w:rPr>
        <w:t xml:space="preserve"> </w:t>
      </w:r>
    </w:p>
  </w:footnote>
  <w:footnote w:id="32">
    <w:p w14:paraId="6166D8BF" w14:textId="08D63427" w:rsidR="006578A7" w:rsidRPr="00B81C3D" w:rsidRDefault="006578A7" w:rsidP="00C75971">
      <w:pPr>
        <w:spacing w:afterLines="30" w:after="72" w:line="240" w:lineRule="auto"/>
        <w:ind w:left="567" w:hanging="567"/>
        <w:rPr>
          <w:color w:val="000000" w:themeColor="text1"/>
        </w:rPr>
      </w:pPr>
      <w:r w:rsidRPr="00B81C3D">
        <w:rPr>
          <w:rStyle w:val="FootnoteReference"/>
        </w:rPr>
        <w:footnoteRef/>
      </w:r>
      <w:r w:rsidR="00D16241" w:rsidRPr="00B81C3D">
        <w:rPr>
          <w:i/>
          <w:iCs/>
        </w:rPr>
        <w:t xml:space="preserve"> </w:t>
      </w:r>
      <w:r w:rsidR="001E3782" w:rsidRPr="00B81C3D">
        <w:t>Draft Conclusion 5,</w:t>
      </w:r>
      <w:r w:rsidR="00F871E7" w:rsidRPr="00B81C3D">
        <w:t xml:space="preserve"> </w:t>
      </w:r>
      <w:r w:rsidR="001E3782" w:rsidRPr="00B81C3D">
        <w:t>¶</w:t>
      </w:r>
      <w:r w:rsidR="00D16241" w:rsidRPr="00B81C3D">
        <w:t>17</w:t>
      </w:r>
      <w:r w:rsidRPr="00B81C3D">
        <w:rPr>
          <w:rStyle w:val="normaltextrun"/>
          <w:color w:val="000000"/>
          <w:shd w:val="clear" w:color="auto" w:fill="FFFFFF"/>
        </w:rPr>
        <w:t>; </w:t>
      </w:r>
      <w:r w:rsidR="001E3782" w:rsidRPr="00B81C3D">
        <w:rPr>
          <w:color w:val="000000" w:themeColor="text1"/>
        </w:rPr>
        <w:t xml:space="preserve">1966 </w:t>
      </w:r>
      <w:r w:rsidR="001E3782" w:rsidRPr="00B81C3D">
        <w:rPr>
          <w:i/>
          <w:iCs/>
          <w:color w:val="000000" w:themeColor="text1"/>
        </w:rPr>
        <w:t>South West Africa</w:t>
      </w:r>
      <w:r w:rsidR="00F871E7" w:rsidRPr="00B81C3D">
        <w:rPr>
          <w:color w:val="000000" w:themeColor="text1"/>
        </w:rPr>
        <w:t>,</w:t>
      </w:r>
      <w:r w:rsidR="001E3782" w:rsidRPr="00B81C3D">
        <w:rPr>
          <w:i/>
          <w:iCs/>
          <w:color w:val="000000" w:themeColor="text1"/>
        </w:rPr>
        <w:t xml:space="preserve"> </w:t>
      </w:r>
      <w:r w:rsidR="001E3782" w:rsidRPr="00B81C3D">
        <w:rPr>
          <w:color w:val="000000" w:themeColor="text1"/>
        </w:rPr>
        <w:t xml:space="preserve">(Tanaka, J., </w:t>
      </w:r>
      <w:proofErr w:type="spellStart"/>
      <w:r w:rsidR="001E3782" w:rsidRPr="00B81C3D">
        <w:rPr>
          <w:color w:val="000000" w:themeColor="text1"/>
        </w:rPr>
        <w:t>diss</w:t>
      </w:r>
      <w:r w:rsidR="00E86D19" w:rsidRPr="00B81C3D">
        <w:rPr>
          <w:color w:val="000000" w:themeColor="text1"/>
        </w:rPr>
        <w:t>.op</w:t>
      </w:r>
      <w:proofErr w:type="spellEnd"/>
      <w:r w:rsidR="00E86D19" w:rsidRPr="00B81C3D">
        <w:rPr>
          <w:color w:val="000000" w:themeColor="text1"/>
        </w:rPr>
        <w:t>.</w:t>
      </w:r>
      <w:r w:rsidR="001E3782" w:rsidRPr="00B81C3D">
        <w:rPr>
          <w:color w:val="000000" w:themeColor="text1"/>
        </w:rPr>
        <w:t>)</w:t>
      </w:r>
      <w:r w:rsidR="00954A40" w:rsidRPr="00B81C3D">
        <w:rPr>
          <w:color w:val="000000" w:themeColor="text1"/>
        </w:rPr>
        <w:t>,</w:t>
      </w:r>
      <w:r w:rsidR="001E3782" w:rsidRPr="00B81C3D">
        <w:rPr>
          <w:color w:val="000000" w:themeColor="text1"/>
        </w:rPr>
        <w:t xml:space="preserve"> 284.</w:t>
      </w:r>
    </w:p>
  </w:footnote>
  <w:footnote w:id="33">
    <w:p w14:paraId="4195F1AD" w14:textId="79275166" w:rsidR="006578A7" w:rsidRPr="00B81C3D" w:rsidRDefault="006578A7" w:rsidP="00C75971">
      <w:pPr>
        <w:spacing w:afterLines="30" w:after="72" w:line="240" w:lineRule="auto"/>
        <w:ind w:left="567" w:hanging="567"/>
        <w:rPr>
          <w:lang w:val="en-US"/>
        </w:rPr>
      </w:pPr>
      <w:r w:rsidRPr="00B81C3D">
        <w:rPr>
          <w:rStyle w:val="FootnoteReference"/>
        </w:rPr>
        <w:footnoteRef/>
      </w:r>
      <w:r w:rsidR="00D16241" w:rsidRPr="00B81C3D">
        <w:rPr>
          <w:i/>
          <w:iCs/>
        </w:rPr>
        <w:t xml:space="preserve"> </w:t>
      </w:r>
      <w:r w:rsidR="001E3782" w:rsidRPr="00B81C3D">
        <w:t>Draft Conclusion 5</w:t>
      </w:r>
      <w:r w:rsidR="00F871E7" w:rsidRPr="00B81C3D">
        <w:t xml:space="preserve">, </w:t>
      </w:r>
      <w:r w:rsidRPr="00B81C3D">
        <w:t xml:space="preserve">¶25; </w:t>
      </w:r>
      <w:r w:rsidRPr="00B81C3D">
        <w:rPr>
          <w:i/>
        </w:rPr>
        <w:t>Barcelona Traction</w:t>
      </w:r>
      <w:r w:rsidR="00F871E7" w:rsidRPr="00B81C3D">
        <w:rPr>
          <w:iCs/>
        </w:rPr>
        <w:t xml:space="preserve">, </w:t>
      </w:r>
      <w:r w:rsidRPr="00B81C3D">
        <w:rPr>
          <w:color w:val="000000" w:themeColor="text1"/>
        </w:rPr>
        <w:t>¶</w:t>
      </w:r>
      <w:r w:rsidRPr="00B81C3D">
        <w:t>50.</w:t>
      </w:r>
    </w:p>
  </w:footnote>
  <w:footnote w:id="34">
    <w:p w14:paraId="399340C2" w14:textId="090987FA" w:rsidR="006578A7" w:rsidRPr="00B81C3D" w:rsidRDefault="006578A7" w:rsidP="00C75971">
      <w:pPr>
        <w:pStyle w:val="FootnoteText"/>
        <w:spacing w:afterLines="30" w:after="72"/>
        <w:ind w:left="567" w:hanging="567"/>
        <w:rPr>
          <w:color w:val="000000" w:themeColor="text1"/>
          <w:sz w:val="24"/>
          <w:szCs w:val="24"/>
        </w:rPr>
      </w:pPr>
      <w:r w:rsidRPr="00B81C3D">
        <w:rPr>
          <w:rStyle w:val="FootnoteReference"/>
          <w:sz w:val="24"/>
          <w:szCs w:val="24"/>
        </w:rPr>
        <w:footnoteRef/>
      </w:r>
      <w:r w:rsidRPr="00B81C3D">
        <w:rPr>
          <w:sz w:val="24"/>
          <w:szCs w:val="24"/>
        </w:rPr>
        <w:t xml:space="preserve"> </w:t>
      </w:r>
      <w:proofErr w:type="spellStart"/>
      <w:r w:rsidR="001E3782" w:rsidRPr="00B81C3D">
        <w:rPr>
          <w:color w:val="000000" w:themeColor="text1"/>
          <w:sz w:val="24"/>
          <w:szCs w:val="24"/>
        </w:rPr>
        <w:t>Amco</w:t>
      </w:r>
      <w:proofErr w:type="spellEnd"/>
      <w:r w:rsidR="001E3782" w:rsidRPr="00B81C3D">
        <w:rPr>
          <w:color w:val="000000" w:themeColor="text1"/>
          <w:sz w:val="24"/>
          <w:szCs w:val="24"/>
        </w:rPr>
        <w:t xml:space="preserve"> Asia Corporation and Others v. Republic of Indonesia, ICSID Case No. ARB/81/1,  Award, </w:t>
      </w:r>
      <w:r w:rsidR="001E3782" w:rsidRPr="00B81C3D">
        <w:rPr>
          <w:i/>
          <w:iCs/>
          <w:sz w:val="24"/>
          <w:szCs w:val="24"/>
        </w:rPr>
        <w:t>¶</w:t>
      </w:r>
      <w:r w:rsidR="001E3782" w:rsidRPr="00B81C3D">
        <w:rPr>
          <w:sz w:val="24"/>
          <w:szCs w:val="24"/>
          <w:lang w:val="en-US"/>
        </w:rPr>
        <w:t xml:space="preserve">248 </w:t>
      </w:r>
      <w:r w:rsidR="001E3782" w:rsidRPr="00B81C3D">
        <w:rPr>
          <w:color w:val="000000" w:themeColor="text1"/>
          <w:sz w:val="24"/>
          <w:szCs w:val="24"/>
        </w:rPr>
        <w:t>(1984)</w:t>
      </w:r>
      <w:r w:rsidR="00E86D19" w:rsidRPr="00B81C3D">
        <w:rPr>
          <w:color w:val="000000" w:themeColor="text1"/>
          <w:sz w:val="24"/>
          <w:szCs w:val="24"/>
        </w:rPr>
        <w:t>.</w:t>
      </w:r>
    </w:p>
  </w:footnote>
  <w:footnote w:id="35">
    <w:p w14:paraId="612822F3" w14:textId="6752641B"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sz w:val="24"/>
          <w:szCs w:val="24"/>
        </w:rPr>
        <w:t>Draft Conclusion 5</w:t>
      </w:r>
      <w:r w:rsidR="00F871E7" w:rsidRPr="00B81C3D">
        <w:rPr>
          <w:sz w:val="24"/>
          <w:szCs w:val="24"/>
        </w:rPr>
        <w:t xml:space="preserve">, </w:t>
      </w:r>
      <w:r w:rsidRPr="00B81C3D">
        <w:rPr>
          <w:sz w:val="24"/>
          <w:szCs w:val="24"/>
        </w:rPr>
        <w:t xml:space="preserve">¶50; </w:t>
      </w:r>
    </w:p>
  </w:footnote>
  <w:footnote w:id="36">
    <w:p w14:paraId="5BD1A143" w14:textId="6A521FD1"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sz w:val="24"/>
          <w:szCs w:val="24"/>
        </w:rPr>
        <w:t>Draft Conclusion</w:t>
      </w:r>
      <w:r w:rsidR="00E9737B" w:rsidRPr="00B81C3D">
        <w:rPr>
          <w:sz w:val="24"/>
          <w:szCs w:val="24"/>
        </w:rPr>
        <w:t xml:space="preserve"> </w:t>
      </w:r>
      <w:r w:rsidR="001E3782" w:rsidRPr="00B81C3D">
        <w:rPr>
          <w:sz w:val="24"/>
          <w:szCs w:val="24"/>
        </w:rPr>
        <w:t>5</w:t>
      </w:r>
      <w:r w:rsidR="00F871E7" w:rsidRPr="00B81C3D">
        <w:rPr>
          <w:sz w:val="24"/>
          <w:szCs w:val="24"/>
        </w:rPr>
        <w:t>,</w:t>
      </w:r>
      <w:r w:rsidR="00E9737B" w:rsidRPr="00B81C3D">
        <w:rPr>
          <w:sz w:val="24"/>
          <w:szCs w:val="24"/>
        </w:rPr>
        <w:t xml:space="preserve"> </w:t>
      </w:r>
      <w:r w:rsidRPr="00B81C3D">
        <w:rPr>
          <w:sz w:val="24"/>
          <w:szCs w:val="24"/>
        </w:rPr>
        <w:t xml:space="preserve">¶51; </w:t>
      </w:r>
      <w:r w:rsidR="001E3782" w:rsidRPr="00B81C3D">
        <w:rPr>
          <w:rStyle w:val="normaltextrun"/>
          <w:color w:val="000000"/>
          <w:sz w:val="24"/>
          <w:szCs w:val="24"/>
          <w:shd w:val="clear" w:color="auto" w:fill="FFFFFF"/>
        </w:rPr>
        <w:t xml:space="preserve">Ellis, </w:t>
      </w:r>
      <w:r w:rsidR="001E3782" w:rsidRPr="00B81C3D">
        <w:rPr>
          <w:rStyle w:val="normaltextrun"/>
          <w:i/>
          <w:iCs/>
          <w:color w:val="000000"/>
          <w:sz w:val="24"/>
          <w:szCs w:val="24"/>
          <w:shd w:val="clear" w:color="auto" w:fill="FFFFFF"/>
        </w:rPr>
        <w:t xml:space="preserve">General principles and comparative law, </w:t>
      </w:r>
      <w:r w:rsidR="001E3782" w:rsidRPr="00B81C3D">
        <w:rPr>
          <w:rStyle w:val="normaltextrun"/>
          <w:color w:val="000000"/>
          <w:sz w:val="24"/>
          <w:szCs w:val="24"/>
          <w:shd w:val="clear" w:color="auto" w:fill="FFFFFF"/>
        </w:rPr>
        <w:t xml:space="preserve">22 </w:t>
      </w:r>
      <w:r w:rsidR="001E3782" w:rsidRPr="00B81C3D">
        <w:rPr>
          <w:rStyle w:val="normaltextrun"/>
          <w:smallCaps/>
          <w:color w:val="000000"/>
          <w:sz w:val="24"/>
          <w:szCs w:val="24"/>
          <w:shd w:val="clear" w:color="auto" w:fill="FFFFFF"/>
        </w:rPr>
        <w:t>EJIL 949, 955 (2011).</w:t>
      </w:r>
    </w:p>
  </w:footnote>
  <w:footnote w:id="37">
    <w:p w14:paraId="14247124" w14:textId="6B070B5E"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1966 </w:t>
      </w:r>
      <w:r w:rsidRPr="00B81C3D">
        <w:rPr>
          <w:i/>
          <w:sz w:val="24"/>
          <w:szCs w:val="24"/>
        </w:rPr>
        <w:t xml:space="preserve">South West </w:t>
      </w:r>
      <w:proofErr w:type="gramStart"/>
      <w:r w:rsidRPr="00B81C3D">
        <w:rPr>
          <w:i/>
          <w:sz w:val="24"/>
          <w:szCs w:val="24"/>
        </w:rPr>
        <w:t>Africa,</w:t>
      </w:r>
      <w:r w:rsidRPr="00B81C3D">
        <w:rPr>
          <w:i/>
          <w:iCs/>
          <w:sz w:val="24"/>
          <w:szCs w:val="24"/>
        </w:rPr>
        <w:t>¶</w:t>
      </w:r>
      <w:proofErr w:type="gramEnd"/>
      <w:r w:rsidRPr="00B81C3D">
        <w:rPr>
          <w:sz w:val="24"/>
          <w:szCs w:val="24"/>
        </w:rPr>
        <w:t>88</w:t>
      </w:r>
      <w:r w:rsidR="00E23B44" w:rsidRPr="00B81C3D">
        <w:rPr>
          <w:sz w:val="24"/>
          <w:szCs w:val="24"/>
        </w:rPr>
        <w:t>.</w:t>
      </w:r>
    </w:p>
  </w:footnote>
  <w:footnote w:id="38">
    <w:p w14:paraId="551537D6" w14:textId="57130FA9"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E9737B" w:rsidRPr="00B81C3D">
        <w:rPr>
          <w:i/>
          <w:iCs/>
          <w:sz w:val="24"/>
          <w:szCs w:val="24"/>
        </w:rPr>
        <w:t>Id.</w:t>
      </w:r>
    </w:p>
  </w:footnote>
  <w:footnote w:id="39">
    <w:p w14:paraId="2A0BEAB4" w14:textId="18960E43"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sz w:val="24"/>
          <w:szCs w:val="24"/>
          <w:lang w:val="en-US"/>
        </w:rPr>
        <w:t>ARSIWA</w:t>
      </w:r>
      <w:r w:rsidRPr="00B81C3D">
        <w:rPr>
          <w:sz w:val="24"/>
          <w:szCs w:val="24"/>
          <w:lang w:val="en-US"/>
        </w:rPr>
        <w:t xml:space="preserve"> Commentary,</w:t>
      </w:r>
      <w:r w:rsidR="00321BD4" w:rsidRPr="00B81C3D">
        <w:rPr>
          <w:sz w:val="24"/>
          <w:szCs w:val="24"/>
          <w:lang w:val="en-US"/>
        </w:rPr>
        <w:t xml:space="preserve"> </w:t>
      </w:r>
      <w:r w:rsidRPr="00B81C3D">
        <w:rPr>
          <w:i/>
          <w:iCs/>
          <w:sz w:val="24"/>
          <w:szCs w:val="24"/>
        </w:rPr>
        <w:t>¶</w:t>
      </w:r>
      <w:r w:rsidRPr="00B81C3D">
        <w:rPr>
          <w:sz w:val="24"/>
          <w:szCs w:val="24"/>
          <w:lang w:val="en-US"/>
        </w:rPr>
        <w:t>47</w:t>
      </w:r>
      <w:r w:rsidR="00E23B44" w:rsidRPr="00B81C3D">
        <w:rPr>
          <w:sz w:val="24"/>
          <w:szCs w:val="24"/>
          <w:lang w:val="en-US"/>
        </w:rPr>
        <w:t>.</w:t>
      </w:r>
    </w:p>
  </w:footnote>
  <w:footnote w:id="40">
    <w:p w14:paraId="45B458D9" w14:textId="4FA7DB1B"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1E3782" w:rsidRPr="00B81C3D">
        <w:rPr>
          <w:color w:val="000000" w:themeColor="text1"/>
          <w:sz w:val="24"/>
          <w:szCs w:val="24"/>
        </w:rPr>
        <w:t>Kelsen</w:t>
      </w:r>
      <w:proofErr w:type="spellEnd"/>
      <w:r w:rsidR="001E3782" w:rsidRPr="00B81C3D">
        <w:rPr>
          <w:color w:val="000000" w:themeColor="text1"/>
          <w:sz w:val="24"/>
          <w:szCs w:val="24"/>
        </w:rPr>
        <w:t xml:space="preserve">, </w:t>
      </w:r>
      <w:r w:rsidR="001E3782" w:rsidRPr="00B81C3D">
        <w:rPr>
          <w:i/>
          <w:iCs/>
          <w:color w:val="000000" w:themeColor="text1"/>
          <w:sz w:val="24"/>
          <w:szCs w:val="24"/>
        </w:rPr>
        <w:t xml:space="preserve">Judicial Review of Legislation, </w:t>
      </w:r>
      <w:r w:rsidR="001E3782" w:rsidRPr="00B81C3D">
        <w:rPr>
          <w:color w:val="000000" w:themeColor="text1"/>
          <w:sz w:val="24"/>
          <w:szCs w:val="24"/>
        </w:rPr>
        <w:t xml:space="preserve">4 </w:t>
      </w:r>
      <w:r w:rsidR="001E3782" w:rsidRPr="00B81C3D">
        <w:rPr>
          <w:smallCaps/>
          <w:color w:val="000000" w:themeColor="text1"/>
          <w:sz w:val="24"/>
          <w:szCs w:val="24"/>
        </w:rPr>
        <w:t>J. of Politics 2, 197 (1943).</w:t>
      </w:r>
    </w:p>
  </w:footnote>
  <w:footnote w:id="41">
    <w:p w14:paraId="32C15FAA" w14:textId="000DEAD1"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Slovenian Constitutional Court No. Up-29/93 of 1995, </w:t>
      </w:r>
      <w:proofErr w:type="spellStart"/>
      <w:r w:rsidRPr="00B81C3D">
        <w:rPr>
          <w:sz w:val="24"/>
          <w:szCs w:val="24"/>
        </w:rPr>
        <w:t>OdlUS</w:t>
      </w:r>
      <w:proofErr w:type="spellEnd"/>
      <w:r w:rsidRPr="00B81C3D">
        <w:rPr>
          <w:sz w:val="24"/>
          <w:szCs w:val="24"/>
        </w:rPr>
        <w:t xml:space="preserve"> IV, 155 and No. Up-60/94 </w:t>
      </w:r>
      <w:r w:rsidR="00134BAE" w:rsidRPr="00B81C3D">
        <w:rPr>
          <w:sz w:val="24"/>
          <w:szCs w:val="24"/>
        </w:rPr>
        <w:t>(</w:t>
      </w:r>
      <w:r w:rsidRPr="00B81C3D">
        <w:rPr>
          <w:sz w:val="24"/>
          <w:szCs w:val="24"/>
        </w:rPr>
        <w:t>1997</w:t>
      </w:r>
      <w:r w:rsidR="00134BAE" w:rsidRPr="00B81C3D">
        <w:rPr>
          <w:sz w:val="24"/>
          <w:szCs w:val="24"/>
        </w:rPr>
        <w:t>)</w:t>
      </w:r>
      <w:r w:rsidRPr="00B81C3D">
        <w:rPr>
          <w:sz w:val="24"/>
          <w:szCs w:val="24"/>
        </w:rPr>
        <w:t>.</w:t>
      </w:r>
    </w:p>
  </w:footnote>
  <w:footnote w:id="42">
    <w:p w14:paraId="3F7FC6A3" w14:textId="15A20983" w:rsidR="006578A7" w:rsidRPr="00B81C3D" w:rsidRDefault="006578A7" w:rsidP="00C75971">
      <w:pPr>
        <w:pStyle w:val="FootnoteText"/>
        <w:spacing w:afterLines="30" w:after="72"/>
        <w:ind w:left="567" w:hanging="567"/>
        <w:rPr>
          <w:smallCaps/>
          <w:color w:val="000000" w:themeColor="text1"/>
          <w:sz w:val="24"/>
          <w:szCs w:val="24"/>
        </w:rPr>
      </w:pPr>
      <w:r w:rsidRPr="00B81C3D">
        <w:rPr>
          <w:rStyle w:val="FootnoteReference"/>
          <w:sz w:val="24"/>
          <w:szCs w:val="24"/>
        </w:rPr>
        <w:footnoteRef/>
      </w:r>
      <w:r w:rsidRPr="00B81C3D">
        <w:rPr>
          <w:sz w:val="24"/>
          <w:szCs w:val="24"/>
        </w:rPr>
        <w:t xml:space="preserve"> </w:t>
      </w:r>
      <w:proofErr w:type="spellStart"/>
      <w:r w:rsidR="001E3782" w:rsidRPr="00B81C3D">
        <w:rPr>
          <w:color w:val="000000" w:themeColor="text1"/>
          <w:sz w:val="24"/>
          <w:szCs w:val="24"/>
        </w:rPr>
        <w:t>Kelsen</w:t>
      </w:r>
      <w:proofErr w:type="spellEnd"/>
      <w:r w:rsidR="001E3782" w:rsidRPr="00B81C3D">
        <w:rPr>
          <w:color w:val="000000" w:themeColor="text1"/>
          <w:sz w:val="24"/>
          <w:szCs w:val="24"/>
        </w:rPr>
        <w:t xml:space="preserve">, </w:t>
      </w:r>
      <w:r w:rsidR="00321BD4" w:rsidRPr="00B81C3D">
        <w:rPr>
          <w:color w:val="000000" w:themeColor="text1"/>
          <w:sz w:val="24"/>
          <w:szCs w:val="24"/>
        </w:rPr>
        <w:t>n</w:t>
      </w:r>
      <w:r w:rsidR="00321BD4" w:rsidRPr="00B81C3D">
        <w:rPr>
          <w:color w:val="000000" w:themeColor="text1"/>
          <w:sz w:val="24"/>
          <w:szCs w:val="24"/>
        </w:rPr>
        <w:fldChar w:fldCharType="begin"/>
      </w:r>
      <w:r w:rsidR="00321BD4" w:rsidRPr="00B81C3D">
        <w:rPr>
          <w:color w:val="000000" w:themeColor="text1"/>
          <w:sz w:val="24"/>
          <w:szCs w:val="24"/>
        </w:rPr>
        <w:instrText xml:space="preserve"> NOTEREF _Ref156018990 \h  \* MERGEFORMAT </w:instrText>
      </w:r>
      <w:r w:rsidR="00321BD4" w:rsidRPr="00B81C3D">
        <w:rPr>
          <w:color w:val="000000" w:themeColor="text1"/>
          <w:sz w:val="24"/>
          <w:szCs w:val="24"/>
        </w:rPr>
      </w:r>
      <w:r w:rsidR="00321BD4" w:rsidRPr="00B81C3D">
        <w:rPr>
          <w:color w:val="000000" w:themeColor="text1"/>
          <w:sz w:val="24"/>
          <w:szCs w:val="24"/>
        </w:rPr>
        <w:fldChar w:fldCharType="separate"/>
      </w:r>
      <w:r w:rsidR="00321BD4" w:rsidRPr="00B81C3D">
        <w:rPr>
          <w:color w:val="000000" w:themeColor="text1"/>
          <w:sz w:val="24"/>
          <w:szCs w:val="24"/>
        </w:rPr>
        <w:t>40</w:t>
      </w:r>
      <w:r w:rsidR="00321BD4" w:rsidRPr="00B81C3D">
        <w:rPr>
          <w:color w:val="000000" w:themeColor="text1"/>
          <w:sz w:val="24"/>
          <w:szCs w:val="24"/>
        </w:rPr>
        <w:fldChar w:fldCharType="end"/>
      </w:r>
      <w:r w:rsidR="00321BD4" w:rsidRPr="00B81C3D">
        <w:rPr>
          <w:color w:val="000000" w:themeColor="text1"/>
          <w:sz w:val="24"/>
          <w:szCs w:val="24"/>
        </w:rPr>
        <w:t xml:space="preserve">, </w:t>
      </w:r>
      <w:r w:rsidR="001E3782" w:rsidRPr="00B81C3D">
        <w:rPr>
          <w:smallCaps/>
          <w:color w:val="000000" w:themeColor="text1"/>
          <w:sz w:val="24"/>
          <w:szCs w:val="24"/>
        </w:rPr>
        <w:t>197</w:t>
      </w:r>
      <w:r w:rsidR="00134BAE" w:rsidRPr="00B81C3D">
        <w:rPr>
          <w:smallCaps/>
          <w:color w:val="000000" w:themeColor="text1"/>
          <w:sz w:val="24"/>
          <w:szCs w:val="24"/>
        </w:rPr>
        <w:t>.</w:t>
      </w:r>
    </w:p>
  </w:footnote>
  <w:footnote w:id="43">
    <w:p w14:paraId="23F438CD" w14:textId="4890505C" w:rsidR="006578A7" w:rsidRPr="00B81C3D" w:rsidRDefault="006578A7" w:rsidP="00C75971">
      <w:pPr>
        <w:pStyle w:val="FootnoteText"/>
        <w:spacing w:afterLines="30" w:after="72"/>
        <w:ind w:left="567" w:hanging="567"/>
        <w:rPr>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r w:rsidR="00406B70" w:rsidRPr="00B81C3D">
        <w:rPr>
          <w:rFonts w:eastAsiaTheme="minorHAnsi"/>
          <w:smallCaps/>
          <w:color w:val="000000" w:themeColor="text1"/>
          <w:sz w:val="24"/>
          <w:szCs w:val="24"/>
          <w:lang w:val="en-US"/>
          <w14:ligatures w14:val="standardContextual"/>
        </w:rPr>
        <w:t>BELL AND LICHÈRE, CONTEMPORARY FRENCH ADMINISTRATIVE LAW</w:t>
      </w:r>
      <w:r w:rsidR="00406B70" w:rsidRPr="00B81C3D">
        <w:rPr>
          <w:rFonts w:eastAsiaTheme="minorHAnsi"/>
          <w:color w:val="000000" w:themeColor="text1"/>
          <w:sz w:val="24"/>
          <w:szCs w:val="24"/>
          <w:lang w:val="en-US"/>
          <w14:ligatures w14:val="standardContextual"/>
        </w:rPr>
        <w:t xml:space="preserve"> (2022).</w:t>
      </w:r>
    </w:p>
  </w:footnote>
  <w:footnote w:id="44">
    <w:p w14:paraId="40F03966" w14:textId="2117E648"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1E3782" w:rsidRPr="00B81C3D">
        <w:rPr>
          <w:color w:val="000000" w:themeColor="text1"/>
          <w:sz w:val="24"/>
          <w:szCs w:val="24"/>
        </w:rPr>
        <w:t>Katjivena</w:t>
      </w:r>
      <w:proofErr w:type="spellEnd"/>
      <w:r w:rsidR="001E3782" w:rsidRPr="00B81C3D">
        <w:rPr>
          <w:color w:val="000000" w:themeColor="text1"/>
          <w:sz w:val="24"/>
          <w:szCs w:val="24"/>
        </w:rPr>
        <w:t xml:space="preserve"> v. Prime Minister of Namibia, </w:t>
      </w:r>
      <w:r w:rsidR="001E3782" w:rsidRPr="00B81C3D">
        <w:rPr>
          <w:sz w:val="24"/>
          <w:szCs w:val="24"/>
        </w:rPr>
        <w:t>A</w:t>
      </w:r>
      <w:r w:rsidR="00134BAE" w:rsidRPr="00B81C3D">
        <w:rPr>
          <w:sz w:val="24"/>
          <w:szCs w:val="24"/>
        </w:rPr>
        <w:t>/</w:t>
      </w:r>
      <w:r w:rsidR="001E3782" w:rsidRPr="00B81C3D">
        <w:rPr>
          <w:sz w:val="24"/>
          <w:szCs w:val="24"/>
        </w:rPr>
        <w:t>265/2014, 2016 NAHCMD 146 (2016)</w:t>
      </w:r>
      <w:r w:rsidR="00321C3C" w:rsidRPr="00B81C3D">
        <w:rPr>
          <w:sz w:val="24"/>
          <w:szCs w:val="24"/>
        </w:rPr>
        <w:t>.</w:t>
      </w:r>
    </w:p>
  </w:footnote>
  <w:footnote w:id="45">
    <w:p w14:paraId="5AD6DF16" w14:textId="6367A71F"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i/>
          <w:iCs/>
          <w:color w:val="000000" w:themeColor="text1"/>
          <w:sz w:val="24"/>
          <w:szCs w:val="24"/>
        </w:rPr>
        <w:t xml:space="preserve">Arrested Development: Sudan’s Constitutional Court, Access to Justice and the Effective Protection of Human Rights, </w:t>
      </w:r>
      <w:r w:rsidR="001E3782" w:rsidRPr="00B81C3D">
        <w:rPr>
          <w:smallCaps/>
          <w:color w:val="000000" w:themeColor="text1"/>
          <w:sz w:val="24"/>
          <w:szCs w:val="24"/>
        </w:rPr>
        <w:t>Redress,</w:t>
      </w:r>
      <w:r w:rsidR="001E3782" w:rsidRPr="00B81C3D">
        <w:rPr>
          <w:i/>
          <w:iCs/>
          <w:color w:val="000000" w:themeColor="text1"/>
          <w:sz w:val="24"/>
          <w:szCs w:val="24"/>
        </w:rPr>
        <w:t xml:space="preserve"> </w:t>
      </w:r>
      <w:r w:rsidR="001A475D" w:rsidRPr="00B81C3D">
        <w:rPr>
          <w:sz w:val="24"/>
          <w:szCs w:val="24"/>
        </w:rPr>
        <w:t>11</w:t>
      </w:r>
      <w:r w:rsidR="001E3782" w:rsidRPr="00B81C3D">
        <w:rPr>
          <w:color w:val="000000" w:themeColor="text1"/>
          <w:sz w:val="24"/>
          <w:szCs w:val="24"/>
        </w:rPr>
        <w:t xml:space="preserve"> (2012)</w:t>
      </w:r>
      <w:r w:rsidR="00406B70" w:rsidRPr="00B81C3D">
        <w:rPr>
          <w:color w:val="000000" w:themeColor="text1"/>
          <w:sz w:val="24"/>
          <w:szCs w:val="24"/>
        </w:rPr>
        <w:t>.</w:t>
      </w:r>
    </w:p>
  </w:footnote>
  <w:footnote w:id="46">
    <w:p w14:paraId="00393174" w14:textId="464E88E1"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1E3782" w:rsidRPr="00B81C3D">
        <w:rPr>
          <w:color w:val="000000" w:themeColor="text1"/>
          <w:sz w:val="24"/>
          <w:szCs w:val="24"/>
        </w:rPr>
        <w:t xml:space="preserve">Jensen, </w:t>
      </w:r>
      <w:r w:rsidR="001E3782" w:rsidRPr="00B81C3D">
        <w:rPr>
          <w:i/>
          <w:iCs/>
          <w:color w:val="000000" w:themeColor="text1"/>
          <w:sz w:val="24"/>
          <w:szCs w:val="24"/>
        </w:rPr>
        <w:t>Report from Denmark,</w:t>
      </w:r>
      <w:r w:rsidR="001E3782" w:rsidRPr="00B81C3D">
        <w:rPr>
          <w:color w:val="000000" w:themeColor="text1"/>
          <w:sz w:val="24"/>
          <w:szCs w:val="24"/>
        </w:rPr>
        <w:t xml:space="preserve"> </w:t>
      </w:r>
      <w:r w:rsidR="001E3782" w:rsidRPr="00B81C3D">
        <w:rPr>
          <w:smallCaps/>
          <w:color w:val="000000" w:themeColor="text1"/>
          <w:sz w:val="24"/>
          <w:szCs w:val="24"/>
        </w:rPr>
        <w:t>ACA-Europe,</w:t>
      </w:r>
      <w:r w:rsidR="001E3782" w:rsidRPr="00B81C3D">
        <w:rPr>
          <w:i/>
          <w:iCs/>
          <w:color w:val="000000" w:themeColor="text1"/>
          <w:sz w:val="24"/>
          <w:szCs w:val="24"/>
        </w:rPr>
        <w:t xml:space="preserve"> </w:t>
      </w:r>
      <w:r w:rsidR="001E3782" w:rsidRPr="00B81C3D">
        <w:rPr>
          <w:color w:val="000000" w:themeColor="text1"/>
          <w:sz w:val="24"/>
          <w:szCs w:val="24"/>
        </w:rPr>
        <w:t>140 (1986).</w:t>
      </w:r>
    </w:p>
  </w:footnote>
  <w:footnote w:id="47">
    <w:p w14:paraId="2D2AD62E" w14:textId="62F742CA"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997937" w:rsidRPr="00B81C3D">
        <w:rPr>
          <w:color w:val="000000" w:themeColor="text1"/>
          <w:sz w:val="24"/>
          <w:szCs w:val="24"/>
        </w:rPr>
        <w:t>Yeshanew</w:t>
      </w:r>
      <w:proofErr w:type="spellEnd"/>
      <w:r w:rsidR="00997937" w:rsidRPr="00B81C3D">
        <w:rPr>
          <w:color w:val="000000" w:themeColor="text1"/>
          <w:sz w:val="24"/>
          <w:szCs w:val="24"/>
        </w:rPr>
        <w:t xml:space="preserve">, </w:t>
      </w:r>
      <w:r w:rsidR="00997937" w:rsidRPr="00B81C3D">
        <w:rPr>
          <w:i/>
          <w:iCs/>
          <w:color w:val="000000" w:themeColor="text1"/>
          <w:sz w:val="24"/>
          <w:szCs w:val="24"/>
        </w:rPr>
        <w:t xml:space="preserve">The </w:t>
      </w:r>
      <w:r w:rsidR="00134BAE" w:rsidRPr="00B81C3D">
        <w:rPr>
          <w:i/>
          <w:iCs/>
          <w:color w:val="000000" w:themeColor="text1"/>
          <w:sz w:val="24"/>
          <w:szCs w:val="24"/>
        </w:rPr>
        <w:t>J</w:t>
      </w:r>
      <w:r w:rsidR="00997937" w:rsidRPr="00B81C3D">
        <w:rPr>
          <w:i/>
          <w:iCs/>
          <w:color w:val="000000" w:themeColor="text1"/>
          <w:sz w:val="24"/>
          <w:szCs w:val="24"/>
        </w:rPr>
        <w:t xml:space="preserve">usticiability of </w:t>
      </w:r>
      <w:r w:rsidR="00134BAE" w:rsidRPr="00B81C3D">
        <w:rPr>
          <w:i/>
          <w:iCs/>
          <w:color w:val="000000" w:themeColor="text1"/>
          <w:sz w:val="24"/>
          <w:szCs w:val="24"/>
        </w:rPr>
        <w:t>H</w:t>
      </w:r>
      <w:r w:rsidR="00997937" w:rsidRPr="00B81C3D">
        <w:rPr>
          <w:i/>
          <w:iCs/>
          <w:color w:val="000000" w:themeColor="text1"/>
          <w:sz w:val="24"/>
          <w:szCs w:val="24"/>
        </w:rPr>
        <w:t xml:space="preserve">uman </w:t>
      </w:r>
      <w:r w:rsidR="00134BAE" w:rsidRPr="00B81C3D">
        <w:rPr>
          <w:i/>
          <w:iCs/>
          <w:color w:val="000000" w:themeColor="text1"/>
          <w:sz w:val="24"/>
          <w:szCs w:val="24"/>
        </w:rPr>
        <w:t>R</w:t>
      </w:r>
      <w:r w:rsidR="00997937" w:rsidRPr="00B81C3D">
        <w:rPr>
          <w:i/>
          <w:iCs/>
          <w:color w:val="000000" w:themeColor="text1"/>
          <w:sz w:val="24"/>
          <w:szCs w:val="24"/>
        </w:rPr>
        <w:t xml:space="preserve">ights in the Federal Democratic Republic of Ethiopia, </w:t>
      </w:r>
      <w:r w:rsidR="00997937" w:rsidRPr="00B81C3D">
        <w:rPr>
          <w:color w:val="000000" w:themeColor="text1"/>
          <w:sz w:val="24"/>
          <w:szCs w:val="24"/>
        </w:rPr>
        <w:t xml:space="preserve">8 </w:t>
      </w:r>
      <w:r w:rsidR="00997937" w:rsidRPr="00B81C3D">
        <w:rPr>
          <w:smallCaps/>
          <w:color w:val="000000" w:themeColor="text1"/>
          <w:sz w:val="24"/>
          <w:szCs w:val="24"/>
        </w:rPr>
        <w:t>AHRLJ 273-293</w:t>
      </w:r>
      <w:r w:rsidR="00134BAE" w:rsidRPr="00B81C3D">
        <w:rPr>
          <w:smallCaps/>
          <w:color w:val="000000" w:themeColor="text1"/>
          <w:sz w:val="24"/>
          <w:szCs w:val="24"/>
        </w:rPr>
        <w:t xml:space="preserve"> (</w:t>
      </w:r>
      <w:r w:rsidR="00997937" w:rsidRPr="00B81C3D">
        <w:rPr>
          <w:smallCaps/>
          <w:color w:val="000000" w:themeColor="text1"/>
          <w:sz w:val="24"/>
          <w:szCs w:val="24"/>
        </w:rPr>
        <w:t>2008</w:t>
      </w:r>
      <w:r w:rsidR="00134BAE" w:rsidRPr="00B81C3D">
        <w:rPr>
          <w:smallCaps/>
          <w:color w:val="000000" w:themeColor="text1"/>
          <w:sz w:val="24"/>
          <w:szCs w:val="24"/>
        </w:rPr>
        <w:t>)</w:t>
      </w:r>
      <w:r w:rsidR="00997937" w:rsidRPr="00B81C3D">
        <w:rPr>
          <w:smallCaps/>
          <w:color w:val="000000" w:themeColor="text1"/>
          <w:sz w:val="24"/>
          <w:szCs w:val="24"/>
        </w:rPr>
        <w:t>.</w:t>
      </w:r>
    </w:p>
  </w:footnote>
  <w:footnote w:id="48">
    <w:p w14:paraId="5F676E8A" w14:textId="62FC1A6A"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997937" w:rsidRPr="00B81C3D">
        <w:rPr>
          <w:color w:val="000000" w:themeColor="text1"/>
          <w:sz w:val="24"/>
          <w:szCs w:val="24"/>
        </w:rPr>
        <w:t xml:space="preserve">White &amp; Case LLP, </w:t>
      </w:r>
      <w:r w:rsidR="00997937" w:rsidRPr="00B81C3D">
        <w:rPr>
          <w:i/>
          <w:iCs/>
          <w:color w:val="000000" w:themeColor="text1"/>
          <w:sz w:val="24"/>
          <w:szCs w:val="24"/>
        </w:rPr>
        <w:t xml:space="preserve">Access to Justice for Children, </w:t>
      </w:r>
      <w:proofErr w:type="spellStart"/>
      <w:r w:rsidR="00997937" w:rsidRPr="00B81C3D">
        <w:rPr>
          <w:smallCaps/>
          <w:color w:val="000000" w:themeColor="text1"/>
          <w:sz w:val="24"/>
          <w:szCs w:val="24"/>
        </w:rPr>
        <w:t>Crin</w:t>
      </w:r>
      <w:proofErr w:type="spellEnd"/>
      <w:r w:rsidR="00997937" w:rsidRPr="00B81C3D">
        <w:rPr>
          <w:smallCaps/>
          <w:color w:val="000000" w:themeColor="text1"/>
          <w:sz w:val="24"/>
          <w:szCs w:val="24"/>
        </w:rPr>
        <w:t xml:space="preserve"> 8 (2014).</w:t>
      </w:r>
    </w:p>
  </w:footnote>
  <w:footnote w:id="49">
    <w:p w14:paraId="1E088578" w14:textId="7C8E3B28"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997937" w:rsidRPr="00B81C3D">
        <w:rPr>
          <w:sz w:val="24"/>
          <w:szCs w:val="24"/>
        </w:rPr>
        <w:t>Friends of the Irish Environment CLG v. The Government of Ireland, Appeal No. 205/19, 2020 IESC 49, ¶7.4.</w:t>
      </w:r>
    </w:p>
  </w:footnote>
  <w:footnote w:id="50">
    <w:p w14:paraId="1CC8A772" w14:textId="2AEF6A77"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997937" w:rsidRPr="00B81C3D">
        <w:rPr>
          <w:color w:val="000000" w:themeColor="text1"/>
          <w:sz w:val="24"/>
          <w:szCs w:val="24"/>
        </w:rPr>
        <w:t xml:space="preserve">Jonsson, </w:t>
      </w:r>
      <w:r w:rsidR="00997937" w:rsidRPr="00B81C3D">
        <w:rPr>
          <w:i/>
          <w:iCs/>
          <w:color w:val="000000" w:themeColor="text1"/>
          <w:sz w:val="24"/>
          <w:szCs w:val="24"/>
        </w:rPr>
        <w:t xml:space="preserve">Judicial Review and Individual Legal Activism, </w:t>
      </w:r>
      <w:r w:rsidR="00997937" w:rsidRPr="00B81C3D">
        <w:rPr>
          <w:smallCaps/>
          <w:color w:val="000000" w:themeColor="text1"/>
          <w:sz w:val="24"/>
          <w:szCs w:val="24"/>
        </w:rPr>
        <w:t xml:space="preserve">Uppsala Univ. 297 (2005). </w:t>
      </w:r>
      <w:r w:rsidRPr="00B81C3D">
        <w:rPr>
          <w:sz w:val="24"/>
          <w:szCs w:val="24"/>
          <w:lang w:val="en-US"/>
        </w:rPr>
        <w:t xml:space="preserve"> </w:t>
      </w:r>
    </w:p>
  </w:footnote>
  <w:footnote w:id="51">
    <w:p w14:paraId="07EB932C" w14:textId="3A0F158C"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56427D" w:rsidRPr="00B81C3D">
        <w:rPr>
          <w:sz w:val="24"/>
          <w:szCs w:val="24"/>
        </w:rPr>
        <w:t>Draft Conclusion 5</w:t>
      </w:r>
      <w:r w:rsidR="00F871E7" w:rsidRPr="00B81C3D">
        <w:rPr>
          <w:sz w:val="24"/>
          <w:szCs w:val="24"/>
        </w:rPr>
        <w:t xml:space="preserve">, </w:t>
      </w:r>
      <w:r w:rsidR="00A86A88" w:rsidRPr="00B81C3D">
        <w:rPr>
          <w:sz w:val="24"/>
          <w:szCs w:val="24"/>
        </w:rPr>
        <w:t>¶</w:t>
      </w:r>
      <w:r w:rsidR="00D16241" w:rsidRPr="00B81C3D">
        <w:rPr>
          <w:sz w:val="24"/>
          <w:szCs w:val="24"/>
        </w:rPr>
        <w:t>82.</w:t>
      </w:r>
    </w:p>
  </w:footnote>
  <w:footnote w:id="52">
    <w:p w14:paraId="7379B501" w14:textId="07E2B747"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2147CB" w:rsidRPr="00B81C3D">
        <w:rPr>
          <w:i/>
          <w:iCs/>
          <w:sz w:val="24"/>
          <w:szCs w:val="24"/>
        </w:rPr>
        <w:t xml:space="preserve">Id., </w:t>
      </w:r>
      <w:r w:rsidR="00A86A88" w:rsidRPr="00B81C3D">
        <w:rPr>
          <w:sz w:val="24"/>
          <w:szCs w:val="24"/>
        </w:rPr>
        <w:t>¶</w:t>
      </w:r>
      <w:r w:rsidR="00D16241" w:rsidRPr="00B81C3D">
        <w:rPr>
          <w:sz w:val="24"/>
          <w:szCs w:val="24"/>
        </w:rPr>
        <w:t>85.</w:t>
      </w:r>
    </w:p>
  </w:footnote>
  <w:footnote w:id="53">
    <w:p w14:paraId="1F21E625" w14:textId="2535469D"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00D16241" w:rsidRPr="00B81C3D">
        <w:rPr>
          <w:i/>
          <w:iCs/>
          <w:sz w:val="24"/>
          <w:szCs w:val="24"/>
        </w:rPr>
        <w:t xml:space="preserve"> </w:t>
      </w:r>
      <w:r w:rsidR="002147CB" w:rsidRPr="00B81C3D">
        <w:rPr>
          <w:i/>
          <w:iCs/>
          <w:sz w:val="24"/>
          <w:szCs w:val="24"/>
        </w:rPr>
        <w:t xml:space="preserve">Id., </w:t>
      </w:r>
      <w:r w:rsidR="002147CB" w:rsidRPr="00B81C3D">
        <w:rPr>
          <w:sz w:val="24"/>
          <w:szCs w:val="24"/>
        </w:rPr>
        <w:t>¶75.</w:t>
      </w:r>
    </w:p>
  </w:footnote>
  <w:footnote w:id="54">
    <w:p w14:paraId="7286D9CD" w14:textId="1EAD54BE"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56427D" w:rsidRPr="00B81C3D">
        <w:rPr>
          <w:color w:val="000000" w:themeColor="text1"/>
          <w:sz w:val="24"/>
          <w:szCs w:val="24"/>
        </w:rPr>
        <w:t>Vázquez-</w:t>
      </w:r>
      <w:proofErr w:type="spellStart"/>
      <w:r w:rsidR="0056427D" w:rsidRPr="00B81C3D">
        <w:rPr>
          <w:color w:val="000000" w:themeColor="text1"/>
          <w:sz w:val="24"/>
          <w:szCs w:val="24"/>
        </w:rPr>
        <w:t>Bermúdez</w:t>
      </w:r>
      <w:proofErr w:type="spellEnd"/>
      <w:r w:rsidR="0056427D" w:rsidRPr="00B81C3D">
        <w:rPr>
          <w:color w:val="000000" w:themeColor="text1"/>
          <w:sz w:val="24"/>
          <w:szCs w:val="24"/>
        </w:rPr>
        <w:t xml:space="preserve"> (Special Rapporteur), Second Report on General Principles of Law, U.N. Doc. A/CN.4/741, ¶82 (2021).</w:t>
      </w:r>
    </w:p>
  </w:footnote>
  <w:footnote w:id="55">
    <w:p w14:paraId="3A5E8ECD" w14:textId="4A78D834"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1966</w:t>
      </w:r>
      <w:r w:rsidRPr="00B81C3D">
        <w:rPr>
          <w:i/>
          <w:iCs/>
          <w:sz w:val="24"/>
          <w:szCs w:val="24"/>
        </w:rPr>
        <w:t xml:space="preserve"> South West Africa</w:t>
      </w:r>
      <w:r w:rsidR="00321BD4" w:rsidRPr="00B81C3D">
        <w:rPr>
          <w:sz w:val="24"/>
          <w:szCs w:val="24"/>
        </w:rPr>
        <w:t>,</w:t>
      </w:r>
      <w:r w:rsidR="00F871E7" w:rsidRPr="00B81C3D">
        <w:rPr>
          <w:sz w:val="24"/>
          <w:szCs w:val="24"/>
        </w:rPr>
        <w:t xml:space="preserve"> </w:t>
      </w:r>
      <w:r w:rsidRPr="00B81C3D">
        <w:rPr>
          <w:sz w:val="24"/>
          <w:szCs w:val="24"/>
        </w:rPr>
        <w:t xml:space="preserve">¶48. </w:t>
      </w:r>
    </w:p>
  </w:footnote>
  <w:footnote w:id="56">
    <w:p w14:paraId="58991594" w14:textId="2999E1FB"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1962</w:t>
      </w:r>
      <w:r w:rsidR="0056427D" w:rsidRPr="00B81C3D">
        <w:rPr>
          <w:color w:val="000000" w:themeColor="text1"/>
          <w:sz w:val="24"/>
          <w:szCs w:val="24"/>
        </w:rPr>
        <w:t xml:space="preserve"> South West Africa Cases,</w:t>
      </w:r>
      <w:r w:rsidR="0056427D" w:rsidRPr="00B81C3D">
        <w:rPr>
          <w:color w:val="000000"/>
          <w:sz w:val="24"/>
          <w:szCs w:val="24"/>
        </w:rPr>
        <w:t xml:space="preserve"> (Eth. v. S. Afr.; Liber. v. S. Afr.)</w:t>
      </w:r>
      <w:r w:rsidR="0056427D" w:rsidRPr="00B81C3D">
        <w:rPr>
          <w:color w:val="000000" w:themeColor="text1"/>
          <w:sz w:val="24"/>
          <w:szCs w:val="24"/>
        </w:rPr>
        <w:t>, Preliminary Objections, Judgment, 1962 ICJ Rep. 319, 456 [“</w:t>
      </w:r>
      <w:r w:rsidR="0056427D" w:rsidRPr="00B81C3D">
        <w:rPr>
          <w:b/>
          <w:bCs/>
          <w:i/>
          <w:iCs/>
          <w:color w:val="000000" w:themeColor="text1"/>
          <w:sz w:val="24"/>
          <w:szCs w:val="24"/>
        </w:rPr>
        <w:t>1962 South West Africa</w:t>
      </w:r>
      <w:r w:rsidR="0056427D" w:rsidRPr="00B81C3D">
        <w:rPr>
          <w:color w:val="000000" w:themeColor="text1"/>
          <w:sz w:val="24"/>
          <w:szCs w:val="24"/>
        </w:rPr>
        <w:t>”]</w:t>
      </w:r>
      <w:r w:rsidR="00D96841" w:rsidRPr="00B81C3D">
        <w:rPr>
          <w:color w:val="000000" w:themeColor="text1"/>
          <w:sz w:val="24"/>
          <w:szCs w:val="24"/>
        </w:rPr>
        <w:t xml:space="preserve"> </w:t>
      </w:r>
      <w:r w:rsidR="0056427D" w:rsidRPr="00B81C3D">
        <w:rPr>
          <w:color w:val="000000" w:themeColor="text1"/>
          <w:sz w:val="24"/>
          <w:szCs w:val="24"/>
        </w:rPr>
        <w:t>(</w:t>
      </w:r>
      <w:proofErr w:type="spellStart"/>
      <w:r w:rsidR="0056427D" w:rsidRPr="00B81C3D">
        <w:rPr>
          <w:color w:val="000000" w:themeColor="text1"/>
          <w:sz w:val="24"/>
          <w:szCs w:val="24"/>
        </w:rPr>
        <w:t>Winiarski</w:t>
      </w:r>
      <w:proofErr w:type="spellEnd"/>
      <w:r w:rsidR="0056427D" w:rsidRPr="00B81C3D">
        <w:rPr>
          <w:color w:val="000000" w:themeColor="text1"/>
          <w:sz w:val="24"/>
          <w:szCs w:val="24"/>
        </w:rPr>
        <w:t xml:space="preserve">, J., </w:t>
      </w:r>
      <w:proofErr w:type="spellStart"/>
      <w:r w:rsidR="0056427D" w:rsidRPr="00B81C3D">
        <w:rPr>
          <w:color w:val="000000" w:themeColor="text1"/>
          <w:sz w:val="24"/>
          <w:szCs w:val="24"/>
        </w:rPr>
        <w:t>diss</w:t>
      </w:r>
      <w:r w:rsidR="00D16241" w:rsidRPr="00B81C3D">
        <w:rPr>
          <w:color w:val="000000" w:themeColor="text1"/>
          <w:sz w:val="24"/>
          <w:szCs w:val="24"/>
        </w:rPr>
        <w:t>.op</w:t>
      </w:r>
      <w:proofErr w:type="spellEnd"/>
      <w:r w:rsidR="00D16241" w:rsidRPr="00B81C3D">
        <w:rPr>
          <w:color w:val="000000" w:themeColor="text1"/>
          <w:sz w:val="24"/>
          <w:szCs w:val="24"/>
        </w:rPr>
        <w:t>.</w:t>
      </w:r>
      <w:r w:rsidR="0056427D" w:rsidRPr="00B81C3D">
        <w:rPr>
          <w:color w:val="000000" w:themeColor="text1"/>
          <w:sz w:val="24"/>
          <w:szCs w:val="24"/>
        </w:rPr>
        <w:t>).</w:t>
      </w:r>
    </w:p>
  </w:footnote>
  <w:footnote w:id="57">
    <w:p w14:paraId="03DDB712" w14:textId="14CAE6AA" w:rsidR="006578A7" w:rsidRPr="00B81C3D" w:rsidRDefault="006578A7" w:rsidP="00C75971">
      <w:pPr>
        <w:pStyle w:val="FootnoteText"/>
        <w:spacing w:afterLines="30" w:after="72"/>
        <w:ind w:left="567" w:hanging="567"/>
        <w:rPr>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r w:rsidR="0056427D" w:rsidRPr="00B81C3D">
        <w:rPr>
          <w:smallCaps/>
          <w:color w:val="000000" w:themeColor="text1"/>
          <w:sz w:val="24"/>
          <w:szCs w:val="24"/>
        </w:rPr>
        <w:t>Ahmado</w:t>
      </w:r>
      <w:r w:rsidR="00027BCA" w:rsidRPr="00B81C3D">
        <w:rPr>
          <w:smallCaps/>
          <w:color w:val="000000" w:themeColor="text1"/>
          <w:sz w:val="24"/>
          <w:szCs w:val="24"/>
        </w:rPr>
        <w:t>v</w:t>
      </w:r>
      <w:r w:rsidR="0056427D" w:rsidRPr="00B81C3D">
        <w:rPr>
          <w:smallCaps/>
          <w:color w:val="000000" w:themeColor="text1"/>
          <w:sz w:val="24"/>
          <w:szCs w:val="24"/>
        </w:rPr>
        <w:t xml:space="preserve">, The Right of </w:t>
      </w:r>
      <w:proofErr w:type="spellStart"/>
      <w:r w:rsidR="0056427D" w:rsidRPr="00B81C3D">
        <w:rPr>
          <w:smallCaps/>
          <w:color w:val="000000" w:themeColor="text1"/>
          <w:sz w:val="24"/>
          <w:szCs w:val="24"/>
        </w:rPr>
        <w:t>Actio</w:t>
      </w:r>
      <w:proofErr w:type="spellEnd"/>
      <w:r w:rsidR="0056427D" w:rsidRPr="00B81C3D">
        <w:rPr>
          <w:smallCaps/>
          <w:color w:val="000000" w:themeColor="text1"/>
          <w:sz w:val="24"/>
          <w:szCs w:val="24"/>
        </w:rPr>
        <w:t xml:space="preserve"> </w:t>
      </w:r>
      <w:proofErr w:type="spellStart"/>
      <w:r w:rsidR="0056427D" w:rsidRPr="00B81C3D">
        <w:rPr>
          <w:smallCaps/>
          <w:color w:val="000000" w:themeColor="text1"/>
          <w:sz w:val="24"/>
          <w:szCs w:val="24"/>
        </w:rPr>
        <w:t>Popularis</w:t>
      </w:r>
      <w:proofErr w:type="spellEnd"/>
      <w:r w:rsidR="0056427D" w:rsidRPr="00B81C3D">
        <w:rPr>
          <w:smallCaps/>
          <w:color w:val="000000" w:themeColor="text1"/>
          <w:sz w:val="24"/>
          <w:szCs w:val="24"/>
        </w:rPr>
        <w:t xml:space="preserve"> before International Courts and Tribunals 23 (2017).</w:t>
      </w:r>
    </w:p>
  </w:footnote>
  <w:footnote w:id="58">
    <w:p w14:paraId="6BC4DB05" w14:textId="2073EFE7"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0056427D" w:rsidRPr="00B81C3D">
        <w:rPr>
          <w:color w:val="000000" w:themeColor="text1"/>
          <w:sz w:val="24"/>
          <w:szCs w:val="24"/>
        </w:rPr>
        <w:t xml:space="preserve"> </w:t>
      </w:r>
      <w:r w:rsidR="0056427D" w:rsidRPr="00B81C3D">
        <w:rPr>
          <w:color w:val="000000" w:themeColor="text1"/>
          <w:sz w:val="24"/>
          <w:szCs w:val="24"/>
        </w:rPr>
        <w:t>Vázquez-</w:t>
      </w:r>
      <w:proofErr w:type="spellStart"/>
      <w:r w:rsidR="0056427D" w:rsidRPr="00B81C3D">
        <w:rPr>
          <w:color w:val="000000" w:themeColor="text1"/>
          <w:sz w:val="24"/>
          <w:szCs w:val="24"/>
        </w:rPr>
        <w:t>Bermúdez</w:t>
      </w:r>
      <w:proofErr w:type="spellEnd"/>
      <w:r w:rsidR="0056427D" w:rsidRPr="00B81C3D">
        <w:rPr>
          <w:color w:val="000000" w:themeColor="text1"/>
          <w:sz w:val="24"/>
          <w:szCs w:val="24"/>
        </w:rPr>
        <w:t xml:space="preserve">, </w:t>
      </w:r>
      <w:r w:rsidR="00027BCA" w:rsidRPr="00B81C3D">
        <w:rPr>
          <w:color w:val="000000" w:themeColor="text1"/>
          <w:sz w:val="24"/>
          <w:szCs w:val="24"/>
        </w:rPr>
        <w:t>n</w:t>
      </w:r>
      <w:r w:rsidR="00321BD4" w:rsidRPr="00B81C3D">
        <w:rPr>
          <w:color w:val="000000" w:themeColor="text1"/>
          <w:sz w:val="24"/>
          <w:szCs w:val="24"/>
        </w:rPr>
        <w:fldChar w:fldCharType="begin"/>
      </w:r>
      <w:r w:rsidR="00321BD4" w:rsidRPr="00B81C3D">
        <w:rPr>
          <w:color w:val="000000" w:themeColor="text1"/>
          <w:sz w:val="24"/>
          <w:szCs w:val="24"/>
        </w:rPr>
        <w:instrText xml:space="preserve"> NOTEREF _Ref156019022 \h  \* MERGEFORMAT </w:instrText>
      </w:r>
      <w:r w:rsidR="00321BD4" w:rsidRPr="00B81C3D">
        <w:rPr>
          <w:color w:val="000000" w:themeColor="text1"/>
          <w:sz w:val="24"/>
          <w:szCs w:val="24"/>
        </w:rPr>
      </w:r>
      <w:r w:rsidR="00321BD4" w:rsidRPr="00B81C3D">
        <w:rPr>
          <w:color w:val="000000" w:themeColor="text1"/>
          <w:sz w:val="24"/>
          <w:szCs w:val="24"/>
        </w:rPr>
        <w:fldChar w:fldCharType="separate"/>
      </w:r>
      <w:r w:rsidR="00321BD4" w:rsidRPr="00B81C3D">
        <w:rPr>
          <w:color w:val="000000" w:themeColor="text1"/>
          <w:sz w:val="24"/>
          <w:szCs w:val="24"/>
        </w:rPr>
        <w:t>54</w:t>
      </w:r>
      <w:r w:rsidR="00321BD4" w:rsidRPr="00B81C3D">
        <w:rPr>
          <w:color w:val="000000" w:themeColor="text1"/>
          <w:sz w:val="24"/>
          <w:szCs w:val="24"/>
        </w:rPr>
        <w:fldChar w:fldCharType="end"/>
      </w:r>
      <w:r w:rsidR="00027BCA" w:rsidRPr="00B81C3D">
        <w:rPr>
          <w:color w:val="000000" w:themeColor="text1"/>
          <w:sz w:val="24"/>
          <w:szCs w:val="24"/>
        </w:rPr>
        <w:t xml:space="preserve">, </w:t>
      </w:r>
      <w:r w:rsidR="0056427D" w:rsidRPr="00B81C3D">
        <w:rPr>
          <w:color w:val="000000" w:themeColor="text1"/>
          <w:sz w:val="24"/>
          <w:szCs w:val="24"/>
        </w:rPr>
        <w:t>¶8</w:t>
      </w:r>
      <w:r w:rsidR="0016212D" w:rsidRPr="00B81C3D">
        <w:rPr>
          <w:color w:val="000000" w:themeColor="text1"/>
          <w:sz w:val="24"/>
          <w:szCs w:val="24"/>
        </w:rPr>
        <w:t>5</w:t>
      </w:r>
      <w:r w:rsidRPr="00B81C3D">
        <w:rPr>
          <w:sz w:val="24"/>
          <w:szCs w:val="24"/>
        </w:rPr>
        <w:t>.</w:t>
      </w:r>
    </w:p>
  </w:footnote>
  <w:footnote w:id="59">
    <w:p w14:paraId="7A133278" w14:textId="39326A50"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56427D" w:rsidRPr="00B81C3D">
        <w:rPr>
          <w:smallCaps/>
          <w:color w:val="000000" w:themeColor="text1"/>
          <w:sz w:val="24"/>
          <w:szCs w:val="24"/>
        </w:rPr>
        <w:t>T</w:t>
      </w:r>
      <w:r w:rsidR="00A4314B" w:rsidRPr="00B81C3D">
        <w:rPr>
          <w:smallCaps/>
          <w:color w:val="000000" w:themeColor="text1"/>
          <w:sz w:val="24"/>
          <w:szCs w:val="24"/>
        </w:rPr>
        <w:t>hio</w:t>
      </w:r>
      <w:proofErr w:type="spellEnd"/>
      <w:r w:rsidR="0056427D" w:rsidRPr="00B81C3D">
        <w:rPr>
          <w:smallCaps/>
          <w:color w:val="000000" w:themeColor="text1"/>
          <w:sz w:val="24"/>
          <w:szCs w:val="24"/>
        </w:rPr>
        <w:t>, Locus Standi and Judicial Review 2-3 (1971).</w:t>
      </w:r>
    </w:p>
  </w:footnote>
  <w:footnote w:id="60">
    <w:p w14:paraId="4D8415C3" w14:textId="64AFE3DD"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Charney, </w:t>
      </w:r>
      <w:r w:rsidRPr="00B81C3D">
        <w:rPr>
          <w:i/>
          <w:iCs/>
          <w:sz w:val="24"/>
          <w:szCs w:val="24"/>
        </w:rPr>
        <w:t>The Impact on the International Legal System of the Growth of the International Courts and Tribunals</w:t>
      </w:r>
      <w:r w:rsidRPr="00B81C3D">
        <w:rPr>
          <w:sz w:val="24"/>
          <w:szCs w:val="24"/>
        </w:rPr>
        <w:t xml:space="preserve">, 31 </w:t>
      </w:r>
      <w:r w:rsidRPr="00B81C3D">
        <w:rPr>
          <w:smallCaps/>
          <w:sz w:val="24"/>
          <w:szCs w:val="24"/>
        </w:rPr>
        <w:t>NYUJ. Int’l L. &amp; Pol.</w:t>
      </w:r>
      <w:r w:rsidRPr="00B81C3D">
        <w:rPr>
          <w:sz w:val="24"/>
          <w:szCs w:val="24"/>
        </w:rPr>
        <w:t>, 697, 698</w:t>
      </w:r>
      <w:r w:rsidR="00027BCA" w:rsidRPr="00B81C3D">
        <w:rPr>
          <w:sz w:val="24"/>
          <w:szCs w:val="24"/>
        </w:rPr>
        <w:t xml:space="preserve"> (1998-1999)</w:t>
      </w:r>
      <w:r w:rsidRPr="00B81C3D">
        <w:rPr>
          <w:sz w:val="24"/>
          <w:szCs w:val="24"/>
        </w:rPr>
        <w:t>.</w:t>
      </w:r>
    </w:p>
  </w:footnote>
  <w:footnote w:id="61">
    <w:p w14:paraId="5F43B088" w14:textId="4AC57737"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56427D" w:rsidRPr="00B81C3D">
        <w:rPr>
          <w:color w:val="000000" w:themeColor="text1"/>
          <w:sz w:val="24"/>
          <w:szCs w:val="24"/>
        </w:rPr>
        <w:t xml:space="preserve">Jennings, </w:t>
      </w:r>
      <w:r w:rsidR="0056427D" w:rsidRPr="00B81C3D">
        <w:rPr>
          <w:i/>
          <w:iCs/>
          <w:color w:val="000000" w:themeColor="text1"/>
          <w:sz w:val="24"/>
          <w:szCs w:val="24"/>
        </w:rPr>
        <w:t xml:space="preserve">The International Court of Justice after Fifty Years, </w:t>
      </w:r>
      <w:r w:rsidR="0056427D" w:rsidRPr="00B81C3D">
        <w:rPr>
          <w:color w:val="000000" w:themeColor="text1"/>
          <w:sz w:val="24"/>
          <w:szCs w:val="24"/>
        </w:rPr>
        <w:t xml:space="preserve">89 </w:t>
      </w:r>
      <w:r w:rsidR="0056427D" w:rsidRPr="00B81C3D">
        <w:rPr>
          <w:smallCaps/>
          <w:color w:val="000000" w:themeColor="text1"/>
          <w:sz w:val="24"/>
          <w:szCs w:val="24"/>
        </w:rPr>
        <w:t>AJIL 3, 504 (1995).</w:t>
      </w:r>
    </w:p>
  </w:footnote>
  <w:footnote w:id="62">
    <w:p w14:paraId="42D83151" w14:textId="5180809C"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I</w:t>
      </w:r>
      <w:r w:rsidR="006758A1" w:rsidRPr="00B81C3D">
        <w:rPr>
          <w:sz w:val="24"/>
          <w:szCs w:val="24"/>
        </w:rPr>
        <w:t>.</w:t>
      </w:r>
      <w:r w:rsidRPr="00B81C3D">
        <w:rPr>
          <w:sz w:val="24"/>
          <w:szCs w:val="24"/>
        </w:rPr>
        <w:t>C</w:t>
      </w:r>
      <w:r w:rsidR="006758A1" w:rsidRPr="00B81C3D">
        <w:rPr>
          <w:sz w:val="24"/>
          <w:szCs w:val="24"/>
        </w:rPr>
        <w:t>.</w:t>
      </w:r>
      <w:r w:rsidRPr="00B81C3D">
        <w:rPr>
          <w:sz w:val="24"/>
          <w:szCs w:val="24"/>
        </w:rPr>
        <w:t>J</w:t>
      </w:r>
      <w:r w:rsidR="006758A1" w:rsidRPr="00B81C3D">
        <w:rPr>
          <w:sz w:val="24"/>
          <w:szCs w:val="24"/>
        </w:rPr>
        <w:t>.</w:t>
      </w:r>
      <w:r w:rsidRPr="00B81C3D">
        <w:rPr>
          <w:sz w:val="24"/>
          <w:szCs w:val="24"/>
        </w:rPr>
        <w:t xml:space="preserve"> Statute, art.59.</w:t>
      </w:r>
    </w:p>
  </w:footnote>
  <w:footnote w:id="63">
    <w:p w14:paraId="3F080AF9" w14:textId="77777777" w:rsidR="002A2487" w:rsidRPr="00B81C3D" w:rsidRDefault="002A2487" w:rsidP="002A2487">
      <w:pPr>
        <w:spacing w:afterLines="30" w:after="72" w:line="240" w:lineRule="auto"/>
        <w:ind w:left="567" w:hanging="567"/>
        <w:rPr>
          <w:color w:val="000000" w:themeColor="text1"/>
        </w:rPr>
      </w:pPr>
      <w:r w:rsidRPr="00B81C3D">
        <w:rPr>
          <w:rStyle w:val="FootnoteReference"/>
          <w:i/>
          <w:iCs/>
        </w:rPr>
        <w:footnoteRef/>
      </w:r>
      <w:r w:rsidRPr="00B81C3D">
        <w:rPr>
          <w:i/>
          <w:iCs/>
        </w:rPr>
        <w:t xml:space="preserve"> </w:t>
      </w:r>
      <w:r w:rsidRPr="00B81C3D">
        <w:rPr>
          <w:color w:val="000000" w:themeColor="text1"/>
        </w:rPr>
        <w:t xml:space="preserve">North Sea Continental Shelf Cases (Ger./Den. and Ger./Neth.), Judgment, 1969 I.C.J. 3, </w:t>
      </w:r>
      <w:r w:rsidRPr="00B81C3D">
        <w:t xml:space="preserve">44 </w:t>
      </w:r>
      <w:r w:rsidRPr="00B81C3D">
        <w:rPr>
          <w:color w:val="000000" w:themeColor="text1"/>
        </w:rPr>
        <w:t>[“</w:t>
      </w:r>
      <w:r w:rsidRPr="00B81C3D">
        <w:rPr>
          <w:b/>
          <w:bCs/>
          <w:i/>
          <w:iCs/>
          <w:color w:val="000000" w:themeColor="text1"/>
        </w:rPr>
        <w:t>North Sea Continental Shelf</w:t>
      </w:r>
      <w:r w:rsidRPr="00B81C3D">
        <w:rPr>
          <w:color w:val="000000" w:themeColor="text1"/>
        </w:rPr>
        <w:t>”].</w:t>
      </w:r>
    </w:p>
  </w:footnote>
  <w:footnote w:id="64">
    <w:p w14:paraId="347A1B05" w14:textId="6771D687"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00A4314B" w:rsidRPr="00B81C3D">
        <w:rPr>
          <w:color w:val="000000" w:themeColor="text1"/>
          <w:sz w:val="24"/>
          <w:szCs w:val="24"/>
        </w:rPr>
        <w:t xml:space="preserve"> </w:t>
      </w:r>
      <w:proofErr w:type="spellStart"/>
      <w:r w:rsidR="00027BCA" w:rsidRPr="00B81C3D">
        <w:rPr>
          <w:color w:val="000000" w:themeColor="text1"/>
          <w:sz w:val="24"/>
          <w:szCs w:val="24"/>
        </w:rPr>
        <w:t>Kelsen</w:t>
      </w:r>
      <w:proofErr w:type="spellEnd"/>
      <w:r w:rsidR="00027BCA" w:rsidRPr="00B81C3D">
        <w:rPr>
          <w:color w:val="000000" w:themeColor="text1"/>
          <w:sz w:val="24"/>
          <w:szCs w:val="24"/>
        </w:rPr>
        <w:t>, n</w:t>
      </w:r>
      <w:r w:rsidR="005F4267" w:rsidRPr="00B81C3D">
        <w:rPr>
          <w:color w:val="000000" w:themeColor="text1"/>
          <w:sz w:val="24"/>
          <w:szCs w:val="24"/>
        </w:rPr>
        <w:fldChar w:fldCharType="begin"/>
      </w:r>
      <w:r w:rsidR="005F4267" w:rsidRPr="00B81C3D">
        <w:rPr>
          <w:color w:val="000000" w:themeColor="text1"/>
          <w:sz w:val="24"/>
          <w:szCs w:val="24"/>
        </w:rPr>
        <w:instrText xml:space="preserve"> NOTEREF _Ref156018990 \h  \* MERGEFORMAT </w:instrText>
      </w:r>
      <w:r w:rsidR="005F4267" w:rsidRPr="00B81C3D">
        <w:rPr>
          <w:color w:val="000000" w:themeColor="text1"/>
          <w:sz w:val="24"/>
          <w:szCs w:val="24"/>
        </w:rPr>
      </w:r>
      <w:r w:rsidR="005F4267" w:rsidRPr="00B81C3D">
        <w:rPr>
          <w:color w:val="000000" w:themeColor="text1"/>
          <w:sz w:val="24"/>
          <w:szCs w:val="24"/>
        </w:rPr>
        <w:fldChar w:fldCharType="separate"/>
      </w:r>
      <w:r w:rsidR="005F4267" w:rsidRPr="00B81C3D">
        <w:rPr>
          <w:color w:val="000000" w:themeColor="text1"/>
          <w:sz w:val="24"/>
          <w:szCs w:val="24"/>
        </w:rPr>
        <w:t>40</w:t>
      </w:r>
      <w:r w:rsidR="005F4267" w:rsidRPr="00B81C3D">
        <w:rPr>
          <w:color w:val="000000" w:themeColor="text1"/>
          <w:sz w:val="24"/>
          <w:szCs w:val="24"/>
        </w:rPr>
        <w:fldChar w:fldCharType="end"/>
      </w:r>
      <w:r w:rsidR="00027BCA" w:rsidRPr="00B81C3D">
        <w:rPr>
          <w:color w:val="000000" w:themeColor="text1"/>
          <w:sz w:val="24"/>
          <w:szCs w:val="24"/>
        </w:rPr>
        <w:t xml:space="preserve">, </w:t>
      </w:r>
      <w:r w:rsidR="0056427D" w:rsidRPr="00B81C3D">
        <w:rPr>
          <w:smallCaps/>
          <w:color w:val="000000" w:themeColor="text1"/>
          <w:sz w:val="24"/>
          <w:szCs w:val="24"/>
        </w:rPr>
        <w:t>197</w:t>
      </w:r>
      <w:r w:rsidRPr="00B81C3D">
        <w:rPr>
          <w:sz w:val="24"/>
          <w:szCs w:val="24"/>
        </w:rPr>
        <w:t>.</w:t>
      </w:r>
      <w:r w:rsidRPr="00B81C3D" w:rsidDel="00C72324">
        <w:rPr>
          <w:sz w:val="24"/>
          <w:szCs w:val="24"/>
        </w:rPr>
        <w:t xml:space="preserve"> </w:t>
      </w:r>
    </w:p>
  </w:footnote>
  <w:footnote w:id="65">
    <w:p w14:paraId="4B6B6DC0" w14:textId="4F696867"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56427D" w:rsidRPr="00B81C3D">
        <w:rPr>
          <w:i/>
          <w:iCs/>
          <w:color w:val="000000" w:themeColor="text1"/>
          <w:sz w:val="24"/>
          <w:szCs w:val="24"/>
        </w:rPr>
        <w:t xml:space="preserve">Burden v. UK, </w:t>
      </w:r>
      <w:r w:rsidR="0056427D" w:rsidRPr="00B81C3D">
        <w:rPr>
          <w:color w:val="000000" w:themeColor="text1"/>
          <w:sz w:val="24"/>
          <w:szCs w:val="24"/>
        </w:rPr>
        <w:t xml:space="preserve">Judgment, ECHR, Application No. 13378/05, </w:t>
      </w:r>
      <w:r w:rsidR="0056427D" w:rsidRPr="00B81C3D">
        <w:rPr>
          <w:sz w:val="24"/>
          <w:szCs w:val="24"/>
        </w:rPr>
        <w:t>¶33 (2008).</w:t>
      </w:r>
    </w:p>
  </w:footnote>
  <w:footnote w:id="66">
    <w:p w14:paraId="735E3DE8" w14:textId="141A902A"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56427D" w:rsidRPr="00B81C3D">
        <w:rPr>
          <w:i/>
          <w:sz w:val="24"/>
          <w:szCs w:val="24"/>
        </w:rPr>
        <w:t>L’Erabliere</w:t>
      </w:r>
      <w:proofErr w:type="spellEnd"/>
      <w:r w:rsidR="0056427D" w:rsidRPr="00B81C3D">
        <w:rPr>
          <w:i/>
          <w:sz w:val="24"/>
          <w:szCs w:val="24"/>
        </w:rPr>
        <w:t xml:space="preserve"> A.S.B.L. v. Belgium, </w:t>
      </w:r>
      <w:r w:rsidR="0056427D" w:rsidRPr="00B81C3D">
        <w:rPr>
          <w:sz w:val="24"/>
          <w:szCs w:val="24"/>
        </w:rPr>
        <w:t xml:space="preserve">Judgment, ECHR, Application No. 49230/07, ¶29 (2009); </w:t>
      </w:r>
      <w:r w:rsidR="0056427D" w:rsidRPr="00B81C3D">
        <w:rPr>
          <w:i/>
          <w:iCs/>
          <w:sz w:val="24"/>
          <w:szCs w:val="24"/>
        </w:rPr>
        <w:t xml:space="preserve">Aksu v. Turkey, </w:t>
      </w:r>
      <w:r w:rsidR="0056427D" w:rsidRPr="00B81C3D">
        <w:rPr>
          <w:sz w:val="24"/>
          <w:szCs w:val="24"/>
        </w:rPr>
        <w:t>Judgment, ECHR, Application Nos. 4149/04 and 41029/04 (2012)</w:t>
      </w:r>
      <w:r w:rsidR="00C75971" w:rsidRPr="00B81C3D">
        <w:rPr>
          <w:sz w:val="24"/>
          <w:szCs w:val="24"/>
        </w:rPr>
        <w:t>.</w:t>
      </w:r>
    </w:p>
  </w:footnote>
  <w:footnote w:id="67">
    <w:p w14:paraId="0179E159" w14:textId="1C7008D8" w:rsidR="006578A7" w:rsidRPr="00B81C3D" w:rsidRDefault="006578A7"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A86A88" w:rsidRPr="00B81C3D">
        <w:rPr>
          <w:smallCaps/>
          <w:color w:val="000000" w:themeColor="text1"/>
          <w:sz w:val="24"/>
          <w:szCs w:val="24"/>
        </w:rPr>
        <w:t>Ahmadov</w:t>
      </w:r>
      <w:r w:rsidR="00A86A88" w:rsidRPr="00B81C3D">
        <w:rPr>
          <w:color w:val="000000" w:themeColor="text1"/>
          <w:sz w:val="24"/>
          <w:szCs w:val="24"/>
        </w:rPr>
        <w:t>,</w:t>
      </w:r>
      <w:r w:rsidR="00027BCA" w:rsidRPr="00B81C3D">
        <w:rPr>
          <w:color w:val="000000" w:themeColor="text1"/>
          <w:sz w:val="24"/>
          <w:szCs w:val="24"/>
        </w:rPr>
        <w:t xml:space="preserve"> n</w:t>
      </w:r>
      <w:r w:rsidR="005F4267" w:rsidRPr="00B81C3D">
        <w:rPr>
          <w:color w:val="000000" w:themeColor="text1"/>
          <w:sz w:val="24"/>
          <w:szCs w:val="24"/>
        </w:rPr>
        <w:fldChar w:fldCharType="begin"/>
      </w:r>
      <w:r w:rsidR="005F4267" w:rsidRPr="00B81C3D">
        <w:rPr>
          <w:color w:val="000000" w:themeColor="text1"/>
          <w:sz w:val="24"/>
          <w:szCs w:val="24"/>
        </w:rPr>
        <w:instrText xml:space="preserve"> NOTEREF _Ref156018941 \h  \* MERGEFORMAT </w:instrText>
      </w:r>
      <w:r w:rsidR="005F4267" w:rsidRPr="00B81C3D">
        <w:rPr>
          <w:color w:val="000000" w:themeColor="text1"/>
          <w:sz w:val="24"/>
          <w:szCs w:val="24"/>
        </w:rPr>
      </w:r>
      <w:r w:rsidR="005F4267" w:rsidRPr="00B81C3D">
        <w:rPr>
          <w:color w:val="000000" w:themeColor="text1"/>
          <w:sz w:val="24"/>
          <w:szCs w:val="24"/>
        </w:rPr>
        <w:fldChar w:fldCharType="separate"/>
      </w:r>
      <w:r w:rsidR="005F4267" w:rsidRPr="00B81C3D">
        <w:rPr>
          <w:color w:val="000000" w:themeColor="text1"/>
          <w:sz w:val="24"/>
          <w:szCs w:val="24"/>
        </w:rPr>
        <w:t>57</w:t>
      </w:r>
      <w:r w:rsidR="005F4267" w:rsidRPr="00B81C3D">
        <w:rPr>
          <w:color w:val="000000" w:themeColor="text1"/>
          <w:sz w:val="24"/>
          <w:szCs w:val="24"/>
        </w:rPr>
        <w:fldChar w:fldCharType="end"/>
      </w:r>
      <w:r w:rsidR="00027BCA" w:rsidRPr="00B81C3D">
        <w:rPr>
          <w:color w:val="000000" w:themeColor="text1"/>
          <w:sz w:val="24"/>
          <w:szCs w:val="24"/>
        </w:rPr>
        <w:t xml:space="preserve">, </w:t>
      </w:r>
      <w:r w:rsidR="00A86A88" w:rsidRPr="00B81C3D">
        <w:rPr>
          <w:color w:val="000000" w:themeColor="text1"/>
          <w:sz w:val="24"/>
          <w:szCs w:val="24"/>
        </w:rPr>
        <w:t>22.</w:t>
      </w:r>
    </w:p>
  </w:footnote>
  <w:footnote w:id="68">
    <w:p w14:paraId="3BC6D4BF" w14:textId="3E4BA7CE"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56427D" w:rsidRPr="00B81C3D">
        <w:rPr>
          <w:color w:val="000000" w:themeColor="text1"/>
          <w:sz w:val="24"/>
          <w:szCs w:val="24"/>
        </w:rPr>
        <w:t>1966</w:t>
      </w:r>
      <w:r w:rsidR="0056427D" w:rsidRPr="00B81C3D">
        <w:rPr>
          <w:i/>
          <w:iCs/>
          <w:color w:val="000000" w:themeColor="text1"/>
          <w:sz w:val="24"/>
          <w:szCs w:val="24"/>
        </w:rPr>
        <w:t xml:space="preserve"> South West Africa,</w:t>
      </w:r>
      <w:r w:rsidR="006758A1" w:rsidRPr="00B81C3D">
        <w:rPr>
          <w:i/>
          <w:iCs/>
          <w:color w:val="000000" w:themeColor="text1"/>
          <w:sz w:val="24"/>
          <w:szCs w:val="24"/>
        </w:rPr>
        <w:t xml:space="preserve"> </w:t>
      </w:r>
      <w:r w:rsidR="006758A1" w:rsidRPr="00B81C3D">
        <w:rPr>
          <w:color w:val="000000" w:themeColor="text1"/>
          <w:sz w:val="24"/>
          <w:szCs w:val="24"/>
        </w:rPr>
        <w:t>n2,</w:t>
      </w:r>
      <w:r w:rsidR="0056427D" w:rsidRPr="00B81C3D">
        <w:rPr>
          <w:color w:val="000000" w:themeColor="text1"/>
          <w:sz w:val="24"/>
          <w:szCs w:val="24"/>
        </w:rPr>
        <w:t xml:space="preserve"> (</w:t>
      </w:r>
      <w:proofErr w:type="spellStart"/>
      <w:r w:rsidR="0056427D" w:rsidRPr="00B81C3D">
        <w:rPr>
          <w:color w:val="000000" w:themeColor="text1"/>
          <w:sz w:val="24"/>
          <w:szCs w:val="24"/>
        </w:rPr>
        <w:t>Winiarski</w:t>
      </w:r>
      <w:proofErr w:type="spellEnd"/>
      <w:r w:rsidR="0056427D" w:rsidRPr="00B81C3D">
        <w:rPr>
          <w:color w:val="000000" w:themeColor="text1"/>
          <w:sz w:val="24"/>
          <w:szCs w:val="24"/>
        </w:rPr>
        <w:t xml:space="preserve">, J., </w:t>
      </w:r>
      <w:proofErr w:type="spellStart"/>
      <w:r w:rsidR="00D16241" w:rsidRPr="00B81C3D">
        <w:rPr>
          <w:color w:val="000000" w:themeColor="text1"/>
          <w:sz w:val="24"/>
          <w:szCs w:val="24"/>
        </w:rPr>
        <w:t>diss.op</w:t>
      </w:r>
      <w:proofErr w:type="spellEnd"/>
      <w:r w:rsidR="00D16241" w:rsidRPr="00B81C3D">
        <w:rPr>
          <w:color w:val="000000" w:themeColor="text1"/>
          <w:sz w:val="24"/>
          <w:szCs w:val="24"/>
        </w:rPr>
        <w:t>.</w:t>
      </w:r>
      <w:r w:rsidR="0056427D" w:rsidRPr="00B81C3D">
        <w:rPr>
          <w:color w:val="000000" w:themeColor="text1"/>
          <w:sz w:val="24"/>
          <w:szCs w:val="24"/>
        </w:rPr>
        <w:t>)</w:t>
      </w:r>
      <w:r w:rsidR="00D16241" w:rsidRPr="00B81C3D">
        <w:rPr>
          <w:color w:val="000000" w:themeColor="text1"/>
          <w:sz w:val="24"/>
          <w:szCs w:val="24"/>
        </w:rPr>
        <w:t>.</w:t>
      </w:r>
    </w:p>
  </w:footnote>
  <w:footnote w:id="69">
    <w:p w14:paraId="55DC6CD1" w14:textId="57FA0E45"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56427D" w:rsidRPr="00B81C3D">
        <w:rPr>
          <w:color w:val="000000" w:themeColor="text1"/>
          <w:sz w:val="24"/>
          <w:szCs w:val="24"/>
        </w:rPr>
        <w:t>1966</w:t>
      </w:r>
      <w:r w:rsidR="0056427D" w:rsidRPr="00B81C3D">
        <w:rPr>
          <w:i/>
          <w:iCs/>
          <w:color w:val="000000" w:themeColor="text1"/>
          <w:sz w:val="24"/>
          <w:szCs w:val="24"/>
        </w:rPr>
        <w:t xml:space="preserve"> South West Africa,</w:t>
      </w:r>
      <w:r w:rsidR="006758A1" w:rsidRPr="00B81C3D">
        <w:rPr>
          <w:i/>
          <w:iCs/>
          <w:color w:val="000000" w:themeColor="text1"/>
          <w:sz w:val="24"/>
          <w:szCs w:val="24"/>
        </w:rPr>
        <w:t xml:space="preserve"> </w:t>
      </w:r>
      <w:r w:rsidR="006758A1" w:rsidRPr="00B81C3D">
        <w:rPr>
          <w:color w:val="000000" w:themeColor="text1"/>
          <w:sz w:val="24"/>
          <w:szCs w:val="24"/>
        </w:rPr>
        <w:t>n2,</w:t>
      </w:r>
      <w:r w:rsidR="0056427D" w:rsidRPr="00B81C3D">
        <w:rPr>
          <w:color w:val="000000" w:themeColor="text1"/>
          <w:sz w:val="24"/>
          <w:szCs w:val="24"/>
        </w:rPr>
        <w:t xml:space="preserve"> (Morelli, J., </w:t>
      </w:r>
      <w:proofErr w:type="spellStart"/>
      <w:r w:rsidR="0056427D" w:rsidRPr="00B81C3D">
        <w:rPr>
          <w:color w:val="000000" w:themeColor="text1"/>
          <w:sz w:val="24"/>
          <w:szCs w:val="24"/>
        </w:rPr>
        <w:t>diss</w:t>
      </w:r>
      <w:r w:rsidR="00D16241" w:rsidRPr="00B81C3D">
        <w:rPr>
          <w:color w:val="000000" w:themeColor="text1"/>
          <w:sz w:val="24"/>
          <w:szCs w:val="24"/>
        </w:rPr>
        <w:t>.op</w:t>
      </w:r>
      <w:proofErr w:type="spellEnd"/>
      <w:r w:rsidR="00D16241" w:rsidRPr="00B81C3D">
        <w:rPr>
          <w:color w:val="000000" w:themeColor="text1"/>
          <w:sz w:val="24"/>
          <w:szCs w:val="24"/>
        </w:rPr>
        <w:t>.</w:t>
      </w:r>
      <w:r w:rsidR="0056427D" w:rsidRPr="00B81C3D">
        <w:rPr>
          <w:color w:val="000000" w:themeColor="text1"/>
          <w:sz w:val="24"/>
          <w:szCs w:val="24"/>
        </w:rPr>
        <w:t>)</w:t>
      </w:r>
      <w:r w:rsidR="00D16241" w:rsidRPr="00B81C3D">
        <w:rPr>
          <w:color w:val="000000" w:themeColor="text1"/>
          <w:sz w:val="24"/>
          <w:szCs w:val="24"/>
        </w:rPr>
        <w:t xml:space="preserve"> </w:t>
      </w:r>
      <w:r w:rsidR="0056427D" w:rsidRPr="00B81C3D">
        <w:rPr>
          <w:sz w:val="24"/>
          <w:szCs w:val="24"/>
        </w:rPr>
        <w:t>¶</w:t>
      </w:r>
      <w:r w:rsidR="0056427D" w:rsidRPr="00B81C3D">
        <w:rPr>
          <w:sz w:val="24"/>
          <w:szCs w:val="24"/>
          <w:lang w:val="en-US"/>
        </w:rPr>
        <w:t>3.</w:t>
      </w:r>
    </w:p>
  </w:footnote>
  <w:footnote w:id="70">
    <w:p w14:paraId="04477388" w14:textId="794C2565"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D16241" w:rsidRPr="00B81C3D">
        <w:rPr>
          <w:rFonts w:eastAsiaTheme="minorHAnsi"/>
          <w:sz w:val="24"/>
          <w:szCs w:val="24"/>
          <w:lang w:val="en-US"/>
          <w14:ligatures w14:val="standardContextual"/>
        </w:rPr>
        <w:t>Nuclear Tests (Austl. v. Fr.), Judgment, 1974 I.C.J. 253</w:t>
      </w:r>
      <w:r w:rsidR="00C75971" w:rsidRPr="00B81C3D">
        <w:rPr>
          <w:rFonts w:eastAsiaTheme="minorHAnsi"/>
          <w:sz w:val="24"/>
          <w:szCs w:val="24"/>
          <w:lang w:val="en-US"/>
          <w14:ligatures w14:val="standardContextual"/>
        </w:rPr>
        <w:t>, 387</w:t>
      </w:r>
      <w:r w:rsidR="00D16241" w:rsidRPr="00B81C3D">
        <w:rPr>
          <w:rFonts w:eastAsiaTheme="minorHAnsi"/>
          <w:sz w:val="24"/>
          <w:szCs w:val="24"/>
          <w:lang w:val="en-US"/>
          <w14:ligatures w14:val="standardContextual"/>
        </w:rPr>
        <w:t xml:space="preserve"> </w:t>
      </w:r>
      <w:r w:rsidR="0056427D" w:rsidRPr="00B81C3D">
        <w:rPr>
          <w:color w:val="000000" w:themeColor="text1"/>
          <w:sz w:val="24"/>
          <w:szCs w:val="24"/>
        </w:rPr>
        <w:t xml:space="preserve">(Morelli, J., </w:t>
      </w:r>
      <w:proofErr w:type="spellStart"/>
      <w:r w:rsidR="00D16241" w:rsidRPr="00B81C3D">
        <w:rPr>
          <w:color w:val="000000" w:themeColor="text1"/>
          <w:sz w:val="24"/>
          <w:szCs w:val="24"/>
        </w:rPr>
        <w:t>diss.op</w:t>
      </w:r>
      <w:proofErr w:type="spellEnd"/>
      <w:r w:rsidR="00D16241" w:rsidRPr="00B81C3D">
        <w:rPr>
          <w:color w:val="000000" w:themeColor="text1"/>
          <w:sz w:val="24"/>
          <w:szCs w:val="24"/>
        </w:rPr>
        <w:t>.</w:t>
      </w:r>
      <w:r w:rsidR="0056427D" w:rsidRPr="00B81C3D">
        <w:rPr>
          <w:color w:val="000000" w:themeColor="text1"/>
          <w:sz w:val="24"/>
          <w:szCs w:val="24"/>
        </w:rPr>
        <w:t>)</w:t>
      </w:r>
      <w:r w:rsidR="0056427D" w:rsidRPr="00B81C3D">
        <w:rPr>
          <w:sz w:val="24"/>
          <w:szCs w:val="24"/>
        </w:rPr>
        <w:t>.</w:t>
      </w:r>
    </w:p>
  </w:footnote>
  <w:footnote w:id="71">
    <w:p w14:paraId="4427E792" w14:textId="08CAF43A"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56427D" w:rsidRPr="00B81C3D">
        <w:rPr>
          <w:sz w:val="24"/>
          <w:szCs w:val="24"/>
        </w:rPr>
        <w:t xml:space="preserve">The Gambia v. Myanmar, Preliminary Objections, Judgment, 2022 I.C.J. (Kress, J., </w:t>
      </w:r>
      <w:proofErr w:type="spellStart"/>
      <w:r w:rsidR="0056427D" w:rsidRPr="00B81C3D">
        <w:rPr>
          <w:sz w:val="24"/>
          <w:szCs w:val="24"/>
        </w:rPr>
        <w:t>diss</w:t>
      </w:r>
      <w:r w:rsidR="00BA0EE0" w:rsidRPr="00B81C3D">
        <w:rPr>
          <w:sz w:val="24"/>
          <w:szCs w:val="24"/>
        </w:rPr>
        <w:t>.op</w:t>
      </w:r>
      <w:proofErr w:type="spellEnd"/>
      <w:r w:rsidR="00BA0EE0" w:rsidRPr="00B81C3D">
        <w:rPr>
          <w:sz w:val="24"/>
          <w:szCs w:val="24"/>
        </w:rPr>
        <w:t>.</w:t>
      </w:r>
      <w:r w:rsidR="0056427D" w:rsidRPr="00B81C3D">
        <w:rPr>
          <w:sz w:val="24"/>
          <w:szCs w:val="24"/>
        </w:rPr>
        <w:t>), ¶</w:t>
      </w:r>
      <w:r w:rsidR="0056427D" w:rsidRPr="00B81C3D">
        <w:rPr>
          <w:sz w:val="24"/>
          <w:szCs w:val="24"/>
          <w:lang w:val="en-US"/>
        </w:rPr>
        <w:t>32.</w:t>
      </w:r>
    </w:p>
  </w:footnote>
  <w:footnote w:id="72">
    <w:p w14:paraId="49EBAA99" w14:textId="775FC62C" w:rsidR="006578A7" w:rsidRPr="00B81C3D" w:rsidRDefault="006578A7" w:rsidP="00C75971">
      <w:pPr>
        <w:pStyle w:val="FootnoteText"/>
        <w:spacing w:afterLines="30" w:after="72"/>
        <w:ind w:left="567" w:hanging="567"/>
        <w:rPr>
          <w:smallCaps/>
          <w:color w:val="000000" w:themeColor="text1"/>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r w:rsidR="0056427D" w:rsidRPr="00B81C3D">
        <w:rPr>
          <w:color w:val="000000" w:themeColor="text1"/>
          <w:sz w:val="24"/>
          <w:szCs w:val="24"/>
        </w:rPr>
        <w:t>Hampson,</w:t>
      </w:r>
      <w:r w:rsidR="009B0DE6" w:rsidRPr="00B81C3D">
        <w:rPr>
          <w:color w:val="000000" w:themeColor="text1"/>
          <w:sz w:val="24"/>
          <w:szCs w:val="24"/>
        </w:rPr>
        <w:t xml:space="preserve"> </w:t>
      </w:r>
      <w:r w:rsidR="0056427D" w:rsidRPr="00B81C3D">
        <w:rPr>
          <w:i/>
          <w:iCs/>
          <w:color w:val="000000" w:themeColor="text1"/>
          <w:sz w:val="24"/>
          <w:szCs w:val="24"/>
        </w:rPr>
        <w:t xml:space="preserve">Inaccessible apexes: Comparing access to regional human rights courts and commissions in Europe, Americas, and Africa, </w:t>
      </w:r>
      <w:r w:rsidR="0056427D" w:rsidRPr="00B81C3D">
        <w:rPr>
          <w:smallCaps/>
          <w:color w:val="000000" w:themeColor="text1"/>
          <w:sz w:val="24"/>
          <w:szCs w:val="24"/>
        </w:rPr>
        <w:t>61 Int’l J. Const. L. 1, 180-182</w:t>
      </w:r>
      <w:r w:rsidR="0056427D" w:rsidRPr="00B81C3D">
        <w:rPr>
          <w:color w:val="000000"/>
          <w:sz w:val="24"/>
          <w:szCs w:val="24"/>
        </w:rPr>
        <w:t>.</w:t>
      </w:r>
    </w:p>
  </w:footnote>
  <w:footnote w:id="73">
    <w:p w14:paraId="70FC9243" w14:textId="0B6DBE2C"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E.W. v. The Netherlands (communications no. 429/1990), U</w:t>
      </w:r>
      <w:r w:rsidR="00C75971" w:rsidRPr="00B81C3D">
        <w:rPr>
          <w:sz w:val="24"/>
          <w:szCs w:val="24"/>
        </w:rPr>
        <w:t>.</w:t>
      </w:r>
      <w:r w:rsidRPr="00B81C3D">
        <w:rPr>
          <w:sz w:val="24"/>
          <w:szCs w:val="24"/>
        </w:rPr>
        <w:t>N</w:t>
      </w:r>
      <w:r w:rsidR="00C75971" w:rsidRPr="00B81C3D">
        <w:rPr>
          <w:sz w:val="24"/>
          <w:szCs w:val="24"/>
        </w:rPr>
        <w:t>.</w:t>
      </w:r>
      <w:r w:rsidRPr="00B81C3D">
        <w:rPr>
          <w:sz w:val="24"/>
          <w:szCs w:val="24"/>
        </w:rPr>
        <w:t>Doc</w:t>
      </w:r>
      <w:r w:rsidR="00C75971" w:rsidRPr="00B81C3D">
        <w:rPr>
          <w:sz w:val="24"/>
          <w:szCs w:val="24"/>
        </w:rPr>
        <w:t>.</w:t>
      </w:r>
      <w:r w:rsidRPr="00B81C3D">
        <w:rPr>
          <w:sz w:val="24"/>
          <w:szCs w:val="24"/>
        </w:rPr>
        <w:t xml:space="preserve"> CCPR/C/45/D/429/1990</w:t>
      </w:r>
      <w:r w:rsidR="00094F0C" w:rsidRPr="00B81C3D">
        <w:rPr>
          <w:sz w:val="24"/>
          <w:szCs w:val="24"/>
        </w:rPr>
        <w:t>.</w:t>
      </w:r>
    </w:p>
  </w:footnote>
  <w:footnote w:id="74">
    <w:p w14:paraId="2483F6A6" w14:textId="6158757A" w:rsidR="006578A7" w:rsidRPr="00B81C3D" w:rsidRDefault="006578A7"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D96841" w:rsidRPr="00B81C3D">
        <w:rPr>
          <w:sz w:val="24"/>
          <w:szCs w:val="24"/>
        </w:rPr>
        <w:t>Revised Report on Individual Access to Constitutional Justice, European Commission for Democracy through Law (Venice Commission) Opinion No. 1004/3030</w:t>
      </w:r>
      <w:r w:rsidR="00C75971" w:rsidRPr="00B81C3D">
        <w:rPr>
          <w:sz w:val="24"/>
          <w:szCs w:val="24"/>
        </w:rPr>
        <w:t>,</w:t>
      </w:r>
      <w:r w:rsidR="00D96841" w:rsidRPr="00B81C3D">
        <w:rPr>
          <w:sz w:val="24"/>
          <w:szCs w:val="24"/>
        </w:rPr>
        <w:t xml:space="preserve"> ¶</w:t>
      </w:r>
      <w:r w:rsidR="00D96841" w:rsidRPr="00B81C3D">
        <w:rPr>
          <w:sz w:val="24"/>
          <w:szCs w:val="24"/>
          <w:lang w:val="en-US"/>
        </w:rPr>
        <w:t>40</w:t>
      </w:r>
      <w:r w:rsidR="00C75971" w:rsidRPr="00B81C3D">
        <w:rPr>
          <w:sz w:val="24"/>
          <w:szCs w:val="24"/>
        </w:rPr>
        <w:t>(2021)</w:t>
      </w:r>
      <w:r w:rsidR="00D96841" w:rsidRPr="00B81C3D">
        <w:rPr>
          <w:sz w:val="24"/>
          <w:szCs w:val="24"/>
          <w:lang w:val="en-US"/>
        </w:rPr>
        <w:t>.</w:t>
      </w:r>
    </w:p>
  </w:footnote>
  <w:footnote w:id="75">
    <w:p w14:paraId="7599FDC4" w14:textId="3336B1C9" w:rsidR="006578A7" w:rsidRPr="00B81C3D" w:rsidRDefault="006578A7" w:rsidP="00C75971">
      <w:pPr>
        <w:pStyle w:val="FootnoteText"/>
        <w:spacing w:afterLines="30" w:after="72"/>
        <w:ind w:left="567" w:hanging="567"/>
        <w:rPr>
          <w:smallCaps/>
          <w:color w:val="000000" w:themeColor="text1"/>
          <w:sz w:val="24"/>
          <w:szCs w:val="24"/>
        </w:rPr>
      </w:pPr>
      <w:r w:rsidRPr="00B81C3D">
        <w:rPr>
          <w:rStyle w:val="FootnoteReference"/>
          <w:sz w:val="24"/>
          <w:szCs w:val="24"/>
        </w:rPr>
        <w:footnoteRef/>
      </w:r>
      <w:r w:rsidRPr="00B81C3D">
        <w:rPr>
          <w:sz w:val="24"/>
          <w:szCs w:val="24"/>
        </w:rPr>
        <w:t xml:space="preserve"> </w:t>
      </w:r>
      <w:r w:rsidR="00A86A88" w:rsidRPr="00B81C3D">
        <w:rPr>
          <w:smallCaps/>
          <w:color w:val="000000" w:themeColor="text1"/>
          <w:sz w:val="24"/>
          <w:szCs w:val="24"/>
        </w:rPr>
        <w:t>Ahmadov</w:t>
      </w:r>
      <w:r w:rsidR="00A86A88" w:rsidRPr="00B81C3D">
        <w:rPr>
          <w:color w:val="000000" w:themeColor="text1"/>
          <w:sz w:val="24"/>
          <w:szCs w:val="24"/>
        </w:rPr>
        <w:t>,</w:t>
      </w:r>
      <w:r w:rsidR="00027BCA" w:rsidRPr="00B81C3D">
        <w:rPr>
          <w:color w:val="000000" w:themeColor="text1"/>
          <w:sz w:val="24"/>
          <w:szCs w:val="24"/>
        </w:rPr>
        <w:t xml:space="preserve"> n</w:t>
      </w:r>
      <w:r w:rsidR="005F4267" w:rsidRPr="00B81C3D">
        <w:rPr>
          <w:color w:val="000000" w:themeColor="text1"/>
          <w:sz w:val="24"/>
          <w:szCs w:val="24"/>
        </w:rPr>
        <w:fldChar w:fldCharType="begin"/>
      </w:r>
      <w:r w:rsidR="005F4267" w:rsidRPr="00B81C3D">
        <w:rPr>
          <w:color w:val="000000" w:themeColor="text1"/>
          <w:sz w:val="24"/>
          <w:szCs w:val="24"/>
        </w:rPr>
        <w:instrText xml:space="preserve"> NOTEREF _Ref156018941 \h  \* MERGEFORMAT </w:instrText>
      </w:r>
      <w:r w:rsidR="005F4267" w:rsidRPr="00B81C3D">
        <w:rPr>
          <w:color w:val="000000" w:themeColor="text1"/>
          <w:sz w:val="24"/>
          <w:szCs w:val="24"/>
        </w:rPr>
      </w:r>
      <w:r w:rsidR="005F4267" w:rsidRPr="00B81C3D">
        <w:rPr>
          <w:color w:val="000000" w:themeColor="text1"/>
          <w:sz w:val="24"/>
          <w:szCs w:val="24"/>
        </w:rPr>
        <w:fldChar w:fldCharType="separate"/>
      </w:r>
      <w:r w:rsidR="005F4267" w:rsidRPr="00B81C3D">
        <w:rPr>
          <w:color w:val="000000" w:themeColor="text1"/>
          <w:sz w:val="24"/>
          <w:szCs w:val="24"/>
        </w:rPr>
        <w:t>57</w:t>
      </w:r>
      <w:r w:rsidR="005F4267" w:rsidRPr="00B81C3D">
        <w:rPr>
          <w:color w:val="000000" w:themeColor="text1"/>
          <w:sz w:val="24"/>
          <w:szCs w:val="24"/>
        </w:rPr>
        <w:fldChar w:fldCharType="end"/>
      </w:r>
      <w:r w:rsidR="00027BCA" w:rsidRPr="00B81C3D">
        <w:rPr>
          <w:color w:val="000000" w:themeColor="text1"/>
          <w:sz w:val="24"/>
          <w:szCs w:val="24"/>
        </w:rPr>
        <w:t>,</w:t>
      </w:r>
      <w:r w:rsidR="00D96841" w:rsidRPr="00B81C3D">
        <w:rPr>
          <w:color w:val="000000" w:themeColor="text1"/>
          <w:sz w:val="24"/>
          <w:szCs w:val="24"/>
        </w:rPr>
        <w:t xml:space="preserve"> </w:t>
      </w:r>
      <w:r w:rsidR="00A86A88" w:rsidRPr="00B81C3D">
        <w:rPr>
          <w:color w:val="000000" w:themeColor="text1"/>
          <w:sz w:val="24"/>
          <w:szCs w:val="24"/>
        </w:rPr>
        <w:t>2.</w:t>
      </w:r>
    </w:p>
  </w:footnote>
  <w:footnote w:id="76">
    <w:p w14:paraId="2FA942A3" w14:textId="77777777" w:rsidR="006578A7" w:rsidRPr="00B81C3D" w:rsidRDefault="006578A7"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i/>
          <w:iCs/>
          <w:sz w:val="24"/>
          <w:szCs w:val="24"/>
          <w:lang w:val="en-US"/>
        </w:rPr>
        <w:t xml:space="preserve">Supra </w:t>
      </w:r>
      <w:r w:rsidRPr="00B81C3D">
        <w:rPr>
          <w:b/>
          <w:bCs/>
          <w:sz w:val="24"/>
          <w:szCs w:val="24"/>
          <w:lang w:val="en-US"/>
        </w:rPr>
        <w:t>Parts I.A.2.a &amp; I.A.2.b</w:t>
      </w:r>
      <w:r w:rsidRPr="00B81C3D">
        <w:rPr>
          <w:sz w:val="24"/>
          <w:szCs w:val="24"/>
          <w:lang w:val="en-US"/>
        </w:rPr>
        <w:t>.</w:t>
      </w:r>
    </w:p>
  </w:footnote>
  <w:footnote w:id="77">
    <w:p w14:paraId="5F43231D" w14:textId="0827484E" w:rsidR="006758A1" w:rsidRPr="00B81C3D" w:rsidRDefault="006578A7" w:rsidP="006758A1">
      <w:pPr>
        <w:pStyle w:val="NoSpacing"/>
        <w:spacing w:after="0"/>
        <w:jc w:val="left"/>
        <w:rPr>
          <w:rStyle w:val="normaltextrun"/>
          <w:color w:val="000000"/>
          <w:sz w:val="24"/>
          <w:szCs w:val="24"/>
          <w:shd w:val="clear" w:color="auto" w:fill="FFFFFF"/>
        </w:rPr>
      </w:pPr>
      <w:r w:rsidRPr="00B81C3D">
        <w:rPr>
          <w:rStyle w:val="FootnoteReference"/>
          <w:sz w:val="24"/>
          <w:szCs w:val="24"/>
        </w:rPr>
        <w:footnoteRef/>
      </w:r>
      <w:r w:rsidRPr="00B81C3D">
        <w:rPr>
          <w:sz w:val="24"/>
          <w:szCs w:val="24"/>
        </w:rPr>
        <w:t xml:space="preserve"> </w:t>
      </w:r>
      <w:r w:rsidR="006758A1" w:rsidRPr="00B81C3D">
        <w:rPr>
          <w:rStyle w:val="normaltextrun"/>
          <w:color w:val="000000"/>
          <w:sz w:val="24"/>
          <w:szCs w:val="24"/>
          <w:shd w:val="clear" w:color="auto" w:fill="FFFFFF"/>
        </w:rPr>
        <w:t>International Law Commission, </w:t>
      </w:r>
      <w:r w:rsidR="006758A1" w:rsidRPr="00B81C3D">
        <w:rPr>
          <w:rStyle w:val="normaltextrun"/>
          <w:i/>
          <w:iCs/>
          <w:color w:val="000000"/>
          <w:sz w:val="24"/>
          <w:szCs w:val="24"/>
          <w:shd w:val="clear" w:color="auto" w:fill="FFFFFF"/>
        </w:rPr>
        <w:t>Draft Articles on Diplomatic Protection with Commentaries</w:t>
      </w:r>
      <w:r w:rsidR="006758A1" w:rsidRPr="00B81C3D">
        <w:rPr>
          <w:rStyle w:val="normaltextrun"/>
          <w:color w:val="000000"/>
          <w:sz w:val="24"/>
          <w:szCs w:val="24"/>
          <w:shd w:val="clear" w:color="auto" w:fill="FFFFFF"/>
        </w:rPr>
        <w:t>, Y.B. </w:t>
      </w:r>
      <w:r w:rsidR="006758A1" w:rsidRPr="00B81C3D">
        <w:rPr>
          <w:rStyle w:val="normaltextrun"/>
          <w:smallCaps/>
          <w:color w:val="000000"/>
          <w:sz w:val="24"/>
          <w:szCs w:val="24"/>
          <w:shd w:val="clear" w:color="auto" w:fill="FFFFFF"/>
        </w:rPr>
        <w:t>Int’l L. Comm’n</w:t>
      </w:r>
      <w:r w:rsidR="006758A1" w:rsidRPr="00B81C3D">
        <w:rPr>
          <w:rStyle w:val="normaltextrun"/>
          <w:color w:val="000000"/>
          <w:sz w:val="24"/>
          <w:szCs w:val="24"/>
          <w:shd w:val="clear" w:color="auto" w:fill="FFFFFF"/>
        </w:rPr>
        <w:t> Vol. II, Part 2, art. 2, U.N. Doc. A/61/10 (2006) [“</w:t>
      </w:r>
      <w:r w:rsidR="006758A1" w:rsidRPr="00B81C3D">
        <w:rPr>
          <w:rStyle w:val="normaltextrun"/>
          <w:b/>
          <w:bCs/>
          <w:color w:val="000000"/>
          <w:sz w:val="24"/>
          <w:szCs w:val="24"/>
          <w:shd w:val="clear" w:color="auto" w:fill="FFFFFF"/>
        </w:rPr>
        <w:t>Draft Articles on Diplomatic Protection</w:t>
      </w:r>
      <w:r w:rsidR="006758A1" w:rsidRPr="00B81C3D">
        <w:rPr>
          <w:rStyle w:val="normaltextrun"/>
          <w:color w:val="000000"/>
          <w:sz w:val="24"/>
          <w:szCs w:val="24"/>
          <w:shd w:val="clear" w:color="auto" w:fill="FFFFFF"/>
        </w:rPr>
        <w:t xml:space="preserve">”]. </w:t>
      </w:r>
    </w:p>
    <w:p w14:paraId="28497C31" w14:textId="354886D7" w:rsidR="006578A7" w:rsidRPr="00B81C3D" w:rsidRDefault="006578A7" w:rsidP="006758A1">
      <w:pPr>
        <w:pStyle w:val="FootnoteText"/>
        <w:spacing w:afterLines="30" w:after="72"/>
        <w:rPr>
          <w:sz w:val="24"/>
          <w:szCs w:val="24"/>
          <w:lang w:val="en-US"/>
        </w:rPr>
      </w:pPr>
    </w:p>
  </w:footnote>
  <w:footnote w:id="78">
    <w:p w14:paraId="262E3D7E" w14:textId="57B903EB" w:rsidR="006578A7" w:rsidRPr="00B81C3D" w:rsidRDefault="006578A7" w:rsidP="00A9717C">
      <w:pPr>
        <w:autoSpaceDE w:val="0"/>
        <w:autoSpaceDN w:val="0"/>
        <w:adjustRightInd w:val="0"/>
        <w:spacing w:afterLines="30" w:after="72" w:line="240" w:lineRule="auto"/>
        <w:ind w:left="567" w:hanging="567"/>
        <w:rPr>
          <w:lang w:val="en-US"/>
        </w:rPr>
      </w:pPr>
      <w:r w:rsidRPr="00B81C3D">
        <w:rPr>
          <w:rStyle w:val="FootnoteReference"/>
          <w:color w:val="000000" w:themeColor="text1"/>
        </w:rPr>
        <w:footnoteRef/>
      </w:r>
      <w:r w:rsidR="00E76012" w:rsidRPr="00B81C3D">
        <w:rPr>
          <w:color w:val="000000" w:themeColor="text1"/>
        </w:rPr>
        <w:t xml:space="preserve"> </w:t>
      </w:r>
      <w:r w:rsidR="004A1E3A" w:rsidRPr="00B81C3D">
        <w:rPr>
          <w:color w:val="000000" w:themeColor="text1"/>
        </w:rPr>
        <w:t>Draft Articles on Diplomatic Protection</w:t>
      </w:r>
      <w:r w:rsidR="004A1E3A" w:rsidRPr="00B81C3D">
        <w:rPr>
          <w:i/>
          <w:iCs/>
          <w:color w:val="000000" w:themeColor="text1"/>
        </w:rPr>
        <w:t>,</w:t>
      </w:r>
      <w:r w:rsidR="00E76012" w:rsidRPr="00B81C3D">
        <w:rPr>
          <w:color w:val="000000" w:themeColor="text1"/>
        </w:rPr>
        <w:t xml:space="preserve"> </w:t>
      </w:r>
      <w:r w:rsidR="006758A1" w:rsidRPr="00B81C3D">
        <w:rPr>
          <w:color w:val="000000" w:themeColor="text1"/>
        </w:rPr>
        <w:t xml:space="preserve">n76, </w:t>
      </w:r>
      <w:r w:rsidR="00E76012" w:rsidRPr="00B81C3D">
        <w:rPr>
          <w:color w:val="000000" w:themeColor="text1"/>
        </w:rPr>
        <w:t>art. 8,</w:t>
      </w:r>
      <w:r w:rsidR="00E76012" w:rsidRPr="00B81C3D">
        <w:rPr>
          <w:lang w:val="en-US"/>
        </w:rPr>
        <w:t>¶</w:t>
      </w:r>
      <w:r w:rsidR="00E76012" w:rsidRPr="00B81C3D">
        <w:t>3</w:t>
      </w:r>
      <w:r w:rsidR="00E76012" w:rsidRPr="00B81C3D">
        <w:rPr>
          <w:color w:val="000000" w:themeColor="text1"/>
        </w:rPr>
        <w:t xml:space="preserve">; </w:t>
      </w:r>
      <w:r w:rsidR="00E76012" w:rsidRPr="00B81C3D">
        <w:rPr>
          <w:i/>
          <w:iCs/>
        </w:rPr>
        <w:t xml:space="preserve">Al </w:t>
      </w:r>
      <w:proofErr w:type="spellStart"/>
      <w:r w:rsidR="00E76012" w:rsidRPr="00B81C3D">
        <w:rPr>
          <w:i/>
          <w:iCs/>
        </w:rPr>
        <w:t>Rawi</w:t>
      </w:r>
      <w:proofErr w:type="spellEnd"/>
      <w:r w:rsidR="00E76012" w:rsidRPr="00B81C3D">
        <w:rPr>
          <w:i/>
          <w:iCs/>
        </w:rPr>
        <w:t xml:space="preserve"> &amp; Others v. Secretary of State for Foreign Affairs &amp; Another, </w:t>
      </w:r>
      <w:r w:rsidR="00E76012" w:rsidRPr="00B81C3D">
        <w:t>[2006] EWHC 972.</w:t>
      </w:r>
    </w:p>
  </w:footnote>
  <w:footnote w:id="79">
    <w:p w14:paraId="56F9CE82" w14:textId="6AF94C29" w:rsidR="006578A7" w:rsidRPr="00B81C3D" w:rsidRDefault="006578A7" w:rsidP="00C75971">
      <w:pPr>
        <w:pStyle w:val="FootnoteText"/>
        <w:spacing w:afterLines="30" w:after="72"/>
        <w:ind w:left="567" w:hanging="567"/>
        <w:rPr>
          <w:color w:val="000000" w:themeColor="text1"/>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r w:rsidRPr="00B81C3D">
        <w:rPr>
          <w:color w:val="000000" w:themeColor="text1"/>
          <w:sz w:val="24"/>
          <w:szCs w:val="24"/>
        </w:rPr>
        <w:t>Draft Articles on Diplomatic Protection</w:t>
      </w:r>
      <w:r w:rsidR="006758A1" w:rsidRPr="00B81C3D">
        <w:rPr>
          <w:color w:val="000000" w:themeColor="text1"/>
          <w:sz w:val="24"/>
          <w:szCs w:val="24"/>
        </w:rPr>
        <w:t xml:space="preserve">, </w:t>
      </w:r>
      <w:r w:rsidRPr="00B81C3D">
        <w:rPr>
          <w:color w:val="000000" w:themeColor="text1"/>
          <w:sz w:val="24"/>
          <w:szCs w:val="24"/>
        </w:rPr>
        <w:t>art. 8,</w:t>
      </w:r>
      <w:r w:rsidRPr="00B81C3D">
        <w:rPr>
          <w:color w:val="000000" w:themeColor="text1"/>
          <w:sz w:val="24"/>
          <w:szCs w:val="24"/>
          <w:lang w:val="en-US"/>
        </w:rPr>
        <w:t>¶</w:t>
      </w:r>
      <w:r w:rsidRPr="00B81C3D">
        <w:rPr>
          <w:color w:val="000000" w:themeColor="text1"/>
          <w:sz w:val="24"/>
          <w:szCs w:val="24"/>
        </w:rPr>
        <w:t>4</w:t>
      </w:r>
      <w:r w:rsidR="005F4267" w:rsidRPr="00B81C3D">
        <w:rPr>
          <w:color w:val="000000" w:themeColor="text1"/>
          <w:sz w:val="24"/>
          <w:szCs w:val="24"/>
        </w:rPr>
        <w:t>.</w:t>
      </w:r>
    </w:p>
  </w:footnote>
  <w:footnote w:id="80">
    <w:p w14:paraId="487432DC" w14:textId="31E8E3D4" w:rsidR="006578A7" w:rsidRPr="00B81C3D" w:rsidRDefault="006578A7" w:rsidP="00C75971">
      <w:pPr>
        <w:pStyle w:val="FootnoteText"/>
        <w:spacing w:afterLines="30" w:after="72"/>
        <w:ind w:left="567" w:hanging="567"/>
        <w:rPr>
          <w:color w:val="000000" w:themeColor="text1"/>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r w:rsidR="00094F0C" w:rsidRPr="00B81C3D">
        <w:rPr>
          <w:i/>
          <w:iCs/>
          <w:color w:val="000000" w:themeColor="text1"/>
          <w:sz w:val="24"/>
          <w:szCs w:val="24"/>
        </w:rPr>
        <w:t>Id.</w:t>
      </w:r>
      <w:r w:rsidR="006758A1" w:rsidRPr="00B81C3D">
        <w:rPr>
          <w:i/>
          <w:iCs/>
          <w:color w:val="000000" w:themeColor="text1"/>
          <w:sz w:val="24"/>
          <w:szCs w:val="24"/>
        </w:rPr>
        <w:t>,</w:t>
      </w:r>
      <w:r w:rsidR="00094F0C" w:rsidRPr="00B81C3D">
        <w:rPr>
          <w:i/>
          <w:iCs/>
          <w:color w:val="000000" w:themeColor="text1"/>
          <w:sz w:val="24"/>
          <w:szCs w:val="24"/>
        </w:rPr>
        <w:t xml:space="preserve"> </w:t>
      </w:r>
      <w:r w:rsidR="00E76012" w:rsidRPr="00B81C3D">
        <w:rPr>
          <w:sz w:val="24"/>
          <w:szCs w:val="24"/>
          <w:lang w:val="en-US"/>
        </w:rPr>
        <w:t>¶</w:t>
      </w:r>
      <w:r w:rsidR="00E76012" w:rsidRPr="00B81C3D">
        <w:rPr>
          <w:sz w:val="24"/>
          <w:szCs w:val="24"/>
        </w:rPr>
        <w:t>1.</w:t>
      </w:r>
    </w:p>
  </w:footnote>
  <w:footnote w:id="81">
    <w:p w14:paraId="566595F2" w14:textId="19062867" w:rsidR="007428CC" w:rsidRPr="00B81C3D" w:rsidRDefault="007428CC"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4C04D8" w:rsidRPr="00B81C3D">
        <w:rPr>
          <w:sz w:val="24"/>
          <w:szCs w:val="24"/>
        </w:rPr>
        <w:t>Nationality Decrees Issued in Tunis and Morocco, Advisory Opinion, 1923 P.C.I.J. B04, 24. [“</w:t>
      </w:r>
      <w:r w:rsidR="004C04D8" w:rsidRPr="00B81C3D">
        <w:rPr>
          <w:b/>
          <w:bCs/>
          <w:i/>
          <w:iCs/>
          <w:sz w:val="24"/>
          <w:szCs w:val="24"/>
        </w:rPr>
        <w:t>Nationality Decrees</w:t>
      </w:r>
      <w:r w:rsidR="004C04D8" w:rsidRPr="00B81C3D">
        <w:rPr>
          <w:i/>
          <w:iCs/>
          <w:sz w:val="24"/>
          <w:szCs w:val="24"/>
        </w:rPr>
        <w:t>”</w:t>
      </w:r>
      <w:r w:rsidR="004C04D8" w:rsidRPr="00B81C3D">
        <w:rPr>
          <w:sz w:val="24"/>
          <w:szCs w:val="24"/>
        </w:rPr>
        <w:t>]</w:t>
      </w:r>
      <w:r w:rsidRPr="00B81C3D">
        <w:rPr>
          <w:sz w:val="24"/>
          <w:szCs w:val="24"/>
        </w:rPr>
        <w:t xml:space="preserve">. </w:t>
      </w:r>
    </w:p>
  </w:footnote>
  <w:footnote w:id="82">
    <w:p w14:paraId="1236444D" w14:textId="4E9F5535" w:rsidR="007428CC" w:rsidRPr="00B81C3D" w:rsidRDefault="007428CC"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4C04D8" w:rsidRPr="00B81C3D">
        <w:rPr>
          <w:color w:val="000000" w:themeColor="text1"/>
          <w:sz w:val="24"/>
          <w:szCs w:val="24"/>
        </w:rPr>
        <w:t>Fehé</w:t>
      </w:r>
      <w:r w:rsidR="001A475D" w:rsidRPr="00B81C3D">
        <w:rPr>
          <w:color w:val="000000" w:themeColor="text1"/>
          <w:sz w:val="24"/>
          <w:szCs w:val="24"/>
        </w:rPr>
        <w:t>r</w:t>
      </w:r>
      <w:proofErr w:type="spellEnd"/>
      <w:r w:rsidR="004C04D8" w:rsidRPr="00B81C3D">
        <w:rPr>
          <w:color w:val="000000" w:themeColor="text1"/>
          <w:sz w:val="24"/>
          <w:szCs w:val="24"/>
        </w:rPr>
        <w:t xml:space="preserve"> v. Slovakia, Judgment, Application No. 14927/12 and 30415/12, ECHR, </w:t>
      </w:r>
      <w:r w:rsidR="004C04D8" w:rsidRPr="00B81C3D">
        <w:rPr>
          <w:color w:val="000000"/>
          <w:sz w:val="24"/>
          <w:szCs w:val="24"/>
          <w:shd w:val="clear" w:color="auto" w:fill="FFFFFF"/>
        </w:rPr>
        <w:t>¶41 (2013).</w:t>
      </w:r>
    </w:p>
  </w:footnote>
  <w:footnote w:id="83">
    <w:p w14:paraId="46E6FA37" w14:textId="62EBBD13" w:rsidR="007428CC" w:rsidRPr="00B81C3D" w:rsidRDefault="007428CC"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4C04D8" w:rsidRPr="00B81C3D">
        <w:rPr>
          <w:sz w:val="24"/>
          <w:szCs w:val="24"/>
        </w:rPr>
        <w:t xml:space="preserve">Yean and </w:t>
      </w:r>
      <w:proofErr w:type="spellStart"/>
      <w:r w:rsidR="004C04D8" w:rsidRPr="00B81C3D">
        <w:rPr>
          <w:sz w:val="24"/>
          <w:szCs w:val="24"/>
        </w:rPr>
        <w:t>Bosico</w:t>
      </w:r>
      <w:proofErr w:type="spellEnd"/>
      <w:r w:rsidR="004C04D8" w:rsidRPr="00B81C3D">
        <w:rPr>
          <w:sz w:val="24"/>
          <w:szCs w:val="24"/>
        </w:rPr>
        <w:t xml:space="preserve"> Children v. The Dominican Republic, Judgment, </w:t>
      </w:r>
      <w:proofErr w:type="spellStart"/>
      <w:r w:rsidR="004C04D8" w:rsidRPr="00B81C3D">
        <w:rPr>
          <w:sz w:val="24"/>
          <w:szCs w:val="24"/>
        </w:rPr>
        <w:t>IACrtHR</w:t>
      </w:r>
      <w:proofErr w:type="spellEnd"/>
      <w:r w:rsidR="004C04D8" w:rsidRPr="00B81C3D">
        <w:rPr>
          <w:sz w:val="24"/>
          <w:szCs w:val="24"/>
        </w:rPr>
        <w:t>, ¶140 (2005)</w:t>
      </w:r>
      <w:r w:rsidR="00CC2575" w:rsidRPr="00B81C3D">
        <w:rPr>
          <w:sz w:val="24"/>
          <w:szCs w:val="24"/>
        </w:rPr>
        <w:t>.</w:t>
      </w:r>
    </w:p>
  </w:footnote>
  <w:footnote w:id="84">
    <w:p w14:paraId="6836016B" w14:textId="24D10B2D" w:rsidR="007864F9" w:rsidRPr="00B81C3D" w:rsidRDefault="007864F9" w:rsidP="000E4258">
      <w:pPr>
        <w:pStyle w:val="FootnoteText"/>
        <w:spacing w:after="0"/>
        <w:rPr>
          <w:sz w:val="24"/>
          <w:szCs w:val="24"/>
          <w:lang w:val="en-US"/>
        </w:rPr>
      </w:pPr>
      <w:r w:rsidRPr="00B81C3D">
        <w:rPr>
          <w:rStyle w:val="FootnoteReference"/>
          <w:sz w:val="24"/>
          <w:szCs w:val="24"/>
        </w:rPr>
        <w:footnoteRef/>
      </w:r>
      <w:r w:rsidRPr="00B81C3D">
        <w:rPr>
          <w:sz w:val="24"/>
          <w:szCs w:val="24"/>
        </w:rPr>
        <w:t xml:space="preserve"> </w:t>
      </w:r>
      <w:r w:rsidRPr="00B81C3D">
        <w:rPr>
          <w:rFonts w:eastAsiaTheme="minorHAnsi"/>
          <w:sz w:val="24"/>
          <w:szCs w:val="24"/>
          <w:lang w:val="en-US"/>
          <w14:ligatures w14:val="standardContextual"/>
        </w:rPr>
        <w:t>1961 Convention on the Reduction of Statelessness, art.8(3), 989 U.N.T.S 175.</w:t>
      </w:r>
    </w:p>
  </w:footnote>
  <w:footnote w:id="85">
    <w:p w14:paraId="2619EB52" w14:textId="7DFE9723"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w:t>
      </w:r>
      <w:r w:rsidR="00895392" w:rsidRPr="00B81C3D">
        <w:rPr>
          <w:i/>
          <w:iCs/>
          <w:sz w:val="24"/>
          <w:szCs w:val="24"/>
          <w:lang w:val="en-US"/>
        </w:rPr>
        <w:t>r</w:t>
      </w:r>
      <w:r w:rsidRPr="00B81C3D">
        <w:rPr>
          <w:i/>
          <w:iCs/>
          <w:sz w:val="24"/>
          <w:szCs w:val="24"/>
          <w:lang w:val="en-US"/>
        </w:rPr>
        <w:t>omis</w:t>
      </w:r>
      <w:proofErr w:type="spellEnd"/>
      <w:r w:rsidRPr="00B81C3D">
        <w:rPr>
          <w:sz w:val="24"/>
          <w:szCs w:val="24"/>
          <w:lang w:val="en-US"/>
        </w:rPr>
        <w:t>, ¶</w:t>
      </w:r>
      <w:r w:rsidR="00895392" w:rsidRPr="00B81C3D">
        <w:rPr>
          <w:sz w:val="24"/>
          <w:szCs w:val="24"/>
          <w:lang w:val="en-US"/>
        </w:rPr>
        <w:t>¶</w:t>
      </w:r>
      <w:r w:rsidRPr="00B81C3D">
        <w:rPr>
          <w:sz w:val="24"/>
          <w:szCs w:val="24"/>
          <w:lang w:val="en-US"/>
        </w:rPr>
        <w:t>7</w:t>
      </w:r>
      <w:r w:rsidR="004C04D8" w:rsidRPr="00B81C3D">
        <w:rPr>
          <w:sz w:val="24"/>
          <w:szCs w:val="24"/>
          <w:lang w:val="en-US"/>
        </w:rPr>
        <w:t>&amp;</w:t>
      </w:r>
      <w:r w:rsidRPr="00B81C3D">
        <w:rPr>
          <w:sz w:val="24"/>
          <w:szCs w:val="24"/>
          <w:lang w:val="en-US"/>
        </w:rPr>
        <w:t>62.</w:t>
      </w:r>
    </w:p>
  </w:footnote>
  <w:footnote w:id="86">
    <w:p w14:paraId="4B656C60" w14:textId="6DE2FDF5" w:rsidR="007428CC" w:rsidRPr="00B81C3D" w:rsidRDefault="007428CC" w:rsidP="00C75971">
      <w:pPr>
        <w:pStyle w:val="NoSpacing"/>
        <w:spacing w:afterLines="30" w:after="72"/>
        <w:ind w:left="567" w:hanging="567"/>
        <w:rPr>
          <w:color w:val="000000"/>
          <w:sz w:val="24"/>
          <w:szCs w:val="24"/>
        </w:rPr>
      </w:pPr>
      <w:r w:rsidRPr="00B81C3D">
        <w:rPr>
          <w:sz w:val="24"/>
          <w:szCs w:val="24"/>
          <w:vertAlign w:val="superscript"/>
        </w:rPr>
        <w:footnoteRef/>
      </w:r>
      <w:r w:rsidRPr="00B81C3D">
        <w:rPr>
          <w:color w:val="000000"/>
          <w:sz w:val="24"/>
          <w:szCs w:val="24"/>
        </w:rPr>
        <w:t xml:space="preserve"> </w:t>
      </w:r>
      <w:r w:rsidR="001D7974" w:rsidRPr="00B81C3D">
        <w:rPr>
          <w:sz w:val="24"/>
          <w:szCs w:val="24"/>
        </w:rPr>
        <w:t>ILC</w:t>
      </w:r>
      <w:r w:rsidR="004C04D8" w:rsidRPr="00B81C3D">
        <w:rPr>
          <w:sz w:val="24"/>
          <w:szCs w:val="24"/>
        </w:rPr>
        <w:t xml:space="preserve">, Guide to Practice on Reservations to Treaties, ¶1.3, II </w:t>
      </w:r>
      <w:r w:rsidR="004C04D8" w:rsidRPr="00B81C3D">
        <w:rPr>
          <w:smallCaps/>
          <w:sz w:val="24"/>
          <w:szCs w:val="24"/>
        </w:rPr>
        <w:t xml:space="preserve">Y.B. Int’l L. Comm’n 7, </w:t>
      </w:r>
      <w:r w:rsidR="004C04D8" w:rsidRPr="00B81C3D">
        <w:rPr>
          <w:sz w:val="24"/>
          <w:szCs w:val="24"/>
        </w:rPr>
        <w:t>U.N. Doc. A/66/10(2011).</w:t>
      </w:r>
    </w:p>
  </w:footnote>
  <w:footnote w:id="87">
    <w:p w14:paraId="0CFB7293" w14:textId="4829D154" w:rsidR="007428CC" w:rsidRPr="00B81C3D" w:rsidRDefault="007428CC" w:rsidP="00C75971">
      <w:pPr>
        <w:pStyle w:val="NoSpacing"/>
        <w:spacing w:afterLines="30" w:after="72"/>
        <w:ind w:left="567" w:hanging="567"/>
        <w:rPr>
          <w:color w:val="000000"/>
          <w:sz w:val="24"/>
          <w:szCs w:val="24"/>
        </w:rPr>
      </w:pPr>
      <w:r w:rsidRPr="00B81C3D">
        <w:rPr>
          <w:sz w:val="24"/>
          <w:szCs w:val="24"/>
          <w:vertAlign w:val="superscript"/>
        </w:rPr>
        <w:footnoteRef/>
      </w:r>
      <w:r w:rsidRPr="00B81C3D">
        <w:rPr>
          <w:color w:val="000000"/>
          <w:sz w:val="24"/>
          <w:szCs w:val="24"/>
        </w:rPr>
        <w:t xml:space="preserve"> </w:t>
      </w:r>
      <w:r w:rsidR="001A475D" w:rsidRPr="00B81C3D">
        <w:rPr>
          <w:i/>
          <w:iCs/>
          <w:sz w:val="24"/>
          <w:szCs w:val="24"/>
        </w:rPr>
        <w:t>Id</w:t>
      </w:r>
      <w:r w:rsidR="009B0DE6" w:rsidRPr="00B81C3D">
        <w:rPr>
          <w:i/>
          <w:iCs/>
          <w:sz w:val="24"/>
          <w:szCs w:val="24"/>
        </w:rPr>
        <w:t>.,</w:t>
      </w:r>
      <w:r w:rsidR="001A475D" w:rsidRPr="00B81C3D">
        <w:rPr>
          <w:i/>
          <w:iCs/>
          <w:sz w:val="24"/>
          <w:szCs w:val="24"/>
        </w:rPr>
        <w:t xml:space="preserve"> </w:t>
      </w:r>
      <w:r w:rsidR="001A475D" w:rsidRPr="00B81C3D">
        <w:rPr>
          <w:sz w:val="24"/>
          <w:szCs w:val="24"/>
        </w:rPr>
        <w:t>at</w:t>
      </w:r>
      <w:r w:rsidR="001A475D" w:rsidRPr="00B81C3D">
        <w:rPr>
          <w:i/>
          <w:iCs/>
          <w:sz w:val="24"/>
          <w:szCs w:val="24"/>
        </w:rPr>
        <w:t xml:space="preserve"> </w:t>
      </w:r>
      <w:r w:rsidR="004C04D8" w:rsidRPr="00B81C3D">
        <w:rPr>
          <w:sz w:val="24"/>
          <w:szCs w:val="24"/>
        </w:rPr>
        <w:t>¶1.2</w:t>
      </w:r>
      <w:r w:rsidR="001A475D" w:rsidRPr="00B81C3D">
        <w:rPr>
          <w:sz w:val="24"/>
          <w:szCs w:val="24"/>
        </w:rPr>
        <w:t>.</w:t>
      </w:r>
    </w:p>
  </w:footnote>
  <w:footnote w:id="88">
    <w:p w14:paraId="256720C2" w14:textId="2F6DF100" w:rsidR="007428CC" w:rsidRPr="00B81C3D" w:rsidRDefault="007428CC"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1A475D" w:rsidRPr="00B81C3D">
        <w:rPr>
          <w:i/>
          <w:iCs/>
          <w:sz w:val="24"/>
          <w:szCs w:val="24"/>
        </w:rPr>
        <w:t>Id</w:t>
      </w:r>
      <w:r w:rsidR="009B0DE6" w:rsidRPr="00B81C3D">
        <w:rPr>
          <w:i/>
          <w:iCs/>
          <w:sz w:val="24"/>
          <w:szCs w:val="24"/>
        </w:rPr>
        <w:t>.,</w:t>
      </w:r>
      <w:r w:rsidR="001A475D" w:rsidRPr="00B81C3D">
        <w:rPr>
          <w:i/>
          <w:iCs/>
          <w:sz w:val="24"/>
          <w:szCs w:val="24"/>
        </w:rPr>
        <w:t xml:space="preserve"> </w:t>
      </w:r>
      <w:r w:rsidR="001A475D" w:rsidRPr="00B81C3D">
        <w:rPr>
          <w:sz w:val="24"/>
          <w:szCs w:val="24"/>
        </w:rPr>
        <w:t xml:space="preserve">at </w:t>
      </w:r>
      <w:r w:rsidR="004C04D8" w:rsidRPr="00B81C3D">
        <w:rPr>
          <w:sz w:val="24"/>
          <w:szCs w:val="24"/>
        </w:rPr>
        <w:t>¶1.3.1</w:t>
      </w:r>
      <w:r w:rsidR="001A475D" w:rsidRPr="00B81C3D">
        <w:rPr>
          <w:sz w:val="24"/>
          <w:szCs w:val="24"/>
        </w:rPr>
        <w:t>.</w:t>
      </w:r>
    </w:p>
  </w:footnote>
  <w:footnote w:id="89">
    <w:p w14:paraId="00608487" w14:textId="6D338755"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D82900" w:rsidRPr="00B81C3D">
        <w:rPr>
          <w:rFonts w:ascii="Times" w:eastAsiaTheme="minorHAnsi" w:hAnsi="Times" w:cs="Helvetica Neue"/>
          <w:sz w:val="24"/>
          <w:szCs w:val="24"/>
          <w:lang w:val="en-US"/>
          <w14:ligatures w14:val="standardContextual"/>
        </w:rPr>
        <w:t>Vienna Convention on Law of Treaties, art. 19(b), 1155 U.N.T.S. 331.</w:t>
      </w:r>
    </w:p>
  </w:footnote>
  <w:footnote w:id="90">
    <w:p w14:paraId="11C8DE8D" w14:textId="4D20A712" w:rsidR="007428CC" w:rsidRPr="00B81C3D" w:rsidRDefault="007428CC"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4C04D8" w:rsidRPr="00B81C3D">
        <w:rPr>
          <w:sz w:val="24"/>
          <w:szCs w:val="24"/>
        </w:rPr>
        <w:t xml:space="preserve"> </w:t>
      </w:r>
      <w:r w:rsidR="009F0034" w:rsidRPr="00B81C3D">
        <w:rPr>
          <w:sz w:val="24"/>
          <w:szCs w:val="24"/>
        </w:rPr>
        <w:t>CRS</w:t>
      </w:r>
      <w:r w:rsidR="004C04D8" w:rsidRPr="00B81C3D">
        <w:rPr>
          <w:sz w:val="24"/>
          <w:szCs w:val="24"/>
        </w:rPr>
        <w:t>, Declaration of Togo, 202</w:t>
      </w:r>
      <w:r w:rsidR="00636BC5" w:rsidRPr="00B81C3D">
        <w:rPr>
          <w:sz w:val="24"/>
          <w:szCs w:val="24"/>
        </w:rPr>
        <w:t>1</w:t>
      </w:r>
      <w:r w:rsidR="004C04D8" w:rsidRPr="00B81C3D">
        <w:rPr>
          <w:sz w:val="24"/>
          <w:szCs w:val="24"/>
        </w:rPr>
        <w:t>, 989 U.N.T.S. 175.</w:t>
      </w:r>
      <w:r w:rsidR="00E351AB" w:rsidRPr="00B81C3D">
        <w:rPr>
          <w:sz w:val="24"/>
          <w:szCs w:val="24"/>
        </w:rPr>
        <w:t xml:space="preserve">; </w:t>
      </w:r>
      <w:r w:rsidR="009F0034" w:rsidRPr="00B81C3D">
        <w:rPr>
          <w:sz w:val="24"/>
          <w:szCs w:val="24"/>
        </w:rPr>
        <w:t>CRS</w:t>
      </w:r>
      <w:r w:rsidR="004C04D8" w:rsidRPr="00B81C3D">
        <w:rPr>
          <w:sz w:val="24"/>
          <w:szCs w:val="24"/>
        </w:rPr>
        <w:t>,</w:t>
      </w:r>
      <w:r w:rsidR="00E351AB" w:rsidRPr="00B81C3D">
        <w:rPr>
          <w:sz w:val="24"/>
          <w:szCs w:val="24"/>
        </w:rPr>
        <w:t xml:space="preserve"> </w:t>
      </w:r>
      <w:r w:rsidR="004C04D8" w:rsidRPr="00B81C3D">
        <w:rPr>
          <w:sz w:val="24"/>
          <w:szCs w:val="24"/>
        </w:rPr>
        <w:t>Declaration of Tunisia, 2000, 989 U.N.T.S. 175.</w:t>
      </w:r>
      <w:r w:rsidR="00E351AB" w:rsidRPr="00B81C3D">
        <w:rPr>
          <w:sz w:val="24"/>
          <w:szCs w:val="24"/>
        </w:rPr>
        <w:t>;</w:t>
      </w:r>
      <w:r w:rsidR="004C04D8" w:rsidRPr="00B81C3D">
        <w:rPr>
          <w:sz w:val="24"/>
          <w:szCs w:val="24"/>
        </w:rPr>
        <w:t xml:space="preserve"> </w:t>
      </w:r>
      <w:r w:rsidR="009F0034" w:rsidRPr="00B81C3D">
        <w:rPr>
          <w:sz w:val="24"/>
          <w:szCs w:val="24"/>
        </w:rPr>
        <w:t>CRS</w:t>
      </w:r>
      <w:r w:rsidR="004C04D8" w:rsidRPr="00B81C3D">
        <w:rPr>
          <w:sz w:val="24"/>
          <w:szCs w:val="24"/>
        </w:rPr>
        <w:t xml:space="preserve">, Declaration of </w:t>
      </w:r>
      <w:r w:rsidR="009F0034" w:rsidRPr="00B81C3D">
        <w:rPr>
          <w:sz w:val="24"/>
          <w:szCs w:val="24"/>
        </w:rPr>
        <w:t>Philippines,</w:t>
      </w:r>
      <w:r w:rsidR="004C04D8" w:rsidRPr="00B81C3D">
        <w:rPr>
          <w:sz w:val="24"/>
          <w:szCs w:val="24"/>
        </w:rPr>
        <w:t xml:space="preserve"> 2023, 989 U.N.T.S. 175.</w:t>
      </w:r>
    </w:p>
  </w:footnote>
  <w:footnote w:id="91">
    <w:p w14:paraId="620E80D8" w14:textId="77777777"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sz w:val="24"/>
          <w:szCs w:val="24"/>
          <w:lang w:val="en-US"/>
        </w:rPr>
        <w:t xml:space="preserve">, ¶7. </w:t>
      </w:r>
    </w:p>
  </w:footnote>
  <w:footnote w:id="92">
    <w:p w14:paraId="6171BA76" w14:textId="1A5F7BAD" w:rsidR="007428CC" w:rsidRPr="00B81C3D" w:rsidRDefault="007428CC" w:rsidP="000E4258">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4C04D8" w:rsidRPr="00B81C3D">
        <w:rPr>
          <w:sz w:val="24"/>
          <w:szCs w:val="24"/>
        </w:rPr>
        <w:t>Söderman</w:t>
      </w:r>
      <w:proofErr w:type="spellEnd"/>
      <w:r w:rsidR="004C04D8" w:rsidRPr="00B81C3D">
        <w:rPr>
          <w:sz w:val="24"/>
          <w:szCs w:val="24"/>
        </w:rPr>
        <w:t xml:space="preserve"> v. Sweden, Application No. 5786/08, ECHR, </w:t>
      </w:r>
      <w:r w:rsidR="001D1577" w:rsidRPr="00B81C3D">
        <w:rPr>
          <w:sz w:val="24"/>
          <w:szCs w:val="24"/>
        </w:rPr>
        <w:t>¶</w:t>
      </w:r>
      <w:r w:rsidR="004C04D8" w:rsidRPr="00B81C3D">
        <w:rPr>
          <w:sz w:val="24"/>
          <w:szCs w:val="24"/>
        </w:rPr>
        <w:t xml:space="preserve">102 (2013); </w:t>
      </w:r>
      <w:proofErr w:type="spellStart"/>
      <w:r w:rsidR="00DE6400" w:rsidRPr="00B81C3D">
        <w:rPr>
          <w:sz w:val="24"/>
          <w:szCs w:val="24"/>
        </w:rPr>
        <w:t>Şahin</w:t>
      </w:r>
      <w:proofErr w:type="spellEnd"/>
      <w:r w:rsidR="00DE6400" w:rsidRPr="00B81C3D">
        <w:rPr>
          <w:sz w:val="24"/>
          <w:szCs w:val="24"/>
        </w:rPr>
        <w:t xml:space="preserve"> v. Turkey, Application No. 13279/05, ECHR, §49 (2011)</w:t>
      </w:r>
      <w:r w:rsidR="000908DC" w:rsidRPr="00B81C3D">
        <w:rPr>
          <w:sz w:val="24"/>
          <w:szCs w:val="24"/>
        </w:rPr>
        <w:t>.</w:t>
      </w:r>
    </w:p>
  </w:footnote>
  <w:footnote w:id="93">
    <w:p w14:paraId="630B24AB" w14:textId="27122272"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DE6400" w:rsidRPr="00B81C3D">
        <w:rPr>
          <w:i/>
          <w:iCs/>
          <w:sz w:val="24"/>
          <w:szCs w:val="24"/>
        </w:rPr>
        <w:t>Şahin</w:t>
      </w:r>
      <w:proofErr w:type="spellEnd"/>
      <w:r w:rsidR="00DE6400" w:rsidRPr="00B81C3D">
        <w:rPr>
          <w:i/>
          <w:iCs/>
          <w:sz w:val="24"/>
          <w:szCs w:val="24"/>
        </w:rPr>
        <w:t xml:space="preserve"> v. Turkey</w:t>
      </w:r>
      <w:r w:rsidR="00DE6400" w:rsidRPr="00B81C3D">
        <w:rPr>
          <w:sz w:val="24"/>
          <w:szCs w:val="24"/>
        </w:rPr>
        <w:t xml:space="preserve">, </w:t>
      </w:r>
      <w:r w:rsidR="00E4367E" w:rsidRPr="00B81C3D">
        <w:rPr>
          <w:sz w:val="24"/>
          <w:szCs w:val="24"/>
        </w:rPr>
        <w:t>¶</w:t>
      </w:r>
      <w:r w:rsidR="00DE6400" w:rsidRPr="00B81C3D">
        <w:rPr>
          <w:sz w:val="24"/>
          <w:szCs w:val="24"/>
        </w:rPr>
        <w:t>49</w:t>
      </w:r>
      <w:r w:rsidR="00E462C8" w:rsidRPr="00B81C3D">
        <w:rPr>
          <w:sz w:val="24"/>
          <w:szCs w:val="24"/>
        </w:rPr>
        <w:t>.</w:t>
      </w:r>
    </w:p>
  </w:footnote>
  <w:footnote w:id="94">
    <w:p w14:paraId="3D8AB23A" w14:textId="2C631029"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DE6400" w:rsidRPr="00B81C3D">
        <w:rPr>
          <w:sz w:val="24"/>
          <w:szCs w:val="24"/>
        </w:rPr>
        <w:t xml:space="preserve">Owens and Shaw, </w:t>
      </w:r>
      <w:r w:rsidR="00DE6400" w:rsidRPr="00B81C3D">
        <w:rPr>
          <w:i/>
          <w:iCs/>
          <w:sz w:val="24"/>
          <w:szCs w:val="24"/>
        </w:rPr>
        <w:t>Soft Law and Citizenship Regimes,</w:t>
      </w:r>
      <w:r w:rsidR="00DE6400" w:rsidRPr="00B81C3D">
        <w:rPr>
          <w:sz w:val="24"/>
          <w:szCs w:val="24"/>
        </w:rPr>
        <w:t xml:space="preserve"> Research Paper Series No. 2023/02,</w:t>
      </w:r>
      <w:r w:rsidR="00DE6400" w:rsidRPr="00B81C3D">
        <w:rPr>
          <w:i/>
          <w:iCs/>
          <w:sz w:val="24"/>
          <w:szCs w:val="24"/>
        </w:rPr>
        <w:t xml:space="preserve"> </w:t>
      </w:r>
      <w:r w:rsidR="00DE6400" w:rsidRPr="00B81C3D">
        <w:rPr>
          <w:smallCaps/>
          <w:sz w:val="24"/>
          <w:szCs w:val="24"/>
        </w:rPr>
        <w:t xml:space="preserve">Univ. of Edinburg, 6 (2023). </w:t>
      </w:r>
    </w:p>
  </w:footnote>
  <w:footnote w:id="95">
    <w:p w14:paraId="3075CA9D" w14:textId="1220201B" w:rsidR="00465ECC" w:rsidRPr="00B81C3D" w:rsidRDefault="00465ECC" w:rsidP="000E4258">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G.A. Res. 50/152, ¶16; </w:t>
      </w:r>
      <w:proofErr w:type="spellStart"/>
      <w:r w:rsidRPr="00B81C3D">
        <w:rPr>
          <w:smallCaps/>
          <w:sz w:val="24"/>
          <w:szCs w:val="24"/>
        </w:rPr>
        <w:t>Assn’n</w:t>
      </w:r>
      <w:proofErr w:type="spellEnd"/>
      <w:r w:rsidRPr="00B81C3D">
        <w:rPr>
          <w:smallCaps/>
          <w:sz w:val="24"/>
          <w:szCs w:val="24"/>
        </w:rPr>
        <w:t xml:space="preserve"> of Se. Asian nations (ASEAN), </w:t>
      </w:r>
      <w:r w:rsidRPr="00B81C3D">
        <w:rPr>
          <w:sz w:val="24"/>
          <w:szCs w:val="24"/>
        </w:rPr>
        <w:t xml:space="preserve">Human Rights Declaration, </w:t>
      </w:r>
      <w:r w:rsidR="00355D5A" w:rsidRPr="00B81C3D">
        <w:rPr>
          <w:sz w:val="24"/>
          <w:szCs w:val="24"/>
        </w:rPr>
        <w:t>art. 18.,</w:t>
      </w:r>
      <w:r w:rsidR="00355D5A" w:rsidRPr="00B81C3D">
        <w:rPr>
          <w:color w:val="000000"/>
          <w:sz w:val="24"/>
          <w:szCs w:val="24"/>
        </w:rPr>
        <w:t xml:space="preserve"> </w:t>
      </w:r>
      <w:r w:rsidR="00355D5A" w:rsidRPr="00B81C3D">
        <w:rPr>
          <w:sz w:val="24"/>
          <w:szCs w:val="24"/>
        </w:rPr>
        <w:t xml:space="preserve">(2012). </w:t>
      </w:r>
    </w:p>
  </w:footnote>
  <w:footnote w:id="96">
    <w:p w14:paraId="0ED3D38C" w14:textId="4F2BAE72" w:rsidR="007428CC" w:rsidRPr="00B81C3D" w:rsidRDefault="007428CC" w:rsidP="000E4258">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DE6400" w:rsidRPr="00B81C3D">
        <w:rPr>
          <w:sz w:val="24"/>
          <w:szCs w:val="24"/>
        </w:rPr>
        <w:t>Thürer</w:t>
      </w:r>
      <w:proofErr w:type="spellEnd"/>
      <w:r w:rsidR="00DE6400" w:rsidRPr="00B81C3D">
        <w:rPr>
          <w:sz w:val="24"/>
          <w:szCs w:val="24"/>
        </w:rPr>
        <w:t xml:space="preserve">, </w:t>
      </w:r>
      <w:r w:rsidR="00DE6400" w:rsidRPr="00B81C3D">
        <w:rPr>
          <w:i/>
          <w:sz w:val="24"/>
          <w:szCs w:val="24"/>
        </w:rPr>
        <w:t xml:space="preserve">Soft Law, </w:t>
      </w:r>
      <w:r w:rsidR="00DE6400" w:rsidRPr="00B81C3D">
        <w:rPr>
          <w:sz w:val="24"/>
          <w:szCs w:val="24"/>
        </w:rPr>
        <w:t xml:space="preserve">in </w:t>
      </w:r>
      <w:r w:rsidR="00DE6400" w:rsidRPr="00B81C3D">
        <w:rPr>
          <w:smallCaps/>
          <w:sz w:val="24"/>
          <w:szCs w:val="24"/>
        </w:rPr>
        <w:t xml:space="preserve">Max Planck Encyclopedias of international law, </w:t>
      </w:r>
      <w:r w:rsidR="00DE6400" w:rsidRPr="00B81C3D">
        <w:rPr>
          <w:sz w:val="24"/>
          <w:szCs w:val="24"/>
        </w:rPr>
        <w:t>¶2</w:t>
      </w:r>
      <w:r w:rsidR="00DE6400" w:rsidRPr="00B81C3D">
        <w:rPr>
          <w:smallCaps/>
          <w:sz w:val="24"/>
          <w:szCs w:val="24"/>
        </w:rPr>
        <w:t xml:space="preserve"> (2012);</w:t>
      </w:r>
      <w:r w:rsidR="004172C2" w:rsidRPr="00B81C3D">
        <w:rPr>
          <w:smallCaps/>
          <w:sz w:val="24"/>
          <w:szCs w:val="24"/>
        </w:rPr>
        <w:t xml:space="preserve"> </w:t>
      </w:r>
      <w:proofErr w:type="spellStart"/>
      <w:r w:rsidR="00DE6400" w:rsidRPr="00B81C3D">
        <w:rPr>
          <w:sz w:val="24"/>
          <w:szCs w:val="24"/>
        </w:rPr>
        <w:t>Gammeltoft</w:t>
      </w:r>
      <w:proofErr w:type="spellEnd"/>
      <w:r w:rsidR="00DE6400" w:rsidRPr="00B81C3D">
        <w:rPr>
          <w:sz w:val="24"/>
          <w:szCs w:val="24"/>
        </w:rPr>
        <w:t xml:space="preserve">-Hansen, et al., </w:t>
      </w:r>
      <w:r w:rsidR="00DE6400" w:rsidRPr="00B81C3D">
        <w:rPr>
          <w:i/>
          <w:iCs/>
          <w:sz w:val="24"/>
          <w:szCs w:val="24"/>
        </w:rPr>
        <w:t>Introduction</w:t>
      </w:r>
      <w:r w:rsidR="00736BA0" w:rsidRPr="00B81C3D">
        <w:rPr>
          <w:i/>
          <w:iCs/>
          <w:sz w:val="24"/>
          <w:szCs w:val="24"/>
        </w:rPr>
        <w:t xml:space="preserve"> </w:t>
      </w:r>
      <w:r w:rsidR="00736BA0" w:rsidRPr="00B81C3D">
        <w:rPr>
          <w:sz w:val="24"/>
          <w:szCs w:val="24"/>
        </w:rPr>
        <w:t xml:space="preserve">in </w:t>
      </w:r>
      <w:r w:rsidR="00DE6400" w:rsidRPr="00B81C3D">
        <w:rPr>
          <w:i/>
          <w:iCs/>
          <w:sz w:val="24"/>
          <w:szCs w:val="24"/>
        </w:rPr>
        <w:t>Tracing the Roles of Soft Law in Human Rights</w:t>
      </w:r>
      <w:r w:rsidR="00DE6400" w:rsidRPr="00B81C3D">
        <w:rPr>
          <w:sz w:val="24"/>
          <w:szCs w:val="24"/>
        </w:rPr>
        <w:t xml:space="preserve">, </w:t>
      </w:r>
      <w:r w:rsidR="00DE6400" w:rsidRPr="00B81C3D">
        <w:rPr>
          <w:smallCaps/>
          <w:sz w:val="24"/>
          <w:szCs w:val="24"/>
        </w:rPr>
        <w:t>Oxford University Press 1 (2017)</w:t>
      </w:r>
      <w:r w:rsidR="00A85862" w:rsidRPr="00B81C3D">
        <w:rPr>
          <w:smallCaps/>
          <w:sz w:val="24"/>
          <w:szCs w:val="24"/>
        </w:rPr>
        <w:t>.</w:t>
      </w:r>
    </w:p>
  </w:footnote>
  <w:footnote w:id="97">
    <w:p w14:paraId="4239B32A" w14:textId="5AF31E81" w:rsidR="00C0400D" w:rsidRPr="00B81C3D" w:rsidRDefault="00C0400D" w:rsidP="00BA78C8">
      <w:pPr>
        <w:pStyle w:val="FootnoteText"/>
        <w:spacing w:after="0"/>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sz w:val="24"/>
          <w:szCs w:val="24"/>
        </w:rPr>
        <w:t>Molnár</w:t>
      </w:r>
      <w:proofErr w:type="spellEnd"/>
      <w:r w:rsidRPr="00B81C3D">
        <w:rPr>
          <w:sz w:val="24"/>
          <w:szCs w:val="24"/>
        </w:rPr>
        <w:t xml:space="preserve">, </w:t>
      </w:r>
      <w:r w:rsidRPr="00B81C3D">
        <w:rPr>
          <w:i/>
          <w:iCs/>
          <w:sz w:val="24"/>
          <w:szCs w:val="24"/>
        </w:rPr>
        <w:t>The Prohibition of Arbitrary Deprivation of Nationality under International Law and EU Law</w:t>
      </w:r>
      <w:r w:rsidRPr="00B81C3D">
        <w:rPr>
          <w:sz w:val="24"/>
          <w:szCs w:val="24"/>
        </w:rPr>
        <w:t xml:space="preserve">, </w:t>
      </w:r>
      <w:r w:rsidRPr="00B81C3D">
        <w:rPr>
          <w:smallCaps/>
          <w:sz w:val="24"/>
          <w:szCs w:val="24"/>
        </w:rPr>
        <w:t xml:space="preserve">Hungarian </w:t>
      </w:r>
      <w:r w:rsidR="006255FC" w:rsidRPr="00B81C3D">
        <w:rPr>
          <w:smallCaps/>
          <w:sz w:val="24"/>
          <w:szCs w:val="24"/>
        </w:rPr>
        <w:t xml:space="preserve">Y.B. Int’l L. &amp; </w:t>
      </w:r>
      <w:proofErr w:type="spellStart"/>
      <w:r w:rsidR="006255FC" w:rsidRPr="00B81C3D">
        <w:rPr>
          <w:smallCaps/>
          <w:sz w:val="24"/>
          <w:szCs w:val="24"/>
        </w:rPr>
        <w:t>Eur.L</w:t>
      </w:r>
      <w:proofErr w:type="spellEnd"/>
      <w:r w:rsidR="006255FC" w:rsidRPr="00B81C3D">
        <w:rPr>
          <w:smallCaps/>
          <w:sz w:val="24"/>
          <w:szCs w:val="24"/>
        </w:rPr>
        <w:t>.</w:t>
      </w:r>
      <w:r w:rsidRPr="00B81C3D">
        <w:rPr>
          <w:sz w:val="24"/>
          <w:szCs w:val="24"/>
        </w:rPr>
        <w:t>, 67-68 (2014).</w:t>
      </w:r>
    </w:p>
  </w:footnote>
  <w:footnote w:id="98">
    <w:p w14:paraId="6F675D20" w14:textId="65E71122" w:rsidR="007428CC" w:rsidRPr="00B81C3D" w:rsidRDefault="007428CC" w:rsidP="00BA78C8">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C0400D" w:rsidRPr="00B81C3D">
        <w:rPr>
          <w:sz w:val="24"/>
          <w:szCs w:val="24"/>
        </w:rPr>
        <w:t xml:space="preserve">Citizenship of Zimbabwe Act, §11(2)(b) (1984); Liberia Aliens and Nationality Law, §21.50 (1973); Burma Citizenship Law, §8(2) (1982); Kuwait Nationality Law, </w:t>
      </w:r>
      <w:r w:rsidR="009B0DE6" w:rsidRPr="00B81C3D">
        <w:rPr>
          <w:sz w:val="24"/>
          <w:szCs w:val="24"/>
        </w:rPr>
        <w:t>a</w:t>
      </w:r>
      <w:r w:rsidR="00C0400D" w:rsidRPr="00B81C3D">
        <w:rPr>
          <w:sz w:val="24"/>
          <w:szCs w:val="24"/>
        </w:rPr>
        <w:t>rt. 13 (1959)</w:t>
      </w:r>
      <w:r w:rsidRPr="00B81C3D">
        <w:rPr>
          <w:sz w:val="24"/>
          <w:szCs w:val="24"/>
        </w:rPr>
        <w:t>.</w:t>
      </w:r>
    </w:p>
  </w:footnote>
  <w:footnote w:id="99">
    <w:p w14:paraId="6B6C8876" w14:textId="3C78129D" w:rsidR="007428CC" w:rsidRPr="00B81C3D" w:rsidRDefault="007428CC" w:rsidP="00C75971">
      <w:pPr>
        <w:pStyle w:val="NoSpacing"/>
        <w:spacing w:afterLines="30" w:after="72"/>
        <w:ind w:left="567" w:hanging="567"/>
        <w:rPr>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r w:rsidR="00BB02C4" w:rsidRPr="00B81C3D">
        <w:rPr>
          <w:iCs/>
          <w:color w:val="000000" w:themeColor="text1"/>
          <w:sz w:val="24"/>
          <w:szCs w:val="24"/>
        </w:rPr>
        <w:t xml:space="preserve">CRS, </w:t>
      </w:r>
      <w:r w:rsidR="005F4267" w:rsidRPr="00B81C3D">
        <w:rPr>
          <w:iCs/>
          <w:color w:val="000000" w:themeColor="text1"/>
          <w:sz w:val="24"/>
          <w:szCs w:val="24"/>
        </w:rPr>
        <w:t>a</w:t>
      </w:r>
      <w:r w:rsidR="00BB02C4" w:rsidRPr="00B81C3D">
        <w:rPr>
          <w:iCs/>
          <w:color w:val="000000" w:themeColor="text1"/>
          <w:sz w:val="24"/>
          <w:szCs w:val="24"/>
        </w:rPr>
        <w:t>rt.8(3)</w:t>
      </w:r>
      <w:r w:rsidRPr="00B81C3D">
        <w:rPr>
          <w:color w:val="000000" w:themeColor="text1"/>
          <w:sz w:val="24"/>
          <w:szCs w:val="24"/>
        </w:rPr>
        <w:t>.</w:t>
      </w:r>
      <w:r w:rsidRPr="00B81C3D">
        <w:rPr>
          <w:i/>
          <w:color w:val="000000" w:themeColor="text1"/>
          <w:sz w:val="24"/>
          <w:szCs w:val="24"/>
        </w:rPr>
        <w:t xml:space="preserve"> </w:t>
      </w:r>
    </w:p>
  </w:footnote>
  <w:footnote w:id="100">
    <w:p w14:paraId="3DBC1007" w14:textId="7EA4F8D8" w:rsidR="007428CC" w:rsidRPr="00B81C3D" w:rsidRDefault="007428CC" w:rsidP="00C75971">
      <w:pPr>
        <w:pStyle w:val="NoSpacing"/>
        <w:spacing w:afterLines="30" w:after="72"/>
        <w:ind w:left="567" w:hanging="567"/>
        <w:rPr>
          <w:i/>
          <w:sz w:val="24"/>
          <w:szCs w:val="24"/>
        </w:rPr>
      </w:pPr>
      <w:r w:rsidRPr="00B81C3D">
        <w:rPr>
          <w:sz w:val="24"/>
          <w:szCs w:val="24"/>
          <w:vertAlign w:val="superscript"/>
        </w:rPr>
        <w:footnoteRef/>
      </w:r>
      <w:r w:rsidRPr="00B81C3D">
        <w:rPr>
          <w:sz w:val="24"/>
          <w:szCs w:val="24"/>
        </w:rPr>
        <w:t xml:space="preserve"> </w:t>
      </w:r>
      <w:r w:rsidR="00736BA0" w:rsidRPr="00B81C3D">
        <w:rPr>
          <w:sz w:val="24"/>
          <w:szCs w:val="24"/>
        </w:rPr>
        <w:t>United Nations High Commissioner for Refugees [“</w:t>
      </w:r>
      <w:r w:rsidR="00736BA0" w:rsidRPr="00B81C3D">
        <w:rPr>
          <w:b/>
          <w:bCs/>
          <w:sz w:val="24"/>
          <w:szCs w:val="24"/>
        </w:rPr>
        <w:t>UNHCR</w:t>
      </w:r>
      <w:r w:rsidR="00736BA0" w:rsidRPr="00B81C3D">
        <w:rPr>
          <w:sz w:val="24"/>
          <w:szCs w:val="24"/>
        </w:rPr>
        <w:t>”], Guidelines on Statelessness No. 5: Loss and Deprivation of Nationality under Articles 5-9 of the 1961 Convention on the Reduction of Statelessness [“</w:t>
      </w:r>
      <w:r w:rsidR="00736BA0" w:rsidRPr="00B81C3D">
        <w:rPr>
          <w:b/>
          <w:bCs/>
          <w:sz w:val="24"/>
          <w:szCs w:val="24"/>
        </w:rPr>
        <w:t>Guidelines on Statelessness No. 5</w:t>
      </w:r>
      <w:r w:rsidR="00736BA0" w:rsidRPr="00B81C3D">
        <w:rPr>
          <w:sz w:val="24"/>
          <w:szCs w:val="24"/>
        </w:rPr>
        <w:t>”], ¶57</w:t>
      </w:r>
      <w:r w:rsidR="00611340" w:rsidRPr="00B81C3D">
        <w:rPr>
          <w:sz w:val="24"/>
          <w:szCs w:val="24"/>
        </w:rPr>
        <w:t xml:space="preserve"> </w:t>
      </w:r>
      <w:r w:rsidR="00736BA0" w:rsidRPr="00B81C3D">
        <w:rPr>
          <w:sz w:val="24"/>
          <w:szCs w:val="24"/>
        </w:rPr>
        <w:t>(2020), HCR/GS/20/05.</w:t>
      </w:r>
    </w:p>
  </w:footnote>
  <w:footnote w:id="101">
    <w:p w14:paraId="72BFAB71" w14:textId="06814AC4"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CC2575" w:rsidRPr="00B81C3D">
        <w:rPr>
          <w:sz w:val="24"/>
          <w:szCs w:val="24"/>
        </w:rPr>
        <w:t>Petropavlovskis</w:t>
      </w:r>
      <w:proofErr w:type="spellEnd"/>
      <w:r w:rsidR="00CC2575" w:rsidRPr="00B81C3D">
        <w:rPr>
          <w:sz w:val="24"/>
          <w:szCs w:val="24"/>
        </w:rPr>
        <w:t xml:space="preserve"> v. Latvia, Judgment, Application No. 44230/06, ECHR</w:t>
      </w:r>
      <w:r w:rsidR="004172C2" w:rsidRPr="00B81C3D">
        <w:rPr>
          <w:sz w:val="24"/>
          <w:szCs w:val="24"/>
        </w:rPr>
        <w:t>, ¶8</w:t>
      </w:r>
      <w:r w:rsidR="00611340" w:rsidRPr="00B81C3D">
        <w:rPr>
          <w:sz w:val="24"/>
          <w:szCs w:val="24"/>
        </w:rPr>
        <w:t>5</w:t>
      </w:r>
      <w:r w:rsidR="00CC2575" w:rsidRPr="00B81C3D">
        <w:rPr>
          <w:sz w:val="24"/>
          <w:szCs w:val="24"/>
        </w:rPr>
        <w:t xml:space="preserve"> (2015)</w:t>
      </w:r>
      <w:r w:rsidR="00E4367E" w:rsidRPr="00B81C3D">
        <w:rPr>
          <w:sz w:val="24"/>
          <w:szCs w:val="24"/>
        </w:rPr>
        <w:t>.</w:t>
      </w:r>
    </w:p>
  </w:footnote>
  <w:footnote w:id="102">
    <w:p w14:paraId="3E20F228" w14:textId="3E628800" w:rsidR="007428CC" w:rsidRPr="00B81C3D" w:rsidRDefault="007428CC" w:rsidP="00C75971">
      <w:pPr>
        <w:pStyle w:val="NoSpacing"/>
        <w:spacing w:afterLines="30" w:after="72"/>
        <w:ind w:left="567" w:hanging="567"/>
        <w:rPr>
          <w:color w:val="000000"/>
          <w:sz w:val="24"/>
          <w:szCs w:val="24"/>
        </w:rPr>
      </w:pPr>
      <w:r w:rsidRPr="00B81C3D">
        <w:rPr>
          <w:sz w:val="24"/>
          <w:szCs w:val="24"/>
          <w:vertAlign w:val="superscript"/>
        </w:rPr>
        <w:footnoteRef/>
      </w:r>
      <w:r w:rsidRPr="00B81C3D">
        <w:rPr>
          <w:color w:val="000000"/>
          <w:sz w:val="24"/>
          <w:szCs w:val="24"/>
        </w:rPr>
        <w:t xml:space="preserve"> Bol</w:t>
      </w:r>
      <w:r w:rsidR="004172C2" w:rsidRPr="00B81C3D">
        <w:rPr>
          <w:color w:val="000000"/>
          <w:sz w:val="24"/>
          <w:szCs w:val="24"/>
        </w:rPr>
        <w:t xml:space="preserve">l, </w:t>
      </w:r>
      <w:r w:rsidRPr="00B81C3D">
        <w:rPr>
          <w:i/>
          <w:iCs/>
          <w:color w:val="000000"/>
          <w:sz w:val="24"/>
          <w:szCs w:val="24"/>
        </w:rPr>
        <w:t>Nationality and Obligations of Loyalty in International and Municipal Law</w:t>
      </w:r>
      <w:r w:rsidR="00CC2575" w:rsidRPr="00B81C3D">
        <w:rPr>
          <w:color w:val="000000"/>
          <w:sz w:val="24"/>
          <w:szCs w:val="24"/>
        </w:rPr>
        <w:t>,</w:t>
      </w:r>
      <w:r w:rsidR="00511581" w:rsidRPr="00B81C3D">
        <w:rPr>
          <w:color w:val="000000"/>
          <w:sz w:val="24"/>
          <w:szCs w:val="24"/>
        </w:rPr>
        <w:t xml:space="preserve"> </w:t>
      </w:r>
      <w:r w:rsidRPr="00B81C3D">
        <w:rPr>
          <w:color w:val="000000"/>
          <w:sz w:val="24"/>
          <w:szCs w:val="24"/>
        </w:rPr>
        <w:t xml:space="preserve">24 </w:t>
      </w:r>
      <w:r w:rsidRPr="00B81C3D">
        <w:rPr>
          <w:smallCaps/>
          <w:color w:val="000000"/>
          <w:sz w:val="24"/>
          <w:szCs w:val="24"/>
        </w:rPr>
        <w:t xml:space="preserve">Australian </w:t>
      </w:r>
      <w:r w:rsidR="00511581" w:rsidRPr="00B81C3D">
        <w:rPr>
          <w:smallCaps/>
          <w:color w:val="000000"/>
          <w:sz w:val="24"/>
          <w:szCs w:val="24"/>
        </w:rPr>
        <w:t>Y.B. Int’l</w:t>
      </w:r>
      <w:r w:rsidRPr="00B81C3D">
        <w:rPr>
          <w:smallCaps/>
          <w:color w:val="000000"/>
          <w:sz w:val="24"/>
          <w:szCs w:val="24"/>
        </w:rPr>
        <w:t xml:space="preserve"> </w:t>
      </w:r>
      <w:r w:rsidR="00511581" w:rsidRPr="00B81C3D">
        <w:rPr>
          <w:smallCaps/>
          <w:color w:val="000000"/>
          <w:sz w:val="24"/>
          <w:szCs w:val="24"/>
        </w:rPr>
        <w:t xml:space="preserve">L. 4, </w:t>
      </w:r>
      <w:r w:rsidRPr="00B81C3D">
        <w:rPr>
          <w:color w:val="000000"/>
          <w:sz w:val="24"/>
          <w:szCs w:val="24"/>
        </w:rPr>
        <w:t>37</w:t>
      </w:r>
      <w:r w:rsidR="00511581" w:rsidRPr="00B81C3D">
        <w:rPr>
          <w:color w:val="000000"/>
          <w:sz w:val="24"/>
          <w:szCs w:val="24"/>
        </w:rPr>
        <w:t>(2005)</w:t>
      </w:r>
      <w:r w:rsidR="004172C2" w:rsidRPr="00B81C3D">
        <w:rPr>
          <w:color w:val="000000"/>
          <w:sz w:val="24"/>
          <w:szCs w:val="24"/>
        </w:rPr>
        <w:t>.</w:t>
      </w:r>
    </w:p>
  </w:footnote>
  <w:footnote w:id="103">
    <w:p w14:paraId="10F6B5C9" w14:textId="3C7EC4D3" w:rsidR="007428CC" w:rsidRPr="00B81C3D" w:rsidRDefault="007428CC" w:rsidP="00C75971">
      <w:pPr>
        <w:pStyle w:val="NoSpacing"/>
        <w:spacing w:afterLines="30" w:after="72"/>
        <w:ind w:left="567" w:hanging="567"/>
        <w:rPr>
          <w:sz w:val="24"/>
          <w:szCs w:val="24"/>
        </w:rPr>
      </w:pPr>
      <w:r w:rsidRPr="00B81C3D">
        <w:rPr>
          <w:sz w:val="24"/>
          <w:szCs w:val="24"/>
          <w:vertAlign w:val="superscript"/>
        </w:rPr>
        <w:footnoteRef/>
      </w:r>
      <w:r w:rsidRPr="00B81C3D">
        <w:rPr>
          <w:color w:val="000000"/>
          <w:sz w:val="24"/>
          <w:szCs w:val="24"/>
        </w:rPr>
        <w:t xml:space="preserve"> </w:t>
      </w:r>
      <w:r w:rsidR="00511581" w:rsidRPr="00B81C3D">
        <w:rPr>
          <w:rFonts w:eastAsiaTheme="minorHAnsi"/>
          <w:sz w:val="24"/>
          <w:szCs w:val="24"/>
          <w14:ligatures w14:val="standardContextual"/>
        </w:rPr>
        <w:t>UNHCR</w:t>
      </w:r>
      <w:r w:rsidR="00E4367E" w:rsidRPr="00B81C3D">
        <w:rPr>
          <w:rFonts w:eastAsiaTheme="minorHAnsi"/>
          <w:sz w:val="24"/>
          <w:szCs w:val="24"/>
          <w14:ligatures w14:val="standardContextual"/>
        </w:rPr>
        <w:t>, Expert Meeting - Interpreting the 1961 Statelessness Convention and Avoiding Statelessness resulting from Loss and Deprivation of Nationality [</w:t>
      </w:r>
      <w:r w:rsidR="00511581" w:rsidRPr="00B81C3D">
        <w:rPr>
          <w:rFonts w:eastAsiaTheme="minorHAnsi"/>
          <w:sz w:val="24"/>
          <w:szCs w:val="24"/>
          <w14:ligatures w14:val="standardContextual"/>
        </w:rPr>
        <w:t>“</w:t>
      </w:r>
      <w:r w:rsidR="00E4367E" w:rsidRPr="00B81C3D">
        <w:rPr>
          <w:rFonts w:eastAsiaTheme="minorHAnsi"/>
          <w:b/>
          <w:bCs/>
          <w:i/>
          <w:iCs/>
          <w:sz w:val="24"/>
          <w:szCs w:val="24"/>
          <w14:ligatures w14:val="standardContextual"/>
        </w:rPr>
        <w:t>Tunis Conclusions</w:t>
      </w:r>
      <w:r w:rsidR="00511581" w:rsidRPr="00B81C3D">
        <w:rPr>
          <w:rFonts w:eastAsiaTheme="minorHAnsi"/>
          <w:sz w:val="24"/>
          <w:szCs w:val="24"/>
          <w14:ligatures w14:val="standardContextual"/>
        </w:rPr>
        <w:t>”</w:t>
      </w:r>
      <w:r w:rsidR="00E4367E" w:rsidRPr="00B81C3D">
        <w:rPr>
          <w:rFonts w:eastAsiaTheme="minorHAnsi"/>
          <w:sz w:val="24"/>
          <w:szCs w:val="24"/>
          <w14:ligatures w14:val="standardContextual"/>
        </w:rPr>
        <w:t xml:space="preserve">] </w:t>
      </w:r>
      <w:r w:rsidR="00E4367E" w:rsidRPr="00B81C3D">
        <w:rPr>
          <w:color w:val="202124"/>
          <w:sz w:val="24"/>
          <w:szCs w:val="24"/>
        </w:rPr>
        <w:t>¶68</w:t>
      </w:r>
      <w:r w:rsidR="00511581" w:rsidRPr="00B81C3D">
        <w:rPr>
          <w:color w:val="202124"/>
          <w:sz w:val="24"/>
          <w:szCs w:val="24"/>
        </w:rPr>
        <w:t xml:space="preserve"> (</w:t>
      </w:r>
      <w:r w:rsidR="00E4367E" w:rsidRPr="00B81C3D">
        <w:rPr>
          <w:rFonts w:eastAsiaTheme="minorHAnsi"/>
          <w:sz w:val="24"/>
          <w:szCs w:val="24"/>
          <w14:ligatures w14:val="standardContextual"/>
        </w:rPr>
        <w:t>2014</w:t>
      </w:r>
      <w:r w:rsidR="00511581" w:rsidRPr="00B81C3D">
        <w:rPr>
          <w:rFonts w:eastAsiaTheme="minorHAnsi"/>
          <w:sz w:val="24"/>
          <w:szCs w:val="24"/>
          <w14:ligatures w14:val="standardContextual"/>
        </w:rPr>
        <w:t>)</w:t>
      </w:r>
      <w:r w:rsidR="004172C2" w:rsidRPr="00B81C3D">
        <w:rPr>
          <w:sz w:val="24"/>
          <w:szCs w:val="24"/>
        </w:rPr>
        <w:t>.</w:t>
      </w:r>
    </w:p>
  </w:footnote>
  <w:footnote w:id="104">
    <w:p w14:paraId="63A89DE9" w14:textId="44D594A8" w:rsidR="007428CC" w:rsidRPr="00B81C3D" w:rsidRDefault="007428CC" w:rsidP="001D15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560" w:hanging="560"/>
        <w:rPr>
          <w:rFonts w:eastAsiaTheme="minorHAnsi"/>
          <w:lang w:val="en-US"/>
          <w14:ligatures w14:val="standardContextual"/>
        </w:rPr>
      </w:pPr>
      <w:r w:rsidRPr="00B81C3D">
        <w:rPr>
          <w:rStyle w:val="FootnoteReference"/>
        </w:rPr>
        <w:footnoteRef/>
      </w:r>
      <w:r w:rsidRPr="00B81C3D">
        <w:t xml:space="preserve"> </w:t>
      </w:r>
      <w:r w:rsidR="00355D5A" w:rsidRPr="00B81C3D">
        <w:rPr>
          <w:rFonts w:eastAsiaTheme="minorHAnsi"/>
          <w:lang w:val="en-US"/>
          <w14:ligatures w14:val="standardContextual"/>
        </w:rPr>
        <w:t>​​Begum v. Secretary of State for the Home Department, UKSC 2020/0158, Supreme Court (2021).</w:t>
      </w:r>
    </w:p>
  </w:footnote>
  <w:footnote w:id="105">
    <w:p w14:paraId="56BECED5" w14:textId="559D98A0" w:rsidR="007428CC" w:rsidRPr="00B81C3D" w:rsidRDefault="007428CC" w:rsidP="00A9717C">
      <w:pPr>
        <w:pStyle w:val="FootnoteText"/>
        <w:spacing w:after="0"/>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sz w:val="24"/>
          <w:szCs w:val="24"/>
        </w:rPr>
        <w:t xml:space="preserve">Human Rights Council, U.N. Doc.  A/HRC/25/28, </w:t>
      </w:r>
      <w:r w:rsidR="00E4367E" w:rsidRPr="00B81C3D">
        <w:rPr>
          <w:sz w:val="24"/>
          <w:szCs w:val="24"/>
        </w:rPr>
        <w:t>¶</w:t>
      </w:r>
      <w:r w:rsidR="00C0400D" w:rsidRPr="00B81C3D">
        <w:rPr>
          <w:sz w:val="24"/>
          <w:szCs w:val="24"/>
        </w:rPr>
        <w:t xml:space="preserve">13 (2013); </w:t>
      </w:r>
      <w:r w:rsidR="00355D5A" w:rsidRPr="00B81C3D">
        <w:rPr>
          <w:rFonts w:eastAsiaTheme="minorHAnsi"/>
          <w:sz w:val="24"/>
          <w:szCs w:val="24"/>
          <w:lang w:val="en-US"/>
          <w14:ligatures w14:val="standardContextual"/>
        </w:rPr>
        <w:t>Begum v. Secretary of State for the Home Department, UKSC 2020/0158, Supreme Court (2021).</w:t>
      </w:r>
    </w:p>
  </w:footnote>
  <w:footnote w:id="106">
    <w:p w14:paraId="71119D63" w14:textId="1DC0B854" w:rsidR="007428CC" w:rsidRPr="00B81C3D" w:rsidRDefault="007428CC" w:rsidP="00E4367E">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 xml:space="preserve">British Nationality Act, </w:t>
      </w:r>
      <w:r w:rsidR="00BB02C4" w:rsidRPr="00B81C3D">
        <w:rPr>
          <w:sz w:val="24"/>
          <w:szCs w:val="24"/>
          <w:lang w:val="en-US"/>
        </w:rPr>
        <w:t>§</w:t>
      </w:r>
      <w:r w:rsidRPr="00B81C3D">
        <w:rPr>
          <w:sz w:val="24"/>
          <w:szCs w:val="24"/>
          <w:lang w:val="en-US"/>
        </w:rPr>
        <w:t>40</w:t>
      </w:r>
      <w:r w:rsidR="00BB02C4" w:rsidRPr="00B81C3D">
        <w:rPr>
          <w:sz w:val="24"/>
          <w:szCs w:val="24"/>
          <w:lang w:val="en-US"/>
        </w:rPr>
        <w:t xml:space="preserve"> (</w:t>
      </w:r>
      <w:r w:rsidRPr="00B81C3D">
        <w:rPr>
          <w:sz w:val="24"/>
          <w:szCs w:val="24"/>
          <w:lang w:val="en-US"/>
        </w:rPr>
        <w:t>1981</w:t>
      </w:r>
      <w:r w:rsidR="00BB02C4" w:rsidRPr="00B81C3D">
        <w:rPr>
          <w:sz w:val="24"/>
          <w:szCs w:val="24"/>
          <w:lang w:val="en-US"/>
        </w:rPr>
        <w:t>)</w:t>
      </w:r>
      <w:r w:rsidR="007E5A0F" w:rsidRPr="00B81C3D">
        <w:rPr>
          <w:sz w:val="24"/>
          <w:szCs w:val="24"/>
          <w:lang w:val="en-US"/>
        </w:rPr>
        <w:t>.</w:t>
      </w:r>
    </w:p>
  </w:footnote>
  <w:footnote w:id="107">
    <w:p w14:paraId="76230C22" w14:textId="18DDACB9" w:rsidR="00D836AB" w:rsidRPr="00B81C3D" w:rsidRDefault="00D836AB" w:rsidP="000E4258">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i/>
          <w:iCs/>
          <w:sz w:val="24"/>
          <w:szCs w:val="24"/>
          <w:lang w:val="en-US"/>
        </w:rPr>
        <w:t>,</w:t>
      </w:r>
      <w:r w:rsidR="00FC0C0B" w:rsidRPr="00B81C3D">
        <w:rPr>
          <w:i/>
          <w:iCs/>
          <w:sz w:val="24"/>
          <w:szCs w:val="24"/>
          <w:lang w:val="en-US"/>
        </w:rPr>
        <w:t xml:space="preserve"> </w:t>
      </w:r>
      <w:r w:rsidRPr="00B81C3D">
        <w:rPr>
          <w:sz w:val="24"/>
          <w:szCs w:val="24"/>
          <w:lang w:val="en-US"/>
        </w:rPr>
        <w:t>¶¶26,28-29.</w:t>
      </w:r>
    </w:p>
  </w:footnote>
  <w:footnote w:id="108">
    <w:p w14:paraId="34342423" w14:textId="0B37FAAB" w:rsidR="00D836AB" w:rsidRPr="00B81C3D" w:rsidRDefault="00D836AB" w:rsidP="000E4258">
      <w:pPr>
        <w:pStyle w:val="FootnoteText"/>
        <w:spacing w:afterLines="30" w:after="72"/>
        <w:rPr>
          <w:sz w:val="24"/>
          <w:szCs w:val="24"/>
          <w:lang w:val="en-US"/>
        </w:rPr>
      </w:pPr>
      <w:r w:rsidRPr="00B81C3D">
        <w:rPr>
          <w:rStyle w:val="FootnoteReference"/>
          <w:sz w:val="24"/>
          <w:szCs w:val="24"/>
        </w:rPr>
        <w:footnoteRef/>
      </w:r>
      <w:r w:rsidRPr="00B81C3D">
        <w:rPr>
          <w:sz w:val="24"/>
          <w:szCs w:val="24"/>
        </w:rPr>
        <w:t xml:space="preserve"> </w:t>
      </w:r>
      <w:proofErr w:type="spellStart"/>
      <w:r w:rsidR="00367F1E" w:rsidRPr="00B81C3D">
        <w:rPr>
          <w:i/>
          <w:iCs/>
          <w:sz w:val="24"/>
          <w:szCs w:val="24"/>
          <w:lang w:val="en-US"/>
        </w:rPr>
        <w:t>Compromis</w:t>
      </w:r>
      <w:proofErr w:type="spellEnd"/>
      <w:r w:rsidR="00367F1E" w:rsidRPr="00B81C3D">
        <w:rPr>
          <w:i/>
          <w:iCs/>
          <w:sz w:val="24"/>
          <w:szCs w:val="24"/>
          <w:lang w:val="en-US"/>
        </w:rPr>
        <w:t>,</w:t>
      </w:r>
      <w:r w:rsidR="00FC0C0B" w:rsidRPr="00B81C3D">
        <w:rPr>
          <w:i/>
          <w:iCs/>
          <w:sz w:val="24"/>
          <w:szCs w:val="24"/>
          <w:lang w:val="en-US"/>
        </w:rPr>
        <w:t xml:space="preserve"> </w:t>
      </w:r>
      <w:r w:rsidR="00367F1E" w:rsidRPr="00B81C3D">
        <w:rPr>
          <w:sz w:val="24"/>
          <w:szCs w:val="24"/>
          <w:lang w:val="en-US"/>
        </w:rPr>
        <w:t>¶34.</w:t>
      </w:r>
    </w:p>
  </w:footnote>
  <w:footnote w:id="109">
    <w:p w14:paraId="4809C3D9" w14:textId="5EB3A97C" w:rsidR="007428CC" w:rsidRPr="00B81C3D" w:rsidRDefault="007428CC" w:rsidP="00C75971">
      <w:pPr>
        <w:pStyle w:val="NoSpacing"/>
        <w:spacing w:afterLines="30" w:after="72"/>
        <w:ind w:left="567" w:hanging="567"/>
        <w:rPr>
          <w:color w:val="000000" w:themeColor="text1"/>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r w:rsidRPr="00B81C3D">
        <w:rPr>
          <w:i/>
          <w:color w:val="000000" w:themeColor="text1"/>
          <w:sz w:val="24"/>
          <w:szCs w:val="24"/>
        </w:rPr>
        <w:t xml:space="preserve">Tunis Conclusions, </w:t>
      </w:r>
      <w:r w:rsidRPr="00B81C3D">
        <w:rPr>
          <w:color w:val="000000" w:themeColor="text1"/>
          <w:sz w:val="24"/>
          <w:szCs w:val="24"/>
        </w:rPr>
        <w:t>¶79</w:t>
      </w:r>
      <w:r w:rsidR="004172C2" w:rsidRPr="00B81C3D">
        <w:rPr>
          <w:color w:val="000000" w:themeColor="text1"/>
          <w:sz w:val="24"/>
          <w:szCs w:val="24"/>
        </w:rPr>
        <w:t>.</w:t>
      </w:r>
    </w:p>
  </w:footnote>
  <w:footnote w:id="110">
    <w:p w14:paraId="39AB3D64" w14:textId="65AE1F5A"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i/>
          <w:iCs/>
          <w:sz w:val="24"/>
          <w:szCs w:val="24"/>
        </w:rPr>
        <w:t>Guidelines on Statelessness No. 5</w:t>
      </w:r>
      <w:r w:rsidR="00C0400D" w:rsidRPr="00B81C3D">
        <w:rPr>
          <w:sz w:val="24"/>
          <w:szCs w:val="24"/>
        </w:rPr>
        <w:t>,</w:t>
      </w:r>
      <w:r w:rsidR="00FE40FD" w:rsidRPr="00B81C3D">
        <w:rPr>
          <w:sz w:val="24"/>
          <w:szCs w:val="24"/>
        </w:rPr>
        <w:t xml:space="preserve"> </w:t>
      </w:r>
      <w:r w:rsidR="00C0400D" w:rsidRPr="00B81C3D">
        <w:rPr>
          <w:sz w:val="24"/>
          <w:szCs w:val="24"/>
        </w:rPr>
        <w:t>¶78.</w:t>
      </w:r>
    </w:p>
  </w:footnote>
  <w:footnote w:id="111">
    <w:p w14:paraId="795EEBD5" w14:textId="577C845D" w:rsidR="007428CC" w:rsidRPr="00B81C3D" w:rsidRDefault="007428CC" w:rsidP="00C75971">
      <w:pPr>
        <w:pStyle w:val="NoSpacing"/>
        <w:spacing w:afterLines="30" w:after="72"/>
        <w:ind w:left="567" w:hanging="567"/>
        <w:rPr>
          <w:rFonts w:eastAsia="Times"/>
          <w:color w:val="3F3F3F"/>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proofErr w:type="spellStart"/>
      <w:r w:rsidR="00511581" w:rsidRPr="00B81C3D">
        <w:rPr>
          <w:rFonts w:eastAsia="Times"/>
          <w:color w:val="000000" w:themeColor="text1"/>
          <w:sz w:val="24"/>
          <w:szCs w:val="24"/>
        </w:rPr>
        <w:t>HRComm</w:t>
      </w:r>
      <w:proofErr w:type="spellEnd"/>
      <w:r w:rsidR="001D69E6" w:rsidRPr="00B81C3D">
        <w:rPr>
          <w:rFonts w:eastAsia="Times"/>
          <w:color w:val="000000" w:themeColor="text1"/>
          <w:sz w:val="24"/>
          <w:szCs w:val="24"/>
        </w:rPr>
        <w:t xml:space="preserve">, </w:t>
      </w:r>
      <w:r w:rsidR="001D69E6" w:rsidRPr="00B81C3D">
        <w:rPr>
          <w:rFonts w:eastAsia="Times"/>
          <w:i/>
          <w:iCs/>
          <w:color w:val="000000" w:themeColor="text1"/>
          <w:sz w:val="24"/>
          <w:szCs w:val="24"/>
        </w:rPr>
        <w:t>General Comment No. 34, Article 19, Freedoms of opinion and expression</w:t>
      </w:r>
      <w:r w:rsidR="001D69E6" w:rsidRPr="00B81C3D">
        <w:rPr>
          <w:rFonts w:eastAsia="Times"/>
          <w:color w:val="000000" w:themeColor="text1"/>
          <w:sz w:val="24"/>
          <w:szCs w:val="24"/>
        </w:rPr>
        <w:t xml:space="preserve">, </w:t>
      </w:r>
      <w:r w:rsidR="00511581" w:rsidRPr="00B81C3D">
        <w:rPr>
          <w:rFonts w:eastAsia="Times"/>
          <w:color w:val="000000" w:themeColor="text1"/>
          <w:sz w:val="24"/>
          <w:szCs w:val="24"/>
        </w:rPr>
        <w:t xml:space="preserve">U.N. </w:t>
      </w:r>
      <w:proofErr w:type="spellStart"/>
      <w:r w:rsidR="00511581" w:rsidRPr="00B81C3D">
        <w:rPr>
          <w:rFonts w:eastAsia="Times"/>
          <w:color w:val="000000" w:themeColor="text1"/>
          <w:sz w:val="24"/>
          <w:szCs w:val="24"/>
        </w:rPr>
        <w:t>Doc.</w:t>
      </w:r>
      <w:r w:rsidR="001D69E6" w:rsidRPr="00B81C3D">
        <w:rPr>
          <w:rFonts w:eastAsia="Times"/>
          <w:color w:val="000000" w:themeColor="text1"/>
          <w:sz w:val="24"/>
          <w:szCs w:val="24"/>
        </w:rPr>
        <w:t>CCPR</w:t>
      </w:r>
      <w:proofErr w:type="spellEnd"/>
      <w:r w:rsidR="001D69E6" w:rsidRPr="00B81C3D">
        <w:rPr>
          <w:rFonts w:eastAsia="Times"/>
          <w:color w:val="000000" w:themeColor="text1"/>
          <w:sz w:val="24"/>
          <w:szCs w:val="24"/>
        </w:rPr>
        <w:t>/C/GC/34 ¶24[“</w:t>
      </w:r>
      <w:r w:rsidR="001D69E6" w:rsidRPr="00B81C3D">
        <w:rPr>
          <w:rFonts w:eastAsia="Times"/>
          <w:b/>
          <w:bCs/>
          <w:color w:val="000000" w:themeColor="text1"/>
          <w:sz w:val="24"/>
          <w:szCs w:val="24"/>
        </w:rPr>
        <w:t>GC 34</w:t>
      </w:r>
      <w:r w:rsidR="001D69E6" w:rsidRPr="00B81C3D">
        <w:rPr>
          <w:rFonts w:eastAsia="Times"/>
          <w:color w:val="000000" w:themeColor="text1"/>
          <w:sz w:val="24"/>
          <w:szCs w:val="24"/>
        </w:rPr>
        <w:t>”]</w:t>
      </w:r>
      <w:r w:rsidR="00511581" w:rsidRPr="00B81C3D">
        <w:rPr>
          <w:rFonts w:eastAsia="Times"/>
          <w:color w:val="000000" w:themeColor="text1"/>
          <w:sz w:val="24"/>
          <w:szCs w:val="24"/>
        </w:rPr>
        <w:t>.</w:t>
      </w:r>
    </w:p>
  </w:footnote>
  <w:footnote w:id="112">
    <w:p w14:paraId="498A47A9" w14:textId="710D09A6" w:rsidR="007428CC" w:rsidRPr="00B81C3D" w:rsidRDefault="007428CC"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294ED2" w:rsidRPr="00B81C3D">
        <w:rPr>
          <w:i/>
          <w:iCs/>
          <w:sz w:val="24"/>
          <w:szCs w:val="24"/>
        </w:rPr>
        <w:t>Compromis</w:t>
      </w:r>
      <w:proofErr w:type="spellEnd"/>
      <w:r w:rsidR="00FE40FD" w:rsidRPr="00B81C3D">
        <w:rPr>
          <w:sz w:val="24"/>
          <w:szCs w:val="24"/>
        </w:rPr>
        <w:t xml:space="preserve">, </w:t>
      </w:r>
      <w:r w:rsidR="001D69E6" w:rsidRPr="00B81C3D">
        <w:rPr>
          <w:sz w:val="24"/>
          <w:szCs w:val="24"/>
        </w:rPr>
        <w:t>¶¶25</w:t>
      </w:r>
      <w:r w:rsidR="00FE40FD" w:rsidRPr="00B81C3D">
        <w:rPr>
          <w:sz w:val="24"/>
          <w:szCs w:val="24"/>
        </w:rPr>
        <w:t>&amp;</w:t>
      </w:r>
      <w:r w:rsidR="001D69E6" w:rsidRPr="00B81C3D">
        <w:rPr>
          <w:sz w:val="24"/>
          <w:szCs w:val="24"/>
        </w:rPr>
        <w:t>26.</w:t>
      </w:r>
    </w:p>
  </w:footnote>
  <w:footnote w:id="113">
    <w:p w14:paraId="58EBECD8" w14:textId="3B02B826"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4035EB" w:rsidRPr="00B81C3D">
        <w:rPr>
          <w:rFonts w:eastAsiaTheme="minorHAnsi"/>
          <w:sz w:val="24"/>
          <w:szCs w:val="24"/>
          <w:lang w:val="en-US"/>
          <w14:ligatures w14:val="standardContextual"/>
        </w:rPr>
        <w:t>Şahin</w:t>
      </w:r>
      <w:proofErr w:type="spellEnd"/>
      <w:r w:rsidR="004035EB" w:rsidRPr="00B81C3D">
        <w:rPr>
          <w:rFonts w:eastAsiaTheme="minorHAnsi"/>
          <w:sz w:val="24"/>
          <w:szCs w:val="24"/>
          <w:lang w:val="en-US"/>
          <w14:ligatures w14:val="standardContextual"/>
        </w:rPr>
        <w:t xml:space="preserve"> v. Turkey, Application No. 44774/98, ECHR, ¶49 (2004).</w:t>
      </w:r>
    </w:p>
  </w:footnote>
  <w:footnote w:id="114">
    <w:p w14:paraId="1ECD1EF7" w14:textId="77777777" w:rsidR="00346CE0" w:rsidRPr="00B81C3D" w:rsidRDefault="00346CE0" w:rsidP="00346CE0">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sz w:val="24"/>
          <w:szCs w:val="24"/>
          <w:lang w:val="en-US"/>
        </w:rPr>
        <w:t>, ¶7.</w:t>
      </w:r>
    </w:p>
  </w:footnote>
  <w:footnote w:id="115">
    <w:p w14:paraId="634DD699" w14:textId="7F29EAF3" w:rsidR="008D56C1" w:rsidRPr="00B81C3D" w:rsidRDefault="008D56C1" w:rsidP="008D56C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Guidelines on Statelessness No. 5, ¶57.</w:t>
      </w:r>
    </w:p>
  </w:footnote>
  <w:footnote w:id="116">
    <w:p w14:paraId="104FCE3A" w14:textId="7C929818" w:rsidR="007864F9" w:rsidRPr="00B81C3D" w:rsidRDefault="007864F9" w:rsidP="000E4258">
      <w:pPr>
        <w:pStyle w:val="FootnoteText"/>
        <w:spacing w:after="0"/>
        <w:rPr>
          <w:sz w:val="24"/>
          <w:szCs w:val="24"/>
          <w:lang w:val="en-US"/>
        </w:rPr>
      </w:pPr>
      <w:r w:rsidRPr="00B81C3D">
        <w:rPr>
          <w:rStyle w:val="FootnoteReference"/>
          <w:sz w:val="24"/>
          <w:szCs w:val="24"/>
        </w:rPr>
        <w:footnoteRef/>
      </w:r>
      <w:r w:rsidRPr="00B81C3D">
        <w:rPr>
          <w:sz w:val="24"/>
          <w:szCs w:val="24"/>
        </w:rPr>
        <w:t xml:space="preserve"> </w:t>
      </w:r>
      <w:r w:rsidRPr="00B81C3D">
        <w:rPr>
          <w:rFonts w:eastAsiaTheme="minorHAnsi"/>
          <w:sz w:val="24"/>
          <w:szCs w:val="24"/>
          <w:lang w:val="en-US"/>
          <w14:ligatures w14:val="standardContextual"/>
        </w:rPr>
        <w:t>International Covenant on Civil and Political Rights, art. 19(3)(b), 999 U.N.T.S 171.</w:t>
      </w:r>
    </w:p>
  </w:footnote>
  <w:footnote w:id="117">
    <w:p w14:paraId="7FDD1B76" w14:textId="5EEECF15"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sz w:val="24"/>
          <w:szCs w:val="24"/>
        </w:rPr>
        <w:t xml:space="preserve">Compulsory Membership in an Association </w:t>
      </w:r>
      <w:r w:rsidR="00FE40FD" w:rsidRPr="00B81C3D">
        <w:rPr>
          <w:sz w:val="24"/>
          <w:szCs w:val="24"/>
        </w:rPr>
        <w:t>Prescribed</w:t>
      </w:r>
      <w:r w:rsidR="00C0400D" w:rsidRPr="00B81C3D">
        <w:rPr>
          <w:sz w:val="24"/>
          <w:szCs w:val="24"/>
        </w:rPr>
        <w:t xml:space="preserve"> by Law for the Practice for Journalism, Advisory Opinion OC-5/85, Inter-</w:t>
      </w:r>
      <w:proofErr w:type="spellStart"/>
      <w:r w:rsidR="00C0400D" w:rsidRPr="00B81C3D">
        <w:rPr>
          <w:sz w:val="24"/>
          <w:szCs w:val="24"/>
        </w:rPr>
        <w:t>Am.Ct</w:t>
      </w:r>
      <w:proofErr w:type="spellEnd"/>
      <w:r w:rsidR="00C0400D" w:rsidRPr="00B81C3D">
        <w:rPr>
          <w:sz w:val="24"/>
          <w:szCs w:val="24"/>
        </w:rPr>
        <w:t>. H.R. (ser. A) No. 5, ¶64 (1985).</w:t>
      </w:r>
    </w:p>
  </w:footnote>
  <w:footnote w:id="118">
    <w:p w14:paraId="607384A9" w14:textId="0A8B36AB"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sz w:val="24"/>
          <w:szCs w:val="24"/>
        </w:rPr>
        <w:t xml:space="preserve">Gauthier v. Canada, Merits, U.N. </w:t>
      </w:r>
      <w:proofErr w:type="spellStart"/>
      <w:r w:rsidR="00C0400D" w:rsidRPr="00B81C3D">
        <w:rPr>
          <w:sz w:val="24"/>
          <w:szCs w:val="24"/>
        </w:rPr>
        <w:t>Doc.CCPR</w:t>
      </w:r>
      <w:proofErr w:type="spellEnd"/>
      <w:r w:rsidR="00C0400D" w:rsidRPr="00B81C3D">
        <w:rPr>
          <w:sz w:val="24"/>
          <w:szCs w:val="24"/>
        </w:rPr>
        <w:t xml:space="preserve">/C/65/D/633/1995, </w:t>
      </w:r>
      <w:r w:rsidR="00C0400D" w:rsidRPr="00B81C3D">
        <w:rPr>
          <w:sz w:val="24"/>
          <w:szCs w:val="24"/>
          <w:lang w:val="en-US"/>
        </w:rPr>
        <w:t>¶13.4</w:t>
      </w:r>
      <w:r w:rsidR="00C0400D" w:rsidRPr="00B81C3D">
        <w:rPr>
          <w:sz w:val="24"/>
          <w:szCs w:val="24"/>
        </w:rPr>
        <w:t xml:space="preserve"> (1999).</w:t>
      </w:r>
    </w:p>
  </w:footnote>
  <w:footnote w:id="119">
    <w:p w14:paraId="25B80747" w14:textId="5ACDD0A6" w:rsidR="00BF2DA6" w:rsidRPr="00B81C3D" w:rsidRDefault="00BF2DA6" w:rsidP="000E4258">
      <w:pPr>
        <w:pStyle w:val="FootnoteText"/>
        <w:spacing w:afterLines="30" w:after="72"/>
        <w:rPr>
          <w:sz w:val="24"/>
          <w:szCs w:val="24"/>
          <w:lang w:val="en-US"/>
        </w:rPr>
      </w:pPr>
      <w:r w:rsidRPr="00B81C3D">
        <w:rPr>
          <w:rStyle w:val="FootnoteReference"/>
          <w:sz w:val="24"/>
          <w:szCs w:val="24"/>
        </w:rPr>
        <w:footnoteRef/>
      </w:r>
      <w:r w:rsidRPr="00B81C3D">
        <w:rPr>
          <w:sz w:val="24"/>
          <w:szCs w:val="24"/>
        </w:rPr>
        <w:t xml:space="preserve"> </w:t>
      </w:r>
      <w:proofErr w:type="spellStart"/>
      <w:r w:rsidR="006473B8" w:rsidRPr="00B81C3D">
        <w:rPr>
          <w:i/>
          <w:iCs/>
          <w:sz w:val="24"/>
          <w:szCs w:val="24"/>
        </w:rPr>
        <w:t>Compromis</w:t>
      </w:r>
      <w:proofErr w:type="spellEnd"/>
      <w:r w:rsidR="006473B8" w:rsidRPr="00B81C3D">
        <w:rPr>
          <w:sz w:val="24"/>
          <w:szCs w:val="24"/>
        </w:rPr>
        <w:t>, ¶29.</w:t>
      </w:r>
    </w:p>
  </w:footnote>
  <w:footnote w:id="120">
    <w:p w14:paraId="4FF6B00A" w14:textId="77777777" w:rsidR="00DB40D8" w:rsidRPr="00B81C3D" w:rsidRDefault="00DB40D8" w:rsidP="00DB40D8">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Compromis</w:t>
      </w:r>
      <w:proofErr w:type="spellEnd"/>
      <w:r w:rsidRPr="00B81C3D">
        <w:rPr>
          <w:sz w:val="24"/>
          <w:szCs w:val="24"/>
        </w:rPr>
        <w:t>, ¶22.</w:t>
      </w:r>
    </w:p>
  </w:footnote>
  <w:footnote w:id="121">
    <w:p w14:paraId="4AB53EE8" w14:textId="77777777"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Compromis</w:t>
      </w:r>
      <w:proofErr w:type="spellEnd"/>
      <w:r w:rsidRPr="00B81C3D">
        <w:rPr>
          <w:sz w:val="24"/>
          <w:szCs w:val="24"/>
        </w:rPr>
        <w:t>, ¶27</w:t>
      </w:r>
    </w:p>
  </w:footnote>
  <w:footnote w:id="122">
    <w:p w14:paraId="263B1942" w14:textId="19BCF007"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sz w:val="24"/>
          <w:szCs w:val="24"/>
          <w:lang w:val="en-US"/>
        </w:rPr>
        <w:t>, ¶</w:t>
      </w:r>
      <w:r w:rsidR="00FE40FD" w:rsidRPr="00B81C3D">
        <w:rPr>
          <w:sz w:val="24"/>
          <w:szCs w:val="24"/>
          <w:lang w:val="en-US"/>
        </w:rPr>
        <w:t>¶</w:t>
      </w:r>
      <w:r w:rsidRPr="00B81C3D">
        <w:rPr>
          <w:sz w:val="24"/>
          <w:szCs w:val="24"/>
          <w:lang w:val="en-US"/>
        </w:rPr>
        <w:t>26,28</w:t>
      </w:r>
      <w:r w:rsidR="00FE40FD" w:rsidRPr="00B81C3D">
        <w:rPr>
          <w:sz w:val="24"/>
          <w:szCs w:val="24"/>
          <w:lang w:val="en-US"/>
        </w:rPr>
        <w:t>-</w:t>
      </w:r>
      <w:r w:rsidRPr="00B81C3D">
        <w:rPr>
          <w:sz w:val="24"/>
          <w:szCs w:val="24"/>
          <w:lang w:val="en-US"/>
        </w:rPr>
        <w:t>29.</w:t>
      </w:r>
    </w:p>
  </w:footnote>
  <w:footnote w:id="123">
    <w:p w14:paraId="3A7AFF4F" w14:textId="021B2194" w:rsidR="00310CFA" w:rsidRPr="00B81C3D" w:rsidRDefault="00310CFA" w:rsidP="000E4258">
      <w:pPr>
        <w:pStyle w:val="FootnoteText"/>
        <w:spacing w:afterLines="30" w:after="72"/>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sz w:val="24"/>
          <w:szCs w:val="24"/>
          <w:lang w:val="en-US"/>
        </w:rPr>
        <w:t>, ¶28.</w:t>
      </w:r>
    </w:p>
  </w:footnote>
  <w:footnote w:id="124">
    <w:p w14:paraId="4444BDB0" w14:textId="0050EEF9"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sz w:val="24"/>
          <w:szCs w:val="24"/>
        </w:rPr>
        <w:t xml:space="preserve">Ross v. Canada, Merits, U.N. Doc. CCPR/C/70/D/736/1997, </w:t>
      </w:r>
      <w:r w:rsidR="00C0400D" w:rsidRPr="00B81C3D">
        <w:rPr>
          <w:sz w:val="24"/>
          <w:szCs w:val="24"/>
          <w:lang w:val="en-US"/>
        </w:rPr>
        <w:t>¶11.6</w:t>
      </w:r>
      <w:r w:rsidR="00C0400D" w:rsidRPr="00B81C3D">
        <w:rPr>
          <w:sz w:val="24"/>
          <w:szCs w:val="24"/>
        </w:rPr>
        <w:t>(2000).</w:t>
      </w:r>
    </w:p>
  </w:footnote>
  <w:footnote w:id="125">
    <w:p w14:paraId="1C2DD212" w14:textId="202598B9"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GC 34,</w:t>
      </w:r>
      <w:r w:rsidR="00355D5A" w:rsidRPr="00B81C3D">
        <w:rPr>
          <w:sz w:val="24"/>
          <w:szCs w:val="24"/>
          <w:lang w:val="en-US"/>
        </w:rPr>
        <w:t xml:space="preserve"> </w:t>
      </w:r>
      <w:r w:rsidR="00C0400D" w:rsidRPr="00B81C3D">
        <w:rPr>
          <w:sz w:val="24"/>
          <w:szCs w:val="24"/>
          <w:lang w:val="en-US"/>
        </w:rPr>
        <w:t>¶</w:t>
      </w:r>
      <w:r w:rsidRPr="00B81C3D">
        <w:rPr>
          <w:sz w:val="24"/>
          <w:szCs w:val="24"/>
          <w:lang w:val="en-US"/>
        </w:rPr>
        <w:t>33</w:t>
      </w:r>
      <w:r w:rsidR="00C0400D" w:rsidRPr="00B81C3D">
        <w:rPr>
          <w:sz w:val="24"/>
          <w:szCs w:val="24"/>
          <w:lang w:val="en-US"/>
        </w:rPr>
        <w:t>.</w:t>
      </w:r>
    </w:p>
  </w:footnote>
  <w:footnote w:id="126">
    <w:p w14:paraId="24E0BACE" w14:textId="26D2C12B" w:rsidR="007428CC" w:rsidRPr="00B81C3D" w:rsidRDefault="007428CC" w:rsidP="00FE40FD">
      <w:pPr>
        <w:pStyle w:val="FootnoteText"/>
        <w:spacing w:after="0"/>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sz w:val="24"/>
          <w:szCs w:val="24"/>
        </w:rPr>
        <w:t xml:space="preserve">Greece v. </w:t>
      </w:r>
      <w:r w:rsidR="00511581" w:rsidRPr="00B81C3D">
        <w:rPr>
          <w:sz w:val="24"/>
          <w:szCs w:val="24"/>
        </w:rPr>
        <w:t>UK</w:t>
      </w:r>
      <w:r w:rsidR="00C0400D" w:rsidRPr="00B81C3D">
        <w:rPr>
          <w:sz w:val="24"/>
          <w:szCs w:val="24"/>
        </w:rPr>
        <w:t xml:space="preserve">, Application No. 176/56, Judgment, ECHR (1956); </w:t>
      </w:r>
      <w:proofErr w:type="spellStart"/>
      <w:r w:rsidR="00C0400D" w:rsidRPr="00B81C3D">
        <w:rPr>
          <w:sz w:val="24"/>
          <w:szCs w:val="24"/>
        </w:rPr>
        <w:t>Handyside</w:t>
      </w:r>
      <w:proofErr w:type="spellEnd"/>
      <w:r w:rsidR="00C0400D" w:rsidRPr="00B81C3D">
        <w:rPr>
          <w:sz w:val="24"/>
          <w:szCs w:val="24"/>
        </w:rPr>
        <w:t xml:space="preserve"> v. The United Kingdom, Application No. 5493/72, Judgment, ECHR, 49 (1976)</w:t>
      </w:r>
      <w:r w:rsidR="00736BA0" w:rsidRPr="00B81C3D">
        <w:rPr>
          <w:sz w:val="24"/>
          <w:szCs w:val="24"/>
        </w:rPr>
        <w:t>.</w:t>
      </w:r>
    </w:p>
  </w:footnote>
  <w:footnote w:id="127">
    <w:p w14:paraId="5C6B4880" w14:textId="7DB94676" w:rsidR="007428CC" w:rsidRPr="00B81C3D" w:rsidRDefault="007428CC" w:rsidP="00FE40FD">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00C0400D" w:rsidRPr="00B81C3D">
        <w:rPr>
          <w:i/>
          <w:iCs/>
          <w:sz w:val="24"/>
          <w:szCs w:val="24"/>
          <w:lang w:val="en-US"/>
        </w:rPr>
        <w:t>,</w:t>
      </w:r>
      <w:r w:rsidR="00C0400D" w:rsidRPr="00B81C3D">
        <w:rPr>
          <w:sz w:val="24"/>
          <w:szCs w:val="24"/>
          <w:lang w:val="en-US"/>
        </w:rPr>
        <w:t xml:space="preserve"> ¶33.</w:t>
      </w:r>
    </w:p>
  </w:footnote>
  <w:footnote w:id="128">
    <w:p w14:paraId="1AC94446" w14:textId="5D60C07B" w:rsidR="007428CC" w:rsidRPr="00B81C3D" w:rsidRDefault="007428CC" w:rsidP="00FE40FD">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C0400D" w:rsidRPr="00B81C3D">
        <w:rPr>
          <w:sz w:val="24"/>
          <w:szCs w:val="24"/>
        </w:rPr>
        <w:t xml:space="preserve">Ross v. Canada, </w:t>
      </w:r>
      <w:r w:rsidR="00FE40FD" w:rsidRPr="00B81C3D">
        <w:rPr>
          <w:sz w:val="24"/>
          <w:szCs w:val="24"/>
        </w:rPr>
        <w:t>n147</w:t>
      </w:r>
      <w:r w:rsidR="00C0400D" w:rsidRPr="00B81C3D">
        <w:rPr>
          <w:sz w:val="24"/>
          <w:szCs w:val="24"/>
        </w:rPr>
        <w:t>, ¶¶2.1-2 .3,4.3-4.4, 11.6.</w:t>
      </w:r>
    </w:p>
  </w:footnote>
  <w:footnote w:id="129">
    <w:p w14:paraId="364CE8E1" w14:textId="652AA74C" w:rsidR="007428CC" w:rsidRPr="00B81C3D" w:rsidRDefault="007428CC" w:rsidP="00FE40FD">
      <w:pPr>
        <w:pStyle w:val="NoSpacing"/>
        <w:spacing w:after="0"/>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C0400D" w:rsidRPr="00B81C3D">
        <w:rPr>
          <w:sz w:val="24"/>
          <w:szCs w:val="24"/>
        </w:rPr>
        <w:t>Perinçek</w:t>
      </w:r>
      <w:proofErr w:type="spellEnd"/>
      <w:r w:rsidR="00C0400D" w:rsidRPr="00B81C3D">
        <w:rPr>
          <w:sz w:val="24"/>
          <w:szCs w:val="24"/>
        </w:rPr>
        <w:t xml:space="preserve"> v. Switzerland, Application No. 2715/80, Judgment, ECHR, ¶230 (2015); </w:t>
      </w:r>
      <w:proofErr w:type="spellStart"/>
      <w:r w:rsidR="00C0400D" w:rsidRPr="00B81C3D">
        <w:rPr>
          <w:sz w:val="24"/>
          <w:szCs w:val="24"/>
        </w:rPr>
        <w:t>Féret</w:t>
      </w:r>
      <w:proofErr w:type="spellEnd"/>
      <w:r w:rsidR="00C0400D" w:rsidRPr="00B81C3D">
        <w:rPr>
          <w:sz w:val="24"/>
          <w:szCs w:val="24"/>
        </w:rPr>
        <w:t xml:space="preserve"> v. Belgium, Application No. 15615/07, Judgment, ECHR, ¶76 (2009)</w:t>
      </w:r>
      <w:r w:rsidR="004035EB" w:rsidRPr="00B81C3D">
        <w:rPr>
          <w:sz w:val="24"/>
          <w:szCs w:val="24"/>
        </w:rPr>
        <w:t>.</w:t>
      </w:r>
    </w:p>
  </w:footnote>
  <w:footnote w:id="130">
    <w:p w14:paraId="3F8EC319" w14:textId="712F0362" w:rsidR="007428CC" w:rsidRPr="00B81C3D" w:rsidRDefault="007428CC" w:rsidP="00FE40FD">
      <w:pPr>
        <w:pStyle w:val="NoSpacing"/>
        <w:spacing w:afterLines="30" w:after="72"/>
        <w:ind w:left="567" w:hanging="567"/>
        <w:rPr>
          <w:color w:val="000000"/>
          <w:sz w:val="24"/>
          <w:szCs w:val="24"/>
        </w:rPr>
      </w:pPr>
      <w:r w:rsidRPr="00B81C3D">
        <w:rPr>
          <w:sz w:val="24"/>
          <w:szCs w:val="24"/>
          <w:vertAlign w:val="superscript"/>
        </w:rPr>
        <w:footnoteRef/>
      </w:r>
      <w:r w:rsidRPr="00B81C3D">
        <w:rPr>
          <w:color w:val="000000"/>
          <w:sz w:val="24"/>
          <w:szCs w:val="24"/>
        </w:rPr>
        <w:t xml:space="preserve"> </w:t>
      </w:r>
      <w:r w:rsidR="00736BA0" w:rsidRPr="00B81C3D">
        <w:rPr>
          <w:sz w:val="24"/>
          <w:szCs w:val="24"/>
        </w:rPr>
        <w:t>CRS</w:t>
      </w:r>
      <w:r w:rsidRPr="00B81C3D">
        <w:rPr>
          <w:sz w:val="24"/>
          <w:szCs w:val="24"/>
        </w:rPr>
        <w:t xml:space="preserve">, art. 8, </w:t>
      </w:r>
      <w:r w:rsidRPr="00B81C3D">
        <w:rPr>
          <w:color w:val="202124"/>
          <w:sz w:val="24"/>
          <w:szCs w:val="24"/>
        </w:rPr>
        <w:t>¶</w:t>
      </w:r>
      <w:r w:rsidRPr="00B81C3D">
        <w:rPr>
          <w:sz w:val="24"/>
          <w:szCs w:val="24"/>
        </w:rPr>
        <w:t xml:space="preserve">4. </w:t>
      </w:r>
    </w:p>
  </w:footnote>
  <w:footnote w:id="131">
    <w:p w14:paraId="62DF7B3C" w14:textId="3060F137" w:rsidR="007428CC" w:rsidRPr="00B81C3D" w:rsidRDefault="007428CC" w:rsidP="00FE40FD">
      <w:pPr>
        <w:pStyle w:val="NoSpacing"/>
        <w:spacing w:afterLines="30" w:after="72"/>
        <w:ind w:left="567" w:hanging="567"/>
        <w:rPr>
          <w:sz w:val="24"/>
          <w:szCs w:val="24"/>
        </w:rPr>
      </w:pPr>
      <w:r w:rsidRPr="00B81C3D">
        <w:rPr>
          <w:sz w:val="24"/>
          <w:szCs w:val="24"/>
          <w:vertAlign w:val="superscript"/>
        </w:rPr>
        <w:footnoteRef/>
      </w:r>
      <w:r w:rsidRPr="00B81C3D">
        <w:rPr>
          <w:sz w:val="24"/>
          <w:szCs w:val="24"/>
        </w:rPr>
        <w:t xml:space="preserve"> </w:t>
      </w:r>
      <w:r w:rsidR="00C0400D" w:rsidRPr="00B81C3D">
        <w:rPr>
          <w:sz w:val="24"/>
          <w:szCs w:val="24"/>
        </w:rPr>
        <w:t xml:space="preserve">Ramadan v. Malta, Application No. 76136/12, Judgment, ECHR, </w:t>
      </w:r>
      <w:r w:rsidR="00C0400D" w:rsidRPr="00B81C3D">
        <w:rPr>
          <w:color w:val="202124"/>
          <w:sz w:val="24"/>
          <w:szCs w:val="24"/>
        </w:rPr>
        <w:t>¶87 (2016)</w:t>
      </w:r>
      <w:r w:rsidR="004035EB" w:rsidRPr="00B81C3D">
        <w:rPr>
          <w:color w:val="202124"/>
          <w:sz w:val="24"/>
          <w:szCs w:val="24"/>
        </w:rPr>
        <w:t>.</w:t>
      </w:r>
    </w:p>
  </w:footnote>
  <w:footnote w:id="132">
    <w:p w14:paraId="32878EE1" w14:textId="5D494F58" w:rsidR="007428CC" w:rsidRPr="00B81C3D" w:rsidRDefault="007428CC"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sz w:val="24"/>
          <w:szCs w:val="24"/>
          <w:lang w:val="en-US"/>
        </w:rPr>
        <w:t>, ¶</w:t>
      </w:r>
      <w:r w:rsidR="00FE40FD" w:rsidRPr="00B81C3D">
        <w:rPr>
          <w:sz w:val="24"/>
          <w:szCs w:val="24"/>
          <w:lang w:val="en-US"/>
        </w:rPr>
        <w:t>¶</w:t>
      </w:r>
      <w:r w:rsidRPr="00B81C3D">
        <w:rPr>
          <w:sz w:val="24"/>
          <w:szCs w:val="24"/>
          <w:lang w:val="en-US"/>
        </w:rPr>
        <w:t>33</w:t>
      </w:r>
      <w:r w:rsidR="00FE40FD" w:rsidRPr="00B81C3D">
        <w:rPr>
          <w:sz w:val="24"/>
          <w:szCs w:val="24"/>
          <w:lang w:val="en-US"/>
        </w:rPr>
        <w:t>&amp;</w:t>
      </w:r>
      <w:r w:rsidRPr="00B81C3D">
        <w:rPr>
          <w:sz w:val="24"/>
          <w:szCs w:val="24"/>
          <w:lang w:val="en-US"/>
        </w:rPr>
        <w:t>34.</w:t>
      </w:r>
    </w:p>
  </w:footnote>
  <w:footnote w:id="133">
    <w:p w14:paraId="15811EAA" w14:textId="1212A652" w:rsidR="007428CC" w:rsidRPr="00B81C3D" w:rsidRDefault="007428CC" w:rsidP="00FE40FD">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C0400D" w:rsidRPr="00B81C3D">
        <w:rPr>
          <w:sz w:val="24"/>
          <w:szCs w:val="24"/>
        </w:rPr>
        <w:t>Anudo</w:t>
      </w:r>
      <w:proofErr w:type="spellEnd"/>
      <w:r w:rsidR="00C0400D" w:rsidRPr="00B81C3D">
        <w:rPr>
          <w:sz w:val="24"/>
          <w:szCs w:val="24"/>
        </w:rPr>
        <w:t xml:space="preserve"> v. United Republic of Tanzania, Application No. 012/205, Judgment, AU, ¶79 (2018)</w:t>
      </w:r>
      <w:r w:rsidR="004035EB" w:rsidRPr="00B81C3D">
        <w:rPr>
          <w:sz w:val="24"/>
          <w:szCs w:val="24"/>
        </w:rPr>
        <w:t>.</w:t>
      </w:r>
    </w:p>
  </w:footnote>
  <w:footnote w:id="134">
    <w:p w14:paraId="513B71EE" w14:textId="4FD14396" w:rsidR="006067C6" w:rsidRPr="00B81C3D" w:rsidRDefault="006067C6" w:rsidP="006067C6">
      <w:pPr>
        <w:pStyle w:val="FootnoteText"/>
        <w:spacing w:after="0"/>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K2 v. UK, Application No. 42387/13, Judgment, ECHR, </w:t>
      </w:r>
      <w:r w:rsidRPr="00B81C3D">
        <w:rPr>
          <w:color w:val="3F3F3F"/>
          <w:sz w:val="24"/>
          <w:szCs w:val="24"/>
        </w:rPr>
        <w:t>¶¶52-58 (2017)</w:t>
      </w:r>
      <w:r w:rsidR="00511581" w:rsidRPr="00B81C3D">
        <w:rPr>
          <w:color w:val="3F3F3F"/>
          <w:sz w:val="24"/>
          <w:szCs w:val="24"/>
        </w:rPr>
        <w:t>.</w:t>
      </w:r>
    </w:p>
  </w:footnote>
  <w:footnote w:id="135">
    <w:p w14:paraId="3B25AB17" w14:textId="16114D85" w:rsidR="007428CC" w:rsidRPr="00B81C3D" w:rsidRDefault="007428CC" w:rsidP="00FE40FD">
      <w:pPr>
        <w:pStyle w:val="NoSpacing"/>
        <w:spacing w:afterLines="30" w:after="72"/>
        <w:ind w:left="567" w:hanging="567"/>
        <w:rPr>
          <w:color w:val="3F3F3F"/>
          <w:sz w:val="24"/>
          <w:szCs w:val="24"/>
        </w:rPr>
      </w:pPr>
      <w:r w:rsidRPr="00B81C3D">
        <w:rPr>
          <w:rStyle w:val="FootnoteReference"/>
          <w:sz w:val="24"/>
          <w:szCs w:val="24"/>
        </w:rPr>
        <w:footnoteRef/>
      </w:r>
      <w:r w:rsidRPr="00B81C3D">
        <w:rPr>
          <w:sz w:val="24"/>
          <w:szCs w:val="24"/>
        </w:rPr>
        <w:t xml:space="preserve"> </w:t>
      </w:r>
      <w:proofErr w:type="spellStart"/>
      <w:r w:rsidR="00511581" w:rsidRPr="00B81C3D">
        <w:rPr>
          <w:color w:val="000000" w:themeColor="text1"/>
          <w:sz w:val="24"/>
          <w:szCs w:val="24"/>
        </w:rPr>
        <w:t>Laraba</w:t>
      </w:r>
      <w:proofErr w:type="spellEnd"/>
      <w:r w:rsidR="00511581" w:rsidRPr="00B81C3D">
        <w:rPr>
          <w:color w:val="000000" w:themeColor="text1"/>
          <w:sz w:val="24"/>
          <w:szCs w:val="24"/>
        </w:rPr>
        <w:t xml:space="preserve"> v. Denmark, Application No. 26781/19, Judgment, ECHR, ¶¶16-20 (2022); </w:t>
      </w:r>
      <w:proofErr w:type="spellStart"/>
      <w:r w:rsidR="00511581" w:rsidRPr="00B81C3D">
        <w:rPr>
          <w:color w:val="000000" w:themeColor="text1"/>
          <w:sz w:val="24"/>
          <w:szCs w:val="24"/>
        </w:rPr>
        <w:t>Ghoumid</w:t>
      </w:r>
      <w:proofErr w:type="spellEnd"/>
      <w:r w:rsidR="00511581" w:rsidRPr="00B81C3D">
        <w:rPr>
          <w:color w:val="000000" w:themeColor="text1"/>
          <w:sz w:val="24"/>
          <w:szCs w:val="24"/>
        </w:rPr>
        <w:t xml:space="preserve"> v. France, Application Nos. 52273/16, ECHR, ¶¶44-48 (2020)</w:t>
      </w:r>
      <w:r w:rsidR="00FE40FD" w:rsidRPr="00B81C3D">
        <w:rPr>
          <w:color w:val="000000" w:themeColor="text1"/>
          <w:sz w:val="24"/>
          <w:szCs w:val="24"/>
        </w:rPr>
        <w:t>.</w:t>
      </w:r>
    </w:p>
  </w:footnote>
  <w:footnote w:id="136">
    <w:p w14:paraId="2F21595D" w14:textId="2645275F" w:rsidR="007428CC" w:rsidRPr="00B81C3D" w:rsidRDefault="007428CC" w:rsidP="00FE40FD">
      <w:pPr>
        <w:pStyle w:val="FootnoteText"/>
        <w:spacing w:afterLines="30" w:after="72"/>
        <w:ind w:left="567" w:hanging="567"/>
        <w:rPr>
          <w:b/>
          <w:bCs/>
          <w:sz w:val="24"/>
          <w:szCs w:val="24"/>
          <w:lang w:val="en-US"/>
        </w:rPr>
      </w:pPr>
      <w:r w:rsidRPr="00B81C3D">
        <w:rPr>
          <w:rStyle w:val="FootnoteReference"/>
          <w:sz w:val="24"/>
          <w:szCs w:val="24"/>
        </w:rPr>
        <w:footnoteRef/>
      </w:r>
      <w:r w:rsidRPr="00B81C3D">
        <w:rPr>
          <w:sz w:val="24"/>
          <w:szCs w:val="24"/>
        </w:rPr>
        <w:t xml:space="preserve"> </w:t>
      </w:r>
      <w:r w:rsidR="009E1DC1" w:rsidRPr="00B81C3D">
        <w:rPr>
          <w:i/>
          <w:iCs/>
          <w:sz w:val="24"/>
          <w:szCs w:val="24"/>
          <w:lang w:val="en-US"/>
        </w:rPr>
        <w:t>Supra</w:t>
      </w:r>
      <w:r w:rsidR="009E1DC1" w:rsidRPr="00B81C3D">
        <w:rPr>
          <w:sz w:val="24"/>
          <w:szCs w:val="24"/>
          <w:lang w:val="en-US"/>
        </w:rPr>
        <w:t xml:space="preserve"> </w:t>
      </w:r>
      <w:r w:rsidR="009E1DC1" w:rsidRPr="00B81C3D">
        <w:rPr>
          <w:b/>
          <w:bCs/>
          <w:sz w:val="24"/>
          <w:szCs w:val="24"/>
          <w:lang w:val="en-US"/>
        </w:rPr>
        <w:t>Part II.B.</w:t>
      </w:r>
    </w:p>
  </w:footnote>
  <w:footnote w:id="137">
    <w:p w14:paraId="2D6E0D9E" w14:textId="5042F073" w:rsidR="007428CC" w:rsidRPr="00B81C3D" w:rsidRDefault="007428CC" w:rsidP="00FE40FD">
      <w:pPr>
        <w:pStyle w:val="FootnoteText"/>
        <w:spacing w:afterLines="30" w:after="72"/>
        <w:ind w:left="567" w:hanging="567"/>
        <w:rPr>
          <w:b/>
          <w:bCs/>
          <w:sz w:val="24"/>
          <w:szCs w:val="24"/>
          <w:lang w:val="en-US"/>
        </w:rPr>
      </w:pPr>
      <w:r w:rsidRPr="00B81C3D">
        <w:rPr>
          <w:rStyle w:val="FootnoteReference"/>
          <w:sz w:val="24"/>
          <w:szCs w:val="24"/>
        </w:rPr>
        <w:footnoteRef/>
      </w:r>
      <w:r w:rsidRPr="00B81C3D">
        <w:rPr>
          <w:sz w:val="24"/>
          <w:szCs w:val="24"/>
        </w:rPr>
        <w:t xml:space="preserve"> </w:t>
      </w:r>
      <w:r w:rsidR="009E1DC1" w:rsidRPr="00B81C3D">
        <w:rPr>
          <w:i/>
          <w:iCs/>
          <w:sz w:val="24"/>
          <w:szCs w:val="24"/>
        </w:rPr>
        <w:t>Supra</w:t>
      </w:r>
      <w:r w:rsidR="009E1DC1" w:rsidRPr="00B81C3D">
        <w:rPr>
          <w:sz w:val="24"/>
          <w:szCs w:val="24"/>
        </w:rPr>
        <w:t xml:space="preserve"> </w:t>
      </w:r>
      <w:r w:rsidR="009E1DC1" w:rsidRPr="00B81C3D">
        <w:rPr>
          <w:b/>
          <w:bCs/>
          <w:sz w:val="24"/>
          <w:szCs w:val="24"/>
        </w:rPr>
        <w:t>Part II.B.</w:t>
      </w:r>
    </w:p>
  </w:footnote>
  <w:footnote w:id="138">
    <w:p w14:paraId="7ED6D351" w14:textId="618E663E" w:rsidR="007428CC" w:rsidRPr="00B81C3D" w:rsidRDefault="007428CC" w:rsidP="00FE40FD">
      <w:pPr>
        <w:pStyle w:val="NoSpacing"/>
        <w:spacing w:afterLines="30" w:after="72"/>
        <w:ind w:left="567" w:hanging="567"/>
        <w:rPr>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proofErr w:type="spellStart"/>
      <w:r w:rsidR="009E1DC1" w:rsidRPr="00B81C3D">
        <w:rPr>
          <w:i/>
          <w:iCs/>
          <w:color w:val="000000" w:themeColor="text1"/>
          <w:sz w:val="24"/>
          <w:szCs w:val="24"/>
        </w:rPr>
        <w:t>Laraba</w:t>
      </w:r>
      <w:proofErr w:type="spellEnd"/>
      <w:r w:rsidR="009E1DC1" w:rsidRPr="00B81C3D">
        <w:rPr>
          <w:i/>
          <w:iCs/>
          <w:color w:val="000000" w:themeColor="text1"/>
          <w:sz w:val="24"/>
          <w:szCs w:val="24"/>
        </w:rPr>
        <w:t xml:space="preserve"> v. Denmark</w:t>
      </w:r>
      <w:r w:rsidR="009E1DC1" w:rsidRPr="00B81C3D">
        <w:rPr>
          <w:color w:val="000000" w:themeColor="text1"/>
          <w:sz w:val="24"/>
          <w:szCs w:val="24"/>
        </w:rPr>
        <w:t>, ¶</w:t>
      </w:r>
      <w:r w:rsidR="00FE40FD" w:rsidRPr="00B81C3D">
        <w:rPr>
          <w:color w:val="000000" w:themeColor="text1"/>
          <w:sz w:val="24"/>
          <w:szCs w:val="24"/>
        </w:rPr>
        <w:t>¶</w:t>
      </w:r>
      <w:r w:rsidR="009E1DC1" w:rsidRPr="00B81C3D">
        <w:rPr>
          <w:color w:val="000000" w:themeColor="text1"/>
          <w:sz w:val="24"/>
          <w:szCs w:val="24"/>
        </w:rPr>
        <w:t>16-20</w:t>
      </w:r>
      <w:r w:rsidR="00FE40FD" w:rsidRPr="00B81C3D">
        <w:rPr>
          <w:color w:val="000000" w:themeColor="text1"/>
          <w:sz w:val="24"/>
          <w:szCs w:val="24"/>
        </w:rPr>
        <w:t>.</w:t>
      </w:r>
    </w:p>
  </w:footnote>
  <w:footnote w:id="139">
    <w:p w14:paraId="6184AC81" w14:textId="77777777"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sz w:val="24"/>
          <w:szCs w:val="24"/>
        </w:rPr>
        <w:t>Compromis</w:t>
      </w:r>
      <w:proofErr w:type="spellEnd"/>
      <w:r w:rsidRPr="00B81C3D">
        <w:rPr>
          <w:sz w:val="24"/>
          <w:szCs w:val="24"/>
        </w:rPr>
        <w:t>, ¶19.</w:t>
      </w:r>
    </w:p>
  </w:footnote>
  <w:footnote w:id="140">
    <w:p w14:paraId="39DAC5FA" w14:textId="30D79ACB"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sz w:val="24"/>
          <w:szCs w:val="24"/>
        </w:rPr>
        <w:t>Avena</w:t>
      </w:r>
      <w:proofErr w:type="spellEnd"/>
      <w:r w:rsidRPr="00B81C3D">
        <w:rPr>
          <w:sz w:val="24"/>
          <w:szCs w:val="24"/>
        </w:rPr>
        <w:t xml:space="preserve"> and Other Mexican Nationals (Mexico v. United States of America), 2004 I.C. J. Rep. 12, 52 [“</w:t>
      </w:r>
      <w:proofErr w:type="spellStart"/>
      <w:r w:rsidRPr="00B81C3D">
        <w:rPr>
          <w:b/>
          <w:bCs/>
          <w:i/>
          <w:iCs/>
          <w:sz w:val="24"/>
          <w:szCs w:val="24"/>
        </w:rPr>
        <w:t>Avena</w:t>
      </w:r>
      <w:proofErr w:type="spellEnd"/>
      <w:r w:rsidRPr="00B81C3D">
        <w:rPr>
          <w:sz w:val="24"/>
          <w:szCs w:val="24"/>
        </w:rPr>
        <w:t>”], ¶50</w:t>
      </w:r>
      <w:r w:rsidRPr="00B81C3D">
        <w:rPr>
          <w:rStyle w:val="message-time"/>
          <w:rFonts w:eastAsiaTheme="majorEastAsia"/>
          <w:sz w:val="24"/>
          <w:szCs w:val="24"/>
        </w:rPr>
        <w:t>.</w:t>
      </w:r>
    </w:p>
  </w:footnote>
  <w:footnote w:id="141">
    <w:p w14:paraId="0DE8FEB5" w14:textId="56D729CD" w:rsidR="00080594" w:rsidRPr="00B81C3D" w:rsidRDefault="00080594" w:rsidP="00080594">
      <w:pPr>
        <w:pStyle w:val="FootnoteText"/>
        <w:spacing w:afterLines="30" w:after="72"/>
        <w:ind w:left="567" w:hanging="567"/>
        <w:rPr>
          <w:color w:val="000000" w:themeColor="text1"/>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r w:rsidRPr="00B81C3D">
        <w:rPr>
          <w:i/>
          <w:iCs/>
          <w:color w:val="000000" w:themeColor="text1"/>
          <w:sz w:val="24"/>
          <w:szCs w:val="24"/>
          <w:lang w:val="en-US"/>
        </w:rPr>
        <w:t>Nationality Decrees,</w:t>
      </w:r>
      <w:r w:rsidRPr="00B81C3D">
        <w:rPr>
          <w:color w:val="000000" w:themeColor="text1"/>
          <w:sz w:val="24"/>
          <w:szCs w:val="24"/>
          <w:lang w:val="en-US"/>
        </w:rPr>
        <w:t xml:space="preserve"> 24.</w:t>
      </w:r>
    </w:p>
  </w:footnote>
  <w:footnote w:id="142">
    <w:p w14:paraId="18E9DDFE" w14:textId="77777777"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Convention on Certain Questions Relating to the Conflict of Nationality Law, art. 1, 1930, 179 L.N.T.S. 89 [“</w:t>
      </w:r>
      <w:r w:rsidRPr="00B81C3D">
        <w:rPr>
          <w:b/>
          <w:bCs/>
          <w:sz w:val="24"/>
          <w:szCs w:val="24"/>
        </w:rPr>
        <w:t>1930 Hague Convention</w:t>
      </w:r>
      <w:r w:rsidRPr="00B81C3D">
        <w:rPr>
          <w:sz w:val="24"/>
          <w:szCs w:val="24"/>
        </w:rPr>
        <w:t>”].</w:t>
      </w:r>
    </w:p>
  </w:footnote>
  <w:footnote w:id="143">
    <w:p w14:paraId="5EF60867" w14:textId="7D9B3EC2"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355D5A" w:rsidRPr="00B81C3D">
        <w:rPr>
          <w:iCs/>
          <w:sz w:val="24"/>
          <w:szCs w:val="24"/>
        </w:rPr>
        <w:t>1930 Hague Convention</w:t>
      </w:r>
      <w:r w:rsidRPr="00B81C3D">
        <w:rPr>
          <w:sz w:val="24"/>
          <w:szCs w:val="24"/>
        </w:rPr>
        <w:t>, art. 1.</w:t>
      </w:r>
    </w:p>
  </w:footnote>
  <w:footnote w:id="144">
    <w:p w14:paraId="1FAD3AED" w14:textId="7434A1A0"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BE7E09" w:rsidRPr="00B81C3D">
        <w:rPr>
          <w:sz w:val="24"/>
          <w:szCs w:val="24"/>
        </w:rPr>
        <w:t>European Convention on Nationality, art. 3, 1997, E.T.S. 166.</w:t>
      </w:r>
    </w:p>
  </w:footnote>
  <w:footnote w:id="145">
    <w:p w14:paraId="53BA51F7" w14:textId="71BA0946"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BE7E09" w:rsidRPr="00B81C3D">
        <w:rPr>
          <w:color w:val="000000" w:themeColor="text1"/>
          <w:sz w:val="24"/>
          <w:szCs w:val="24"/>
        </w:rPr>
        <w:t>Explanatory Report to the European Convention on Nationality, E.T.S. No. 166, 6 (1997)</w:t>
      </w:r>
      <w:r w:rsidR="00BE7E09" w:rsidRPr="00B81C3D">
        <w:rPr>
          <w:sz w:val="24"/>
          <w:szCs w:val="24"/>
        </w:rPr>
        <w:t>.</w:t>
      </w:r>
    </w:p>
  </w:footnote>
  <w:footnote w:id="146">
    <w:p w14:paraId="2DE74F97" w14:textId="4CE4850F"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BE7E09" w:rsidRPr="00B81C3D">
        <w:rPr>
          <w:rStyle w:val="normaltextrun"/>
          <w:color w:val="000000"/>
          <w:sz w:val="24"/>
          <w:szCs w:val="24"/>
          <w:shd w:val="clear" w:color="auto" w:fill="FFFFFF"/>
        </w:rPr>
        <w:t>Draft Articles on Diplomatic Protection, art. 4</w:t>
      </w:r>
      <w:r w:rsidR="00246805" w:rsidRPr="00B81C3D">
        <w:rPr>
          <w:rStyle w:val="normaltextrun"/>
          <w:color w:val="000000"/>
          <w:sz w:val="24"/>
          <w:szCs w:val="24"/>
          <w:shd w:val="clear" w:color="auto" w:fill="FFFFFF"/>
        </w:rPr>
        <w:t xml:space="preserve"> at 30; </w:t>
      </w:r>
      <w:proofErr w:type="spellStart"/>
      <w:r w:rsidR="00246805" w:rsidRPr="00B81C3D">
        <w:rPr>
          <w:sz w:val="24"/>
          <w:szCs w:val="24"/>
          <w:lang w:val="en-US"/>
        </w:rPr>
        <w:t>Randelfhozer</w:t>
      </w:r>
      <w:proofErr w:type="spellEnd"/>
      <w:r w:rsidR="00246805" w:rsidRPr="00B81C3D">
        <w:rPr>
          <w:sz w:val="24"/>
          <w:szCs w:val="24"/>
          <w:lang w:val="en-US"/>
        </w:rPr>
        <w:t xml:space="preserve">, </w:t>
      </w:r>
      <w:r w:rsidR="00246805" w:rsidRPr="00B81C3D">
        <w:rPr>
          <w:i/>
          <w:iCs/>
          <w:sz w:val="24"/>
          <w:szCs w:val="24"/>
          <w:lang w:val="en-US"/>
        </w:rPr>
        <w:t>Nationality</w:t>
      </w:r>
      <w:r w:rsidR="00246805" w:rsidRPr="00B81C3D">
        <w:rPr>
          <w:sz w:val="24"/>
          <w:szCs w:val="24"/>
          <w:lang w:val="en-US"/>
        </w:rPr>
        <w:t>,</w:t>
      </w:r>
      <w:r w:rsidR="00441153" w:rsidRPr="00B81C3D">
        <w:rPr>
          <w:sz w:val="24"/>
          <w:szCs w:val="24"/>
          <w:lang w:val="en-US"/>
        </w:rPr>
        <w:t xml:space="preserve"> </w:t>
      </w:r>
      <w:r w:rsidR="00246805" w:rsidRPr="00B81C3D">
        <w:rPr>
          <w:sz w:val="24"/>
          <w:szCs w:val="24"/>
          <w:lang w:val="en-US"/>
        </w:rPr>
        <w:t xml:space="preserve">in </w:t>
      </w:r>
      <w:r w:rsidR="004E3F7F" w:rsidRPr="00B81C3D">
        <w:rPr>
          <w:smallCaps/>
          <w:sz w:val="24"/>
          <w:szCs w:val="24"/>
        </w:rPr>
        <w:t xml:space="preserve">Max Planck Encyclopedias </w:t>
      </w:r>
      <w:r w:rsidR="00246805" w:rsidRPr="00B81C3D">
        <w:rPr>
          <w:smallCaps/>
          <w:sz w:val="24"/>
          <w:szCs w:val="24"/>
          <w:lang w:val="en-US"/>
        </w:rPr>
        <w:t>of Public International Law</w:t>
      </w:r>
      <w:r w:rsidR="00246805" w:rsidRPr="00B81C3D">
        <w:rPr>
          <w:sz w:val="24"/>
          <w:szCs w:val="24"/>
          <w:lang w:val="en-US"/>
        </w:rPr>
        <w:t>, vol. 8 (1985), at 417.</w:t>
      </w:r>
    </w:p>
  </w:footnote>
  <w:footnote w:id="147">
    <w:p w14:paraId="1DE52C0C" w14:textId="3E209F06"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BE7E09" w:rsidRPr="00B81C3D">
        <w:rPr>
          <w:sz w:val="24"/>
          <w:szCs w:val="24"/>
          <w:lang w:val="en-US"/>
        </w:rPr>
        <w:t>Nottebohm</w:t>
      </w:r>
      <w:proofErr w:type="spellEnd"/>
      <w:r w:rsidR="00BE7E09" w:rsidRPr="00B81C3D">
        <w:rPr>
          <w:sz w:val="24"/>
          <w:szCs w:val="24"/>
          <w:lang w:val="en-US"/>
        </w:rPr>
        <w:t xml:space="preserve"> Case (Liech</w:t>
      </w:r>
      <w:r w:rsidR="004E3F7F" w:rsidRPr="00B81C3D">
        <w:rPr>
          <w:sz w:val="24"/>
          <w:szCs w:val="24"/>
          <w:lang w:val="en-US"/>
        </w:rPr>
        <w:t>tenstein/</w:t>
      </w:r>
      <w:r w:rsidR="00BE7E09" w:rsidRPr="00B81C3D">
        <w:rPr>
          <w:sz w:val="24"/>
          <w:szCs w:val="24"/>
          <w:lang w:val="en-US"/>
        </w:rPr>
        <w:t>Guat</w:t>
      </w:r>
      <w:r w:rsidR="004E3F7F" w:rsidRPr="00B81C3D">
        <w:rPr>
          <w:sz w:val="24"/>
          <w:szCs w:val="24"/>
          <w:lang w:val="en-US"/>
        </w:rPr>
        <w:t>emala)</w:t>
      </w:r>
      <w:r w:rsidR="00BE7E09" w:rsidRPr="00B81C3D">
        <w:rPr>
          <w:sz w:val="24"/>
          <w:szCs w:val="24"/>
          <w:lang w:val="en-US"/>
        </w:rPr>
        <w:t xml:space="preserve">, </w:t>
      </w:r>
      <w:r w:rsidR="004E3F7F" w:rsidRPr="00B81C3D">
        <w:rPr>
          <w:sz w:val="24"/>
          <w:szCs w:val="24"/>
          <w:lang w:val="en-US"/>
        </w:rPr>
        <w:t>S</w:t>
      </w:r>
      <w:r w:rsidR="00BE7E09" w:rsidRPr="00B81C3D">
        <w:rPr>
          <w:sz w:val="24"/>
          <w:szCs w:val="24"/>
          <w:lang w:val="en-US"/>
        </w:rPr>
        <w:t xml:space="preserve">econd </w:t>
      </w:r>
      <w:r w:rsidR="004E3F7F" w:rsidRPr="00B81C3D">
        <w:rPr>
          <w:sz w:val="24"/>
          <w:szCs w:val="24"/>
          <w:lang w:val="en-US"/>
        </w:rPr>
        <w:t>P</w:t>
      </w:r>
      <w:r w:rsidR="00BE7E09" w:rsidRPr="00B81C3D">
        <w:rPr>
          <w:sz w:val="24"/>
          <w:szCs w:val="24"/>
          <w:lang w:val="en-US"/>
        </w:rPr>
        <w:t>hase, 1955 I.C.J. 4, at 22, 26 [“</w:t>
      </w:r>
      <w:proofErr w:type="spellStart"/>
      <w:r w:rsidR="00BE7E09" w:rsidRPr="00B81C3D">
        <w:rPr>
          <w:b/>
          <w:bCs/>
          <w:sz w:val="24"/>
          <w:szCs w:val="24"/>
          <w:lang w:val="en-US"/>
        </w:rPr>
        <w:t>Nottebohm</w:t>
      </w:r>
      <w:proofErr w:type="spellEnd"/>
      <w:r w:rsidR="00BE7E09" w:rsidRPr="00B81C3D">
        <w:rPr>
          <w:sz w:val="24"/>
          <w:szCs w:val="24"/>
          <w:lang w:val="en-US"/>
        </w:rPr>
        <w:t>”]</w:t>
      </w:r>
      <w:r w:rsidR="00E4458B" w:rsidRPr="00B81C3D">
        <w:rPr>
          <w:sz w:val="24"/>
          <w:szCs w:val="24"/>
          <w:lang w:val="en-US"/>
        </w:rPr>
        <w:t>.</w:t>
      </w:r>
    </w:p>
  </w:footnote>
  <w:footnote w:id="148">
    <w:p w14:paraId="394C3725" w14:textId="77777777" w:rsidR="003F2B9E" w:rsidRPr="00B81C3D" w:rsidRDefault="003F2B9E" w:rsidP="003F2B9E">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sz w:val="24"/>
          <w:szCs w:val="24"/>
        </w:rPr>
        <w:t>Hailbronner</w:t>
      </w:r>
      <w:proofErr w:type="spellEnd"/>
      <w:r w:rsidRPr="00B81C3D">
        <w:rPr>
          <w:sz w:val="24"/>
          <w:szCs w:val="24"/>
        </w:rPr>
        <w:t xml:space="preserve">, </w:t>
      </w:r>
      <w:r w:rsidRPr="00B81C3D">
        <w:rPr>
          <w:i/>
          <w:sz w:val="24"/>
          <w:szCs w:val="24"/>
        </w:rPr>
        <w:t xml:space="preserve">Nationality in public international law and </w:t>
      </w:r>
      <w:proofErr w:type="spellStart"/>
      <w:r w:rsidRPr="00B81C3D">
        <w:rPr>
          <w:i/>
          <w:sz w:val="24"/>
          <w:szCs w:val="24"/>
        </w:rPr>
        <w:t>european</w:t>
      </w:r>
      <w:proofErr w:type="spellEnd"/>
      <w:r w:rsidRPr="00B81C3D">
        <w:rPr>
          <w:i/>
          <w:sz w:val="24"/>
          <w:szCs w:val="24"/>
        </w:rPr>
        <w:t xml:space="preserve"> law, </w:t>
      </w:r>
      <w:r w:rsidRPr="00B81C3D">
        <w:rPr>
          <w:iCs/>
          <w:sz w:val="24"/>
          <w:szCs w:val="24"/>
        </w:rPr>
        <w:t xml:space="preserve">in </w:t>
      </w:r>
      <w:r w:rsidRPr="00B81C3D">
        <w:rPr>
          <w:iCs/>
          <w:smallCaps/>
          <w:sz w:val="24"/>
          <w:szCs w:val="24"/>
        </w:rPr>
        <w:t>Acquisition and Loss of Nationality,</w:t>
      </w:r>
      <w:r w:rsidRPr="00B81C3D">
        <w:rPr>
          <w:sz w:val="24"/>
          <w:szCs w:val="24"/>
        </w:rPr>
        <w:t xml:space="preserve"> (2006) at 58-59. </w:t>
      </w:r>
    </w:p>
  </w:footnote>
  <w:footnote w:id="149">
    <w:p w14:paraId="3BEC4BE7" w14:textId="77777777" w:rsidR="003F2B9E" w:rsidRPr="00B81C3D" w:rsidRDefault="003F2B9E" w:rsidP="003F2B9E">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sz w:val="24"/>
          <w:szCs w:val="24"/>
        </w:rPr>
        <w:t xml:space="preserve">Id. </w:t>
      </w:r>
    </w:p>
  </w:footnote>
  <w:footnote w:id="150">
    <w:p w14:paraId="73289F00" w14:textId="77777777" w:rsidR="003F2B9E" w:rsidRPr="00B81C3D" w:rsidRDefault="003F2B9E" w:rsidP="003F2B9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left"/>
        <w:rPr>
          <w:rFonts w:eastAsiaTheme="minorHAnsi"/>
          <w:lang w:val="en-US"/>
          <w14:ligatures w14:val="standardContextual"/>
        </w:rPr>
      </w:pPr>
      <w:r w:rsidRPr="00B81C3D">
        <w:rPr>
          <w:rStyle w:val="FootnoteReference"/>
        </w:rPr>
        <w:footnoteRef/>
      </w:r>
      <w:r w:rsidRPr="00B81C3D">
        <w:t xml:space="preserve"> </w:t>
      </w:r>
      <w:r w:rsidRPr="00B81C3D">
        <w:rPr>
          <w:rFonts w:eastAsiaTheme="minorHAnsi"/>
          <w:lang w:val="en-US"/>
          <w14:ligatures w14:val="standardContextual"/>
        </w:rPr>
        <w:t>Global Citizenship Observatory, ‘Global Database on Modes of Acquisition of Citizenship, Version 1.0 (GLOBALCIT 2017).</w:t>
      </w:r>
    </w:p>
  </w:footnote>
  <w:footnote w:id="151">
    <w:p w14:paraId="0C2263AF" w14:textId="77777777" w:rsidR="003F2B9E" w:rsidRPr="00B81C3D" w:rsidRDefault="003F2B9E" w:rsidP="003F2B9E">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sz w:val="24"/>
          <w:szCs w:val="24"/>
        </w:rPr>
        <w:t>Compromis</w:t>
      </w:r>
      <w:proofErr w:type="spellEnd"/>
      <w:r w:rsidRPr="00B81C3D">
        <w:rPr>
          <w:sz w:val="24"/>
          <w:szCs w:val="24"/>
        </w:rPr>
        <w:t>, ¶19.</w:t>
      </w:r>
    </w:p>
  </w:footnote>
  <w:footnote w:id="152">
    <w:p w14:paraId="30814BB1" w14:textId="77777777"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Christians, </w:t>
      </w:r>
      <w:r w:rsidRPr="00B81C3D">
        <w:rPr>
          <w:i/>
          <w:sz w:val="24"/>
          <w:szCs w:val="24"/>
        </w:rPr>
        <w:t xml:space="preserve">Buying In: Residence and Citizenship by Investment, </w:t>
      </w:r>
      <w:r w:rsidRPr="00B81C3D">
        <w:rPr>
          <w:smallCaps/>
          <w:sz w:val="24"/>
          <w:szCs w:val="24"/>
        </w:rPr>
        <w:t xml:space="preserve">St. Louis Univ. </w:t>
      </w:r>
      <w:r w:rsidRPr="00B81C3D">
        <w:rPr>
          <w:iCs/>
          <w:smallCaps/>
          <w:sz w:val="24"/>
          <w:szCs w:val="24"/>
        </w:rPr>
        <w:t>L.</w:t>
      </w:r>
      <w:r w:rsidRPr="00B81C3D">
        <w:rPr>
          <w:smallCaps/>
          <w:sz w:val="24"/>
          <w:szCs w:val="24"/>
        </w:rPr>
        <w:t xml:space="preserve"> J., (</w:t>
      </w:r>
      <w:r w:rsidRPr="00B81C3D">
        <w:rPr>
          <w:iCs/>
          <w:smallCaps/>
          <w:sz w:val="24"/>
          <w:szCs w:val="24"/>
        </w:rPr>
        <w:t xml:space="preserve">2017) </w:t>
      </w:r>
      <w:r w:rsidRPr="00B81C3D">
        <w:rPr>
          <w:iCs/>
          <w:sz w:val="24"/>
          <w:szCs w:val="24"/>
        </w:rPr>
        <w:t xml:space="preserve">at </w:t>
      </w:r>
      <w:r w:rsidRPr="00B81C3D">
        <w:rPr>
          <w:iCs/>
          <w:smallCaps/>
          <w:sz w:val="24"/>
          <w:szCs w:val="24"/>
        </w:rPr>
        <w:t>58.</w:t>
      </w:r>
    </w:p>
  </w:footnote>
  <w:footnote w:id="153">
    <w:p w14:paraId="6B4198C5" w14:textId="5FFB9B20" w:rsidR="00C128A8" w:rsidRPr="00B81C3D" w:rsidRDefault="00C128A8" w:rsidP="00A9717C">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246805" w:rsidRPr="00B81C3D">
        <w:rPr>
          <w:sz w:val="24"/>
          <w:szCs w:val="24"/>
        </w:rPr>
        <w:t>ACT No. XXXVIII of 2020, Maltese Citizenship (Amendment No. 2) Act, Ch. 188; Law No. 5901 of 2018, Turkish Citizenship by Investment Program</w:t>
      </w:r>
      <w:r w:rsidR="00AF04FE" w:rsidRPr="00B81C3D">
        <w:rPr>
          <w:sz w:val="24"/>
          <w:szCs w:val="24"/>
        </w:rPr>
        <w:t xml:space="preserve">; </w:t>
      </w:r>
      <w:proofErr w:type="spellStart"/>
      <w:r w:rsidR="00AF04FE" w:rsidRPr="00B81C3D">
        <w:rPr>
          <w:smallCaps/>
          <w:sz w:val="24"/>
          <w:szCs w:val="24"/>
        </w:rPr>
        <w:t>Kälin</w:t>
      </w:r>
      <w:proofErr w:type="spellEnd"/>
      <w:r w:rsidR="00AF04FE" w:rsidRPr="00B81C3D">
        <w:rPr>
          <w:smallCaps/>
          <w:sz w:val="24"/>
          <w:szCs w:val="24"/>
        </w:rPr>
        <w:t xml:space="preserve">, </w:t>
      </w:r>
      <w:proofErr w:type="spellStart"/>
      <w:r w:rsidR="00AF04FE" w:rsidRPr="00B81C3D">
        <w:rPr>
          <w:smallCaps/>
          <w:sz w:val="24"/>
          <w:szCs w:val="24"/>
        </w:rPr>
        <w:t>Ius</w:t>
      </w:r>
      <w:proofErr w:type="spellEnd"/>
      <w:r w:rsidR="00AF04FE" w:rsidRPr="00B81C3D">
        <w:rPr>
          <w:smallCaps/>
          <w:sz w:val="24"/>
          <w:szCs w:val="24"/>
        </w:rPr>
        <w:t xml:space="preserve"> </w:t>
      </w:r>
      <w:proofErr w:type="spellStart"/>
      <w:r w:rsidR="00AF04FE" w:rsidRPr="00B81C3D">
        <w:rPr>
          <w:smallCaps/>
          <w:sz w:val="24"/>
          <w:szCs w:val="24"/>
        </w:rPr>
        <w:t>Doni</w:t>
      </w:r>
      <w:proofErr w:type="spellEnd"/>
      <w:r w:rsidR="00AF04FE" w:rsidRPr="00B81C3D">
        <w:rPr>
          <w:smallCaps/>
          <w:sz w:val="24"/>
          <w:szCs w:val="24"/>
        </w:rPr>
        <w:t xml:space="preserve"> in International Law and EU Law (2019) </w:t>
      </w:r>
      <w:r w:rsidR="00AF04FE" w:rsidRPr="00B81C3D">
        <w:rPr>
          <w:sz w:val="24"/>
          <w:szCs w:val="24"/>
        </w:rPr>
        <w:t>at 158-159.</w:t>
      </w:r>
    </w:p>
  </w:footnote>
  <w:footnote w:id="154">
    <w:p w14:paraId="4E8EA4BE" w14:textId="527B076C" w:rsidR="00C128A8" w:rsidRPr="00B81C3D" w:rsidRDefault="00C128A8" w:rsidP="00A9717C">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246805" w:rsidRPr="00B81C3D">
        <w:rPr>
          <w:sz w:val="24"/>
          <w:szCs w:val="24"/>
        </w:rPr>
        <w:t>No. 26 of 2023, Saint Christopher and Nevis Citizenship by Substantial Investment Regulations; Commonwealth of Dominica Citizenship by Investment Regulations (2014); Antigua and Barbuda Citizenship by Investment Act (2013)</w:t>
      </w:r>
      <w:r w:rsidR="00AF04FE" w:rsidRPr="00B81C3D">
        <w:rPr>
          <w:sz w:val="24"/>
          <w:szCs w:val="24"/>
        </w:rPr>
        <w:t xml:space="preserve">; </w:t>
      </w:r>
      <w:proofErr w:type="spellStart"/>
      <w:r w:rsidR="00AF04FE" w:rsidRPr="00B81C3D">
        <w:rPr>
          <w:smallCaps/>
          <w:sz w:val="24"/>
          <w:szCs w:val="24"/>
        </w:rPr>
        <w:t>Kälin</w:t>
      </w:r>
      <w:proofErr w:type="spellEnd"/>
      <w:r w:rsidR="00AF04FE" w:rsidRPr="00B81C3D">
        <w:rPr>
          <w:smallCaps/>
          <w:sz w:val="24"/>
          <w:szCs w:val="24"/>
        </w:rPr>
        <w:t xml:space="preserve">, </w:t>
      </w:r>
      <w:r w:rsidR="000B25F9" w:rsidRPr="00B81C3D">
        <w:rPr>
          <w:sz w:val="24"/>
          <w:szCs w:val="24"/>
        </w:rPr>
        <w:t>n173, at 158-159.</w:t>
      </w:r>
    </w:p>
  </w:footnote>
  <w:footnote w:id="155">
    <w:p w14:paraId="7521B5F0" w14:textId="101B49EA"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4E3F7F" w:rsidRPr="00B81C3D">
        <w:rPr>
          <w:smallCaps/>
          <w:sz w:val="24"/>
          <w:szCs w:val="24"/>
        </w:rPr>
        <w:t>Kälin</w:t>
      </w:r>
      <w:proofErr w:type="spellEnd"/>
      <w:r w:rsidR="004E3F7F" w:rsidRPr="00B81C3D">
        <w:rPr>
          <w:smallCaps/>
          <w:sz w:val="24"/>
          <w:szCs w:val="24"/>
        </w:rPr>
        <w:t xml:space="preserve">, </w:t>
      </w:r>
      <w:r w:rsidR="004E3F7F" w:rsidRPr="00B81C3D">
        <w:rPr>
          <w:sz w:val="24"/>
          <w:szCs w:val="24"/>
        </w:rPr>
        <w:t>n</w:t>
      </w:r>
      <w:r w:rsidR="005F4267" w:rsidRPr="00B81C3D">
        <w:rPr>
          <w:sz w:val="24"/>
          <w:szCs w:val="24"/>
        </w:rPr>
        <w:fldChar w:fldCharType="begin"/>
      </w:r>
      <w:r w:rsidR="005F4267" w:rsidRPr="00B81C3D">
        <w:rPr>
          <w:sz w:val="24"/>
          <w:szCs w:val="24"/>
        </w:rPr>
        <w:instrText xml:space="preserve"> NOTEREF _Ref156018886 \h </w:instrText>
      </w:r>
      <w:r w:rsidR="005F4267" w:rsidRPr="00B81C3D">
        <w:rPr>
          <w:sz w:val="24"/>
          <w:szCs w:val="24"/>
        </w:rPr>
      </w:r>
      <w:r w:rsidR="00B81C3D">
        <w:rPr>
          <w:sz w:val="24"/>
          <w:szCs w:val="24"/>
        </w:rPr>
        <w:instrText xml:space="preserve"> \* MERGEFORMAT </w:instrText>
      </w:r>
      <w:r w:rsidR="005F4267" w:rsidRPr="00B81C3D">
        <w:rPr>
          <w:sz w:val="24"/>
          <w:szCs w:val="24"/>
        </w:rPr>
        <w:fldChar w:fldCharType="separate"/>
      </w:r>
      <w:r w:rsidR="005F4267" w:rsidRPr="00B81C3D">
        <w:rPr>
          <w:sz w:val="24"/>
          <w:szCs w:val="24"/>
        </w:rPr>
        <w:t>155</w:t>
      </w:r>
      <w:r w:rsidR="005F4267" w:rsidRPr="00B81C3D">
        <w:rPr>
          <w:sz w:val="24"/>
          <w:szCs w:val="24"/>
        </w:rPr>
        <w:fldChar w:fldCharType="end"/>
      </w:r>
      <w:r w:rsidR="004E3F7F" w:rsidRPr="00B81C3D">
        <w:rPr>
          <w:sz w:val="24"/>
          <w:szCs w:val="24"/>
        </w:rPr>
        <w:t>, at 158-159</w:t>
      </w:r>
      <w:r w:rsidRPr="00B81C3D">
        <w:rPr>
          <w:sz w:val="24"/>
          <w:szCs w:val="24"/>
        </w:rPr>
        <w:t>.</w:t>
      </w:r>
    </w:p>
  </w:footnote>
  <w:footnote w:id="156">
    <w:p w14:paraId="294D9E9E" w14:textId="1239FFA6" w:rsidR="00C128A8" w:rsidRPr="00B81C3D" w:rsidRDefault="00C128A8" w:rsidP="00C75971">
      <w:pPr>
        <w:pStyle w:val="NoSpacing"/>
        <w:spacing w:afterLines="30" w:after="72"/>
        <w:ind w:left="567" w:hanging="567"/>
        <w:rPr>
          <w:i/>
          <w:sz w:val="24"/>
          <w:szCs w:val="24"/>
        </w:rPr>
      </w:pPr>
      <w:r w:rsidRPr="00B81C3D">
        <w:rPr>
          <w:rStyle w:val="FootnoteReference"/>
          <w:sz w:val="24"/>
          <w:szCs w:val="24"/>
        </w:rPr>
        <w:footnoteRef/>
      </w:r>
      <w:r w:rsidRPr="00B81C3D">
        <w:rPr>
          <w:sz w:val="24"/>
          <w:szCs w:val="24"/>
        </w:rPr>
        <w:t xml:space="preserve"> Hussein </w:t>
      </w:r>
      <w:proofErr w:type="spellStart"/>
      <w:r w:rsidRPr="00B81C3D">
        <w:rPr>
          <w:sz w:val="24"/>
          <w:szCs w:val="24"/>
        </w:rPr>
        <w:t>Nuaman</w:t>
      </w:r>
      <w:proofErr w:type="spellEnd"/>
      <w:r w:rsidRPr="00B81C3D">
        <w:rPr>
          <w:sz w:val="24"/>
          <w:szCs w:val="24"/>
        </w:rPr>
        <w:t xml:space="preserve"> </w:t>
      </w:r>
      <w:proofErr w:type="spellStart"/>
      <w:r w:rsidRPr="00B81C3D">
        <w:rPr>
          <w:sz w:val="24"/>
          <w:szCs w:val="24"/>
        </w:rPr>
        <w:t>Soufraki</w:t>
      </w:r>
      <w:proofErr w:type="spellEnd"/>
      <w:r w:rsidRPr="00B81C3D">
        <w:rPr>
          <w:sz w:val="24"/>
          <w:szCs w:val="24"/>
        </w:rPr>
        <w:t xml:space="preserve"> v. The United Arab Emirates</w:t>
      </w:r>
      <w:r w:rsidRPr="00B81C3D">
        <w:rPr>
          <w:i/>
          <w:sz w:val="24"/>
          <w:szCs w:val="24"/>
        </w:rPr>
        <w:t xml:space="preserve">, </w:t>
      </w:r>
      <w:r w:rsidRPr="00B81C3D">
        <w:rPr>
          <w:sz w:val="24"/>
          <w:szCs w:val="24"/>
        </w:rPr>
        <w:t>ICSID Case No.</w:t>
      </w:r>
      <w:r w:rsidR="00844671" w:rsidRPr="00B81C3D">
        <w:rPr>
          <w:sz w:val="24"/>
          <w:szCs w:val="24"/>
        </w:rPr>
        <w:t xml:space="preserve"> </w:t>
      </w:r>
      <w:r w:rsidRPr="00B81C3D">
        <w:rPr>
          <w:sz w:val="24"/>
          <w:szCs w:val="24"/>
        </w:rPr>
        <w:t xml:space="preserve">ARB/02/7, </w:t>
      </w:r>
      <w:r w:rsidRPr="00B81C3D">
        <w:rPr>
          <w:iCs/>
          <w:sz w:val="24"/>
          <w:szCs w:val="24"/>
        </w:rPr>
        <w:t>Award</w:t>
      </w:r>
      <w:r w:rsidRPr="00B81C3D">
        <w:rPr>
          <w:i/>
          <w:sz w:val="24"/>
          <w:szCs w:val="24"/>
        </w:rPr>
        <w:t xml:space="preserve"> </w:t>
      </w:r>
      <w:r w:rsidRPr="00B81C3D">
        <w:rPr>
          <w:sz w:val="24"/>
          <w:szCs w:val="24"/>
        </w:rPr>
        <w:t>(2004).</w:t>
      </w:r>
      <w:r w:rsidRPr="00B81C3D">
        <w:rPr>
          <w:i/>
          <w:sz w:val="24"/>
          <w:szCs w:val="24"/>
        </w:rPr>
        <w:t xml:space="preserve"> </w:t>
      </w:r>
    </w:p>
  </w:footnote>
  <w:footnote w:id="157">
    <w:p w14:paraId="471FD527" w14:textId="59CB0174"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Nottebohm</w:t>
      </w:r>
      <w:proofErr w:type="spellEnd"/>
      <w:r w:rsidRPr="00B81C3D">
        <w:rPr>
          <w:sz w:val="24"/>
          <w:szCs w:val="24"/>
        </w:rPr>
        <w:t>,</w:t>
      </w:r>
      <w:r w:rsidR="00355D5A" w:rsidRPr="00B81C3D">
        <w:rPr>
          <w:sz w:val="24"/>
          <w:szCs w:val="24"/>
        </w:rPr>
        <w:t xml:space="preserve"> </w:t>
      </w:r>
      <w:r w:rsidRPr="00B81C3D">
        <w:rPr>
          <w:sz w:val="24"/>
          <w:szCs w:val="24"/>
        </w:rPr>
        <w:t>22</w:t>
      </w:r>
      <w:r w:rsidR="000B25F9" w:rsidRPr="00B81C3D">
        <w:rPr>
          <w:sz w:val="24"/>
          <w:szCs w:val="24"/>
        </w:rPr>
        <w:t>&amp;</w:t>
      </w:r>
      <w:r w:rsidRPr="00B81C3D">
        <w:rPr>
          <w:sz w:val="24"/>
          <w:szCs w:val="24"/>
        </w:rPr>
        <w:t>26.</w:t>
      </w:r>
    </w:p>
  </w:footnote>
  <w:footnote w:id="158">
    <w:p w14:paraId="2B4122AB" w14:textId="34F518F9"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i/>
          <w:iCs/>
          <w:sz w:val="24"/>
          <w:szCs w:val="24"/>
          <w:lang w:val="en-US"/>
        </w:rPr>
        <w:t>North Sea Continental Shelf</w:t>
      </w:r>
      <w:r w:rsidRPr="00B81C3D">
        <w:rPr>
          <w:sz w:val="24"/>
          <w:szCs w:val="24"/>
          <w:lang w:val="en-US"/>
        </w:rPr>
        <w:t xml:space="preserve">, </w:t>
      </w:r>
      <w:r w:rsidRPr="00B81C3D">
        <w:rPr>
          <w:sz w:val="24"/>
          <w:szCs w:val="24"/>
        </w:rPr>
        <w:t>¶</w:t>
      </w:r>
      <w:r w:rsidRPr="00B81C3D">
        <w:rPr>
          <w:sz w:val="24"/>
          <w:szCs w:val="24"/>
          <w:lang w:val="en-US"/>
        </w:rPr>
        <w:t>77.</w:t>
      </w:r>
    </w:p>
  </w:footnote>
  <w:footnote w:id="159">
    <w:p w14:paraId="1EDD251E" w14:textId="39CBC620" w:rsidR="003E5425" w:rsidRPr="00B81C3D" w:rsidRDefault="003E5425"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sz w:val="24"/>
          <w:szCs w:val="24"/>
        </w:rPr>
        <w:t>Vink</w:t>
      </w:r>
      <w:proofErr w:type="spellEnd"/>
      <w:r w:rsidRPr="00B81C3D">
        <w:rPr>
          <w:sz w:val="24"/>
          <w:szCs w:val="24"/>
        </w:rPr>
        <w:t>, “Global Citizenship Observatory – Citizenship Law Dataset, v. 1, Country-Year Data,</w:t>
      </w:r>
      <w:r w:rsidRPr="00B81C3D">
        <w:rPr>
          <w:i/>
          <w:iCs/>
          <w:sz w:val="24"/>
          <w:szCs w:val="24"/>
        </w:rPr>
        <w:t xml:space="preserve"> </w:t>
      </w:r>
      <w:r w:rsidRPr="00B81C3D">
        <w:rPr>
          <w:sz w:val="24"/>
          <w:szCs w:val="24"/>
        </w:rPr>
        <w:t>Global Citizenship Observatory” (2021).</w:t>
      </w:r>
    </w:p>
  </w:footnote>
  <w:footnote w:id="160">
    <w:p w14:paraId="7CDBCA5E" w14:textId="233CF22C"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00A6204B" w:rsidRPr="00B81C3D">
        <w:rPr>
          <w:sz w:val="24"/>
          <w:szCs w:val="24"/>
        </w:rPr>
        <w:t xml:space="preserve"> </w:t>
      </w:r>
      <w:r w:rsidR="000B25F9" w:rsidRPr="00B81C3D">
        <w:rPr>
          <w:i/>
          <w:iCs/>
          <w:sz w:val="24"/>
          <w:szCs w:val="24"/>
        </w:rPr>
        <w:t>Id.</w:t>
      </w:r>
    </w:p>
  </w:footnote>
  <w:footnote w:id="161">
    <w:p w14:paraId="793FA504" w14:textId="7C823AD7"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 xml:space="preserve">Spiro, </w:t>
      </w:r>
      <w:proofErr w:type="spellStart"/>
      <w:r w:rsidRPr="00B81C3D">
        <w:rPr>
          <w:i/>
          <w:iCs/>
          <w:sz w:val="24"/>
          <w:szCs w:val="24"/>
          <w:lang w:val="en-US"/>
        </w:rPr>
        <w:t>Nottebohm</w:t>
      </w:r>
      <w:proofErr w:type="spellEnd"/>
      <w:r w:rsidRPr="00B81C3D">
        <w:rPr>
          <w:i/>
          <w:iCs/>
          <w:sz w:val="24"/>
          <w:szCs w:val="24"/>
          <w:lang w:val="en-US"/>
        </w:rPr>
        <w:t xml:space="preserve"> and ‘Genuine Link’, </w:t>
      </w:r>
      <w:r w:rsidRPr="00B81C3D">
        <w:rPr>
          <w:smallCaps/>
          <w:sz w:val="24"/>
          <w:szCs w:val="24"/>
          <w:lang w:val="en-US"/>
        </w:rPr>
        <w:t>Investment Migration Working Paper,</w:t>
      </w:r>
      <w:r w:rsidRPr="00B81C3D">
        <w:rPr>
          <w:sz w:val="24"/>
          <w:szCs w:val="24"/>
          <w:lang w:val="en-US"/>
        </w:rPr>
        <w:t xml:space="preserve"> IMC-RP 2019/1, (2019); </w:t>
      </w:r>
      <w:r w:rsidRPr="00B81C3D">
        <w:rPr>
          <w:sz w:val="24"/>
          <w:szCs w:val="24"/>
          <w:lang w:eastAsia="zh-CN"/>
        </w:rPr>
        <w:t xml:space="preserve">Kunz, </w:t>
      </w:r>
      <w:r w:rsidRPr="00B81C3D">
        <w:rPr>
          <w:i/>
          <w:sz w:val="24"/>
          <w:szCs w:val="24"/>
          <w:lang w:eastAsia="zh-CN"/>
        </w:rPr>
        <w:t xml:space="preserve">The </w:t>
      </w:r>
      <w:proofErr w:type="spellStart"/>
      <w:r w:rsidRPr="00B81C3D">
        <w:rPr>
          <w:i/>
          <w:sz w:val="24"/>
          <w:szCs w:val="24"/>
          <w:lang w:eastAsia="zh-CN"/>
        </w:rPr>
        <w:t>Nottebohm</w:t>
      </w:r>
      <w:proofErr w:type="spellEnd"/>
      <w:r w:rsidRPr="00B81C3D">
        <w:rPr>
          <w:i/>
          <w:sz w:val="24"/>
          <w:szCs w:val="24"/>
          <w:lang w:eastAsia="zh-CN"/>
        </w:rPr>
        <w:t xml:space="preserve"> Judgment</w:t>
      </w:r>
      <w:r w:rsidRPr="00B81C3D">
        <w:rPr>
          <w:sz w:val="24"/>
          <w:szCs w:val="24"/>
          <w:lang w:eastAsia="zh-CN"/>
        </w:rPr>
        <w:t xml:space="preserve">, 54 </w:t>
      </w:r>
      <w:r w:rsidRPr="00B81C3D">
        <w:rPr>
          <w:smallCaps/>
          <w:sz w:val="24"/>
          <w:szCs w:val="24"/>
          <w:lang w:eastAsia="zh-CN"/>
        </w:rPr>
        <w:t>Am J. Int’l L</w:t>
      </w:r>
      <w:r w:rsidRPr="00B81C3D">
        <w:rPr>
          <w:sz w:val="24"/>
          <w:szCs w:val="24"/>
          <w:lang w:eastAsia="zh-CN"/>
        </w:rPr>
        <w:t>. 536, 550 (1960).</w:t>
      </w:r>
    </w:p>
  </w:footnote>
  <w:footnote w:id="162">
    <w:p w14:paraId="19AA7574" w14:textId="2B185001"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sz w:val="24"/>
          <w:szCs w:val="24"/>
        </w:rPr>
        <w:t>Flegenheimer</w:t>
      </w:r>
      <w:proofErr w:type="spellEnd"/>
      <w:r w:rsidRPr="00B81C3D">
        <w:rPr>
          <w:sz w:val="24"/>
          <w:szCs w:val="24"/>
        </w:rPr>
        <w:t xml:space="preserve"> Case (US</w:t>
      </w:r>
      <w:r w:rsidR="00A74DED" w:rsidRPr="00B81C3D">
        <w:rPr>
          <w:sz w:val="24"/>
          <w:szCs w:val="24"/>
        </w:rPr>
        <w:t>/</w:t>
      </w:r>
      <w:r w:rsidRPr="00B81C3D">
        <w:rPr>
          <w:sz w:val="24"/>
          <w:szCs w:val="24"/>
        </w:rPr>
        <w:t>Italy), 14 R.I.A.A. 327 (Italian-US Conciliation Commission 1958); Opinion of</w:t>
      </w:r>
      <w:r w:rsidR="000B25F9" w:rsidRPr="00B81C3D">
        <w:rPr>
          <w:sz w:val="24"/>
          <w:szCs w:val="24"/>
        </w:rPr>
        <w:t xml:space="preserve"> AG</w:t>
      </w:r>
      <w:r w:rsidRPr="00B81C3D">
        <w:rPr>
          <w:sz w:val="24"/>
          <w:szCs w:val="24"/>
        </w:rPr>
        <w:t xml:space="preserve"> </w:t>
      </w:r>
      <w:proofErr w:type="spellStart"/>
      <w:r w:rsidRPr="00B81C3D">
        <w:rPr>
          <w:sz w:val="24"/>
          <w:szCs w:val="24"/>
        </w:rPr>
        <w:t>Tesaurio</w:t>
      </w:r>
      <w:proofErr w:type="spellEnd"/>
      <w:r w:rsidRPr="00B81C3D">
        <w:rPr>
          <w:sz w:val="24"/>
          <w:szCs w:val="24"/>
        </w:rPr>
        <w:t xml:space="preserve"> in Case C-369/90 </w:t>
      </w:r>
      <w:proofErr w:type="spellStart"/>
      <w:r w:rsidRPr="00B81C3D">
        <w:rPr>
          <w:i/>
          <w:sz w:val="24"/>
          <w:szCs w:val="24"/>
        </w:rPr>
        <w:t>Micheletti</w:t>
      </w:r>
      <w:proofErr w:type="spellEnd"/>
      <w:r w:rsidRPr="00B81C3D">
        <w:rPr>
          <w:i/>
          <w:sz w:val="24"/>
          <w:szCs w:val="24"/>
        </w:rPr>
        <w:t xml:space="preserve"> </w:t>
      </w:r>
      <w:r w:rsidRPr="00B81C3D">
        <w:rPr>
          <w:sz w:val="24"/>
          <w:szCs w:val="24"/>
        </w:rPr>
        <w:t xml:space="preserve">[1992] ECR I-4239, </w:t>
      </w:r>
      <w:r w:rsidR="007C5844" w:rsidRPr="00B81C3D">
        <w:rPr>
          <w:sz w:val="24"/>
          <w:szCs w:val="24"/>
        </w:rPr>
        <w:t>¶</w:t>
      </w:r>
      <w:r w:rsidRPr="00B81C3D">
        <w:rPr>
          <w:sz w:val="24"/>
          <w:szCs w:val="24"/>
        </w:rPr>
        <w:t>5.</w:t>
      </w:r>
    </w:p>
  </w:footnote>
  <w:footnote w:id="163">
    <w:p w14:paraId="3B68A54E" w14:textId="5EC2009E"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Draft Articles on Diplomatic Protection, art. 4,</w:t>
      </w:r>
      <w:r w:rsidR="000B25F9" w:rsidRPr="00B81C3D">
        <w:rPr>
          <w:sz w:val="24"/>
          <w:szCs w:val="24"/>
          <w:lang w:val="en-US"/>
        </w:rPr>
        <w:t xml:space="preserve"> </w:t>
      </w:r>
      <w:r w:rsidRPr="00B81C3D">
        <w:rPr>
          <w:sz w:val="24"/>
          <w:szCs w:val="24"/>
          <w:lang w:val="en-US"/>
        </w:rPr>
        <w:t>at 34.</w:t>
      </w:r>
    </w:p>
  </w:footnote>
  <w:footnote w:id="164">
    <w:p w14:paraId="389A63B9" w14:textId="539E8776"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Draft Articles on Diplomatic Protection, art. 6, at 33-34.</w:t>
      </w:r>
    </w:p>
  </w:footnote>
  <w:footnote w:id="165">
    <w:p w14:paraId="15F08780" w14:textId="11975E93"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Opinion of </w:t>
      </w:r>
      <w:r w:rsidR="000B25F9" w:rsidRPr="00B81C3D">
        <w:rPr>
          <w:sz w:val="24"/>
          <w:szCs w:val="24"/>
        </w:rPr>
        <w:t xml:space="preserve">AG </w:t>
      </w:r>
      <w:proofErr w:type="spellStart"/>
      <w:r w:rsidRPr="00B81C3D">
        <w:rPr>
          <w:sz w:val="24"/>
          <w:szCs w:val="24"/>
        </w:rPr>
        <w:t>Tesaurio</w:t>
      </w:r>
      <w:proofErr w:type="spellEnd"/>
      <w:r w:rsidRPr="00B81C3D">
        <w:rPr>
          <w:sz w:val="24"/>
          <w:szCs w:val="24"/>
        </w:rPr>
        <w:t xml:space="preserve"> in Case C-369/90 </w:t>
      </w:r>
      <w:proofErr w:type="spellStart"/>
      <w:r w:rsidRPr="00B81C3D">
        <w:rPr>
          <w:i/>
          <w:sz w:val="24"/>
          <w:szCs w:val="24"/>
        </w:rPr>
        <w:t>Micheletti</w:t>
      </w:r>
      <w:proofErr w:type="spellEnd"/>
      <w:r w:rsidRPr="00B81C3D">
        <w:rPr>
          <w:i/>
          <w:sz w:val="24"/>
          <w:szCs w:val="24"/>
        </w:rPr>
        <w:t xml:space="preserve"> </w:t>
      </w:r>
      <w:r w:rsidRPr="00B81C3D">
        <w:rPr>
          <w:sz w:val="24"/>
          <w:szCs w:val="24"/>
        </w:rPr>
        <w:t xml:space="preserve">[1992] ECR I-4239, </w:t>
      </w:r>
      <w:r w:rsidR="007C5844" w:rsidRPr="00B81C3D">
        <w:rPr>
          <w:sz w:val="24"/>
          <w:szCs w:val="24"/>
        </w:rPr>
        <w:t>¶</w:t>
      </w:r>
      <w:r w:rsidRPr="00B81C3D">
        <w:rPr>
          <w:sz w:val="24"/>
          <w:szCs w:val="24"/>
        </w:rPr>
        <w:t>5.</w:t>
      </w:r>
    </w:p>
  </w:footnote>
  <w:footnote w:id="166">
    <w:p w14:paraId="478B046E" w14:textId="30D08526"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7C5844" w:rsidRPr="00B81C3D">
        <w:rPr>
          <w:rFonts w:eastAsiaTheme="minorHAnsi"/>
          <w:color w:val="000000" w:themeColor="text1"/>
          <w:sz w:val="24"/>
          <w:szCs w:val="24"/>
          <w14:ligatures w14:val="standardContextual"/>
        </w:rPr>
        <w:t>Forcese</w:t>
      </w:r>
      <w:proofErr w:type="spellEnd"/>
      <w:r w:rsidR="007C5844" w:rsidRPr="00B81C3D">
        <w:rPr>
          <w:rFonts w:eastAsiaTheme="minorHAnsi"/>
          <w:color w:val="000000" w:themeColor="text1"/>
          <w:sz w:val="24"/>
          <w:szCs w:val="24"/>
          <w14:ligatures w14:val="standardContextual"/>
        </w:rPr>
        <w:t xml:space="preserve">, </w:t>
      </w:r>
      <w:r w:rsidR="007C5844" w:rsidRPr="00B81C3D">
        <w:rPr>
          <w:rFonts w:eastAsiaTheme="minorHAnsi"/>
          <w:i/>
          <w:iCs/>
          <w:color w:val="000000" w:themeColor="text1"/>
          <w:sz w:val="24"/>
          <w:szCs w:val="24"/>
          <w14:ligatures w14:val="standardContextual"/>
        </w:rPr>
        <w:t xml:space="preserve">The Capacity to Protect: Diplomatic Protection of Dual Nationals in the ‘War on Terror’, </w:t>
      </w:r>
      <w:r w:rsidR="007C5844" w:rsidRPr="00B81C3D">
        <w:rPr>
          <w:rFonts w:eastAsiaTheme="minorHAnsi"/>
          <w:color w:val="000000" w:themeColor="text1"/>
          <w:sz w:val="24"/>
          <w:szCs w:val="24"/>
          <w14:ligatures w14:val="standardContextual"/>
        </w:rPr>
        <w:t>17</w:t>
      </w:r>
      <w:r w:rsidR="007C5844" w:rsidRPr="00B81C3D">
        <w:rPr>
          <w:rFonts w:eastAsiaTheme="minorHAnsi"/>
          <w:smallCaps/>
          <w:color w:val="000000" w:themeColor="text1"/>
          <w:sz w:val="24"/>
          <w:szCs w:val="24"/>
          <w14:ligatures w14:val="standardContextual"/>
        </w:rPr>
        <w:t xml:space="preserve"> EJIL 2, 390 (2006)</w:t>
      </w:r>
      <w:r w:rsidR="006A16B1" w:rsidRPr="00B81C3D">
        <w:rPr>
          <w:rFonts w:eastAsiaTheme="minorHAnsi"/>
          <w:smallCaps/>
          <w:color w:val="000000" w:themeColor="text1"/>
          <w:sz w:val="24"/>
          <w:szCs w:val="24"/>
          <w14:ligatures w14:val="standardContextual"/>
        </w:rPr>
        <w:t>.</w:t>
      </w:r>
    </w:p>
  </w:footnote>
  <w:footnote w:id="167">
    <w:p w14:paraId="3B35BC04" w14:textId="4A90DFB7" w:rsidR="00C128A8" w:rsidRPr="00B81C3D" w:rsidRDefault="00C128A8" w:rsidP="00C75971">
      <w:pPr>
        <w:spacing w:afterLines="30" w:after="72" w:line="240" w:lineRule="auto"/>
        <w:ind w:left="567" w:hanging="567"/>
        <w:rPr>
          <w:lang w:eastAsia="zh-CN"/>
        </w:rPr>
      </w:pPr>
      <w:r w:rsidRPr="00B81C3D">
        <w:rPr>
          <w:rStyle w:val="FootnoteReference"/>
        </w:rPr>
        <w:footnoteRef/>
      </w:r>
      <w:r w:rsidRPr="00B81C3D">
        <w:t xml:space="preserve"> </w:t>
      </w:r>
      <w:r w:rsidR="007C5844" w:rsidRPr="00B81C3D">
        <w:rPr>
          <w:rFonts w:eastAsiaTheme="minorHAnsi"/>
          <w:color w:val="000000" w:themeColor="text1"/>
          <w14:ligatures w14:val="standardContextual"/>
        </w:rPr>
        <w:t>Dugard (Special Rapporteur), First report on diplomatic protection, U.N. Doc. A/CB.4/506 (2000).</w:t>
      </w:r>
    </w:p>
  </w:footnote>
  <w:footnote w:id="168">
    <w:p w14:paraId="177AA6F1" w14:textId="01EF56C0"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7C5844" w:rsidRPr="00B81C3D">
        <w:rPr>
          <w:rFonts w:eastAsiaTheme="minorHAnsi"/>
          <w:color w:val="000000" w:themeColor="text1"/>
          <w:sz w:val="24"/>
          <w:szCs w:val="24"/>
          <w14:ligatures w14:val="standardContextual"/>
        </w:rPr>
        <w:t>Forcese</w:t>
      </w:r>
      <w:proofErr w:type="spellEnd"/>
      <w:r w:rsidR="007C5844" w:rsidRPr="00B81C3D">
        <w:rPr>
          <w:rFonts w:eastAsiaTheme="minorHAnsi"/>
          <w:color w:val="000000" w:themeColor="text1"/>
          <w:sz w:val="24"/>
          <w:szCs w:val="24"/>
          <w14:ligatures w14:val="standardContextual"/>
        </w:rPr>
        <w:t xml:space="preserve">, </w:t>
      </w:r>
      <w:r w:rsidR="00355D5A" w:rsidRPr="00B81C3D">
        <w:rPr>
          <w:rFonts w:eastAsiaTheme="minorHAnsi"/>
          <w:color w:val="000000" w:themeColor="text1"/>
          <w:sz w:val="24"/>
          <w:szCs w:val="24"/>
          <w14:ligatures w14:val="standardContextual"/>
        </w:rPr>
        <w:t>n</w:t>
      </w:r>
      <w:r w:rsidR="005F4267" w:rsidRPr="00B81C3D">
        <w:rPr>
          <w:rFonts w:eastAsiaTheme="minorHAnsi"/>
          <w:color w:val="000000" w:themeColor="text1"/>
          <w:sz w:val="24"/>
          <w:szCs w:val="24"/>
          <w14:ligatures w14:val="standardContextual"/>
        </w:rPr>
        <w:fldChar w:fldCharType="begin"/>
      </w:r>
      <w:r w:rsidR="005F4267" w:rsidRPr="00B81C3D">
        <w:rPr>
          <w:rFonts w:eastAsiaTheme="minorHAnsi"/>
          <w:color w:val="000000" w:themeColor="text1"/>
          <w:sz w:val="24"/>
          <w:szCs w:val="24"/>
          <w14:ligatures w14:val="standardContextual"/>
        </w:rPr>
        <w:instrText xml:space="preserve"> NOTEREF _Ref156018854 \h </w:instrText>
      </w:r>
      <w:r w:rsidR="005F4267" w:rsidRPr="00B81C3D">
        <w:rPr>
          <w:rFonts w:eastAsiaTheme="minorHAnsi"/>
          <w:color w:val="000000" w:themeColor="text1"/>
          <w:sz w:val="24"/>
          <w:szCs w:val="24"/>
          <w14:ligatures w14:val="standardContextual"/>
        </w:rPr>
      </w:r>
      <w:r w:rsidR="00B81C3D">
        <w:rPr>
          <w:rFonts w:eastAsiaTheme="minorHAnsi"/>
          <w:color w:val="000000" w:themeColor="text1"/>
          <w:sz w:val="24"/>
          <w:szCs w:val="24"/>
          <w14:ligatures w14:val="standardContextual"/>
        </w:rPr>
        <w:instrText xml:space="preserve"> \* MERGEFORMAT </w:instrText>
      </w:r>
      <w:r w:rsidR="005F4267" w:rsidRPr="00B81C3D">
        <w:rPr>
          <w:rFonts w:eastAsiaTheme="minorHAnsi"/>
          <w:color w:val="000000" w:themeColor="text1"/>
          <w:sz w:val="24"/>
          <w:szCs w:val="24"/>
          <w14:ligatures w14:val="standardContextual"/>
        </w:rPr>
        <w:fldChar w:fldCharType="separate"/>
      </w:r>
      <w:r w:rsidR="005F4267" w:rsidRPr="00B81C3D">
        <w:rPr>
          <w:rFonts w:eastAsiaTheme="minorHAnsi"/>
          <w:color w:val="000000" w:themeColor="text1"/>
          <w:sz w:val="24"/>
          <w:szCs w:val="24"/>
          <w14:ligatures w14:val="standardContextual"/>
        </w:rPr>
        <w:t>166</w:t>
      </w:r>
      <w:r w:rsidR="005F4267" w:rsidRPr="00B81C3D">
        <w:rPr>
          <w:rFonts w:eastAsiaTheme="minorHAnsi"/>
          <w:color w:val="000000" w:themeColor="text1"/>
          <w:sz w:val="24"/>
          <w:szCs w:val="24"/>
          <w14:ligatures w14:val="standardContextual"/>
        </w:rPr>
        <w:fldChar w:fldCharType="end"/>
      </w:r>
      <w:r w:rsidR="00355D5A" w:rsidRPr="00B81C3D">
        <w:rPr>
          <w:rFonts w:eastAsiaTheme="minorHAnsi"/>
          <w:color w:val="000000" w:themeColor="text1"/>
          <w:sz w:val="24"/>
          <w:szCs w:val="24"/>
          <w14:ligatures w14:val="standardContextual"/>
        </w:rPr>
        <w:t>.</w:t>
      </w:r>
    </w:p>
  </w:footnote>
  <w:footnote w:id="169">
    <w:p w14:paraId="57633BF3" w14:textId="7418BD32"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6C210E" w:rsidRPr="00B81C3D">
        <w:rPr>
          <w:rFonts w:eastAsiaTheme="minorHAnsi"/>
          <w:color w:val="000000" w:themeColor="text1"/>
          <w:sz w:val="24"/>
          <w:szCs w:val="24"/>
          <w14:ligatures w14:val="standardContextual"/>
        </w:rPr>
        <w:t>VCCR</w:t>
      </w:r>
      <w:r w:rsidR="007C5844" w:rsidRPr="00B81C3D">
        <w:rPr>
          <w:rFonts w:eastAsiaTheme="minorHAnsi"/>
          <w:color w:val="000000" w:themeColor="text1"/>
          <w:sz w:val="24"/>
          <w:szCs w:val="24"/>
          <w14:ligatures w14:val="standardContextual"/>
        </w:rPr>
        <w:t>, art</w:t>
      </w:r>
      <w:r w:rsidR="006C210E" w:rsidRPr="00B81C3D">
        <w:rPr>
          <w:rFonts w:eastAsiaTheme="minorHAnsi"/>
          <w:color w:val="000000" w:themeColor="text1"/>
          <w:sz w:val="24"/>
          <w:szCs w:val="24"/>
          <w14:ligatures w14:val="standardContextual"/>
        </w:rPr>
        <w:t>.</w:t>
      </w:r>
      <w:r w:rsidR="007C5844" w:rsidRPr="00B81C3D">
        <w:rPr>
          <w:rFonts w:eastAsiaTheme="minorHAnsi"/>
          <w:color w:val="000000" w:themeColor="text1"/>
          <w:sz w:val="24"/>
          <w:szCs w:val="24"/>
          <w14:ligatures w14:val="standardContextual"/>
        </w:rPr>
        <w:t xml:space="preserve"> 36(1)</w:t>
      </w:r>
      <w:r w:rsidR="00C807CE" w:rsidRPr="00B81C3D">
        <w:rPr>
          <w:rFonts w:eastAsiaTheme="minorHAnsi"/>
          <w:b/>
          <w:bCs/>
          <w:color w:val="000000" w:themeColor="text1"/>
          <w:sz w:val="24"/>
          <w:szCs w:val="24"/>
          <w14:ligatures w14:val="standardContextual"/>
        </w:rPr>
        <w:t>.</w:t>
      </w:r>
    </w:p>
  </w:footnote>
  <w:footnote w:id="170">
    <w:p w14:paraId="14FFAF4C" w14:textId="741F0DBD" w:rsidR="00C128A8" w:rsidRPr="00B81C3D" w:rsidRDefault="00C128A8" w:rsidP="00C75971">
      <w:pPr>
        <w:pStyle w:val="NoSpacing"/>
        <w:spacing w:afterLines="30" w:after="72"/>
        <w:ind w:left="567" w:hanging="567"/>
        <w:rPr>
          <w:i/>
          <w:iCs/>
          <w:color w:val="000000"/>
          <w:sz w:val="24"/>
          <w:szCs w:val="24"/>
          <w:shd w:val="clear" w:color="auto" w:fill="FFFFFF"/>
        </w:rPr>
      </w:pPr>
      <w:r w:rsidRPr="00B81C3D">
        <w:rPr>
          <w:rStyle w:val="FootnoteReference"/>
          <w:sz w:val="24"/>
          <w:szCs w:val="24"/>
        </w:rPr>
        <w:footnoteRef/>
      </w:r>
      <w:r w:rsidRPr="00B81C3D">
        <w:rPr>
          <w:sz w:val="24"/>
          <w:szCs w:val="24"/>
        </w:rPr>
        <w:t xml:space="preserve"> </w:t>
      </w:r>
      <w:r w:rsidR="006C210E" w:rsidRPr="00B81C3D">
        <w:rPr>
          <w:rStyle w:val="normaltextrun"/>
          <w:color w:val="000000"/>
          <w:sz w:val="24"/>
          <w:szCs w:val="24"/>
          <w:shd w:val="clear" w:color="auto" w:fill="FFFFFF"/>
        </w:rPr>
        <w:t>ILC</w:t>
      </w:r>
      <w:r w:rsidR="007C5844" w:rsidRPr="00B81C3D">
        <w:rPr>
          <w:rStyle w:val="normaltextrun"/>
          <w:color w:val="000000"/>
          <w:sz w:val="24"/>
          <w:szCs w:val="24"/>
          <w:shd w:val="clear" w:color="auto" w:fill="FFFFFF"/>
        </w:rPr>
        <w:t>, </w:t>
      </w:r>
      <w:r w:rsidR="007C5844" w:rsidRPr="00B81C3D">
        <w:rPr>
          <w:rStyle w:val="normaltextrun"/>
          <w:i/>
          <w:iCs/>
          <w:color w:val="000000"/>
          <w:sz w:val="24"/>
          <w:szCs w:val="24"/>
          <w:shd w:val="clear" w:color="auto" w:fill="FFFFFF"/>
        </w:rPr>
        <w:t xml:space="preserve">Draft Articles on Consular Relations, </w:t>
      </w:r>
      <w:r w:rsidR="007C5844" w:rsidRPr="00B81C3D">
        <w:rPr>
          <w:rStyle w:val="normaltextrun"/>
          <w:color w:val="000000"/>
          <w:sz w:val="24"/>
          <w:szCs w:val="24"/>
          <w:shd w:val="clear" w:color="auto" w:fill="FFFFFF"/>
        </w:rPr>
        <w:t>Y.B. </w:t>
      </w:r>
      <w:r w:rsidR="007C5844" w:rsidRPr="00B81C3D">
        <w:rPr>
          <w:rStyle w:val="normaltextrun"/>
          <w:smallCaps/>
          <w:color w:val="000000"/>
          <w:sz w:val="24"/>
          <w:szCs w:val="24"/>
          <w:shd w:val="clear" w:color="auto" w:fill="FFFFFF"/>
        </w:rPr>
        <w:t>Int’l L. Comm’n</w:t>
      </w:r>
      <w:r w:rsidR="007C5844" w:rsidRPr="00B81C3D">
        <w:rPr>
          <w:rStyle w:val="normaltextrun"/>
          <w:color w:val="000000"/>
          <w:sz w:val="24"/>
          <w:szCs w:val="24"/>
          <w:shd w:val="clear" w:color="auto" w:fill="FFFFFF"/>
        </w:rPr>
        <w:t> Vol. II, art. 36, 112-13, U.N. Doc. A/CN.4/141 (1961).</w:t>
      </w:r>
    </w:p>
  </w:footnote>
  <w:footnote w:id="171">
    <w:p w14:paraId="2FF4BE2B" w14:textId="3F5AC6E8"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Nottebohm</w:t>
      </w:r>
      <w:proofErr w:type="spellEnd"/>
      <w:r w:rsidRPr="00B81C3D">
        <w:rPr>
          <w:sz w:val="24"/>
          <w:szCs w:val="24"/>
        </w:rPr>
        <w:t>, 22</w:t>
      </w:r>
      <w:r w:rsidR="000B25F9" w:rsidRPr="00B81C3D">
        <w:rPr>
          <w:sz w:val="24"/>
          <w:szCs w:val="24"/>
        </w:rPr>
        <w:t>&amp;</w:t>
      </w:r>
      <w:r w:rsidRPr="00B81C3D">
        <w:rPr>
          <w:sz w:val="24"/>
          <w:szCs w:val="24"/>
        </w:rPr>
        <w:t>26.</w:t>
      </w:r>
    </w:p>
  </w:footnote>
  <w:footnote w:id="172">
    <w:p w14:paraId="5B303D01" w14:textId="1BC7178C" w:rsidR="00C128A8" w:rsidRPr="00B81C3D" w:rsidRDefault="00C128A8" w:rsidP="00C75971">
      <w:pPr>
        <w:autoSpaceDE w:val="0"/>
        <w:autoSpaceDN w:val="0"/>
        <w:adjustRightInd w:val="0"/>
        <w:spacing w:afterLines="30" w:after="72" w:line="240" w:lineRule="auto"/>
        <w:ind w:left="567" w:hanging="567"/>
        <w:rPr>
          <w:lang w:val="en-US"/>
        </w:rPr>
      </w:pPr>
      <w:r w:rsidRPr="00B81C3D">
        <w:rPr>
          <w:rStyle w:val="FootnoteReference"/>
        </w:rPr>
        <w:footnoteRef/>
      </w:r>
      <w:r w:rsidRPr="00B81C3D">
        <w:t xml:space="preserve"> </w:t>
      </w:r>
      <w:proofErr w:type="spellStart"/>
      <w:r w:rsidRPr="00B81C3D">
        <w:rPr>
          <w:i/>
          <w:iCs/>
        </w:rPr>
        <w:t>Nottebohm</w:t>
      </w:r>
      <w:proofErr w:type="spellEnd"/>
      <w:r w:rsidRPr="00B81C3D">
        <w:rPr>
          <w:i/>
          <w:iCs/>
        </w:rPr>
        <w:t xml:space="preserve">, </w:t>
      </w:r>
      <w:r w:rsidRPr="00B81C3D">
        <w:t>22</w:t>
      </w:r>
      <w:r w:rsidR="000B25F9" w:rsidRPr="00B81C3D">
        <w:t>&amp;</w:t>
      </w:r>
      <w:r w:rsidRPr="00B81C3D">
        <w:t xml:space="preserve">26; </w:t>
      </w:r>
      <w:r w:rsidR="007C5844" w:rsidRPr="00B81C3D">
        <w:rPr>
          <w:color w:val="000000" w:themeColor="text1"/>
        </w:rPr>
        <w:t>Merge Case, Decision No. 55, 14 R.I.A.A. 236 (Italian-United States Conciliation Commission)</w:t>
      </w:r>
      <w:r w:rsidR="000B25F9" w:rsidRPr="00B81C3D">
        <w:rPr>
          <w:color w:val="000000" w:themeColor="text1"/>
        </w:rPr>
        <w:t xml:space="preserve">; </w:t>
      </w:r>
      <w:proofErr w:type="spellStart"/>
      <w:r w:rsidR="00246805" w:rsidRPr="00B81C3D">
        <w:rPr>
          <w:lang w:val="en-US"/>
        </w:rPr>
        <w:t>Esphahanian</w:t>
      </w:r>
      <w:proofErr w:type="spellEnd"/>
      <w:r w:rsidR="00246805" w:rsidRPr="00B81C3D">
        <w:rPr>
          <w:lang w:val="en-US"/>
        </w:rPr>
        <w:t xml:space="preserve"> v. Bank </w:t>
      </w:r>
      <w:proofErr w:type="spellStart"/>
      <w:r w:rsidR="00246805" w:rsidRPr="00B81C3D">
        <w:rPr>
          <w:lang w:val="en-US"/>
        </w:rPr>
        <w:t>Tejarat</w:t>
      </w:r>
      <w:proofErr w:type="spellEnd"/>
      <w:r w:rsidR="00246805" w:rsidRPr="00B81C3D">
        <w:rPr>
          <w:lang w:val="en-US"/>
        </w:rPr>
        <w:t>, Award No. 157 (1983), Iran-</w:t>
      </w:r>
      <w:r w:rsidR="00A74DED" w:rsidRPr="00B81C3D">
        <w:rPr>
          <w:lang w:val="en-US"/>
        </w:rPr>
        <w:t>US</w:t>
      </w:r>
      <w:r w:rsidR="00246805" w:rsidRPr="00B81C3D">
        <w:rPr>
          <w:lang w:val="en-US"/>
        </w:rPr>
        <w:t xml:space="preserve"> Claims Tribunal Reports, 166.</w:t>
      </w:r>
    </w:p>
  </w:footnote>
  <w:footnote w:id="173">
    <w:p w14:paraId="64A130D8" w14:textId="0FFEA5E1"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color w:val="000000" w:themeColor="text1"/>
          <w:sz w:val="24"/>
          <w:szCs w:val="24"/>
        </w:rPr>
        <w:t xml:space="preserve">Ballantine v. Dominican Republic, </w:t>
      </w:r>
      <w:r w:rsidR="00A74DED" w:rsidRPr="00B81C3D">
        <w:rPr>
          <w:sz w:val="24"/>
          <w:szCs w:val="24"/>
        </w:rPr>
        <w:t xml:space="preserve">PCA </w:t>
      </w:r>
      <w:r w:rsidRPr="00B81C3D">
        <w:rPr>
          <w:color w:val="000000" w:themeColor="text1"/>
          <w:sz w:val="24"/>
          <w:szCs w:val="24"/>
        </w:rPr>
        <w:t>Case No 2016-17</w:t>
      </w:r>
      <w:r w:rsidR="00A74DED" w:rsidRPr="00B81C3D">
        <w:rPr>
          <w:color w:val="000000" w:themeColor="text1"/>
          <w:sz w:val="24"/>
          <w:szCs w:val="24"/>
        </w:rPr>
        <w:t xml:space="preserve">, </w:t>
      </w:r>
      <w:r w:rsidR="00A74DED" w:rsidRPr="00B81C3D">
        <w:rPr>
          <w:sz w:val="24"/>
          <w:szCs w:val="24"/>
        </w:rPr>
        <w:t>¶554</w:t>
      </w:r>
      <w:r w:rsidRPr="00B81C3D">
        <w:rPr>
          <w:color w:val="000000" w:themeColor="text1"/>
          <w:sz w:val="24"/>
          <w:szCs w:val="24"/>
        </w:rPr>
        <w:t xml:space="preserve"> (2019).</w:t>
      </w:r>
    </w:p>
  </w:footnote>
  <w:footnote w:id="174">
    <w:p w14:paraId="16DBB460" w14:textId="69CCF7BD"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7C5844" w:rsidRPr="00B81C3D">
        <w:rPr>
          <w:i/>
          <w:iCs/>
          <w:sz w:val="24"/>
          <w:szCs w:val="24"/>
        </w:rPr>
        <w:t>Nottebohm</w:t>
      </w:r>
      <w:proofErr w:type="spellEnd"/>
      <w:r w:rsidR="007C5844" w:rsidRPr="00B81C3D">
        <w:rPr>
          <w:sz w:val="24"/>
          <w:szCs w:val="24"/>
        </w:rPr>
        <w:t xml:space="preserve">, (Read, J., </w:t>
      </w:r>
      <w:proofErr w:type="spellStart"/>
      <w:r w:rsidR="00EF319F" w:rsidRPr="00B81C3D">
        <w:rPr>
          <w:sz w:val="24"/>
          <w:szCs w:val="24"/>
        </w:rPr>
        <w:t>dis.op</w:t>
      </w:r>
      <w:proofErr w:type="spellEnd"/>
      <w:r w:rsidR="00EF319F" w:rsidRPr="00B81C3D">
        <w:rPr>
          <w:sz w:val="24"/>
          <w:szCs w:val="24"/>
        </w:rPr>
        <w:t>.</w:t>
      </w:r>
      <w:r w:rsidR="007C5844" w:rsidRPr="00B81C3D">
        <w:rPr>
          <w:sz w:val="24"/>
          <w:szCs w:val="24"/>
        </w:rPr>
        <w:t>)</w:t>
      </w:r>
      <w:r w:rsidR="000B25F9" w:rsidRPr="00B81C3D">
        <w:rPr>
          <w:sz w:val="24"/>
          <w:szCs w:val="24"/>
        </w:rPr>
        <w:t xml:space="preserve"> 41</w:t>
      </w:r>
      <w:r w:rsidR="007C5844" w:rsidRPr="00B81C3D">
        <w:rPr>
          <w:sz w:val="24"/>
          <w:szCs w:val="24"/>
        </w:rPr>
        <w:t>.</w:t>
      </w:r>
    </w:p>
  </w:footnote>
  <w:footnote w:id="175">
    <w:p w14:paraId="05A37B8E" w14:textId="385854FA"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color w:val="000000" w:themeColor="text1"/>
          <w:sz w:val="24"/>
          <w:szCs w:val="24"/>
        </w:rPr>
        <w:t xml:space="preserve"> </w:t>
      </w:r>
      <w:r w:rsidR="007C5844" w:rsidRPr="00B81C3D">
        <w:rPr>
          <w:rFonts w:eastAsiaTheme="minorHAnsi"/>
          <w:i/>
          <w:iCs/>
          <w:color w:val="000000" w:themeColor="text1"/>
          <w:sz w:val="24"/>
          <w:szCs w:val="24"/>
          <w14:ligatures w14:val="standardContextual"/>
        </w:rPr>
        <w:t>Merge Case</w:t>
      </w:r>
      <w:r w:rsidR="007C5844" w:rsidRPr="00B81C3D">
        <w:rPr>
          <w:rFonts w:eastAsiaTheme="minorHAnsi"/>
          <w:color w:val="000000" w:themeColor="text1"/>
          <w:sz w:val="24"/>
          <w:szCs w:val="24"/>
          <w14:ligatures w14:val="standardContextual"/>
        </w:rPr>
        <w:t>, 236.</w:t>
      </w:r>
    </w:p>
  </w:footnote>
  <w:footnote w:id="176">
    <w:p w14:paraId="6BC79E4C" w14:textId="581E4CD8"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Case No. A/18, IUSCT Case No. A/18, Decision No. DEC32-A-18-FT (1984).</w:t>
      </w:r>
    </w:p>
  </w:footnote>
  <w:footnote w:id="177">
    <w:p w14:paraId="6410ADC9" w14:textId="77777777"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Compromis</w:t>
      </w:r>
      <w:proofErr w:type="spellEnd"/>
      <w:r w:rsidRPr="00B81C3D">
        <w:rPr>
          <w:sz w:val="24"/>
          <w:szCs w:val="24"/>
        </w:rPr>
        <w:t>, ¶18.</w:t>
      </w:r>
    </w:p>
  </w:footnote>
  <w:footnote w:id="178">
    <w:p w14:paraId="6EE7F2AD" w14:textId="77777777"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Compromis</w:t>
      </w:r>
      <w:proofErr w:type="spellEnd"/>
      <w:r w:rsidRPr="00B81C3D">
        <w:rPr>
          <w:sz w:val="24"/>
          <w:szCs w:val="24"/>
        </w:rPr>
        <w:t>, ¶15.</w:t>
      </w:r>
    </w:p>
  </w:footnote>
  <w:footnote w:id="179">
    <w:p w14:paraId="5355BDF3" w14:textId="4FB3D8D9"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 xml:space="preserve">Sinclair, </w:t>
      </w:r>
      <w:r w:rsidRPr="00B81C3D">
        <w:rPr>
          <w:i/>
          <w:sz w:val="24"/>
          <w:szCs w:val="24"/>
        </w:rPr>
        <w:t xml:space="preserve">Estoppel and Acquiescence, </w:t>
      </w:r>
      <w:r w:rsidRPr="00B81C3D">
        <w:rPr>
          <w:smallCaps/>
          <w:sz w:val="24"/>
          <w:szCs w:val="24"/>
        </w:rPr>
        <w:t>Fifty Years of the International Court of Justice 104</w:t>
      </w:r>
      <w:r w:rsidRPr="00B81C3D">
        <w:rPr>
          <w:iCs/>
          <w:smallCaps/>
          <w:sz w:val="24"/>
          <w:szCs w:val="24"/>
        </w:rPr>
        <w:t>-</w:t>
      </w:r>
      <w:r w:rsidRPr="00B81C3D">
        <w:rPr>
          <w:smallCaps/>
          <w:sz w:val="24"/>
          <w:szCs w:val="24"/>
        </w:rPr>
        <w:t>20 (</w:t>
      </w:r>
      <w:r w:rsidRPr="00B81C3D">
        <w:rPr>
          <w:sz w:val="24"/>
          <w:szCs w:val="24"/>
        </w:rPr>
        <w:t>1996</w:t>
      </w:r>
      <w:r w:rsidRPr="00B81C3D">
        <w:rPr>
          <w:iCs/>
          <w:sz w:val="24"/>
          <w:szCs w:val="24"/>
        </w:rPr>
        <w:t>)</w:t>
      </w:r>
      <w:r w:rsidRPr="00B81C3D">
        <w:rPr>
          <w:sz w:val="24"/>
          <w:szCs w:val="24"/>
        </w:rPr>
        <w:t>.</w:t>
      </w:r>
    </w:p>
  </w:footnote>
  <w:footnote w:id="180">
    <w:p w14:paraId="1B64EAB9" w14:textId="3C58D298" w:rsidR="00C128A8" w:rsidRPr="00B81C3D" w:rsidRDefault="00C128A8"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0D715A" w:rsidRPr="00B81C3D">
        <w:rPr>
          <w:sz w:val="24"/>
          <w:szCs w:val="24"/>
          <w:lang w:val="en-US"/>
        </w:rPr>
        <w:t>Chagos</w:t>
      </w:r>
      <w:proofErr w:type="spellEnd"/>
      <w:r w:rsidR="000D715A" w:rsidRPr="00B81C3D">
        <w:rPr>
          <w:sz w:val="24"/>
          <w:szCs w:val="24"/>
          <w:lang w:val="en-US"/>
        </w:rPr>
        <w:t xml:space="preserve"> Marine Protected Area Arbitration (Mauritius</w:t>
      </w:r>
      <w:r w:rsidR="00A74DED" w:rsidRPr="00B81C3D">
        <w:rPr>
          <w:sz w:val="24"/>
          <w:szCs w:val="24"/>
          <w:lang w:val="en-US"/>
        </w:rPr>
        <w:t>/</w:t>
      </w:r>
      <w:r w:rsidR="000D715A" w:rsidRPr="00B81C3D">
        <w:rPr>
          <w:sz w:val="24"/>
          <w:szCs w:val="24"/>
          <w:lang w:val="en-US"/>
        </w:rPr>
        <w:t xml:space="preserve">U.K.), </w:t>
      </w:r>
      <w:r w:rsidR="00A74DED" w:rsidRPr="00B81C3D">
        <w:rPr>
          <w:sz w:val="24"/>
          <w:szCs w:val="24"/>
          <w:lang w:val="en-US"/>
        </w:rPr>
        <w:t xml:space="preserve">2019 PCA </w:t>
      </w:r>
      <w:r w:rsidR="000D715A" w:rsidRPr="00B81C3D">
        <w:rPr>
          <w:sz w:val="24"/>
          <w:szCs w:val="24"/>
        </w:rPr>
        <w:t>¶438.</w:t>
      </w:r>
    </w:p>
  </w:footnote>
  <w:footnote w:id="181">
    <w:p w14:paraId="098D6DB6" w14:textId="7199F9D7" w:rsidR="00C128A8" w:rsidRPr="00B81C3D" w:rsidRDefault="00C128A8" w:rsidP="00C75971">
      <w:pPr>
        <w:pStyle w:val="NoSpacing"/>
        <w:spacing w:afterLines="30" w:after="72"/>
        <w:ind w:left="567" w:hanging="567"/>
        <w:rPr>
          <w:sz w:val="24"/>
          <w:szCs w:val="24"/>
          <w:lang w:eastAsia="zh-CN"/>
        </w:rPr>
      </w:pPr>
      <w:r w:rsidRPr="00B81C3D">
        <w:rPr>
          <w:rStyle w:val="FootnoteReference"/>
          <w:sz w:val="24"/>
          <w:szCs w:val="24"/>
        </w:rPr>
        <w:footnoteRef/>
      </w:r>
      <w:r w:rsidRPr="00B81C3D">
        <w:rPr>
          <w:sz w:val="24"/>
          <w:szCs w:val="24"/>
        </w:rPr>
        <w:t xml:space="preserve"> </w:t>
      </w:r>
      <w:r w:rsidRPr="00B81C3D">
        <w:rPr>
          <w:sz w:val="24"/>
          <w:szCs w:val="24"/>
          <w:lang w:eastAsia="zh-CN"/>
        </w:rPr>
        <w:t>Payment of Various Serbian Loans Issued in France (France</w:t>
      </w:r>
      <w:r w:rsidR="00A74DED" w:rsidRPr="00B81C3D">
        <w:rPr>
          <w:sz w:val="24"/>
          <w:szCs w:val="24"/>
          <w:lang w:eastAsia="zh-CN"/>
        </w:rPr>
        <w:t>/</w:t>
      </w:r>
      <w:proofErr w:type="gramStart"/>
      <w:r w:rsidRPr="00B81C3D">
        <w:rPr>
          <w:sz w:val="24"/>
          <w:szCs w:val="24"/>
          <w:lang w:eastAsia="zh-CN"/>
        </w:rPr>
        <w:t>Serb-Croat</w:t>
      </w:r>
      <w:proofErr w:type="gramEnd"/>
      <w:r w:rsidRPr="00B81C3D">
        <w:rPr>
          <w:sz w:val="24"/>
          <w:szCs w:val="24"/>
          <w:lang w:eastAsia="zh-CN"/>
        </w:rPr>
        <w:t>-Slovene)</w:t>
      </w:r>
      <w:r w:rsidR="00A74DED" w:rsidRPr="00B81C3D">
        <w:rPr>
          <w:sz w:val="24"/>
          <w:szCs w:val="24"/>
          <w:lang w:eastAsia="zh-CN"/>
        </w:rPr>
        <w:t>,</w:t>
      </w:r>
      <w:r w:rsidRPr="00B81C3D">
        <w:rPr>
          <w:sz w:val="24"/>
          <w:szCs w:val="24"/>
          <w:lang w:eastAsia="zh-CN"/>
        </w:rPr>
        <w:t xml:space="preserve"> 1929 P</w:t>
      </w:r>
      <w:r w:rsidR="004567C3" w:rsidRPr="00B81C3D">
        <w:rPr>
          <w:sz w:val="24"/>
          <w:szCs w:val="24"/>
          <w:lang w:eastAsia="zh-CN"/>
        </w:rPr>
        <w:t>.</w:t>
      </w:r>
      <w:r w:rsidRPr="00B81C3D">
        <w:rPr>
          <w:sz w:val="24"/>
          <w:szCs w:val="24"/>
          <w:lang w:eastAsia="zh-CN"/>
        </w:rPr>
        <w:t>C</w:t>
      </w:r>
      <w:r w:rsidR="004567C3" w:rsidRPr="00B81C3D">
        <w:rPr>
          <w:sz w:val="24"/>
          <w:szCs w:val="24"/>
          <w:lang w:eastAsia="zh-CN"/>
        </w:rPr>
        <w:t>.</w:t>
      </w:r>
      <w:r w:rsidRPr="00B81C3D">
        <w:rPr>
          <w:sz w:val="24"/>
          <w:szCs w:val="24"/>
          <w:lang w:eastAsia="zh-CN"/>
        </w:rPr>
        <w:t>I</w:t>
      </w:r>
      <w:r w:rsidR="004567C3" w:rsidRPr="00B81C3D">
        <w:rPr>
          <w:sz w:val="24"/>
          <w:szCs w:val="24"/>
          <w:lang w:eastAsia="zh-CN"/>
        </w:rPr>
        <w:t>.</w:t>
      </w:r>
      <w:r w:rsidRPr="00B81C3D">
        <w:rPr>
          <w:sz w:val="24"/>
          <w:szCs w:val="24"/>
          <w:lang w:eastAsia="zh-CN"/>
        </w:rPr>
        <w:t>J</w:t>
      </w:r>
      <w:r w:rsidR="004567C3" w:rsidRPr="00B81C3D">
        <w:rPr>
          <w:sz w:val="24"/>
          <w:szCs w:val="24"/>
          <w:lang w:eastAsia="zh-CN"/>
        </w:rPr>
        <w:t xml:space="preserve">. </w:t>
      </w:r>
      <w:r w:rsidRPr="00B81C3D">
        <w:rPr>
          <w:sz w:val="24"/>
          <w:szCs w:val="24"/>
          <w:lang w:eastAsia="zh-CN"/>
        </w:rPr>
        <w:t>(ser A) No</w:t>
      </w:r>
      <w:r w:rsidR="00A74DED" w:rsidRPr="00B81C3D">
        <w:rPr>
          <w:sz w:val="24"/>
          <w:szCs w:val="24"/>
          <w:lang w:eastAsia="zh-CN"/>
        </w:rPr>
        <w:t>.</w:t>
      </w:r>
      <w:r w:rsidRPr="00B81C3D">
        <w:rPr>
          <w:sz w:val="24"/>
          <w:szCs w:val="24"/>
          <w:lang w:eastAsia="zh-CN"/>
        </w:rPr>
        <w:t>20, 38.</w:t>
      </w:r>
    </w:p>
  </w:footnote>
  <w:footnote w:id="182">
    <w:p w14:paraId="11B6A2EE" w14:textId="30CA78D5" w:rsidR="00C128A8" w:rsidRPr="00B81C3D" w:rsidRDefault="00C128A8" w:rsidP="00C75971">
      <w:pPr>
        <w:pStyle w:val="NoSpacing"/>
        <w:spacing w:afterLines="30" w:after="72"/>
        <w:ind w:left="567" w:hanging="567"/>
        <w:rPr>
          <w:sz w:val="24"/>
          <w:szCs w:val="24"/>
          <w:lang w:eastAsia="zh-CN"/>
        </w:rPr>
      </w:pPr>
      <w:r w:rsidRPr="00B81C3D">
        <w:rPr>
          <w:rStyle w:val="FootnoteReference"/>
          <w:sz w:val="24"/>
          <w:szCs w:val="24"/>
        </w:rPr>
        <w:footnoteRef/>
      </w:r>
      <w:r w:rsidRPr="00B81C3D">
        <w:rPr>
          <w:sz w:val="24"/>
          <w:szCs w:val="24"/>
        </w:rPr>
        <w:t xml:space="preserve"> </w:t>
      </w:r>
      <w:r w:rsidRPr="00B81C3D">
        <w:rPr>
          <w:sz w:val="24"/>
          <w:szCs w:val="24"/>
          <w:lang w:eastAsia="zh-CN"/>
        </w:rPr>
        <w:t>El Salvador v</w:t>
      </w:r>
      <w:r w:rsidR="009E2328" w:rsidRPr="00B81C3D">
        <w:rPr>
          <w:sz w:val="24"/>
          <w:szCs w:val="24"/>
          <w:lang w:eastAsia="zh-CN"/>
        </w:rPr>
        <w:t>.</w:t>
      </w:r>
      <w:r w:rsidRPr="00B81C3D">
        <w:rPr>
          <w:sz w:val="24"/>
          <w:szCs w:val="24"/>
          <w:lang w:eastAsia="zh-CN"/>
        </w:rPr>
        <w:t xml:space="preserve"> Honduras (Application </w:t>
      </w:r>
      <w:proofErr w:type="gramStart"/>
      <w:r w:rsidRPr="00B81C3D">
        <w:rPr>
          <w:sz w:val="24"/>
          <w:szCs w:val="24"/>
          <w:lang w:eastAsia="zh-CN"/>
        </w:rPr>
        <w:t>For</w:t>
      </w:r>
      <w:proofErr w:type="gramEnd"/>
      <w:r w:rsidRPr="00B81C3D">
        <w:rPr>
          <w:sz w:val="24"/>
          <w:szCs w:val="24"/>
          <w:lang w:eastAsia="zh-CN"/>
        </w:rPr>
        <w:t xml:space="preserve"> Permission To Intervene)</w:t>
      </w:r>
      <w:r w:rsidR="00A74DED" w:rsidRPr="00B81C3D">
        <w:rPr>
          <w:sz w:val="24"/>
          <w:szCs w:val="24"/>
          <w:lang w:eastAsia="zh-CN"/>
        </w:rPr>
        <w:t>,</w:t>
      </w:r>
      <w:r w:rsidRPr="00B81C3D">
        <w:rPr>
          <w:sz w:val="24"/>
          <w:szCs w:val="24"/>
          <w:lang w:eastAsia="zh-CN"/>
        </w:rPr>
        <w:t xml:space="preserve"> 1990 I</w:t>
      </w:r>
      <w:r w:rsidR="009E2328" w:rsidRPr="00B81C3D">
        <w:rPr>
          <w:sz w:val="24"/>
          <w:szCs w:val="24"/>
          <w:lang w:eastAsia="zh-CN"/>
        </w:rPr>
        <w:t>.</w:t>
      </w:r>
      <w:r w:rsidRPr="00B81C3D">
        <w:rPr>
          <w:sz w:val="24"/>
          <w:szCs w:val="24"/>
          <w:lang w:eastAsia="zh-CN"/>
        </w:rPr>
        <w:t>C</w:t>
      </w:r>
      <w:r w:rsidR="009E2328" w:rsidRPr="00B81C3D">
        <w:rPr>
          <w:sz w:val="24"/>
          <w:szCs w:val="24"/>
          <w:lang w:eastAsia="zh-CN"/>
        </w:rPr>
        <w:t>.</w:t>
      </w:r>
      <w:r w:rsidRPr="00B81C3D">
        <w:rPr>
          <w:sz w:val="24"/>
          <w:szCs w:val="24"/>
          <w:lang w:eastAsia="zh-CN"/>
        </w:rPr>
        <w:t>J</w:t>
      </w:r>
      <w:r w:rsidR="004567C3" w:rsidRPr="00B81C3D">
        <w:rPr>
          <w:sz w:val="24"/>
          <w:szCs w:val="24"/>
          <w:lang w:eastAsia="zh-CN"/>
        </w:rPr>
        <w:t>.</w:t>
      </w:r>
      <w:r w:rsidRPr="00B81C3D">
        <w:rPr>
          <w:sz w:val="24"/>
          <w:szCs w:val="24"/>
          <w:lang w:eastAsia="zh-CN"/>
        </w:rPr>
        <w:t xml:space="preserve"> 92, </w:t>
      </w:r>
      <w:r w:rsidRPr="00B81C3D">
        <w:rPr>
          <w:sz w:val="24"/>
          <w:szCs w:val="24"/>
        </w:rPr>
        <w:t>¶</w:t>
      </w:r>
      <w:r w:rsidRPr="00B81C3D">
        <w:rPr>
          <w:sz w:val="24"/>
          <w:szCs w:val="24"/>
          <w:lang w:eastAsia="zh-CN"/>
        </w:rPr>
        <w:t>63.</w:t>
      </w:r>
    </w:p>
  </w:footnote>
  <w:footnote w:id="183">
    <w:p w14:paraId="269546B3" w14:textId="29EB3813"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eastAsia="zh-CN"/>
        </w:rPr>
        <w:t>Nicaragua v</w:t>
      </w:r>
      <w:r w:rsidR="009E2328" w:rsidRPr="00B81C3D">
        <w:rPr>
          <w:sz w:val="24"/>
          <w:szCs w:val="24"/>
          <w:lang w:eastAsia="zh-CN"/>
        </w:rPr>
        <w:t>.</w:t>
      </w:r>
      <w:r w:rsidRPr="00B81C3D">
        <w:rPr>
          <w:sz w:val="24"/>
          <w:szCs w:val="24"/>
          <w:lang w:eastAsia="zh-CN"/>
        </w:rPr>
        <w:t xml:space="preserve"> </w:t>
      </w:r>
      <w:r w:rsidR="00A74DED" w:rsidRPr="00B81C3D">
        <w:rPr>
          <w:sz w:val="24"/>
          <w:szCs w:val="24"/>
          <w:lang w:eastAsia="zh-CN"/>
        </w:rPr>
        <w:t>US</w:t>
      </w:r>
      <w:r w:rsidRPr="00B81C3D">
        <w:rPr>
          <w:sz w:val="24"/>
          <w:szCs w:val="24"/>
          <w:lang w:eastAsia="zh-CN"/>
        </w:rPr>
        <w:t>, Jurisdiction</w:t>
      </w:r>
      <w:r w:rsidR="00A74DED" w:rsidRPr="00B81C3D">
        <w:rPr>
          <w:sz w:val="24"/>
          <w:szCs w:val="24"/>
          <w:lang w:eastAsia="zh-CN"/>
        </w:rPr>
        <w:t>,</w:t>
      </w:r>
      <w:r w:rsidRPr="00B81C3D">
        <w:rPr>
          <w:sz w:val="24"/>
          <w:szCs w:val="24"/>
          <w:lang w:eastAsia="zh-CN"/>
        </w:rPr>
        <w:t xml:space="preserve"> 1984 I</w:t>
      </w:r>
      <w:r w:rsidR="009E2328" w:rsidRPr="00B81C3D">
        <w:rPr>
          <w:sz w:val="24"/>
          <w:szCs w:val="24"/>
          <w:lang w:eastAsia="zh-CN"/>
        </w:rPr>
        <w:t>.</w:t>
      </w:r>
      <w:r w:rsidRPr="00B81C3D">
        <w:rPr>
          <w:sz w:val="24"/>
          <w:szCs w:val="24"/>
          <w:lang w:eastAsia="zh-CN"/>
        </w:rPr>
        <w:t>C</w:t>
      </w:r>
      <w:r w:rsidR="009E2328" w:rsidRPr="00B81C3D">
        <w:rPr>
          <w:sz w:val="24"/>
          <w:szCs w:val="24"/>
          <w:lang w:eastAsia="zh-CN"/>
        </w:rPr>
        <w:t>.</w:t>
      </w:r>
      <w:r w:rsidRPr="00B81C3D">
        <w:rPr>
          <w:sz w:val="24"/>
          <w:szCs w:val="24"/>
          <w:lang w:eastAsia="zh-CN"/>
        </w:rPr>
        <w:t xml:space="preserve">J 392, 415, </w:t>
      </w:r>
      <w:r w:rsidRPr="00B81C3D">
        <w:rPr>
          <w:sz w:val="24"/>
          <w:szCs w:val="24"/>
        </w:rPr>
        <w:t>¶</w:t>
      </w:r>
      <w:r w:rsidRPr="00B81C3D">
        <w:rPr>
          <w:sz w:val="24"/>
          <w:szCs w:val="24"/>
          <w:lang w:val="en-US"/>
        </w:rPr>
        <w:t>51</w:t>
      </w:r>
      <w:r w:rsidR="007C5844" w:rsidRPr="00B81C3D">
        <w:rPr>
          <w:sz w:val="24"/>
          <w:szCs w:val="24"/>
          <w:lang w:val="en-US"/>
        </w:rPr>
        <w:t xml:space="preserve"> [“</w:t>
      </w:r>
      <w:r w:rsidR="007C5844" w:rsidRPr="00B81C3D">
        <w:rPr>
          <w:b/>
          <w:bCs/>
          <w:sz w:val="24"/>
          <w:szCs w:val="24"/>
          <w:lang w:val="en-US"/>
        </w:rPr>
        <w:t>Nicaragua</w:t>
      </w:r>
      <w:r w:rsidR="007C5844" w:rsidRPr="00B81C3D">
        <w:rPr>
          <w:sz w:val="24"/>
          <w:szCs w:val="24"/>
          <w:lang w:val="en-US"/>
        </w:rPr>
        <w:t>”].</w:t>
      </w:r>
    </w:p>
  </w:footnote>
  <w:footnote w:id="184">
    <w:p w14:paraId="47C60A62" w14:textId="1B928C41" w:rsidR="00C128A8" w:rsidRPr="00B81C3D" w:rsidRDefault="00C128A8"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00895644" w:rsidRPr="00B81C3D">
        <w:rPr>
          <w:sz w:val="24"/>
          <w:szCs w:val="24"/>
        </w:rPr>
        <w:t>Muchmore</w:t>
      </w:r>
      <w:r w:rsidR="001C5502" w:rsidRPr="00B81C3D">
        <w:rPr>
          <w:sz w:val="24"/>
          <w:szCs w:val="24"/>
        </w:rPr>
        <w:t xml:space="preserve">, </w:t>
      </w:r>
      <w:r w:rsidRPr="00B81C3D">
        <w:rPr>
          <w:sz w:val="24"/>
          <w:szCs w:val="24"/>
        </w:rPr>
        <w:t>“</w:t>
      </w:r>
      <w:r w:rsidRPr="00B81C3D">
        <w:rPr>
          <w:i/>
          <w:sz w:val="24"/>
          <w:szCs w:val="24"/>
        </w:rPr>
        <w:t xml:space="preserve">Passports </w:t>
      </w:r>
      <w:r w:rsidR="001C5502" w:rsidRPr="00B81C3D">
        <w:rPr>
          <w:i/>
          <w:sz w:val="24"/>
          <w:szCs w:val="24"/>
        </w:rPr>
        <w:t xml:space="preserve">and </w:t>
      </w:r>
      <w:r w:rsidR="00895644" w:rsidRPr="00B81C3D">
        <w:rPr>
          <w:i/>
          <w:sz w:val="24"/>
          <w:szCs w:val="24"/>
        </w:rPr>
        <w:t>Nationality</w:t>
      </w:r>
      <w:r w:rsidR="001C5502" w:rsidRPr="00B81C3D">
        <w:rPr>
          <w:i/>
          <w:sz w:val="24"/>
          <w:szCs w:val="24"/>
        </w:rPr>
        <w:t xml:space="preserve"> </w:t>
      </w:r>
      <w:r w:rsidRPr="00B81C3D">
        <w:rPr>
          <w:i/>
          <w:sz w:val="24"/>
          <w:szCs w:val="24"/>
        </w:rPr>
        <w:t>in International Law”</w:t>
      </w:r>
      <w:r w:rsidR="00B2339A" w:rsidRPr="00B81C3D">
        <w:rPr>
          <w:iCs/>
          <w:sz w:val="24"/>
          <w:szCs w:val="24"/>
        </w:rPr>
        <w:t>,</w:t>
      </w:r>
      <w:r w:rsidR="00895644" w:rsidRPr="00B81C3D">
        <w:rPr>
          <w:i/>
          <w:sz w:val="24"/>
          <w:szCs w:val="24"/>
        </w:rPr>
        <w:t xml:space="preserve"> </w:t>
      </w:r>
      <w:r w:rsidR="00895644" w:rsidRPr="00B81C3D">
        <w:rPr>
          <w:sz w:val="24"/>
          <w:szCs w:val="24"/>
        </w:rPr>
        <w:t>318.</w:t>
      </w:r>
    </w:p>
  </w:footnote>
  <w:footnote w:id="185">
    <w:p w14:paraId="138924C6" w14:textId="170AA225" w:rsidR="00C128A8" w:rsidRPr="00B81C3D" w:rsidRDefault="00C128A8" w:rsidP="00C75971">
      <w:pPr>
        <w:pStyle w:val="NoSpacing"/>
        <w:spacing w:afterLines="30" w:after="72"/>
        <w:ind w:left="567" w:hanging="567"/>
        <w:rPr>
          <w:sz w:val="24"/>
          <w:szCs w:val="24"/>
        </w:rPr>
      </w:pPr>
      <w:r w:rsidRPr="00B81C3D">
        <w:rPr>
          <w:rStyle w:val="FootnoteReference"/>
          <w:sz w:val="24"/>
          <w:szCs w:val="24"/>
        </w:rPr>
        <w:footnoteRef/>
      </w:r>
      <w:r w:rsidR="00895644" w:rsidRPr="00B81C3D">
        <w:rPr>
          <w:sz w:val="24"/>
          <w:szCs w:val="24"/>
        </w:rPr>
        <w:t xml:space="preserve"> </w:t>
      </w:r>
      <w:r w:rsidR="000B25F9" w:rsidRPr="00B81C3D">
        <w:rPr>
          <w:i/>
          <w:iCs/>
          <w:sz w:val="24"/>
          <w:szCs w:val="24"/>
        </w:rPr>
        <w:t>Id</w:t>
      </w:r>
      <w:r w:rsidR="009E2328" w:rsidRPr="00B81C3D">
        <w:rPr>
          <w:i/>
          <w:iCs/>
          <w:sz w:val="24"/>
          <w:szCs w:val="24"/>
        </w:rPr>
        <w:t>,</w:t>
      </w:r>
      <w:r w:rsidR="000B25F9" w:rsidRPr="00B81C3D">
        <w:rPr>
          <w:i/>
          <w:iCs/>
          <w:sz w:val="24"/>
          <w:szCs w:val="24"/>
        </w:rPr>
        <w:t xml:space="preserve"> </w:t>
      </w:r>
      <w:r w:rsidR="001C5502" w:rsidRPr="00B81C3D">
        <w:rPr>
          <w:sz w:val="24"/>
          <w:szCs w:val="24"/>
        </w:rPr>
        <w:t xml:space="preserve">at </w:t>
      </w:r>
      <w:r w:rsidR="00895644" w:rsidRPr="00B81C3D">
        <w:rPr>
          <w:sz w:val="24"/>
          <w:szCs w:val="24"/>
        </w:rPr>
        <w:t>350</w:t>
      </w:r>
      <w:r w:rsidR="001C5502" w:rsidRPr="00B81C3D">
        <w:rPr>
          <w:sz w:val="24"/>
          <w:szCs w:val="24"/>
        </w:rPr>
        <w:t>.</w:t>
      </w:r>
    </w:p>
  </w:footnote>
  <w:footnote w:id="186">
    <w:p w14:paraId="4EB3B676" w14:textId="6C37B93E" w:rsidR="007C5844" w:rsidRPr="00B81C3D" w:rsidRDefault="007C5844" w:rsidP="00C75971">
      <w:pPr>
        <w:autoSpaceDE w:val="0"/>
        <w:autoSpaceDN w:val="0"/>
        <w:adjustRightInd w:val="0"/>
        <w:spacing w:afterLines="30" w:after="72" w:line="240" w:lineRule="auto"/>
        <w:ind w:left="567" w:hanging="567"/>
      </w:pPr>
      <w:r w:rsidRPr="00B81C3D">
        <w:rPr>
          <w:rStyle w:val="FootnoteReference"/>
          <w:color w:val="000000" w:themeColor="text1"/>
        </w:rPr>
        <w:footnoteRef/>
      </w:r>
      <w:r w:rsidRPr="00B81C3D">
        <w:rPr>
          <w:color w:val="000000" w:themeColor="text1"/>
        </w:rPr>
        <w:t xml:space="preserve"> </w:t>
      </w:r>
      <w:r w:rsidRPr="00B81C3D">
        <w:rPr>
          <w:color w:val="000000" w:themeColor="text1"/>
          <w14:ligatures w14:val="standardContextual"/>
        </w:rPr>
        <w:t>Delimitation of the Maritime Boundary in the Gulf of Maine Area (</w:t>
      </w:r>
      <w:r w:rsidR="003C7055" w:rsidRPr="00B81C3D">
        <w:rPr>
          <w:color w:val="000000" w:themeColor="text1"/>
          <w14:ligatures w14:val="standardContextual"/>
        </w:rPr>
        <w:t>Canada</w:t>
      </w:r>
      <w:r w:rsidRPr="00B81C3D">
        <w:rPr>
          <w:color w:val="000000" w:themeColor="text1"/>
          <w14:ligatures w14:val="standardContextual"/>
        </w:rPr>
        <w:t>/</w:t>
      </w:r>
      <w:r w:rsidR="003C7055" w:rsidRPr="00B81C3D">
        <w:rPr>
          <w:color w:val="000000" w:themeColor="text1"/>
          <w14:ligatures w14:val="standardContextual"/>
        </w:rPr>
        <w:t>U.S.</w:t>
      </w:r>
      <w:r w:rsidRPr="00B81C3D">
        <w:rPr>
          <w:color w:val="000000" w:themeColor="text1"/>
          <w14:ligatures w14:val="standardContextual"/>
        </w:rPr>
        <w:t xml:space="preserve">), 1984 I.C.J. 246, </w:t>
      </w:r>
      <w:r w:rsidRPr="00B81C3D">
        <w:t>¶¶133, 137</w:t>
      </w:r>
      <w:r w:rsidR="009E2328" w:rsidRPr="00B81C3D">
        <w:t>&amp;</w:t>
      </w:r>
      <w:r w:rsidRPr="00B81C3D">
        <w:t xml:space="preserve">139; </w:t>
      </w:r>
      <w:r w:rsidRPr="00B81C3D">
        <w:rPr>
          <w:color w:val="000000" w:themeColor="text1"/>
          <w14:ligatures w14:val="standardContextual"/>
        </w:rPr>
        <w:t>Legal Status of Eastern Greenland (Denmark</w:t>
      </w:r>
      <w:r w:rsidR="006C210E" w:rsidRPr="00B81C3D">
        <w:rPr>
          <w:color w:val="000000" w:themeColor="text1"/>
          <w14:ligatures w14:val="standardContextual"/>
        </w:rPr>
        <w:t>/</w:t>
      </w:r>
      <w:r w:rsidRPr="00B81C3D">
        <w:rPr>
          <w:color w:val="000000" w:themeColor="text1"/>
          <w14:ligatures w14:val="standardContextual"/>
        </w:rPr>
        <w:t>Norway), P</w:t>
      </w:r>
      <w:r w:rsidR="004567C3" w:rsidRPr="00B81C3D">
        <w:rPr>
          <w:color w:val="000000" w:themeColor="text1"/>
          <w14:ligatures w14:val="standardContextual"/>
        </w:rPr>
        <w:t>.</w:t>
      </w:r>
      <w:r w:rsidRPr="00B81C3D">
        <w:rPr>
          <w:color w:val="000000" w:themeColor="text1"/>
          <w14:ligatures w14:val="standardContextual"/>
        </w:rPr>
        <w:t>C</w:t>
      </w:r>
      <w:r w:rsidR="004567C3" w:rsidRPr="00B81C3D">
        <w:rPr>
          <w:color w:val="000000" w:themeColor="text1"/>
          <w14:ligatures w14:val="standardContextual"/>
        </w:rPr>
        <w:t>.</w:t>
      </w:r>
      <w:r w:rsidRPr="00B81C3D">
        <w:rPr>
          <w:color w:val="000000" w:themeColor="text1"/>
          <w14:ligatures w14:val="standardContextual"/>
        </w:rPr>
        <w:t>I</w:t>
      </w:r>
      <w:r w:rsidR="004567C3" w:rsidRPr="00B81C3D">
        <w:rPr>
          <w:color w:val="000000" w:themeColor="text1"/>
          <w14:ligatures w14:val="standardContextual"/>
        </w:rPr>
        <w:t>.</w:t>
      </w:r>
      <w:r w:rsidRPr="00B81C3D">
        <w:rPr>
          <w:color w:val="000000" w:themeColor="text1"/>
          <w14:ligatures w14:val="standardContextual"/>
        </w:rPr>
        <w:t>J</w:t>
      </w:r>
      <w:r w:rsidR="004567C3" w:rsidRPr="00B81C3D">
        <w:rPr>
          <w:color w:val="000000" w:themeColor="text1"/>
          <w14:ligatures w14:val="standardContextual"/>
        </w:rPr>
        <w:t>.</w:t>
      </w:r>
      <w:r w:rsidRPr="00B81C3D">
        <w:rPr>
          <w:color w:val="000000" w:themeColor="text1"/>
          <w14:ligatures w14:val="standardContextual"/>
        </w:rPr>
        <w:t xml:space="preserve"> </w:t>
      </w:r>
      <w:proofErr w:type="spellStart"/>
      <w:r w:rsidR="00A74DED" w:rsidRPr="00B81C3D">
        <w:rPr>
          <w:color w:val="000000" w:themeColor="text1"/>
          <w14:ligatures w14:val="standardContextual"/>
        </w:rPr>
        <w:t>Ser.</w:t>
      </w:r>
      <w:r w:rsidRPr="00B81C3D">
        <w:rPr>
          <w:color w:val="000000" w:themeColor="text1"/>
          <w14:ligatures w14:val="standardContextual"/>
        </w:rPr>
        <w:t>A</w:t>
      </w:r>
      <w:proofErr w:type="spellEnd"/>
      <w:r w:rsidRPr="00B81C3D">
        <w:rPr>
          <w:color w:val="000000" w:themeColor="text1"/>
          <w14:ligatures w14:val="standardContextual"/>
        </w:rPr>
        <w:t xml:space="preserve">/B. No 53, </w:t>
      </w:r>
      <w:r w:rsidRPr="00B81C3D">
        <w:t>¶71 (1933).</w:t>
      </w:r>
    </w:p>
  </w:footnote>
  <w:footnote w:id="187">
    <w:p w14:paraId="5F6BB192" w14:textId="285AAF1E" w:rsidR="007C5844" w:rsidRPr="00B81C3D" w:rsidRDefault="007C5844" w:rsidP="00C75971">
      <w:pPr>
        <w:pStyle w:val="NoSpacing"/>
        <w:tabs>
          <w:tab w:val="left" w:pos="2127"/>
        </w:tabs>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color w:val="000000" w:themeColor="text1"/>
          <w:sz w:val="24"/>
          <w:szCs w:val="24"/>
          <w14:ligatures w14:val="standardContextual"/>
        </w:rPr>
        <w:t xml:space="preserve">Long, </w:t>
      </w:r>
      <w:r w:rsidRPr="00B81C3D">
        <w:rPr>
          <w:i/>
          <w:iCs/>
          <w:color w:val="000000" w:themeColor="text1"/>
          <w:sz w:val="24"/>
          <w:szCs w:val="24"/>
          <w14:ligatures w14:val="standardContextual"/>
        </w:rPr>
        <w:t xml:space="preserve">The Application of Estoppel in International Law and Experiences for Vietnam, </w:t>
      </w:r>
      <w:r w:rsidRPr="00B81C3D">
        <w:rPr>
          <w:color w:val="000000" w:themeColor="text1"/>
          <w:sz w:val="24"/>
          <w:szCs w:val="24"/>
          <w14:ligatures w14:val="standardContextual"/>
        </w:rPr>
        <w:t xml:space="preserve">1 </w:t>
      </w:r>
      <w:r w:rsidRPr="00B81C3D">
        <w:rPr>
          <w:smallCaps/>
          <w:color w:val="000000" w:themeColor="text1"/>
          <w:sz w:val="24"/>
          <w:szCs w:val="24"/>
          <w14:ligatures w14:val="standardContextual"/>
        </w:rPr>
        <w:t>Vietnamese j. of legal Sci. 1, 98 (2019)</w:t>
      </w:r>
      <w:r w:rsidR="00CA4021" w:rsidRPr="00B81C3D">
        <w:rPr>
          <w:smallCaps/>
          <w:color w:val="000000" w:themeColor="text1"/>
          <w:sz w:val="24"/>
          <w:szCs w:val="24"/>
          <w14:ligatures w14:val="standardContextual"/>
        </w:rPr>
        <w:t>.</w:t>
      </w:r>
    </w:p>
  </w:footnote>
  <w:footnote w:id="188">
    <w:p w14:paraId="41880CAC" w14:textId="63C1E163"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A74DED" w:rsidRPr="00B81C3D">
        <w:rPr>
          <w:rFonts w:eastAsia="Times"/>
          <w:sz w:val="24"/>
          <w:szCs w:val="24"/>
        </w:rPr>
        <w:t>ARSIWA</w:t>
      </w:r>
      <w:r w:rsidR="005F4267" w:rsidRPr="00B81C3D">
        <w:rPr>
          <w:rFonts w:eastAsia="Times"/>
          <w:sz w:val="24"/>
          <w:szCs w:val="24"/>
        </w:rPr>
        <w:t xml:space="preserve"> Commentary</w:t>
      </w:r>
      <w:r w:rsidRPr="00B81C3D">
        <w:rPr>
          <w:sz w:val="24"/>
          <w:szCs w:val="24"/>
        </w:rPr>
        <w:t xml:space="preserve">, </w:t>
      </w:r>
      <w:r w:rsidR="005F4267" w:rsidRPr="00B81C3D">
        <w:rPr>
          <w:sz w:val="24"/>
          <w:szCs w:val="24"/>
        </w:rPr>
        <w:t>43&amp;44.</w:t>
      </w:r>
    </w:p>
  </w:footnote>
  <w:footnote w:id="189">
    <w:p w14:paraId="1B5B0C23" w14:textId="74AEE330" w:rsidR="007C5844" w:rsidRPr="00B81C3D" w:rsidRDefault="007C5844" w:rsidP="00C75971">
      <w:pPr>
        <w:spacing w:afterLines="30" w:after="72" w:line="240" w:lineRule="auto"/>
        <w:ind w:left="567" w:hanging="567"/>
        <w:rPr>
          <w:lang w:eastAsia="zh-CN"/>
        </w:rPr>
      </w:pPr>
      <w:r w:rsidRPr="00B81C3D">
        <w:rPr>
          <w:rStyle w:val="FootnoteReference"/>
        </w:rPr>
        <w:footnoteRef/>
      </w:r>
      <w:r w:rsidRPr="00B81C3D">
        <w:t xml:space="preserve"> </w:t>
      </w:r>
      <w:r w:rsidRPr="00B81C3D">
        <w:rPr>
          <w:color w:val="000000" w:themeColor="text1"/>
          <w14:ligatures w14:val="standardContextual"/>
        </w:rPr>
        <w:t xml:space="preserve">Temple of Preah </w:t>
      </w:r>
      <w:proofErr w:type="spellStart"/>
      <w:r w:rsidRPr="00B81C3D">
        <w:rPr>
          <w:color w:val="000000" w:themeColor="text1"/>
          <w14:ligatures w14:val="standardContextual"/>
        </w:rPr>
        <w:t>Vihear</w:t>
      </w:r>
      <w:proofErr w:type="spellEnd"/>
      <w:r w:rsidRPr="00B81C3D">
        <w:rPr>
          <w:color w:val="000000" w:themeColor="text1"/>
          <w14:ligatures w14:val="standardContextual"/>
        </w:rPr>
        <w:t xml:space="preserve"> (Cambodia</w:t>
      </w:r>
      <w:r w:rsidR="00A74DED" w:rsidRPr="00B81C3D">
        <w:rPr>
          <w:color w:val="000000" w:themeColor="text1"/>
          <w14:ligatures w14:val="standardContextual"/>
        </w:rPr>
        <w:t>/</w:t>
      </w:r>
      <w:r w:rsidRPr="00B81C3D">
        <w:rPr>
          <w:color w:val="000000" w:themeColor="text1"/>
          <w14:ligatures w14:val="standardContextual"/>
        </w:rPr>
        <w:t xml:space="preserve">Thailand), Merits, Judgment, 1962 I.C.J. 6, 63  (Fitzmaurice, J., </w:t>
      </w:r>
      <w:proofErr w:type="spellStart"/>
      <w:r w:rsidR="008C3B30" w:rsidRPr="00B81C3D">
        <w:rPr>
          <w:color w:val="000000" w:themeColor="text1"/>
          <w14:ligatures w14:val="standardContextual"/>
        </w:rPr>
        <w:t>sep.</w:t>
      </w:r>
      <w:proofErr w:type="spellEnd"/>
      <w:r w:rsidR="008C3B30" w:rsidRPr="00B81C3D">
        <w:rPr>
          <w:color w:val="000000" w:themeColor="text1"/>
          <w14:ligatures w14:val="standardContextual"/>
        </w:rPr>
        <w:t xml:space="preserve"> op.</w:t>
      </w:r>
      <w:r w:rsidRPr="00B81C3D">
        <w:rPr>
          <w:color w:val="000000" w:themeColor="text1"/>
          <w14:ligatures w14:val="standardContextual"/>
        </w:rPr>
        <w:t xml:space="preserve">); </w:t>
      </w:r>
      <w:r w:rsidRPr="00B81C3D">
        <w:t xml:space="preserve"> </w:t>
      </w:r>
      <w:r w:rsidRPr="00B81C3D">
        <w:rPr>
          <w:i/>
          <w:iCs/>
        </w:rPr>
        <w:t>Nicaragua</w:t>
      </w:r>
      <w:r w:rsidRPr="00B81C3D">
        <w:t>, ¶51.</w:t>
      </w:r>
    </w:p>
  </w:footnote>
  <w:footnote w:id="190">
    <w:p w14:paraId="0EED528A" w14:textId="77777777"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lang w:val="en-US"/>
        </w:rPr>
        <w:t>Compromis</w:t>
      </w:r>
      <w:proofErr w:type="spellEnd"/>
      <w:r w:rsidRPr="00B81C3D">
        <w:rPr>
          <w:sz w:val="24"/>
          <w:szCs w:val="24"/>
          <w:lang w:val="en-US"/>
        </w:rPr>
        <w:t xml:space="preserve">, </w:t>
      </w:r>
      <w:r w:rsidRPr="00B81C3D">
        <w:rPr>
          <w:sz w:val="24"/>
          <w:szCs w:val="24"/>
        </w:rPr>
        <w:t>¶43.</w:t>
      </w:r>
    </w:p>
  </w:footnote>
  <w:footnote w:id="191">
    <w:p w14:paraId="418437F9" w14:textId="693D925C"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color w:val="000000" w:themeColor="text1"/>
          <w:sz w:val="24"/>
          <w:szCs w:val="24"/>
          <w14:ligatures w14:val="standardContextual"/>
        </w:rPr>
        <w:t xml:space="preserve">Temple of Preah </w:t>
      </w:r>
      <w:proofErr w:type="spellStart"/>
      <w:r w:rsidRPr="00B81C3D">
        <w:rPr>
          <w:i/>
          <w:iCs/>
          <w:color w:val="000000" w:themeColor="text1"/>
          <w:sz w:val="24"/>
          <w:szCs w:val="24"/>
          <w14:ligatures w14:val="standardContextual"/>
        </w:rPr>
        <w:t>Vihear</w:t>
      </w:r>
      <w:proofErr w:type="spellEnd"/>
      <w:r w:rsidRPr="00B81C3D">
        <w:rPr>
          <w:color w:val="000000" w:themeColor="text1"/>
          <w:sz w:val="24"/>
          <w:szCs w:val="24"/>
          <w14:ligatures w14:val="standardContextual"/>
        </w:rPr>
        <w:t xml:space="preserve">, 40-41 (Alfaro, J., </w:t>
      </w:r>
      <w:proofErr w:type="spellStart"/>
      <w:r w:rsidR="007B7FD7" w:rsidRPr="00B81C3D">
        <w:rPr>
          <w:color w:val="000000" w:themeColor="text1"/>
          <w:sz w:val="24"/>
          <w:szCs w:val="24"/>
          <w14:ligatures w14:val="standardContextual"/>
        </w:rPr>
        <w:t>sep.</w:t>
      </w:r>
      <w:proofErr w:type="spellEnd"/>
      <w:r w:rsidR="007B7FD7" w:rsidRPr="00B81C3D">
        <w:rPr>
          <w:color w:val="000000" w:themeColor="text1"/>
          <w:sz w:val="24"/>
          <w:szCs w:val="24"/>
          <w14:ligatures w14:val="standardContextual"/>
        </w:rPr>
        <w:t xml:space="preserve"> op.</w:t>
      </w:r>
      <w:r w:rsidRPr="00B81C3D">
        <w:rPr>
          <w:color w:val="000000" w:themeColor="text1"/>
          <w:sz w:val="24"/>
          <w:szCs w:val="24"/>
          <w14:ligatures w14:val="standardContextual"/>
        </w:rPr>
        <w:t>).</w:t>
      </w:r>
    </w:p>
  </w:footnote>
  <w:footnote w:id="192">
    <w:p w14:paraId="08641C02" w14:textId="7061C39B" w:rsidR="007C5844" w:rsidRPr="00B81C3D" w:rsidRDefault="007C5844" w:rsidP="00C75971">
      <w:pPr>
        <w:autoSpaceDE w:val="0"/>
        <w:autoSpaceDN w:val="0"/>
        <w:adjustRightInd w:val="0"/>
        <w:spacing w:afterLines="30" w:after="72" w:line="240" w:lineRule="auto"/>
        <w:ind w:left="567" w:hanging="567"/>
        <w:rPr>
          <w:color w:val="000000" w:themeColor="text1"/>
          <w14:ligatures w14:val="standardContextual"/>
        </w:rPr>
      </w:pPr>
      <w:r w:rsidRPr="00B81C3D">
        <w:rPr>
          <w:rStyle w:val="FootnoteReference"/>
        </w:rPr>
        <w:footnoteRef/>
      </w:r>
      <w:r w:rsidRPr="00B81C3D">
        <w:t xml:space="preserve"> </w:t>
      </w:r>
      <w:r w:rsidRPr="00B81C3D">
        <w:rPr>
          <w:color w:val="000000" w:themeColor="text1"/>
          <w14:ligatures w14:val="standardContextual"/>
        </w:rPr>
        <w:t>The Pious Fund Case (U</w:t>
      </w:r>
      <w:r w:rsidR="0034117E" w:rsidRPr="00B81C3D">
        <w:rPr>
          <w:color w:val="000000" w:themeColor="text1"/>
          <w14:ligatures w14:val="standardContextual"/>
        </w:rPr>
        <w:t>.S.</w:t>
      </w:r>
      <w:r w:rsidR="00A74DED" w:rsidRPr="00B81C3D">
        <w:rPr>
          <w:color w:val="000000" w:themeColor="text1"/>
          <w14:ligatures w14:val="standardContextual"/>
        </w:rPr>
        <w:t>/</w:t>
      </w:r>
      <w:r w:rsidRPr="00B81C3D">
        <w:rPr>
          <w:color w:val="000000" w:themeColor="text1"/>
          <w14:ligatures w14:val="standardContextual"/>
        </w:rPr>
        <w:t xml:space="preserve">Mexico), Award, 9 R.I.A.A. 1-14 (1902). </w:t>
      </w:r>
    </w:p>
  </w:footnote>
  <w:footnote w:id="193">
    <w:p w14:paraId="03933652" w14:textId="0FDFF64D"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color w:val="000000" w:themeColor="text1"/>
          <w:sz w:val="24"/>
          <w:szCs w:val="24"/>
          <w14:ligatures w14:val="standardContextual"/>
        </w:rPr>
        <w:t>Fisheries Case (U</w:t>
      </w:r>
      <w:r w:rsidR="0034117E" w:rsidRPr="00B81C3D">
        <w:rPr>
          <w:color w:val="000000" w:themeColor="text1"/>
          <w:sz w:val="24"/>
          <w:szCs w:val="24"/>
          <w14:ligatures w14:val="standardContextual"/>
        </w:rPr>
        <w:t>.K.</w:t>
      </w:r>
      <w:r w:rsidR="00A74DED" w:rsidRPr="00B81C3D">
        <w:rPr>
          <w:color w:val="000000" w:themeColor="text1"/>
          <w:sz w:val="24"/>
          <w:szCs w:val="24"/>
          <w14:ligatures w14:val="standardContextual"/>
        </w:rPr>
        <w:t>/</w:t>
      </w:r>
      <w:r w:rsidRPr="00B81C3D">
        <w:rPr>
          <w:color w:val="000000" w:themeColor="text1"/>
          <w:sz w:val="24"/>
          <w:szCs w:val="24"/>
          <w14:ligatures w14:val="standardContextual"/>
        </w:rPr>
        <w:t>Norway), 1951 ICJ Rep. 116, 140</w:t>
      </w:r>
      <w:r w:rsidR="009E2328" w:rsidRPr="00B81C3D">
        <w:rPr>
          <w:color w:val="000000" w:themeColor="text1"/>
          <w:sz w:val="24"/>
          <w:szCs w:val="24"/>
          <w14:ligatures w14:val="standardContextual"/>
        </w:rPr>
        <w:t>.</w:t>
      </w:r>
    </w:p>
  </w:footnote>
  <w:footnote w:id="194">
    <w:p w14:paraId="4197A71B" w14:textId="6886D8E2"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color w:val="000000" w:themeColor="text1"/>
          <w:sz w:val="24"/>
          <w:szCs w:val="24"/>
          <w14:ligatures w14:val="standardContextual"/>
        </w:rPr>
        <w:t>Russian Claim for Interests on Indemnities (Russia</w:t>
      </w:r>
      <w:r w:rsidR="00A74DED" w:rsidRPr="00B81C3D">
        <w:rPr>
          <w:color w:val="000000" w:themeColor="text1"/>
          <w:sz w:val="24"/>
          <w:szCs w:val="24"/>
          <w14:ligatures w14:val="standardContextual"/>
        </w:rPr>
        <w:t>/</w:t>
      </w:r>
      <w:r w:rsidRPr="00B81C3D">
        <w:rPr>
          <w:color w:val="000000" w:themeColor="text1"/>
          <w:sz w:val="24"/>
          <w:szCs w:val="24"/>
          <w14:ligatures w14:val="standardContextual"/>
        </w:rPr>
        <w:t>Turkey), PCA 1910-02, Award (1912).</w:t>
      </w:r>
    </w:p>
  </w:footnote>
  <w:footnote w:id="195">
    <w:p w14:paraId="71114A35" w14:textId="77777777" w:rsidR="007C5844" w:rsidRPr="00B81C3D" w:rsidRDefault="007C5844" w:rsidP="00C75971">
      <w:pPr>
        <w:pStyle w:val="FootnoteText"/>
        <w:spacing w:afterLines="30" w:after="72"/>
        <w:ind w:left="567" w:hanging="567"/>
        <w:rPr>
          <w:sz w:val="24"/>
          <w:szCs w:val="24"/>
          <w:highlight w:val="yellow"/>
          <w:lang w:val="en-US"/>
        </w:rPr>
      </w:pPr>
      <w:r w:rsidRPr="00B81C3D">
        <w:rPr>
          <w:rStyle w:val="FootnoteReference"/>
          <w:sz w:val="24"/>
          <w:szCs w:val="24"/>
        </w:rPr>
        <w:footnoteRef/>
      </w:r>
      <w:r w:rsidRPr="00B81C3D">
        <w:rPr>
          <w:sz w:val="24"/>
          <w:szCs w:val="24"/>
        </w:rPr>
        <w:t xml:space="preserve"> </w:t>
      </w:r>
      <w:r w:rsidRPr="00B81C3D">
        <w:rPr>
          <w:sz w:val="24"/>
          <w:szCs w:val="24"/>
        </w:rPr>
        <w:t>VCCR, art. 36(1)(b).</w:t>
      </w:r>
    </w:p>
  </w:footnote>
  <w:footnote w:id="196">
    <w:p w14:paraId="3F58BD94" w14:textId="2FF242BF"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Avena</w:t>
      </w:r>
      <w:proofErr w:type="spellEnd"/>
      <w:r w:rsidRPr="00B81C3D">
        <w:rPr>
          <w:sz w:val="24"/>
          <w:szCs w:val="24"/>
        </w:rPr>
        <w:t>, ¶63</w:t>
      </w:r>
      <w:r w:rsidR="005F4267" w:rsidRPr="00B81C3D">
        <w:rPr>
          <w:sz w:val="24"/>
          <w:szCs w:val="24"/>
        </w:rPr>
        <w:t>.</w:t>
      </w:r>
    </w:p>
  </w:footnote>
  <w:footnote w:id="197">
    <w:p w14:paraId="4A6DA703" w14:textId="77777777"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sz w:val="24"/>
          <w:szCs w:val="24"/>
        </w:rPr>
        <w:t>Compromis</w:t>
      </w:r>
      <w:proofErr w:type="spellEnd"/>
      <w:r w:rsidRPr="00B81C3D">
        <w:rPr>
          <w:i/>
          <w:sz w:val="24"/>
          <w:szCs w:val="24"/>
        </w:rPr>
        <w:t>,</w:t>
      </w:r>
      <w:r w:rsidRPr="00B81C3D">
        <w:rPr>
          <w:sz w:val="24"/>
          <w:szCs w:val="24"/>
        </w:rPr>
        <w:t xml:space="preserve"> ¶42.</w:t>
      </w:r>
    </w:p>
  </w:footnote>
  <w:footnote w:id="198">
    <w:p w14:paraId="6BAD0C88" w14:textId="357110F4"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F85CC6" w:rsidRPr="00B81C3D">
        <w:rPr>
          <w:rFonts w:ascii="Times" w:eastAsiaTheme="minorHAnsi" w:hAnsi="Times" w:cs="Helvetica Neue"/>
          <w:sz w:val="24"/>
          <w:szCs w:val="24"/>
          <w14:ligatures w14:val="standardContextual"/>
        </w:rPr>
        <w:t>Jadhav (India</w:t>
      </w:r>
      <w:r w:rsidR="00A74DED" w:rsidRPr="00B81C3D">
        <w:rPr>
          <w:rFonts w:ascii="Times" w:eastAsiaTheme="minorHAnsi" w:hAnsi="Times" w:cs="Helvetica Neue"/>
          <w:sz w:val="24"/>
          <w:szCs w:val="24"/>
          <w14:ligatures w14:val="standardContextual"/>
        </w:rPr>
        <w:t>/</w:t>
      </w:r>
      <w:r w:rsidR="00F85CC6" w:rsidRPr="00B81C3D">
        <w:rPr>
          <w:rFonts w:ascii="Times" w:eastAsiaTheme="minorHAnsi" w:hAnsi="Times" w:cs="Helvetica Neue"/>
          <w:sz w:val="24"/>
          <w:szCs w:val="24"/>
          <w14:ligatures w14:val="standardContextual"/>
        </w:rPr>
        <w:t xml:space="preserve">Pakistan), </w:t>
      </w:r>
      <w:r w:rsidR="00A74DED" w:rsidRPr="00B81C3D">
        <w:rPr>
          <w:rFonts w:ascii="Times" w:eastAsiaTheme="minorHAnsi" w:hAnsi="Times" w:cs="Helvetica Neue"/>
          <w:sz w:val="24"/>
          <w:szCs w:val="24"/>
          <w14:ligatures w14:val="standardContextual"/>
        </w:rPr>
        <w:t xml:space="preserve">2019 </w:t>
      </w:r>
      <w:r w:rsidR="00F85CC6" w:rsidRPr="00B81C3D">
        <w:rPr>
          <w:rFonts w:ascii="Times" w:eastAsiaTheme="minorHAnsi" w:hAnsi="Times" w:cs="Helvetica Neue"/>
          <w:sz w:val="24"/>
          <w:szCs w:val="24"/>
          <w14:ligatures w14:val="standardContextual"/>
        </w:rPr>
        <w:t>I.C.J. 418</w:t>
      </w:r>
      <w:r w:rsidR="00F85CC6" w:rsidRPr="00B81C3D">
        <w:rPr>
          <w:rFonts w:ascii="Helvetica Neue" w:eastAsiaTheme="minorHAnsi" w:hAnsi="Helvetica Neue" w:cs="Helvetica Neue"/>
          <w:sz w:val="24"/>
          <w:szCs w:val="24"/>
          <w14:ligatures w14:val="standardContextual"/>
        </w:rPr>
        <w:t xml:space="preserve">, </w:t>
      </w:r>
      <w:r w:rsidR="00F85CC6" w:rsidRPr="00B81C3D">
        <w:rPr>
          <w:sz w:val="24"/>
          <w:szCs w:val="24"/>
        </w:rPr>
        <w:t>¶118.</w:t>
      </w:r>
    </w:p>
  </w:footnote>
  <w:footnote w:id="199">
    <w:p w14:paraId="29E3ACC0" w14:textId="77777777"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i/>
          <w:sz w:val="24"/>
          <w:szCs w:val="24"/>
        </w:rPr>
        <w:t>Compromis</w:t>
      </w:r>
      <w:proofErr w:type="spellEnd"/>
      <w:r w:rsidRPr="00B81C3D">
        <w:rPr>
          <w:i/>
          <w:sz w:val="24"/>
          <w:szCs w:val="24"/>
        </w:rPr>
        <w:t>,</w:t>
      </w:r>
      <w:r w:rsidRPr="00B81C3D">
        <w:rPr>
          <w:sz w:val="24"/>
          <w:szCs w:val="24"/>
        </w:rPr>
        <w:t xml:space="preserve"> ¶¶42-44.</w:t>
      </w:r>
    </w:p>
  </w:footnote>
  <w:footnote w:id="200">
    <w:p w14:paraId="4F65563F" w14:textId="5F12097B" w:rsidR="00F85CC6" w:rsidRPr="00B81C3D" w:rsidRDefault="00F85CC6" w:rsidP="00F85CC6">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sz w:val="24"/>
          <w:szCs w:val="24"/>
        </w:rPr>
        <w:t>Jadhav</w:t>
      </w:r>
      <w:r w:rsidRPr="00B81C3D">
        <w:rPr>
          <w:sz w:val="24"/>
          <w:szCs w:val="24"/>
        </w:rPr>
        <w:t>, ¶116.</w:t>
      </w:r>
    </w:p>
  </w:footnote>
  <w:footnote w:id="201">
    <w:p w14:paraId="252A00C0" w14:textId="4099D2B2"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A74DED" w:rsidRPr="00B81C3D">
        <w:rPr>
          <w:rFonts w:eastAsiaTheme="minorHAnsi"/>
          <w:sz w:val="24"/>
          <w:szCs w:val="24"/>
          <w14:ligatures w14:val="standardContextual"/>
        </w:rPr>
        <w:t>HRComm</w:t>
      </w:r>
      <w:proofErr w:type="spellEnd"/>
      <w:r w:rsidR="009E2328" w:rsidRPr="00B81C3D">
        <w:rPr>
          <w:rFonts w:eastAsiaTheme="minorHAnsi"/>
          <w:sz w:val="24"/>
          <w:szCs w:val="24"/>
          <w14:ligatures w14:val="standardContextual"/>
        </w:rPr>
        <w:t xml:space="preserve">, </w:t>
      </w:r>
      <w:r w:rsidR="009E2328" w:rsidRPr="00B81C3D">
        <w:rPr>
          <w:rFonts w:eastAsiaTheme="minorHAnsi"/>
          <w:i/>
          <w:iCs/>
          <w:sz w:val="24"/>
          <w:szCs w:val="24"/>
          <w14:ligatures w14:val="standardContextual"/>
        </w:rPr>
        <w:t xml:space="preserve">General Comment No. 32, </w:t>
      </w:r>
      <w:r w:rsidR="009E2328" w:rsidRPr="00B81C3D">
        <w:rPr>
          <w:rFonts w:eastAsiaTheme="minorHAnsi"/>
          <w:sz w:val="24"/>
          <w:szCs w:val="24"/>
          <w14:ligatures w14:val="standardContextual"/>
        </w:rPr>
        <w:t>U.N. Doc. CCPR/C/GC/32 (2007).</w:t>
      </w:r>
    </w:p>
  </w:footnote>
  <w:footnote w:id="202">
    <w:p w14:paraId="576B85BD" w14:textId="6834BE38"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697657" w:rsidRPr="00B81C3D">
        <w:rPr>
          <w:color w:val="000000" w:themeColor="text1"/>
          <w:sz w:val="24"/>
          <w:szCs w:val="24"/>
        </w:rPr>
        <w:t>ICCPR</w:t>
      </w:r>
      <w:r w:rsidRPr="00B81C3D">
        <w:rPr>
          <w:color w:val="000000" w:themeColor="text1"/>
          <w:sz w:val="24"/>
          <w:szCs w:val="24"/>
        </w:rPr>
        <w:t>, art. 14</w:t>
      </w:r>
      <w:r w:rsidR="00697657" w:rsidRPr="00B81C3D">
        <w:rPr>
          <w:color w:val="000000" w:themeColor="text1"/>
          <w:sz w:val="24"/>
          <w:szCs w:val="24"/>
        </w:rPr>
        <w:t>.</w:t>
      </w:r>
    </w:p>
  </w:footnote>
  <w:footnote w:id="203">
    <w:p w14:paraId="52F68225" w14:textId="2601A2A6"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color w:val="000000" w:themeColor="text1"/>
          <w:sz w:val="24"/>
          <w:szCs w:val="24"/>
          <w14:ligatures w14:val="standardContextual"/>
        </w:rPr>
        <w:t>Jadhav</w:t>
      </w:r>
      <w:r w:rsidRPr="00B81C3D">
        <w:rPr>
          <w:color w:val="000000" w:themeColor="text1"/>
          <w:sz w:val="24"/>
          <w:szCs w:val="24"/>
          <w14:ligatures w14:val="standardContextual"/>
        </w:rPr>
        <w:t xml:space="preserve">, </w:t>
      </w:r>
      <w:r w:rsidR="00F85CC6" w:rsidRPr="00B81C3D">
        <w:rPr>
          <w:color w:val="000000" w:themeColor="text1"/>
          <w:sz w:val="24"/>
          <w:szCs w:val="24"/>
          <w14:ligatures w14:val="standardContextual"/>
        </w:rPr>
        <w:t>(</w:t>
      </w:r>
      <w:r w:rsidRPr="00B81C3D">
        <w:rPr>
          <w:color w:val="000000" w:themeColor="text1"/>
          <w:sz w:val="24"/>
          <w:szCs w:val="24"/>
          <w14:ligatures w14:val="standardContextual"/>
        </w:rPr>
        <w:t xml:space="preserve">Robinson, J., </w:t>
      </w:r>
      <w:proofErr w:type="spellStart"/>
      <w:r w:rsidRPr="00B81C3D">
        <w:rPr>
          <w:color w:val="000000" w:themeColor="text1"/>
          <w:sz w:val="24"/>
          <w:szCs w:val="24"/>
          <w14:ligatures w14:val="standardContextual"/>
        </w:rPr>
        <w:t>sep</w:t>
      </w:r>
      <w:r w:rsidR="00B26FC2" w:rsidRPr="00B81C3D">
        <w:rPr>
          <w:color w:val="000000" w:themeColor="text1"/>
          <w:sz w:val="24"/>
          <w:szCs w:val="24"/>
          <w14:ligatures w14:val="standardContextual"/>
        </w:rPr>
        <w:t>.op</w:t>
      </w:r>
      <w:proofErr w:type="spellEnd"/>
      <w:r w:rsidR="00B26FC2" w:rsidRPr="00B81C3D">
        <w:rPr>
          <w:color w:val="000000" w:themeColor="text1"/>
          <w:sz w:val="24"/>
          <w:szCs w:val="24"/>
          <w14:ligatures w14:val="standardContextual"/>
        </w:rPr>
        <w:t>.</w:t>
      </w:r>
      <w:proofErr w:type="gramStart"/>
      <w:r w:rsidRPr="00B81C3D">
        <w:rPr>
          <w:color w:val="000000" w:themeColor="text1"/>
          <w:sz w:val="24"/>
          <w:szCs w:val="24"/>
          <w14:ligatures w14:val="standardContextual"/>
        </w:rPr>
        <w:t>),  99</w:t>
      </w:r>
      <w:proofErr w:type="gramEnd"/>
      <w:r w:rsidRPr="00B81C3D">
        <w:rPr>
          <w:color w:val="000000" w:themeColor="text1"/>
          <w:sz w:val="24"/>
          <w:szCs w:val="24"/>
          <w14:ligatures w14:val="standardContextual"/>
        </w:rPr>
        <w:t>.</w:t>
      </w:r>
    </w:p>
  </w:footnote>
  <w:footnote w:id="204">
    <w:p w14:paraId="2BE103C2" w14:textId="6A7CB6E1" w:rsidR="007C5844" w:rsidRPr="00B81C3D" w:rsidRDefault="007C5844" w:rsidP="00C75971">
      <w:pPr>
        <w:pStyle w:val="FootnoteText"/>
        <w:spacing w:afterLines="30" w:after="72"/>
        <w:ind w:left="567" w:hanging="567"/>
        <w:rPr>
          <w:b/>
          <w:bCs/>
          <w:color w:val="000000" w:themeColor="text1"/>
          <w:sz w:val="24"/>
          <w:szCs w:val="24"/>
        </w:rPr>
      </w:pPr>
      <w:r w:rsidRPr="00B81C3D">
        <w:rPr>
          <w:rStyle w:val="FootnoteReference"/>
          <w:sz w:val="24"/>
          <w:szCs w:val="24"/>
        </w:rPr>
        <w:footnoteRef/>
      </w:r>
      <w:r w:rsidRPr="00B81C3D">
        <w:rPr>
          <w:sz w:val="24"/>
          <w:szCs w:val="24"/>
        </w:rPr>
        <w:t xml:space="preserve"> </w:t>
      </w:r>
      <w:r w:rsidRPr="00B81C3D">
        <w:rPr>
          <w:color w:val="000000" w:themeColor="text1"/>
          <w:sz w:val="24"/>
          <w:szCs w:val="24"/>
        </w:rPr>
        <w:t>Charter of the United Nations, 1945, 1 UNTS XVI., art. 2. [“</w:t>
      </w:r>
      <w:r w:rsidRPr="00B81C3D">
        <w:rPr>
          <w:b/>
          <w:bCs/>
          <w:color w:val="000000" w:themeColor="text1"/>
          <w:sz w:val="24"/>
          <w:szCs w:val="24"/>
        </w:rPr>
        <w:t>U.N. Charter</w:t>
      </w:r>
      <w:r w:rsidRPr="00B81C3D">
        <w:rPr>
          <w:color w:val="000000" w:themeColor="text1"/>
          <w:sz w:val="24"/>
          <w:szCs w:val="24"/>
        </w:rPr>
        <w:t>”]</w:t>
      </w:r>
      <w:r w:rsidRPr="00B81C3D">
        <w:rPr>
          <w:b/>
          <w:bCs/>
          <w:color w:val="000000" w:themeColor="text1"/>
          <w:sz w:val="24"/>
          <w:szCs w:val="24"/>
        </w:rPr>
        <w:t xml:space="preserve">; </w:t>
      </w:r>
      <w:r w:rsidRPr="00B81C3D">
        <w:rPr>
          <w:i/>
          <w:iCs/>
          <w:sz w:val="24"/>
          <w:szCs w:val="24"/>
        </w:rPr>
        <w:t>Nicaragua</w:t>
      </w:r>
      <w:r w:rsidRPr="00B81C3D">
        <w:rPr>
          <w:sz w:val="24"/>
          <w:szCs w:val="24"/>
        </w:rPr>
        <w:t xml:space="preserve">, </w:t>
      </w:r>
      <w:r w:rsidRPr="00B81C3D">
        <w:rPr>
          <w:sz w:val="24"/>
          <w:szCs w:val="24"/>
          <w:lang w:val="en-US"/>
        </w:rPr>
        <w:t>¶79; Case Concerning Armed Activities on the Territory of the Congo (Congo</w:t>
      </w:r>
      <w:r w:rsidR="002F68F3" w:rsidRPr="00B81C3D">
        <w:rPr>
          <w:sz w:val="24"/>
          <w:szCs w:val="24"/>
          <w:lang w:val="en-US"/>
        </w:rPr>
        <w:t>/</w:t>
      </w:r>
      <w:r w:rsidRPr="00B81C3D">
        <w:rPr>
          <w:sz w:val="24"/>
          <w:szCs w:val="24"/>
          <w:lang w:val="en-US"/>
        </w:rPr>
        <w:t>Uganda)</w:t>
      </w:r>
      <w:r w:rsidR="002F68F3" w:rsidRPr="00B81C3D">
        <w:rPr>
          <w:sz w:val="24"/>
          <w:szCs w:val="24"/>
          <w:lang w:val="en-US"/>
        </w:rPr>
        <w:t>,</w:t>
      </w:r>
      <w:r w:rsidRPr="00B81C3D">
        <w:rPr>
          <w:sz w:val="24"/>
          <w:szCs w:val="24"/>
          <w:lang w:val="en-US"/>
        </w:rPr>
        <w:t xml:space="preserve"> 2005 ICJ 168, ¶148.</w:t>
      </w:r>
    </w:p>
  </w:footnote>
  <w:footnote w:id="205">
    <w:p w14:paraId="725A039D" w14:textId="77777777"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i/>
          <w:iCs/>
          <w:sz w:val="24"/>
          <w:szCs w:val="24"/>
        </w:rPr>
        <w:t xml:space="preserve"> </w:t>
      </w:r>
      <w:r w:rsidRPr="00B81C3D">
        <w:rPr>
          <w:sz w:val="24"/>
          <w:szCs w:val="24"/>
        </w:rPr>
        <w:t xml:space="preserve">U.N. Charter, art. 2(4); </w:t>
      </w:r>
      <w:r w:rsidRPr="00B81C3D">
        <w:rPr>
          <w:i/>
          <w:iCs/>
          <w:sz w:val="24"/>
          <w:szCs w:val="24"/>
        </w:rPr>
        <w:t>Nicaragua</w:t>
      </w:r>
      <w:r w:rsidRPr="00B81C3D">
        <w:rPr>
          <w:sz w:val="24"/>
          <w:szCs w:val="24"/>
        </w:rPr>
        <w:t xml:space="preserve">, </w:t>
      </w:r>
      <w:r w:rsidRPr="00B81C3D">
        <w:rPr>
          <w:sz w:val="24"/>
          <w:szCs w:val="24"/>
          <w:lang w:val="en-US"/>
        </w:rPr>
        <w:t>¶79.</w:t>
      </w:r>
    </w:p>
  </w:footnote>
  <w:footnote w:id="206">
    <w:p w14:paraId="02498B96" w14:textId="20B64E58"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sz w:val="24"/>
          <w:szCs w:val="24"/>
        </w:rPr>
        <w:t>Rights</w:t>
      </w:r>
      <w:proofErr w:type="spellEnd"/>
      <w:r w:rsidRPr="00B81C3D">
        <w:rPr>
          <w:sz w:val="24"/>
          <w:szCs w:val="24"/>
        </w:rPr>
        <w:t xml:space="preserve"> of Passage over Indian Territory (Por</w:t>
      </w:r>
      <w:r w:rsidR="002F68F3" w:rsidRPr="00B81C3D">
        <w:rPr>
          <w:sz w:val="24"/>
          <w:szCs w:val="24"/>
        </w:rPr>
        <w:t>tugal/</w:t>
      </w:r>
      <w:r w:rsidRPr="00B81C3D">
        <w:rPr>
          <w:sz w:val="24"/>
          <w:szCs w:val="24"/>
        </w:rPr>
        <w:t>India), 1960 ICJ Rep. 6, 40-42.</w:t>
      </w:r>
    </w:p>
  </w:footnote>
  <w:footnote w:id="207">
    <w:p w14:paraId="7BC6F7B1" w14:textId="3727B281" w:rsidR="007C5844" w:rsidRPr="00B81C3D" w:rsidRDefault="007C5844" w:rsidP="00C75971">
      <w:pPr>
        <w:spacing w:afterLines="30" w:after="72" w:line="240" w:lineRule="auto"/>
        <w:ind w:left="567" w:hanging="567"/>
        <w:rPr>
          <w:color w:val="000000" w:themeColor="text1"/>
          <w:lang w:eastAsia="zh-CN"/>
        </w:rPr>
      </w:pPr>
      <w:r w:rsidRPr="00B81C3D">
        <w:rPr>
          <w:rStyle w:val="FootnoteReference"/>
        </w:rPr>
        <w:footnoteRef/>
      </w:r>
      <w:r w:rsidRPr="00B81C3D">
        <w:t xml:space="preserve"> </w:t>
      </w:r>
      <w:r w:rsidRPr="00B81C3D">
        <w:rPr>
          <w:smallCaps/>
        </w:rPr>
        <w:t xml:space="preserve">The </w:t>
      </w:r>
      <w:r w:rsidR="002F68F3" w:rsidRPr="00B81C3D">
        <w:rPr>
          <w:smallCaps/>
        </w:rPr>
        <w:t>C</w:t>
      </w:r>
      <w:r w:rsidRPr="00B81C3D">
        <w:rPr>
          <w:smallCaps/>
        </w:rPr>
        <w:t xml:space="preserve">harter of the </w:t>
      </w:r>
      <w:r w:rsidR="002F68F3" w:rsidRPr="00B81C3D">
        <w:rPr>
          <w:smallCaps/>
        </w:rPr>
        <w:t>UN</w:t>
      </w:r>
      <w:r w:rsidRPr="00B81C3D">
        <w:rPr>
          <w:smallCaps/>
        </w:rPr>
        <w:t xml:space="preserve">: </w:t>
      </w:r>
      <w:r w:rsidR="002F68F3" w:rsidRPr="00B81C3D">
        <w:rPr>
          <w:smallCaps/>
        </w:rPr>
        <w:t>A</w:t>
      </w:r>
      <w:r w:rsidRPr="00B81C3D">
        <w:rPr>
          <w:smallCaps/>
        </w:rPr>
        <w:t xml:space="preserve"> </w:t>
      </w:r>
      <w:r w:rsidR="002F68F3" w:rsidRPr="00B81C3D">
        <w:rPr>
          <w:smallCaps/>
        </w:rPr>
        <w:t>C</w:t>
      </w:r>
      <w:r w:rsidRPr="00B81C3D">
        <w:rPr>
          <w:smallCaps/>
        </w:rPr>
        <w:t xml:space="preserve">ommentary, </w:t>
      </w:r>
      <w:r w:rsidRPr="00B81C3D">
        <w:t xml:space="preserve"> art. 7 (</w:t>
      </w:r>
      <w:r w:rsidRPr="00B81C3D">
        <w:rPr>
          <w:smallCaps/>
        </w:rPr>
        <w:t xml:space="preserve">Bruno </w:t>
      </w:r>
      <w:proofErr w:type="spellStart"/>
      <w:r w:rsidRPr="00B81C3D">
        <w:rPr>
          <w:smallCaps/>
        </w:rPr>
        <w:t>Simma</w:t>
      </w:r>
      <w:proofErr w:type="spellEnd"/>
      <w:r w:rsidRPr="00B81C3D">
        <w:rPr>
          <w:smallCaps/>
        </w:rPr>
        <w:t>, et al. eds., 2012) [“</w:t>
      </w:r>
      <w:proofErr w:type="spellStart"/>
      <w:r w:rsidRPr="00B81C3D">
        <w:rPr>
          <w:b/>
          <w:bCs/>
          <w:i/>
          <w:iCs/>
          <w:smallCaps/>
        </w:rPr>
        <w:t>Simma</w:t>
      </w:r>
      <w:proofErr w:type="spellEnd"/>
      <w:r w:rsidRPr="00B81C3D">
        <w:rPr>
          <w:i/>
          <w:iCs/>
          <w:smallCaps/>
        </w:rPr>
        <w:t>”</w:t>
      </w:r>
      <w:r w:rsidRPr="00B81C3D">
        <w:rPr>
          <w:smallCaps/>
        </w:rPr>
        <w:t>]</w:t>
      </w:r>
      <w:r w:rsidRPr="00B81C3D">
        <w:rPr>
          <w:color w:val="000000" w:themeColor="text1"/>
          <w:lang w:eastAsia="zh-CN"/>
        </w:rPr>
        <w:t>; Admission of a State to Membership in the United Nations (Advisory Opinion), 1948 ICJ 57, 64.</w:t>
      </w:r>
    </w:p>
  </w:footnote>
  <w:footnote w:id="208">
    <w:p w14:paraId="1B192DF3" w14:textId="08F7D69C"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sz w:val="24"/>
          <w:szCs w:val="24"/>
        </w:rPr>
        <w:t>Arato</w:t>
      </w:r>
      <w:proofErr w:type="spellEnd"/>
      <w:r w:rsidRPr="00B81C3D">
        <w:rPr>
          <w:sz w:val="24"/>
          <w:szCs w:val="24"/>
        </w:rPr>
        <w:t>,</w:t>
      </w:r>
      <w:r w:rsidR="009E2328" w:rsidRPr="00B81C3D">
        <w:rPr>
          <w:sz w:val="24"/>
          <w:szCs w:val="24"/>
        </w:rPr>
        <w:t xml:space="preserve"> </w:t>
      </w:r>
      <w:r w:rsidRPr="00B81C3D">
        <w:rPr>
          <w:sz w:val="24"/>
          <w:szCs w:val="24"/>
        </w:rPr>
        <w:t>“</w:t>
      </w:r>
      <w:r w:rsidRPr="00B81C3D">
        <w:rPr>
          <w:i/>
          <w:iCs/>
          <w:sz w:val="24"/>
          <w:szCs w:val="24"/>
        </w:rPr>
        <w:t>Constitutionality and constitutionalism beyond the state: Two perspectives on the material constitution of the United Nations</w:t>
      </w:r>
      <w:r w:rsidRPr="00B81C3D">
        <w:rPr>
          <w:sz w:val="24"/>
          <w:szCs w:val="24"/>
        </w:rPr>
        <w:t>”, 652-653.</w:t>
      </w:r>
    </w:p>
  </w:footnote>
  <w:footnote w:id="209">
    <w:p w14:paraId="3004854A" w14:textId="411C7244"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Certain Expenses of the United Nations (Advisory Opinion), 1962 I</w:t>
      </w:r>
      <w:r w:rsidR="009E2328" w:rsidRPr="00B81C3D">
        <w:rPr>
          <w:sz w:val="24"/>
          <w:szCs w:val="24"/>
        </w:rPr>
        <w:t>.</w:t>
      </w:r>
      <w:r w:rsidRPr="00B81C3D">
        <w:rPr>
          <w:sz w:val="24"/>
          <w:szCs w:val="24"/>
        </w:rPr>
        <w:t>C</w:t>
      </w:r>
      <w:r w:rsidR="009E2328" w:rsidRPr="00B81C3D">
        <w:rPr>
          <w:sz w:val="24"/>
          <w:szCs w:val="24"/>
        </w:rPr>
        <w:t>.</w:t>
      </w:r>
      <w:r w:rsidRPr="00B81C3D">
        <w:rPr>
          <w:sz w:val="24"/>
          <w:szCs w:val="24"/>
        </w:rPr>
        <w:t>J 151, 229-230</w:t>
      </w:r>
      <w:r w:rsidR="009E2328" w:rsidRPr="00B81C3D">
        <w:rPr>
          <w:sz w:val="24"/>
          <w:szCs w:val="24"/>
        </w:rPr>
        <w:t xml:space="preserve"> </w:t>
      </w:r>
      <w:r w:rsidRPr="00B81C3D">
        <w:rPr>
          <w:sz w:val="24"/>
          <w:szCs w:val="24"/>
        </w:rPr>
        <w:t>[“</w:t>
      </w:r>
      <w:r w:rsidRPr="00B81C3D">
        <w:rPr>
          <w:b/>
          <w:bCs/>
          <w:i/>
          <w:iCs/>
          <w:sz w:val="24"/>
          <w:szCs w:val="24"/>
        </w:rPr>
        <w:t>Certain Expenses</w:t>
      </w:r>
      <w:r w:rsidRPr="00B81C3D">
        <w:rPr>
          <w:sz w:val="24"/>
          <w:szCs w:val="24"/>
        </w:rPr>
        <w:t>”]</w:t>
      </w:r>
      <w:r w:rsidRPr="00B81C3D">
        <w:rPr>
          <w:color w:val="000000" w:themeColor="text1"/>
          <w:sz w:val="24"/>
          <w:szCs w:val="24"/>
        </w:rPr>
        <w:t>.</w:t>
      </w:r>
    </w:p>
  </w:footnote>
  <w:footnote w:id="210">
    <w:p w14:paraId="387A42B2" w14:textId="292CCB4A"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U.N. Charter, art. 34&amp;39; Gilmour, </w:t>
      </w:r>
      <w:r w:rsidRPr="00B81C3D">
        <w:rPr>
          <w:i/>
          <w:iCs/>
          <w:sz w:val="24"/>
          <w:szCs w:val="24"/>
        </w:rPr>
        <w:t>Article 2(7) of the United Nations Charter and the Practice of the Permanent Members of the Security Council</w:t>
      </w:r>
      <w:r w:rsidRPr="00B81C3D">
        <w:rPr>
          <w:sz w:val="24"/>
          <w:szCs w:val="24"/>
        </w:rPr>
        <w:t xml:space="preserve">, </w:t>
      </w:r>
      <w:r w:rsidRPr="00B81C3D">
        <w:rPr>
          <w:smallCaps/>
          <w:sz w:val="24"/>
          <w:szCs w:val="24"/>
        </w:rPr>
        <w:t xml:space="preserve">Australian </w:t>
      </w:r>
      <w:r w:rsidR="002F68F3" w:rsidRPr="00B81C3D">
        <w:rPr>
          <w:smallCaps/>
          <w:sz w:val="24"/>
          <w:szCs w:val="24"/>
        </w:rPr>
        <w:t>Int’l L.</w:t>
      </w:r>
      <w:r w:rsidRPr="00B81C3D">
        <w:rPr>
          <w:sz w:val="24"/>
          <w:szCs w:val="24"/>
        </w:rPr>
        <w:t>, 154.</w:t>
      </w:r>
    </w:p>
  </w:footnote>
  <w:footnote w:id="211">
    <w:p w14:paraId="455D8633" w14:textId="5A404C7E"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U.N. Charter, art. 34&amp;39; </w:t>
      </w:r>
      <w:r w:rsidRPr="00B81C3D">
        <w:rPr>
          <w:i/>
          <w:iCs/>
          <w:color w:val="000000" w:themeColor="text1"/>
          <w:sz w:val="24"/>
          <w:szCs w:val="24"/>
        </w:rPr>
        <w:t>Certain Expenses</w:t>
      </w:r>
      <w:r w:rsidRPr="00B81C3D">
        <w:rPr>
          <w:color w:val="000000" w:themeColor="text1"/>
          <w:sz w:val="24"/>
          <w:szCs w:val="24"/>
        </w:rPr>
        <w:t>, 293-294.</w:t>
      </w:r>
    </w:p>
  </w:footnote>
  <w:footnote w:id="212">
    <w:p w14:paraId="2FF21CB5" w14:textId="77777777" w:rsidR="007C5844" w:rsidRPr="00B81C3D" w:rsidRDefault="007C5844" w:rsidP="00C75971">
      <w:pPr>
        <w:spacing w:afterLines="30" w:after="72" w:line="240" w:lineRule="auto"/>
        <w:ind w:left="567" w:hanging="567"/>
        <w:rPr>
          <w:color w:val="000000" w:themeColor="text1"/>
          <w:lang w:eastAsia="zh-CN"/>
        </w:rPr>
      </w:pPr>
      <w:r w:rsidRPr="00B81C3D">
        <w:rPr>
          <w:rStyle w:val="FootnoteReference"/>
          <w:color w:val="000000" w:themeColor="text1"/>
        </w:rPr>
        <w:footnoteRef/>
      </w:r>
      <w:r w:rsidRPr="00B81C3D">
        <w:rPr>
          <w:color w:val="000000" w:themeColor="text1"/>
        </w:rPr>
        <w:t xml:space="preserve"> </w:t>
      </w:r>
      <w:r w:rsidRPr="00B81C3D">
        <w:rPr>
          <w:color w:val="000000" w:themeColor="text1"/>
          <w:lang w:eastAsia="zh-CN"/>
        </w:rPr>
        <w:t>U.N. Charter, art. 92.</w:t>
      </w:r>
    </w:p>
  </w:footnote>
  <w:footnote w:id="213">
    <w:p w14:paraId="76441ED9" w14:textId="34BFCB4D" w:rsidR="007C5844" w:rsidRPr="00B81C3D" w:rsidRDefault="007C5844" w:rsidP="00C75971">
      <w:pPr>
        <w:pStyle w:val="FootnoteText"/>
        <w:spacing w:afterLines="30" w:after="72"/>
        <w:ind w:left="567" w:hanging="567"/>
        <w:rPr>
          <w:color w:val="000000" w:themeColor="text1"/>
          <w:sz w:val="24"/>
          <w:szCs w:val="24"/>
        </w:rPr>
      </w:pPr>
      <w:r w:rsidRPr="00B81C3D">
        <w:rPr>
          <w:rStyle w:val="FootnoteReference"/>
          <w:color w:val="000000" w:themeColor="text1"/>
          <w:sz w:val="24"/>
          <w:szCs w:val="24"/>
        </w:rPr>
        <w:footnoteRef/>
      </w:r>
      <w:r w:rsidRPr="00B81C3D">
        <w:rPr>
          <w:color w:val="000000" w:themeColor="text1"/>
          <w:sz w:val="24"/>
          <w:szCs w:val="24"/>
        </w:rPr>
        <w:t xml:space="preserve"> </w:t>
      </w:r>
      <w:r w:rsidRPr="00B81C3D">
        <w:rPr>
          <w:color w:val="000000" w:themeColor="text1"/>
          <w:sz w:val="24"/>
          <w:szCs w:val="24"/>
        </w:rPr>
        <w:t xml:space="preserve">U.N. Doc. 2, G/7 (k) (1), 3 U.N.C.I.O Docs. 335, 336 (1945); </w:t>
      </w:r>
      <w:r w:rsidRPr="00B81C3D">
        <w:rPr>
          <w:i/>
          <w:iCs/>
          <w:color w:val="000000" w:themeColor="text1"/>
          <w:sz w:val="24"/>
          <w:szCs w:val="24"/>
        </w:rPr>
        <w:t>Certain Expenses</w:t>
      </w:r>
      <w:r w:rsidRPr="00B81C3D">
        <w:rPr>
          <w:color w:val="000000" w:themeColor="text1"/>
          <w:sz w:val="24"/>
          <w:szCs w:val="24"/>
        </w:rPr>
        <w:t>, at 168.</w:t>
      </w:r>
    </w:p>
  </w:footnote>
  <w:footnote w:id="214">
    <w:p w14:paraId="2E605588" w14:textId="0A3AD6B8"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Accordance with International Law of the Unilateral Declaration of Independence in Respect of Kosovo (Advisory Opinion), 2010 ICJ 403, 516 [“</w:t>
      </w:r>
      <w:r w:rsidRPr="00B81C3D">
        <w:rPr>
          <w:b/>
          <w:bCs/>
          <w:i/>
          <w:iCs/>
          <w:sz w:val="24"/>
          <w:szCs w:val="24"/>
        </w:rPr>
        <w:t>Kosovo</w:t>
      </w:r>
      <w:r w:rsidRPr="00B81C3D">
        <w:rPr>
          <w:sz w:val="24"/>
          <w:szCs w:val="24"/>
        </w:rPr>
        <w:t>”].</w:t>
      </w:r>
    </w:p>
  </w:footnote>
  <w:footnote w:id="215">
    <w:p w14:paraId="68DF6F58" w14:textId="1CA1B742" w:rsidR="000F37FA" w:rsidRPr="00B81C3D" w:rsidRDefault="000F37FA" w:rsidP="000F37FA">
      <w:pPr>
        <w:spacing w:afterLines="30" w:after="72" w:line="240" w:lineRule="auto"/>
        <w:ind w:left="567" w:hanging="567"/>
        <w:rPr>
          <w:lang w:val="en-US"/>
        </w:rPr>
      </w:pPr>
      <w:r w:rsidRPr="00B81C3D">
        <w:rPr>
          <w:rStyle w:val="FootnoteReference"/>
        </w:rPr>
        <w:footnoteRef/>
      </w:r>
      <w:r w:rsidRPr="00B81C3D">
        <w:t xml:space="preserve"> </w:t>
      </w:r>
      <w:r w:rsidRPr="00B81C3D">
        <w:rPr>
          <w:i/>
          <w:iCs/>
        </w:rPr>
        <w:t>Corfu Channel</w:t>
      </w:r>
      <w:r w:rsidRPr="00B81C3D">
        <w:t>; S.C. Res. 22 (1947).</w:t>
      </w:r>
    </w:p>
  </w:footnote>
  <w:footnote w:id="216">
    <w:p w14:paraId="5EBF7A67" w14:textId="616E7BEB" w:rsidR="000F37FA" w:rsidRPr="00B81C3D" w:rsidRDefault="000F37FA" w:rsidP="000F37FA">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Anglo-Iranian Oil Case (UK</w:t>
      </w:r>
      <w:r w:rsidR="003812EC" w:rsidRPr="00B81C3D">
        <w:rPr>
          <w:sz w:val="24"/>
          <w:szCs w:val="24"/>
        </w:rPr>
        <w:t>/</w:t>
      </w:r>
      <w:r w:rsidRPr="00B81C3D">
        <w:rPr>
          <w:sz w:val="24"/>
          <w:szCs w:val="24"/>
        </w:rPr>
        <w:t>Iran), 1952 I.C.J. 93, 134.</w:t>
      </w:r>
    </w:p>
  </w:footnote>
  <w:footnote w:id="217">
    <w:p w14:paraId="40BE0F0F" w14:textId="1884AA7A" w:rsidR="007C5844" w:rsidRPr="00B81C3D" w:rsidRDefault="007C5844" w:rsidP="00C75971">
      <w:pPr>
        <w:spacing w:afterLines="30" w:after="72" w:line="240" w:lineRule="auto"/>
        <w:ind w:left="567" w:hanging="567"/>
        <w:rPr>
          <w:color w:val="000000" w:themeColor="text1"/>
          <w:lang w:eastAsia="zh-CN"/>
        </w:rPr>
      </w:pPr>
      <w:r w:rsidRPr="00B81C3D">
        <w:rPr>
          <w:rStyle w:val="FootnoteReference"/>
          <w:color w:val="000000" w:themeColor="text1"/>
        </w:rPr>
        <w:footnoteRef/>
      </w:r>
      <w:r w:rsidRPr="00B81C3D">
        <w:rPr>
          <w:color w:val="000000" w:themeColor="text1"/>
        </w:rPr>
        <w:t xml:space="preserve"> </w:t>
      </w:r>
      <w:r w:rsidRPr="00B81C3D">
        <w:rPr>
          <w:color w:val="000000" w:themeColor="text1"/>
          <w:lang w:eastAsia="zh-CN"/>
        </w:rPr>
        <w:t>Legal Consequences for States of the Continued Presence of South Africa in Namibia (Advisory Opinion), 1971 I</w:t>
      </w:r>
      <w:r w:rsidR="003812EC" w:rsidRPr="00B81C3D">
        <w:rPr>
          <w:color w:val="000000" w:themeColor="text1"/>
          <w:lang w:eastAsia="zh-CN"/>
        </w:rPr>
        <w:t>.</w:t>
      </w:r>
      <w:r w:rsidRPr="00B81C3D">
        <w:rPr>
          <w:color w:val="000000" w:themeColor="text1"/>
          <w:lang w:eastAsia="zh-CN"/>
        </w:rPr>
        <w:t>C</w:t>
      </w:r>
      <w:r w:rsidR="003812EC" w:rsidRPr="00B81C3D">
        <w:rPr>
          <w:color w:val="000000" w:themeColor="text1"/>
          <w:lang w:eastAsia="zh-CN"/>
        </w:rPr>
        <w:t>.</w:t>
      </w:r>
      <w:r w:rsidRPr="00B81C3D">
        <w:rPr>
          <w:color w:val="000000" w:themeColor="text1"/>
          <w:lang w:eastAsia="zh-CN"/>
        </w:rPr>
        <w:t>J</w:t>
      </w:r>
      <w:r w:rsidR="003812EC" w:rsidRPr="00B81C3D">
        <w:rPr>
          <w:color w:val="000000" w:themeColor="text1"/>
          <w:lang w:eastAsia="zh-CN"/>
        </w:rPr>
        <w:t>.</w:t>
      </w:r>
      <w:r w:rsidRPr="00B81C3D">
        <w:rPr>
          <w:color w:val="000000" w:themeColor="text1"/>
          <w:lang w:eastAsia="zh-CN"/>
        </w:rPr>
        <w:t xml:space="preserve"> 16, 45 [“</w:t>
      </w:r>
      <w:r w:rsidRPr="00B81C3D">
        <w:rPr>
          <w:b/>
          <w:bCs/>
          <w:i/>
          <w:iCs/>
          <w:color w:val="000000" w:themeColor="text1"/>
          <w:lang w:eastAsia="zh-CN"/>
        </w:rPr>
        <w:t>Namibia</w:t>
      </w:r>
      <w:r w:rsidRPr="00B81C3D">
        <w:rPr>
          <w:color w:val="000000" w:themeColor="text1"/>
          <w:lang w:eastAsia="zh-CN"/>
        </w:rPr>
        <w:t>”].</w:t>
      </w:r>
    </w:p>
  </w:footnote>
  <w:footnote w:id="218">
    <w:p w14:paraId="56548552" w14:textId="2D116F2D" w:rsidR="007C5844" w:rsidRPr="00B81C3D" w:rsidRDefault="007C5844" w:rsidP="00C75971">
      <w:pPr>
        <w:pStyle w:val="NormalWeb"/>
        <w:spacing w:afterLines="30" w:after="72"/>
        <w:ind w:left="567" w:hanging="567"/>
        <w:jc w:val="both"/>
        <w:rPr>
          <w:color w:val="000000" w:themeColor="text1"/>
        </w:rPr>
      </w:pPr>
      <w:r w:rsidRPr="00B81C3D">
        <w:rPr>
          <w:rStyle w:val="FootnoteReference"/>
          <w:color w:val="000000" w:themeColor="text1"/>
        </w:rPr>
        <w:footnoteRef/>
      </w:r>
      <w:r w:rsidRPr="00B81C3D">
        <w:rPr>
          <w:color w:val="000000" w:themeColor="text1"/>
        </w:rPr>
        <w:t xml:space="preserve"> </w:t>
      </w:r>
      <w:r w:rsidRPr="00B81C3D">
        <w:rPr>
          <w:color w:val="000000" w:themeColor="text1"/>
        </w:rPr>
        <w:t>Case Concerning Questions of Interpretation and Application of the 1971 Montreal Convention Arising from the Aerial Incident at Lockerbie, 1992 I</w:t>
      </w:r>
      <w:r w:rsidR="003812EC" w:rsidRPr="00B81C3D">
        <w:rPr>
          <w:color w:val="000000" w:themeColor="text1"/>
        </w:rPr>
        <w:t>.</w:t>
      </w:r>
      <w:r w:rsidRPr="00B81C3D">
        <w:rPr>
          <w:color w:val="000000" w:themeColor="text1"/>
        </w:rPr>
        <w:t>C</w:t>
      </w:r>
      <w:r w:rsidR="003812EC" w:rsidRPr="00B81C3D">
        <w:rPr>
          <w:color w:val="000000" w:themeColor="text1"/>
        </w:rPr>
        <w:t>.</w:t>
      </w:r>
      <w:r w:rsidRPr="00B81C3D">
        <w:rPr>
          <w:color w:val="000000" w:themeColor="text1"/>
        </w:rPr>
        <w:t>J. 114, 127</w:t>
      </w:r>
      <w:r w:rsidR="003812EC" w:rsidRPr="00B81C3D">
        <w:rPr>
          <w:color w:val="000000" w:themeColor="text1"/>
        </w:rPr>
        <w:t>&amp;</w:t>
      </w:r>
      <w:r w:rsidRPr="00B81C3D">
        <w:rPr>
          <w:color w:val="000000" w:themeColor="text1"/>
        </w:rPr>
        <w:t>140</w:t>
      </w:r>
      <w:r w:rsidR="009E2328" w:rsidRPr="00B81C3D">
        <w:rPr>
          <w:color w:val="000000" w:themeColor="text1"/>
        </w:rPr>
        <w:t>. [</w:t>
      </w:r>
      <w:r w:rsidRPr="00B81C3D">
        <w:rPr>
          <w:color w:val="000000" w:themeColor="text1"/>
        </w:rPr>
        <w:t>“</w:t>
      </w:r>
      <w:r w:rsidRPr="00B81C3D">
        <w:rPr>
          <w:b/>
          <w:bCs/>
          <w:i/>
          <w:iCs/>
          <w:color w:val="000000" w:themeColor="text1"/>
        </w:rPr>
        <w:t>Lockerbie (Provisional)</w:t>
      </w:r>
      <w:r w:rsidRPr="00B81C3D">
        <w:rPr>
          <w:color w:val="000000" w:themeColor="text1"/>
        </w:rPr>
        <w:t>”].</w:t>
      </w:r>
    </w:p>
  </w:footnote>
  <w:footnote w:id="219">
    <w:p w14:paraId="038B7096" w14:textId="31FFEF5A" w:rsidR="007C5844" w:rsidRPr="00B81C3D" w:rsidRDefault="007C5844" w:rsidP="00C75971">
      <w:pPr>
        <w:pStyle w:val="FootnoteText"/>
        <w:spacing w:afterLines="30" w:after="72"/>
        <w:ind w:left="567" w:hanging="567"/>
        <w:rPr>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r w:rsidRPr="00B81C3D">
        <w:rPr>
          <w:i/>
          <w:iCs/>
          <w:color w:val="000000" w:themeColor="text1"/>
          <w:sz w:val="24"/>
          <w:szCs w:val="24"/>
          <w:lang w:val="en-US"/>
        </w:rPr>
        <w:t>Kosovo</w:t>
      </w:r>
      <w:r w:rsidRPr="00B81C3D">
        <w:rPr>
          <w:color w:val="000000" w:themeColor="text1"/>
          <w:sz w:val="24"/>
          <w:szCs w:val="24"/>
          <w:lang w:val="en-US"/>
        </w:rPr>
        <w:t xml:space="preserve">, </w:t>
      </w:r>
      <w:r w:rsidRPr="00B81C3D">
        <w:rPr>
          <w:color w:val="000000" w:themeColor="text1"/>
          <w:sz w:val="24"/>
          <w:szCs w:val="24"/>
          <w:lang w:eastAsia="zh-CN"/>
        </w:rPr>
        <w:t>518</w:t>
      </w:r>
      <w:r w:rsidRPr="00B81C3D">
        <w:rPr>
          <w:color w:val="000000" w:themeColor="text1"/>
          <w:sz w:val="24"/>
          <w:szCs w:val="24"/>
          <w:lang w:val="en-US"/>
        </w:rPr>
        <w:t>.</w:t>
      </w:r>
    </w:p>
  </w:footnote>
  <w:footnote w:id="220">
    <w:p w14:paraId="559E5FCB" w14:textId="1C29AC0B"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 xml:space="preserve">U.N. Charter, art. 34&amp;39; </w:t>
      </w:r>
      <w:r w:rsidRPr="00B81C3D">
        <w:rPr>
          <w:i/>
          <w:iCs/>
          <w:sz w:val="24"/>
          <w:szCs w:val="24"/>
        </w:rPr>
        <w:t>Certain Expenses</w:t>
      </w:r>
      <w:r w:rsidRPr="00B81C3D">
        <w:rPr>
          <w:color w:val="000000" w:themeColor="text1"/>
          <w:sz w:val="24"/>
          <w:szCs w:val="24"/>
        </w:rPr>
        <w:t>, 293-294.</w:t>
      </w:r>
    </w:p>
  </w:footnote>
  <w:footnote w:id="221">
    <w:p w14:paraId="37CDDF37" w14:textId="62F72CAE"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 xml:space="preserve">U.N. Charter, art. 34&amp;39; S.C. Res. </w:t>
      </w:r>
      <w:r w:rsidRPr="00B81C3D">
        <w:rPr>
          <w:sz w:val="24"/>
          <w:szCs w:val="24"/>
          <w:lang w:val="en-US"/>
        </w:rPr>
        <w:t>99997, ¶5.</w:t>
      </w:r>
    </w:p>
  </w:footnote>
  <w:footnote w:id="222">
    <w:p w14:paraId="75494AD4" w14:textId="10E2EC2A"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lang w:val="en-US"/>
        </w:rPr>
        <w:t>U</w:t>
      </w:r>
      <w:r w:rsidR="005D7BC2" w:rsidRPr="00B81C3D">
        <w:rPr>
          <w:sz w:val="24"/>
          <w:szCs w:val="24"/>
          <w:lang w:val="en-US"/>
        </w:rPr>
        <w:t>.</w:t>
      </w:r>
      <w:r w:rsidRPr="00B81C3D">
        <w:rPr>
          <w:sz w:val="24"/>
          <w:szCs w:val="24"/>
          <w:lang w:val="en-US"/>
        </w:rPr>
        <w:t>N</w:t>
      </w:r>
      <w:r w:rsidR="005D7BC2" w:rsidRPr="00B81C3D">
        <w:rPr>
          <w:sz w:val="24"/>
          <w:szCs w:val="24"/>
          <w:lang w:val="en-US"/>
        </w:rPr>
        <w:t>.</w:t>
      </w:r>
      <w:r w:rsidRPr="00B81C3D">
        <w:rPr>
          <w:sz w:val="24"/>
          <w:szCs w:val="24"/>
          <w:lang w:val="en-US"/>
        </w:rPr>
        <w:t xml:space="preserve"> Charter, art. 2(7).</w:t>
      </w:r>
    </w:p>
  </w:footnote>
  <w:footnote w:id="223">
    <w:p w14:paraId="17C8A7E5" w14:textId="35C9662D"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sz w:val="24"/>
          <w:szCs w:val="24"/>
        </w:rPr>
        <w:t>Verdross</w:t>
      </w:r>
      <w:proofErr w:type="spellEnd"/>
      <w:r w:rsidRPr="00B81C3D">
        <w:rPr>
          <w:sz w:val="24"/>
          <w:szCs w:val="24"/>
        </w:rPr>
        <w:t xml:space="preserve">, </w:t>
      </w:r>
      <w:r w:rsidRPr="00B81C3D">
        <w:rPr>
          <w:i/>
          <w:iCs/>
          <w:sz w:val="24"/>
          <w:szCs w:val="24"/>
        </w:rPr>
        <w:t>The Plea of Domestic Jurisdiction before an International Tribunal and the Political Organ of the United Nations</w:t>
      </w:r>
      <w:r w:rsidRPr="00B81C3D">
        <w:rPr>
          <w:sz w:val="24"/>
          <w:szCs w:val="24"/>
        </w:rPr>
        <w:t>, 39-40</w:t>
      </w:r>
      <w:r w:rsidR="003812EC" w:rsidRPr="00B81C3D">
        <w:rPr>
          <w:sz w:val="24"/>
          <w:szCs w:val="24"/>
        </w:rPr>
        <w:t xml:space="preserve"> (1968)</w:t>
      </w:r>
      <w:r w:rsidRPr="00B81C3D">
        <w:rPr>
          <w:sz w:val="24"/>
          <w:szCs w:val="24"/>
        </w:rPr>
        <w:t>.</w:t>
      </w:r>
    </w:p>
  </w:footnote>
  <w:footnote w:id="224">
    <w:p w14:paraId="07DDBFDB" w14:textId="225655D0"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Pr="00B81C3D">
        <w:rPr>
          <w:smallCaps/>
          <w:sz w:val="24"/>
          <w:szCs w:val="24"/>
        </w:rPr>
        <w:t>Kelsen</w:t>
      </w:r>
      <w:proofErr w:type="spellEnd"/>
      <w:r w:rsidRPr="00B81C3D">
        <w:rPr>
          <w:smallCaps/>
          <w:sz w:val="24"/>
          <w:szCs w:val="24"/>
        </w:rPr>
        <w:t xml:space="preserve">, </w:t>
      </w:r>
      <w:r w:rsidR="003812EC" w:rsidRPr="00B81C3D">
        <w:rPr>
          <w:smallCaps/>
          <w:sz w:val="24"/>
          <w:szCs w:val="24"/>
        </w:rPr>
        <w:t>T</w:t>
      </w:r>
      <w:r w:rsidRPr="00B81C3D">
        <w:rPr>
          <w:smallCaps/>
          <w:sz w:val="24"/>
          <w:szCs w:val="24"/>
        </w:rPr>
        <w:t xml:space="preserve">he Law of the United Nations </w:t>
      </w:r>
      <w:r w:rsidRPr="00B81C3D">
        <w:rPr>
          <w:sz w:val="24"/>
          <w:szCs w:val="24"/>
        </w:rPr>
        <w:t>769-791 (</w:t>
      </w:r>
      <w:r w:rsidRPr="00B81C3D">
        <w:rPr>
          <w:smallCaps/>
          <w:sz w:val="24"/>
          <w:szCs w:val="24"/>
        </w:rPr>
        <w:t>1950)</w:t>
      </w:r>
      <w:r w:rsidRPr="00B81C3D">
        <w:rPr>
          <w:sz w:val="24"/>
          <w:szCs w:val="24"/>
        </w:rPr>
        <w:t xml:space="preserve">; </w:t>
      </w:r>
      <w:r w:rsidR="005F4267" w:rsidRPr="00B81C3D">
        <w:rPr>
          <w:sz w:val="24"/>
          <w:szCs w:val="24"/>
        </w:rPr>
        <w:t xml:space="preserve">UNSC </w:t>
      </w:r>
      <w:r w:rsidRPr="00B81C3D">
        <w:rPr>
          <w:sz w:val="24"/>
          <w:szCs w:val="24"/>
        </w:rPr>
        <w:t>Repertory Vol. I (1945</w:t>
      </w:r>
      <w:r w:rsidR="003812EC" w:rsidRPr="00B81C3D">
        <w:rPr>
          <w:sz w:val="24"/>
          <w:szCs w:val="24"/>
        </w:rPr>
        <w:t>-</w:t>
      </w:r>
      <w:r w:rsidRPr="00B81C3D">
        <w:rPr>
          <w:sz w:val="24"/>
          <w:szCs w:val="24"/>
        </w:rPr>
        <w:t xml:space="preserve">1954), </w:t>
      </w:r>
      <w:r w:rsidRPr="00B81C3D">
        <w:rPr>
          <w:color w:val="000000" w:themeColor="text1"/>
          <w:sz w:val="24"/>
          <w:szCs w:val="24"/>
          <w:lang w:eastAsia="zh-CN"/>
        </w:rPr>
        <w:t>¶¶</w:t>
      </w:r>
      <w:r w:rsidRPr="00B81C3D">
        <w:rPr>
          <w:sz w:val="24"/>
          <w:szCs w:val="24"/>
        </w:rPr>
        <w:t>401-403.</w:t>
      </w:r>
    </w:p>
  </w:footnote>
  <w:footnote w:id="225">
    <w:p w14:paraId="6115E8DB" w14:textId="2065FEA0"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spellStart"/>
      <w:r w:rsidR="003812EC" w:rsidRPr="00B81C3D">
        <w:rPr>
          <w:smallCaps/>
          <w:sz w:val="24"/>
          <w:szCs w:val="24"/>
        </w:rPr>
        <w:t>Simma</w:t>
      </w:r>
      <w:proofErr w:type="spellEnd"/>
      <w:r w:rsidR="003812EC" w:rsidRPr="00B81C3D">
        <w:rPr>
          <w:sz w:val="24"/>
          <w:szCs w:val="24"/>
        </w:rPr>
        <w:t>, n</w:t>
      </w:r>
      <w:r w:rsidR="005F4267" w:rsidRPr="00B81C3D">
        <w:rPr>
          <w:sz w:val="24"/>
          <w:szCs w:val="24"/>
        </w:rPr>
        <w:fldChar w:fldCharType="begin"/>
      </w:r>
      <w:r w:rsidR="005F4267" w:rsidRPr="00B81C3D">
        <w:rPr>
          <w:sz w:val="24"/>
          <w:szCs w:val="24"/>
        </w:rPr>
        <w:instrText xml:space="preserve"> NOTEREF _Ref156018771 \h  \* MERGEFORMAT </w:instrText>
      </w:r>
      <w:r w:rsidR="005F4267" w:rsidRPr="00B81C3D">
        <w:rPr>
          <w:sz w:val="24"/>
          <w:szCs w:val="24"/>
        </w:rPr>
      </w:r>
      <w:r w:rsidR="005F4267" w:rsidRPr="00B81C3D">
        <w:rPr>
          <w:sz w:val="24"/>
          <w:szCs w:val="24"/>
        </w:rPr>
        <w:fldChar w:fldCharType="separate"/>
      </w:r>
      <w:r w:rsidR="005F4267" w:rsidRPr="00B81C3D">
        <w:rPr>
          <w:sz w:val="24"/>
          <w:szCs w:val="24"/>
        </w:rPr>
        <w:t>207</w:t>
      </w:r>
      <w:r w:rsidR="005F4267" w:rsidRPr="00B81C3D">
        <w:rPr>
          <w:sz w:val="24"/>
          <w:szCs w:val="24"/>
        </w:rPr>
        <w:fldChar w:fldCharType="end"/>
      </w:r>
      <w:r w:rsidR="005F4267" w:rsidRPr="00B81C3D">
        <w:rPr>
          <w:sz w:val="24"/>
          <w:szCs w:val="24"/>
        </w:rPr>
        <w:t>,</w:t>
      </w:r>
      <w:r w:rsidR="003812EC" w:rsidRPr="00B81C3D">
        <w:rPr>
          <w:sz w:val="24"/>
          <w:szCs w:val="24"/>
        </w:rPr>
        <w:t xml:space="preserve"> </w:t>
      </w:r>
      <w:r w:rsidRPr="00B81C3D">
        <w:rPr>
          <w:sz w:val="24"/>
          <w:szCs w:val="24"/>
        </w:rPr>
        <w:t xml:space="preserve">art. 2(7), ¶28; </w:t>
      </w:r>
      <w:r w:rsidR="005F4267" w:rsidRPr="00B81C3D">
        <w:rPr>
          <w:sz w:val="24"/>
          <w:szCs w:val="24"/>
        </w:rPr>
        <w:t xml:space="preserve">UNSC </w:t>
      </w:r>
      <w:r w:rsidRPr="00B81C3D">
        <w:rPr>
          <w:sz w:val="24"/>
          <w:szCs w:val="24"/>
        </w:rPr>
        <w:t>Repertory Vol. I (1945</w:t>
      </w:r>
      <w:r w:rsidR="003812EC" w:rsidRPr="00B81C3D">
        <w:rPr>
          <w:sz w:val="24"/>
          <w:szCs w:val="24"/>
        </w:rPr>
        <w:t>-</w:t>
      </w:r>
      <w:r w:rsidRPr="00B81C3D">
        <w:rPr>
          <w:sz w:val="24"/>
          <w:szCs w:val="24"/>
        </w:rPr>
        <w:t xml:space="preserve">1954), </w:t>
      </w:r>
      <w:r w:rsidRPr="00B81C3D">
        <w:rPr>
          <w:color w:val="000000" w:themeColor="text1"/>
          <w:sz w:val="24"/>
          <w:szCs w:val="24"/>
          <w:lang w:eastAsia="zh-CN"/>
        </w:rPr>
        <w:t>¶¶</w:t>
      </w:r>
      <w:r w:rsidRPr="00B81C3D">
        <w:rPr>
          <w:sz w:val="24"/>
          <w:szCs w:val="24"/>
        </w:rPr>
        <w:t>401-403.</w:t>
      </w:r>
    </w:p>
  </w:footnote>
  <w:footnote w:id="226">
    <w:p w14:paraId="204C92E7" w14:textId="404B4F36" w:rsidR="00EB24F3" w:rsidRPr="00B81C3D" w:rsidRDefault="00EB24F3" w:rsidP="00C75971">
      <w:pPr>
        <w:pStyle w:val="FootnoteText"/>
        <w:spacing w:after="0" w:line="360" w:lineRule="auto"/>
        <w:ind w:left="567" w:hanging="567"/>
        <w:rPr>
          <w:iCs/>
          <w:sz w:val="24"/>
          <w:szCs w:val="24"/>
          <w:lang w:val="en-US"/>
        </w:rPr>
      </w:pPr>
      <w:r w:rsidRPr="00B81C3D">
        <w:rPr>
          <w:rStyle w:val="FootnoteReference"/>
          <w:sz w:val="24"/>
          <w:szCs w:val="24"/>
        </w:rPr>
        <w:footnoteRef/>
      </w:r>
      <w:r w:rsidRPr="00B81C3D">
        <w:rPr>
          <w:sz w:val="24"/>
          <w:szCs w:val="24"/>
        </w:rPr>
        <w:t xml:space="preserve"> </w:t>
      </w:r>
      <w:r w:rsidRPr="00B81C3D">
        <w:rPr>
          <w:i/>
          <w:sz w:val="24"/>
          <w:szCs w:val="24"/>
          <w:lang w:val="en-US"/>
        </w:rPr>
        <w:t xml:space="preserve">Supra </w:t>
      </w:r>
      <w:r w:rsidRPr="00B81C3D">
        <w:rPr>
          <w:b/>
          <w:bCs/>
          <w:iCs/>
          <w:sz w:val="24"/>
          <w:szCs w:val="24"/>
          <w:lang w:val="en-US"/>
        </w:rPr>
        <w:t>Part II.A</w:t>
      </w:r>
      <w:r w:rsidR="003812EC" w:rsidRPr="00B81C3D">
        <w:rPr>
          <w:iCs/>
          <w:sz w:val="24"/>
          <w:szCs w:val="24"/>
          <w:lang w:val="en-US"/>
        </w:rPr>
        <w:t>.</w:t>
      </w:r>
    </w:p>
  </w:footnote>
  <w:footnote w:id="227">
    <w:p w14:paraId="56899E8D" w14:textId="1E0F1B0A"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U</w:t>
      </w:r>
      <w:r w:rsidR="003D35A0" w:rsidRPr="00B81C3D">
        <w:rPr>
          <w:sz w:val="24"/>
          <w:szCs w:val="24"/>
        </w:rPr>
        <w:t>.</w:t>
      </w:r>
      <w:r w:rsidRPr="00B81C3D">
        <w:rPr>
          <w:sz w:val="24"/>
          <w:szCs w:val="24"/>
        </w:rPr>
        <w:t>N</w:t>
      </w:r>
      <w:r w:rsidR="003D35A0" w:rsidRPr="00B81C3D">
        <w:rPr>
          <w:sz w:val="24"/>
          <w:szCs w:val="24"/>
        </w:rPr>
        <w:t>.</w:t>
      </w:r>
      <w:r w:rsidRPr="00B81C3D">
        <w:rPr>
          <w:sz w:val="24"/>
          <w:szCs w:val="24"/>
        </w:rPr>
        <w:t xml:space="preserve"> Charter, art. 27(3).</w:t>
      </w:r>
    </w:p>
  </w:footnote>
  <w:footnote w:id="228">
    <w:p w14:paraId="789477D6" w14:textId="595F3BC3"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005A3968" w:rsidRPr="00B81C3D">
        <w:rPr>
          <w:sz w:val="24"/>
          <w:szCs w:val="24"/>
        </w:rPr>
        <w:t>Mavrommatis</w:t>
      </w:r>
      <w:proofErr w:type="spellEnd"/>
      <w:r w:rsidR="005A3968" w:rsidRPr="00B81C3D">
        <w:rPr>
          <w:sz w:val="24"/>
          <w:szCs w:val="24"/>
        </w:rPr>
        <w:t xml:space="preserve"> Palestine Concessions</w:t>
      </w:r>
      <w:r w:rsidR="003812EC" w:rsidRPr="00B81C3D">
        <w:rPr>
          <w:i/>
          <w:iCs/>
          <w:sz w:val="24"/>
          <w:szCs w:val="24"/>
        </w:rPr>
        <w:t xml:space="preserve"> </w:t>
      </w:r>
      <w:r w:rsidR="003812EC" w:rsidRPr="00B81C3D">
        <w:rPr>
          <w:sz w:val="24"/>
          <w:szCs w:val="24"/>
        </w:rPr>
        <w:t>(Greece/Britain)</w:t>
      </w:r>
      <w:r w:rsidR="005A3968" w:rsidRPr="00B81C3D">
        <w:rPr>
          <w:sz w:val="24"/>
          <w:szCs w:val="24"/>
        </w:rPr>
        <w:t>, P</w:t>
      </w:r>
      <w:r w:rsidR="0026125A" w:rsidRPr="00B81C3D">
        <w:rPr>
          <w:sz w:val="24"/>
          <w:szCs w:val="24"/>
        </w:rPr>
        <w:t>.</w:t>
      </w:r>
      <w:r w:rsidR="005A3968" w:rsidRPr="00B81C3D">
        <w:rPr>
          <w:sz w:val="24"/>
          <w:szCs w:val="24"/>
        </w:rPr>
        <w:t>C</w:t>
      </w:r>
      <w:r w:rsidR="0026125A" w:rsidRPr="00B81C3D">
        <w:rPr>
          <w:sz w:val="24"/>
          <w:szCs w:val="24"/>
        </w:rPr>
        <w:t>.</w:t>
      </w:r>
      <w:r w:rsidR="005A3968" w:rsidRPr="00B81C3D">
        <w:rPr>
          <w:sz w:val="24"/>
          <w:szCs w:val="24"/>
        </w:rPr>
        <w:t>I</w:t>
      </w:r>
      <w:r w:rsidR="0026125A" w:rsidRPr="00B81C3D">
        <w:rPr>
          <w:sz w:val="24"/>
          <w:szCs w:val="24"/>
        </w:rPr>
        <w:t>.</w:t>
      </w:r>
      <w:r w:rsidR="005A3968" w:rsidRPr="00B81C3D">
        <w:rPr>
          <w:sz w:val="24"/>
          <w:szCs w:val="24"/>
        </w:rPr>
        <w:t>J</w:t>
      </w:r>
      <w:r w:rsidR="0026125A" w:rsidRPr="00B81C3D">
        <w:rPr>
          <w:sz w:val="24"/>
          <w:szCs w:val="24"/>
        </w:rPr>
        <w:t>.</w:t>
      </w:r>
      <w:r w:rsidR="005A3968" w:rsidRPr="00B81C3D">
        <w:rPr>
          <w:sz w:val="24"/>
          <w:szCs w:val="24"/>
        </w:rPr>
        <w:t>, Ser. A No. 2.</w:t>
      </w:r>
      <w:r w:rsidR="0026125A" w:rsidRPr="00B81C3D">
        <w:rPr>
          <w:sz w:val="24"/>
          <w:szCs w:val="24"/>
        </w:rPr>
        <w:t xml:space="preserve"> </w:t>
      </w:r>
      <w:r w:rsidRPr="00B81C3D">
        <w:rPr>
          <w:i/>
          <w:iCs/>
          <w:color w:val="000000" w:themeColor="text1"/>
          <w:sz w:val="24"/>
          <w:szCs w:val="24"/>
          <w:lang w:val="en-US"/>
        </w:rPr>
        <w:t>¶</w:t>
      </w:r>
      <w:r w:rsidRPr="00B81C3D">
        <w:rPr>
          <w:color w:val="000000" w:themeColor="text1"/>
          <w:sz w:val="24"/>
          <w:szCs w:val="24"/>
        </w:rPr>
        <w:t>19</w:t>
      </w:r>
      <w:r w:rsidR="0026125A" w:rsidRPr="00B81C3D">
        <w:rPr>
          <w:color w:val="000000" w:themeColor="text1"/>
          <w:sz w:val="24"/>
          <w:szCs w:val="24"/>
        </w:rPr>
        <w:t xml:space="preserve"> (1924)</w:t>
      </w:r>
      <w:r w:rsidRPr="00B81C3D">
        <w:rPr>
          <w:color w:val="000000" w:themeColor="text1"/>
          <w:sz w:val="24"/>
          <w:szCs w:val="24"/>
        </w:rPr>
        <w:t>.</w:t>
      </w:r>
    </w:p>
  </w:footnote>
  <w:footnote w:id="229">
    <w:p w14:paraId="72C64D2B" w14:textId="35847E3C"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proofErr w:type="gramStart"/>
      <w:r w:rsidRPr="00B81C3D">
        <w:rPr>
          <w:i/>
          <w:iCs/>
          <w:sz w:val="24"/>
          <w:szCs w:val="24"/>
          <w:lang w:val="en-US"/>
        </w:rPr>
        <w:t>Compromis</w:t>
      </w:r>
      <w:proofErr w:type="spellEnd"/>
      <w:r w:rsidRPr="00B81C3D">
        <w:rPr>
          <w:sz w:val="24"/>
          <w:szCs w:val="24"/>
          <w:lang w:val="en-US"/>
        </w:rPr>
        <w:t>,</w:t>
      </w:r>
      <w:r w:rsidRPr="00B81C3D">
        <w:rPr>
          <w:i/>
          <w:iCs/>
          <w:color w:val="000000" w:themeColor="text1"/>
          <w:sz w:val="24"/>
          <w:szCs w:val="24"/>
          <w:lang w:val="en-US"/>
        </w:rPr>
        <w:t>¶</w:t>
      </w:r>
      <w:proofErr w:type="gramEnd"/>
      <w:r w:rsidRPr="00B81C3D">
        <w:rPr>
          <w:color w:val="000000" w:themeColor="text1"/>
          <w:sz w:val="24"/>
          <w:szCs w:val="24"/>
        </w:rPr>
        <w:t>48.</w:t>
      </w:r>
    </w:p>
  </w:footnote>
  <w:footnote w:id="230">
    <w:p w14:paraId="3C8B5133" w14:textId="36EB87D5" w:rsidR="007C5844" w:rsidRPr="00B81C3D" w:rsidRDefault="007C5844" w:rsidP="00C75971">
      <w:pPr>
        <w:pStyle w:val="FootnoteText"/>
        <w:spacing w:afterLines="30" w:after="72"/>
        <w:ind w:left="567" w:hanging="567"/>
        <w:rPr>
          <w:sz w:val="24"/>
          <w:szCs w:val="24"/>
          <w:lang w:val="en-US"/>
        </w:rPr>
      </w:pPr>
      <w:r w:rsidRPr="00B81C3D">
        <w:rPr>
          <w:rStyle w:val="FootnoteReference"/>
          <w:color w:val="000000" w:themeColor="text1"/>
          <w:sz w:val="24"/>
          <w:szCs w:val="24"/>
        </w:rPr>
        <w:footnoteRef/>
      </w:r>
      <w:r w:rsidRPr="00B81C3D">
        <w:rPr>
          <w:color w:val="000000" w:themeColor="text1"/>
          <w:sz w:val="24"/>
          <w:szCs w:val="24"/>
        </w:rPr>
        <w:t xml:space="preserve"> </w:t>
      </w:r>
      <w:proofErr w:type="spellStart"/>
      <w:r w:rsidRPr="00B81C3D">
        <w:rPr>
          <w:i/>
          <w:iCs/>
          <w:color w:val="000000" w:themeColor="text1"/>
          <w:sz w:val="24"/>
          <w:szCs w:val="24"/>
        </w:rPr>
        <w:t>Compromis</w:t>
      </w:r>
      <w:proofErr w:type="spellEnd"/>
      <w:r w:rsidRPr="00B81C3D">
        <w:rPr>
          <w:i/>
          <w:iCs/>
          <w:color w:val="000000" w:themeColor="text1"/>
          <w:sz w:val="24"/>
          <w:szCs w:val="24"/>
        </w:rPr>
        <w:t>,</w:t>
      </w:r>
      <w:r w:rsidRPr="00B81C3D">
        <w:rPr>
          <w:i/>
          <w:iCs/>
          <w:color w:val="000000" w:themeColor="text1"/>
          <w:sz w:val="24"/>
          <w:szCs w:val="24"/>
          <w:lang w:val="en-US"/>
        </w:rPr>
        <w:t>¶</w:t>
      </w:r>
      <w:r w:rsidRPr="00B81C3D">
        <w:rPr>
          <w:color w:val="000000" w:themeColor="text1"/>
          <w:sz w:val="24"/>
          <w:szCs w:val="24"/>
        </w:rPr>
        <w:t>59.</w:t>
      </w:r>
    </w:p>
  </w:footnote>
  <w:footnote w:id="231">
    <w:p w14:paraId="56199C15" w14:textId="59C74AAC"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gramStart"/>
      <w:r w:rsidRPr="00B81C3D">
        <w:rPr>
          <w:i/>
          <w:iCs/>
          <w:sz w:val="24"/>
          <w:szCs w:val="24"/>
          <w:lang w:val="en-US"/>
        </w:rPr>
        <w:t>Namibia</w:t>
      </w:r>
      <w:r w:rsidRPr="00B81C3D">
        <w:rPr>
          <w:sz w:val="24"/>
          <w:szCs w:val="24"/>
          <w:lang w:val="en-US"/>
        </w:rPr>
        <w:t>,¶</w:t>
      </w:r>
      <w:proofErr w:type="gramEnd"/>
      <w:r w:rsidRPr="00B81C3D">
        <w:rPr>
          <w:sz w:val="24"/>
          <w:szCs w:val="24"/>
          <w:lang w:val="en-US"/>
        </w:rPr>
        <w:t>114.</w:t>
      </w:r>
    </w:p>
  </w:footnote>
  <w:footnote w:id="232">
    <w:p w14:paraId="08D5E936" w14:textId="77777777"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U.N. Charter, art. 33.</w:t>
      </w:r>
    </w:p>
  </w:footnote>
  <w:footnote w:id="233">
    <w:p w14:paraId="5014AF66" w14:textId="796264FB" w:rsidR="00470FEA" w:rsidRPr="00B81C3D" w:rsidRDefault="00470FEA" w:rsidP="000E4258">
      <w:pPr>
        <w:pStyle w:val="FootnoteText"/>
        <w:spacing w:afterLines="30" w:after="72"/>
        <w:ind w:left="567" w:hanging="567"/>
        <w:rPr>
          <w:sz w:val="24"/>
          <w:szCs w:val="24"/>
          <w:lang w:val="en-US"/>
        </w:rPr>
      </w:pPr>
      <w:r w:rsidRPr="00B81C3D">
        <w:rPr>
          <w:rStyle w:val="FootnoteReference"/>
          <w:sz w:val="24"/>
          <w:szCs w:val="24"/>
        </w:rPr>
        <w:footnoteRef/>
      </w:r>
      <w:r w:rsidRPr="00B81C3D">
        <w:rPr>
          <w:rStyle w:val="FootnoteReference"/>
          <w:sz w:val="24"/>
          <w:szCs w:val="24"/>
        </w:rPr>
        <w:t xml:space="preserve"> </w:t>
      </w:r>
      <w:r w:rsidR="00D534C6" w:rsidRPr="00B81C3D">
        <w:rPr>
          <w:sz w:val="24"/>
          <w:szCs w:val="24"/>
          <w:lang w:val="en-US"/>
        </w:rPr>
        <w:t xml:space="preserve">Eagleton, </w:t>
      </w:r>
      <w:r w:rsidR="00D534C6" w:rsidRPr="00B81C3D">
        <w:rPr>
          <w:i/>
          <w:iCs/>
          <w:sz w:val="24"/>
          <w:szCs w:val="24"/>
          <w:lang w:val="en-US"/>
        </w:rPr>
        <w:t>Pacific Settlement of Disputes under the Charter</w:t>
      </w:r>
      <w:r w:rsidR="00D534C6" w:rsidRPr="00B81C3D">
        <w:rPr>
          <w:sz w:val="24"/>
          <w:szCs w:val="24"/>
          <w:lang w:val="en-US"/>
        </w:rPr>
        <w:t>, The Annals of the American Academy of Political and Social Science (1946), Vol. 246, at 24-25.</w:t>
      </w:r>
    </w:p>
  </w:footnote>
  <w:footnote w:id="234">
    <w:p w14:paraId="11607D5C" w14:textId="2A97D828"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00D534C6" w:rsidRPr="00B81C3D">
        <w:rPr>
          <w:sz w:val="24"/>
          <w:szCs w:val="24"/>
        </w:rPr>
        <w:t xml:space="preserve">UNSC, </w:t>
      </w:r>
      <w:r w:rsidR="00D534C6" w:rsidRPr="00B81C3D">
        <w:rPr>
          <w:smallCaps/>
          <w:sz w:val="24"/>
          <w:szCs w:val="24"/>
        </w:rPr>
        <w:t>UN Security Council Handbook: A User’s Guide to Practice and Procedure</w:t>
      </w:r>
      <w:r w:rsidR="00D534C6" w:rsidRPr="00B81C3D">
        <w:rPr>
          <w:sz w:val="24"/>
          <w:szCs w:val="24"/>
        </w:rPr>
        <w:t xml:space="preserve"> 9 (2019).</w:t>
      </w:r>
    </w:p>
  </w:footnote>
  <w:footnote w:id="235">
    <w:p w14:paraId="3DB5E380" w14:textId="18527EE8"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sz w:val="24"/>
          <w:szCs w:val="24"/>
        </w:rPr>
        <w:t>Lockerbie (Provisional)</w:t>
      </w:r>
      <w:r w:rsidRPr="00B81C3D">
        <w:rPr>
          <w:sz w:val="24"/>
          <w:szCs w:val="24"/>
        </w:rPr>
        <w:t>, ¶¶40</w:t>
      </w:r>
      <w:r w:rsidR="003D3A78" w:rsidRPr="00B81C3D">
        <w:rPr>
          <w:sz w:val="24"/>
          <w:szCs w:val="24"/>
        </w:rPr>
        <w:t>&amp;</w:t>
      </w:r>
      <w:r w:rsidRPr="00B81C3D">
        <w:rPr>
          <w:sz w:val="24"/>
          <w:szCs w:val="24"/>
        </w:rPr>
        <w:t xml:space="preserve">42; White, </w:t>
      </w:r>
      <w:r w:rsidRPr="00B81C3D">
        <w:rPr>
          <w:i/>
          <w:iCs/>
          <w:sz w:val="24"/>
          <w:szCs w:val="24"/>
        </w:rPr>
        <w:t xml:space="preserve">Can and Should the Security Council be Impartial in the Peaceful Settlement of </w:t>
      </w:r>
      <w:proofErr w:type="gramStart"/>
      <w:r w:rsidRPr="00B81C3D">
        <w:rPr>
          <w:i/>
          <w:iCs/>
          <w:sz w:val="24"/>
          <w:szCs w:val="24"/>
        </w:rPr>
        <w:t>Disputes?</w:t>
      </w:r>
      <w:r w:rsidRPr="00B81C3D">
        <w:rPr>
          <w:sz w:val="24"/>
          <w:szCs w:val="24"/>
        </w:rPr>
        <w:t>,</w:t>
      </w:r>
      <w:proofErr w:type="gramEnd"/>
      <w:r w:rsidRPr="00B81C3D">
        <w:rPr>
          <w:sz w:val="24"/>
          <w:szCs w:val="24"/>
        </w:rPr>
        <w:t xml:space="preserve"> 18.</w:t>
      </w:r>
    </w:p>
  </w:footnote>
  <w:footnote w:id="236">
    <w:p w14:paraId="05E57E5E" w14:textId="2FDB5596"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Questions of Interpretation and Application of the 1971 Montreal Convention arising from the Aerial Incident at Lockerbie (Libyan Arab Jamahiriya</w:t>
      </w:r>
      <w:r w:rsidR="003812EC" w:rsidRPr="00B81C3D">
        <w:rPr>
          <w:sz w:val="24"/>
          <w:szCs w:val="24"/>
        </w:rPr>
        <w:t>/</w:t>
      </w:r>
      <w:r w:rsidRPr="00B81C3D">
        <w:rPr>
          <w:sz w:val="24"/>
          <w:szCs w:val="24"/>
        </w:rPr>
        <w:t xml:space="preserve">U.S.), Preliminary Objections, Judgment, 1998 I.C.J. 115,  </w:t>
      </w:r>
      <w:r w:rsidRPr="00B81C3D">
        <w:rPr>
          <w:sz w:val="24"/>
          <w:szCs w:val="24"/>
          <w:lang w:val="en-US"/>
        </w:rPr>
        <w:t>¶¶40</w:t>
      </w:r>
      <w:r w:rsidR="003D3A78" w:rsidRPr="00B81C3D">
        <w:rPr>
          <w:sz w:val="24"/>
          <w:szCs w:val="24"/>
          <w:lang w:val="en-US"/>
        </w:rPr>
        <w:t>&amp;</w:t>
      </w:r>
      <w:r w:rsidRPr="00B81C3D">
        <w:rPr>
          <w:sz w:val="24"/>
          <w:szCs w:val="24"/>
          <w:lang w:val="en-US"/>
        </w:rPr>
        <w:t>42</w:t>
      </w:r>
      <w:r w:rsidR="003D35A0" w:rsidRPr="00B81C3D">
        <w:rPr>
          <w:sz w:val="24"/>
          <w:szCs w:val="24"/>
          <w:lang w:val="en-US"/>
        </w:rPr>
        <w:t>.</w:t>
      </w:r>
    </w:p>
  </w:footnote>
  <w:footnote w:id="237">
    <w:p w14:paraId="502D9FF5" w14:textId="0C6F2407"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S.C. Res</w:t>
      </w:r>
      <w:r w:rsidR="003812EC" w:rsidRPr="00B81C3D">
        <w:rPr>
          <w:sz w:val="24"/>
          <w:szCs w:val="24"/>
        </w:rPr>
        <w:t>.</w:t>
      </w:r>
      <w:r w:rsidRPr="00B81C3D">
        <w:rPr>
          <w:sz w:val="24"/>
          <w:szCs w:val="24"/>
        </w:rPr>
        <w:t xml:space="preserve"> 276, </w:t>
      </w:r>
      <w:r w:rsidR="00DF2B8B" w:rsidRPr="00B81C3D">
        <w:rPr>
          <w:sz w:val="24"/>
          <w:szCs w:val="24"/>
        </w:rPr>
        <w:t xml:space="preserve">preamble </w:t>
      </w:r>
      <w:r w:rsidRPr="00B81C3D">
        <w:rPr>
          <w:sz w:val="24"/>
          <w:szCs w:val="24"/>
        </w:rPr>
        <w:t>(1970).</w:t>
      </w:r>
    </w:p>
  </w:footnote>
  <w:footnote w:id="238">
    <w:p w14:paraId="015E629C" w14:textId="1EC5CD6D"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 xml:space="preserve">U.N. Charter, art. 34; </w:t>
      </w:r>
      <w:r w:rsidRPr="00B81C3D">
        <w:rPr>
          <w:sz w:val="24"/>
          <w:szCs w:val="24"/>
        </w:rPr>
        <w:t xml:space="preserve">S.C. Res. </w:t>
      </w:r>
      <w:r w:rsidRPr="00B81C3D">
        <w:rPr>
          <w:sz w:val="24"/>
          <w:szCs w:val="24"/>
          <w:lang w:val="en-US"/>
        </w:rPr>
        <w:t xml:space="preserve">99997, </w:t>
      </w:r>
      <w:r w:rsidR="00DF2B8B" w:rsidRPr="00B81C3D">
        <w:rPr>
          <w:sz w:val="24"/>
          <w:szCs w:val="24"/>
          <w:lang w:val="en-US"/>
        </w:rPr>
        <w:t xml:space="preserve">preamble </w:t>
      </w:r>
      <w:r w:rsidR="003D35A0" w:rsidRPr="00B81C3D">
        <w:rPr>
          <w:sz w:val="24"/>
          <w:szCs w:val="24"/>
          <w:lang w:val="en-US"/>
        </w:rPr>
        <w:t>(</w:t>
      </w:r>
      <w:r w:rsidRPr="00B81C3D">
        <w:rPr>
          <w:sz w:val="24"/>
          <w:szCs w:val="24"/>
          <w:lang w:val="en-US"/>
        </w:rPr>
        <w:t xml:space="preserve">2022). </w:t>
      </w:r>
    </w:p>
  </w:footnote>
  <w:footnote w:id="239">
    <w:p w14:paraId="51C005A6" w14:textId="6D364F6B"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gramStart"/>
      <w:r w:rsidRPr="00B81C3D">
        <w:rPr>
          <w:i/>
          <w:iCs/>
          <w:color w:val="000000" w:themeColor="text1"/>
          <w:sz w:val="24"/>
          <w:szCs w:val="24"/>
        </w:rPr>
        <w:t>Kosovo</w:t>
      </w:r>
      <w:r w:rsidRPr="00B81C3D">
        <w:rPr>
          <w:sz w:val="24"/>
          <w:szCs w:val="24"/>
        </w:rPr>
        <w:t>,¶</w:t>
      </w:r>
      <w:proofErr w:type="gramEnd"/>
      <w:r w:rsidRPr="00B81C3D">
        <w:rPr>
          <w:sz w:val="24"/>
          <w:szCs w:val="24"/>
        </w:rPr>
        <w:t xml:space="preserve">118. </w:t>
      </w:r>
    </w:p>
  </w:footnote>
  <w:footnote w:id="240">
    <w:p w14:paraId="4EA580BA" w14:textId="0BFA6150"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i/>
          <w:iCs/>
          <w:sz w:val="24"/>
          <w:szCs w:val="24"/>
        </w:rPr>
        <w:t>Namibia</w:t>
      </w:r>
      <w:r w:rsidRPr="00B81C3D">
        <w:rPr>
          <w:sz w:val="24"/>
          <w:szCs w:val="24"/>
        </w:rPr>
        <w:t>,</w:t>
      </w:r>
      <w:r w:rsidRPr="00B81C3D">
        <w:rPr>
          <w:sz w:val="24"/>
          <w:szCs w:val="24"/>
          <w:lang w:val="en-US"/>
        </w:rPr>
        <w:t>¶114.</w:t>
      </w:r>
    </w:p>
  </w:footnote>
  <w:footnote w:id="241">
    <w:p w14:paraId="3E484E17" w14:textId="3CDFBF24"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proofErr w:type="gramStart"/>
      <w:r w:rsidRPr="00B81C3D">
        <w:rPr>
          <w:i/>
          <w:iCs/>
          <w:color w:val="000000" w:themeColor="text1"/>
          <w:sz w:val="24"/>
          <w:szCs w:val="24"/>
        </w:rPr>
        <w:t>Kosovo</w:t>
      </w:r>
      <w:r w:rsidRPr="00B81C3D">
        <w:rPr>
          <w:sz w:val="24"/>
          <w:szCs w:val="24"/>
        </w:rPr>
        <w:t>,¶</w:t>
      </w:r>
      <w:proofErr w:type="gramEnd"/>
      <w:r w:rsidRPr="00B81C3D">
        <w:rPr>
          <w:sz w:val="24"/>
          <w:szCs w:val="24"/>
        </w:rPr>
        <w:t>118.</w:t>
      </w:r>
    </w:p>
  </w:footnote>
  <w:footnote w:id="242">
    <w:p w14:paraId="76E89F1F" w14:textId="77777777"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S.C. Res 582, </w:t>
      </w:r>
      <w:r w:rsidRPr="00B81C3D">
        <w:rPr>
          <w:sz w:val="24"/>
          <w:szCs w:val="24"/>
          <w:lang w:val="en-US"/>
        </w:rPr>
        <w:t>¶¶2&amp;4 (1986).</w:t>
      </w:r>
    </w:p>
  </w:footnote>
  <w:footnote w:id="243">
    <w:p w14:paraId="552D4F23" w14:textId="72BAB31B"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S.C. Res</w:t>
      </w:r>
      <w:r w:rsidR="003812EC" w:rsidRPr="00B81C3D">
        <w:rPr>
          <w:sz w:val="24"/>
          <w:szCs w:val="24"/>
        </w:rPr>
        <w:t>.</w:t>
      </w:r>
      <w:r w:rsidRPr="00B81C3D">
        <w:rPr>
          <w:sz w:val="24"/>
          <w:szCs w:val="24"/>
        </w:rPr>
        <w:t xml:space="preserve"> 1965, </w:t>
      </w:r>
      <w:r w:rsidRPr="00B81C3D">
        <w:rPr>
          <w:sz w:val="24"/>
          <w:szCs w:val="24"/>
          <w:lang w:val="en-US"/>
        </w:rPr>
        <w:t>¶3</w:t>
      </w:r>
      <w:r w:rsidRPr="00B81C3D">
        <w:rPr>
          <w:sz w:val="24"/>
          <w:szCs w:val="24"/>
        </w:rPr>
        <w:t xml:space="preserve"> (2006).</w:t>
      </w:r>
    </w:p>
  </w:footnote>
  <w:footnote w:id="244">
    <w:p w14:paraId="4641DAB0" w14:textId="489A66C5"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S.C. Res</w:t>
      </w:r>
      <w:r w:rsidR="003812EC" w:rsidRPr="00B81C3D">
        <w:rPr>
          <w:sz w:val="24"/>
          <w:szCs w:val="24"/>
        </w:rPr>
        <w:t>.</w:t>
      </w:r>
      <w:r w:rsidRPr="00B81C3D">
        <w:rPr>
          <w:sz w:val="24"/>
          <w:szCs w:val="24"/>
        </w:rPr>
        <w:t xml:space="preserve"> 1965, </w:t>
      </w:r>
      <w:r w:rsidRPr="00B81C3D">
        <w:rPr>
          <w:sz w:val="24"/>
          <w:szCs w:val="24"/>
          <w:lang w:val="en-US"/>
        </w:rPr>
        <w:t>¶¶2&amp;4</w:t>
      </w:r>
      <w:r w:rsidRPr="00B81C3D">
        <w:rPr>
          <w:sz w:val="24"/>
          <w:szCs w:val="24"/>
        </w:rPr>
        <w:t xml:space="preserve"> (2006).</w:t>
      </w:r>
    </w:p>
  </w:footnote>
  <w:footnote w:id="245">
    <w:p w14:paraId="676F7E22" w14:textId="09F011E0"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color w:val="000000" w:themeColor="text1"/>
          <w:sz w:val="24"/>
          <w:szCs w:val="24"/>
        </w:rPr>
        <w:t xml:space="preserve">Gruenberg, </w:t>
      </w:r>
      <w:r w:rsidRPr="00B81C3D">
        <w:rPr>
          <w:i/>
          <w:iCs/>
          <w:color w:val="000000" w:themeColor="text1"/>
          <w:sz w:val="24"/>
          <w:szCs w:val="24"/>
        </w:rPr>
        <w:t>An Analysis of United Nations Security Council Resolutions,</w:t>
      </w:r>
      <w:r w:rsidRPr="00B81C3D">
        <w:rPr>
          <w:color w:val="000000" w:themeColor="text1"/>
          <w:sz w:val="24"/>
          <w:szCs w:val="24"/>
        </w:rPr>
        <w:t xml:space="preserve"> 41 </w:t>
      </w:r>
      <w:r w:rsidRPr="00B81C3D">
        <w:rPr>
          <w:smallCaps/>
          <w:color w:val="000000" w:themeColor="text1"/>
          <w:sz w:val="24"/>
          <w:szCs w:val="24"/>
        </w:rPr>
        <w:t>Case Western Reserve J. of INT’L L. 2, 439 (2009)</w:t>
      </w:r>
      <w:r w:rsidR="005F4267" w:rsidRPr="00B81C3D">
        <w:rPr>
          <w:smallCaps/>
          <w:color w:val="000000" w:themeColor="text1"/>
          <w:sz w:val="24"/>
          <w:szCs w:val="24"/>
        </w:rPr>
        <w:t>.</w:t>
      </w:r>
    </w:p>
  </w:footnote>
  <w:footnote w:id="246">
    <w:p w14:paraId="3B46C348" w14:textId="604917A3"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lang w:val="en-US"/>
        </w:rPr>
        <w:t>Rep. of the S.C., 2008 U.N. Doc. A/63/1 at 10</w:t>
      </w:r>
      <w:r w:rsidR="008C758A" w:rsidRPr="00B81C3D">
        <w:rPr>
          <w:sz w:val="24"/>
          <w:szCs w:val="24"/>
          <w:lang w:val="en-US"/>
        </w:rPr>
        <w:t>.</w:t>
      </w:r>
      <w:r w:rsidRPr="00B81C3D">
        <w:rPr>
          <w:sz w:val="24"/>
          <w:szCs w:val="24"/>
          <w:lang w:val="en-US"/>
        </w:rPr>
        <w:t xml:space="preserve"> </w:t>
      </w:r>
    </w:p>
  </w:footnote>
  <w:footnote w:id="247">
    <w:p w14:paraId="56917E97" w14:textId="547572D2" w:rsidR="007864F9" w:rsidRPr="00B81C3D" w:rsidRDefault="007864F9" w:rsidP="000E4258">
      <w:pPr>
        <w:pStyle w:val="FootnoteText"/>
        <w:spacing w:after="0"/>
        <w:rPr>
          <w:sz w:val="24"/>
          <w:szCs w:val="24"/>
          <w:lang w:val="en-US"/>
        </w:rPr>
      </w:pPr>
      <w:r w:rsidRPr="00B81C3D">
        <w:rPr>
          <w:rStyle w:val="FootnoteReference"/>
          <w:sz w:val="24"/>
          <w:szCs w:val="24"/>
        </w:rPr>
        <w:footnoteRef/>
      </w:r>
      <w:r w:rsidRPr="00B81C3D">
        <w:rPr>
          <w:sz w:val="24"/>
          <w:szCs w:val="24"/>
        </w:rPr>
        <w:t xml:space="preserve"> </w:t>
      </w:r>
      <w:r w:rsidR="00D82900" w:rsidRPr="00B81C3D">
        <w:rPr>
          <w:rFonts w:ascii="Times" w:eastAsiaTheme="minorHAnsi" w:hAnsi="Times" w:cs="Helvetica Neue"/>
          <w:sz w:val="24"/>
          <w:szCs w:val="24"/>
          <w:lang w:val="en-US"/>
          <w14:ligatures w14:val="standardContextual"/>
        </w:rPr>
        <w:t>VCLT</w:t>
      </w:r>
      <w:r w:rsidR="005F4267" w:rsidRPr="00B81C3D">
        <w:rPr>
          <w:rFonts w:ascii="Times" w:eastAsiaTheme="minorHAnsi" w:hAnsi="Times" w:cs="Helvetica Neue"/>
          <w:sz w:val="24"/>
          <w:szCs w:val="24"/>
          <w:lang w:val="en-US"/>
          <w14:ligatures w14:val="standardContextual"/>
        </w:rPr>
        <w:t>, art. 31.</w:t>
      </w:r>
    </w:p>
  </w:footnote>
  <w:footnote w:id="248">
    <w:p w14:paraId="3383C4FD" w14:textId="390C76B3"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sz w:val="24"/>
          <w:szCs w:val="24"/>
        </w:rPr>
        <w:t>Kosovo</w:t>
      </w:r>
      <w:r w:rsidRPr="00B81C3D">
        <w:rPr>
          <w:sz w:val="24"/>
          <w:szCs w:val="24"/>
        </w:rPr>
        <w:t>,</w:t>
      </w:r>
      <w:r w:rsidRPr="00B81C3D">
        <w:rPr>
          <w:sz w:val="24"/>
          <w:szCs w:val="24"/>
          <w:lang w:val="en-US"/>
        </w:rPr>
        <w:t xml:space="preserve">¶94; Wood, </w:t>
      </w:r>
      <w:r w:rsidRPr="00B81C3D">
        <w:rPr>
          <w:i/>
          <w:iCs/>
          <w:sz w:val="24"/>
          <w:szCs w:val="24"/>
          <w:lang w:val="en-US"/>
        </w:rPr>
        <w:t>The Interpretation of Security Council Resolutions, Revisited</w:t>
      </w:r>
      <w:r w:rsidRPr="00B81C3D">
        <w:rPr>
          <w:sz w:val="24"/>
          <w:szCs w:val="24"/>
          <w:lang w:val="en-US"/>
        </w:rPr>
        <w:t>, at 7-8.</w:t>
      </w:r>
    </w:p>
  </w:footnote>
  <w:footnote w:id="249">
    <w:p w14:paraId="6128F174" w14:textId="608560AB" w:rsidR="007C5844" w:rsidRPr="00B81C3D" w:rsidRDefault="007C5844" w:rsidP="00C75971">
      <w:pPr>
        <w:pStyle w:val="FootnoteText"/>
        <w:spacing w:afterLines="30" w:after="72"/>
        <w:ind w:left="567" w:hanging="567"/>
        <w:rPr>
          <w:smallCaps/>
          <w:sz w:val="24"/>
          <w:szCs w:val="24"/>
          <w:shd w:val="clear" w:color="auto" w:fill="FFFFFF"/>
        </w:rPr>
      </w:pPr>
      <w:r w:rsidRPr="00B81C3D">
        <w:rPr>
          <w:rStyle w:val="FootnoteReference"/>
          <w:sz w:val="24"/>
          <w:szCs w:val="24"/>
        </w:rPr>
        <w:footnoteRef/>
      </w:r>
      <w:r w:rsidRPr="00B81C3D">
        <w:rPr>
          <w:sz w:val="24"/>
          <w:szCs w:val="24"/>
        </w:rPr>
        <w:t xml:space="preserve"> </w:t>
      </w:r>
      <w:r w:rsidR="00930A04" w:rsidRPr="00B81C3D">
        <w:rPr>
          <w:sz w:val="24"/>
          <w:szCs w:val="24"/>
        </w:rPr>
        <w:t xml:space="preserve">VCLT, art. 31(c); </w:t>
      </w:r>
      <w:r w:rsidRPr="00B81C3D">
        <w:rPr>
          <w:sz w:val="24"/>
          <w:szCs w:val="24"/>
          <w:shd w:val="clear" w:color="auto" w:fill="FFFFFF"/>
        </w:rPr>
        <w:t xml:space="preserve">Peter Tzeng, </w:t>
      </w:r>
      <w:r w:rsidRPr="00B81C3D">
        <w:rPr>
          <w:i/>
          <w:iCs/>
          <w:sz w:val="24"/>
          <w:szCs w:val="24"/>
          <w:shd w:val="clear" w:color="auto" w:fill="FFFFFF"/>
        </w:rPr>
        <w:t xml:space="preserve">The Principles of Contemporaneous and Evolutionary Interpretation, </w:t>
      </w:r>
      <w:r w:rsidRPr="00B81C3D">
        <w:rPr>
          <w:sz w:val="24"/>
          <w:szCs w:val="24"/>
          <w:shd w:val="clear" w:color="auto" w:fill="FFFFFF"/>
        </w:rPr>
        <w:t xml:space="preserve">in </w:t>
      </w:r>
      <w:r w:rsidRPr="00B81C3D">
        <w:rPr>
          <w:smallCaps/>
          <w:sz w:val="24"/>
          <w:szCs w:val="24"/>
          <w:shd w:val="clear" w:color="auto" w:fill="FFFFFF"/>
        </w:rPr>
        <w:t>Between the Lines of the Vienna Convention: Canons of Construction and Other Principles of Interpretation in Public International Law,  33-34 (2019)</w:t>
      </w:r>
      <w:r w:rsidRPr="00B81C3D">
        <w:rPr>
          <w:rStyle w:val="normaltextrun"/>
          <w:color w:val="000000"/>
          <w:sz w:val="24"/>
          <w:szCs w:val="24"/>
          <w:shd w:val="clear" w:color="auto" w:fill="FFFFFF"/>
        </w:rPr>
        <w:t>.</w:t>
      </w:r>
      <w:r w:rsidRPr="00B81C3D">
        <w:rPr>
          <w:rStyle w:val="eop"/>
          <w:color w:val="000000"/>
          <w:sz w:val="24"/>
          <w:szCs w:val="24"/>
          <w:shd w:val="clear" w:color="auto" w:fill="FFFFFF"/>
        </w:rPr>
        <w:t> </w:t>
      </w:r>
    </w:p>
  </w:footnote>
  <w:footnote w:id="250">
    <w:p w14:paraId="7AC3EBAB" w14:textId="66E6DF26"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S.C. </w:t>
      </w:r>
      <w:r w:rsidRPr="00B81C3D">
        <w:rPr>
          <w:sz w:val="24"/>
          <w:szCs w:val="24"/>
          <w:lang w:val="en-US"/>
        </w:rPr>
        <w:t>Res</w:t>
      </w:r>
      <w:r w:rsidR="003F269B" w:rsidRPr="00B81C3D">
        <w:rPr>
          <w:sz w:val="24"/>
          <w:szCs w:val="24"/>
          <w:lang w:val="en-US"/>
        </w:rPr>
        <w:t>.</w:t>
      </w:r>
      <w:r w:rsidRPr="00B81C3D">
        <w:rPr>
          <w:sz w:val="24"/>
          <w:szCs w:val="24"/>
          <w:lang w:val="en-US"/>
        </w:rPr>
        <w:t xml:space="preserve"> 787 (1992); S.C. Res</w:t>
      </w:r>
      <w:r w:rsidR="003F269B" w:rsidRPr="00B81C3D">
        <w:rPr>
          <w:sz w:val="24"/>
          <w:szCs w:val="24"/>
          <w:lang w:val="en-US"/>
        </w:rPr>
        <w:t>.</w:t>
      </w:r>
      <w:r w:rsidRPr="00B81C3D">
        <w:rPr>
          <w:sz w:val="24"/>
          <w:szCs w:val="24"/>
          <w:lang w:val="en-US"/>
        </w:rPr>
        <w:t xml:space="preserve"> 1141 (2002); S.C. Res</w:t>
      </w:r>
      <w:r w:rsidR="003F269B" w:rsidRPr="00B81C3D">
        <w:rPr>
          <w:sz w:val="24"/>
          <w:szCs w:val="24"/>
          <w:lang w:val="en-US"/>
        </w:rPr>
        <w:t>.</w:t>
      </w:r>
      <w:r w:rsidRPr="00B81C3D">
        <w:rPr>
          <w:sz w:val="24"/>
          <w:szCs w:val="24"/>
          <w:lang w:val="en-US"/>
        </w:rPr>
        <w:t xml:space="preserve"> 1244 (1999); </w:t>
      </w:r>
      <w:r w:rsidRPr="00B81C3D">
        <w:rPr>
          <w:sz w:val="24"/>
          <w:szCs w:val="24"/>
        </w:rPr>
        <w:t>S.C. Res</w:t>
      </w:r>
      <w:r w:rsidR="003F269B" w:rsidRPr="00B81C3D">
        <w:rPr>
          <w:sz w:val="24"/>
          <w:szCs w:val="24"/>
        </w:rPr>
        <w:t>.</w:t>
      </w:r>
      <w:r w:rsidRPr="00B81C3D">
        <w:rPr>
          <w:sz w:val="24"/>
          <w:szCs w:val="24"/>
        </w:rPr>
        <w:t xml:space="preserve"> 2379 (2017); S.C. Res 2396 (2017); </w:t>
      </w:r>
      <w:r w:rsidRPr="00B81C3D">
        <w:rPr>
          <w:sz w:val="24"/>
          <w:szCs w:val="24"/>
          <w:lang w:val="en-US"/>
        </w:rPr>
        <w:t xml:space="preserve">S.C. Res. 446, ¶¶2&amp;3 (1979); S.C. Res 298, </w:t>
      </w:r>
      <w:r w:rsidR="00B6164C" w:rsidRPr="00B81C3D">
        <w:rPr>
          <w:sz w:val="24"/>
          <w:szCs w:val="24"/>
          <w:lang w:val="en-US"/>
        </w:rPr>
        <w:t>¶</w:t>
      </w:r>
      <w:r w:rsidRPr="00B81C3D">
        <w:rPr>
          <w:sz w:val="24"/>
          <w:szCs w:val="24"/>
          <w:lang w:val="en-US"/>
        </w:rPr>
        <w:t>¶2&amp;4 (1971).</w:t>
      </w:r>
    </w:p>
  </w:footnote>
  <w:footnote w:id="251">
    <w:p w14:paraId="2AF1C279" w14:textId="5D75B259" w:rsidR="00031EA3" w:rsidRPr="00B81C3D" w:rsidRDefault="00031EA3" w:rsidP="000E4258">
      <w:pPr>
        <w:pStyle w:val="FootnoteText"/>
        <w:spacing w:afterLines="30" w:after="72"/>
        <w:rPr>
          <w:sz w:val="24"/>
          <w:szCs w:val="24"/>
          <w:lang w:val="en-US"/>
        </w:rPr>
      </w:pPr>
      <w:r w:rsidRPr="00B81C3D">
        <w:rPr>
          <w:rStyle w:val="FootnoteReference"/>
          <w:sz w:val="24"/>
          <w:szCs w:val="24"/>
        </w:rPr>
        <w:footnoteRef/>
      </w:r>
      <w:r w:rsidRPr="00B81C3D">
        <w:rPr>
          <w:sz w:val="24"/>
          <w:szCs w:val="24"/>
        </w:rPr>
        <w:t xml:space="preserve"> </w:t>
      </w:r>
      <w:r w:rsidRPr="00B81C3D">
        <w:rPr>
          <w:i/>
          <w:iCs/>
          <w:sz w:val="24"/>
          <w:szCs w:val="24"/>
        </w:rPr>
        <w:t>Compromis</w:t>
      </w:r>
      <w:r w:rsidRPr="00B81C3D">
        <w:rPr>
          <w:sz w:val="24"/>
          <w:szCs w:val="24"/>
        </w:rPr>
        <w:t>,¶59.</w:t>
      </w:r>
    </w:p>
  </w:footnote>
  <w:footnote w:id="252">
    <w:p w14:paraId="4458F746" w14:textId="77DA6D4A"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sz w:val="24"/>
          <w:szCs w:val="24"/>
        </w:rPr>
        <w:t>Kosovo</w:t>
      </w:r>
      <w:r w:rsidRPr="00B81C3D">
        <w:rPr>
          <w:sz w:val="24"/>
          <w:szCs w:val="24"/>
        </w:rPr>
        <w:t xml:space="preserve">, ¶118. </w:t>
      </w:r>
    </w:p>
  </w:footnote>
  <w:footnote w:id="253">
    <w:p w14:paraId="24130D8D" w14:textId="77777777"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i/>
          <w:iCs/>
          <w:sz w:val="24"/>
          <w:szCs w:val="24"/>
        </w:rPr>
        <w:t>Id</w:t>
      </w:r>
      <w:r w:rsidRPr="00B81C3D">
        <w:rPr>
          <w:sz w:val="24"/>
          <w:szCs w:val="24"/>
        </w:rPr>
        <w:t xml:space="preserve">. </w:t>
      </w:r>
    </w:p>
  </w:footnote>
  <w:footnote w:id="254">
    <w:p w14:paraId="09FB9AE4" w14:textId="77777777"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i/>
          <w:iCs/>
          <w:sz w:val="24"/>
          <w:szCs w:val="24"/>
        </w:rPr>
        <w:t>Compromis</w:t>
      </w:r>
      <w:proofErr w:type="spellEnd"/>
      <w:r w:rsidRPr="00B81C3D">
        <w:rPr>
          <w:sz w:val="24"/>
          <w:szCs w:val="24"/>
        </w:rPr>
        <w:t xml:space="preserve">, </w:t>
      </w:r>
      <w:r w:rsidRPr="00B81C3D">
        <w:rPr>
          <w:sz w:val="24"/>
          <w:szCs w:val="24"/>
          <w:lang w:val="en-US"/>
        </w:rPr>
        <w:t>¶48.</w:t>
      </w:r>
    </w:p>
  </w:footnote>
  <w:footnote w:id="255">
    <w:p w14:paraId="1471C6F1" w14:textId="119FA2AD" w:rsidR="007C5844" w:rsidRPr="00B81C3D" w:rsidRDefault="007C5844" w:rsidP="00C75971">
      <w:pPr>
        <w:pStyle w:val="NoSpacing"/>
        <w:spacing w:afterLines="30" w:after="72"/>
        <w:ind w:left="567" w:hanging="567"/>
        <w:rPr>
          <w:sz w:val="24"/>
          <w:szCs w:val="24"/>
        </w:rPr>
      </w:pPr>
      <w:r w:rsidRPr="00B81C3D">
        <w:rPr>
          <w:rStyle w:val="FootnoteReference"/>
          <w:sz w:val="24"/>
          <w:szCs w:val="24"/>
        </w:rPr>
        <w:footnoteRef/>
      </w:r>
      <w:r w:rsidRPr="00B81C3D">
        <w:rPr>
          <w:sz w:val="24"/>
          <w:szCs w:val="24"/>
        </w:rPr>
        <w:t xml:space="preserve"> S.C. Res</w:t>
      </w:r>
      <w:r w:rsidR="003F269B" w:rsidRPr="00B81C3D">
        <w:rPr>
          <w:sz w:val="24"/>
          <w:szCs w:val="24"/>
        </w:rPr>
        <w:t>.</w:t>
      </w:r>
      <w:r w:rsidRPr="00B81C3D">
        <w:rPr>
          <w:sz w:val="24"/>
          <w:szCs w:val="24"/>
        </w:rPr>
        <w:t xml:space="preserve"> 99997, ¶2.</w:t>
      </w:r>
    </w:p>
  </w:footnote>
  <w:footnote w:id="256">
    <w:p w14:paraId="6BE9C22C" w14:textId="343084D0"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proofErr w:type="spellStart"/>
      <w:r w:rsidRPr="00B81C3D">
        <w:rPr>
          <w:sz w:val="24"/>
          <w:szCs w:val="24"/>
        </w:rPr>
        <w:t>Wolfrum</w:t>
      </w:r>
      <w:proofErr w:type="spellEnd"/>
      <w:r w:rsidRPr="00B81C3D">
        <w:rPr>
          <w:sz w:val="24"/>
          <w:szCs w:val="24"/>
        </w:rPr>
        <w:t xml:space="preserve">, </w:t>
      </w:r>
      <w:r w:rsidRPr="00B81C3D">
        <w:rPr>
          <w:i/>
          <w:sz w:val="24"/>
          <w:szCs w:val="24"/>
        </w:rPr>
        <w:t>Cooperation</w:t>
      </w:r>
      <w:r w:rsidRPr="00B81C3D">
        <w:rPr>
          <w:iCs/>
          <w:sz w:val="24"/>
          <w:szCs w:val="24"/>
        </w:rPr>
        <w:t>,</w:t>
      </w:r>
      <w:r w:rsidRPr="00B81C3D">
        <w:rPr>
          <w:i/>
          <w:sz w:val="24"/>
          <w:szCs w:val="24"/>
        </w:rPr>
        <w:t xml:space="preserve"> </w:t>
      </w:r>
      <w:r w:rsidRPr="00B81C3D">
        <w:rPr>
          <w:sz w:val="24"/>
          <w:szCs w:val="24"/>
        </w:rPr>
        <w:t xml:space="preserve">in </w:t>
      </w:r>
      <w:r w:rsidRPr="00B81C3D">
        <w:rPr>
          <w:smallCaps/>
          <w:sz w:val="24"/>
          <w:szCs w:val="24"/>
        </w:rPr>
        <w:t xml:space="preserve">Max Planck Encyclopedias of international law, </w:t>
      </w:r>
      <w:r w:rsidRPr="00B81C3D">
        <w:rPr>
          <w:sz w:val="24"/>
          <w:szCs w:val="24"/>
        </w:rPr>
        <w:t>¶1</w:t>
      </w:r>
      <w:r w:rsidRPr="00B81C3D">
        <w:rPr>
          <w:smallCaps/>
          <w:sz w:val="24"/>
          <w:szCs w:val="24"/>
        </w:rPr>
        <w:t xml:space="preserve"> (2012).</w:t>
      </w:r>
    </w:p>
  </w:footnote>
  <w:footnote w:id="257">
    <w:p w14:paraId="01CAFBCA" w14:textId="77777777" w:rsidR="007C5844" w:rsidRPr="00B81C3D" w:rsidRDefault="007C5844" w:rsidP="00C75971">
      <w:pPr>
        <w:pStyle w:val="FootnoteText"/>
        <w:spacing w:afterLines="30" w:after="72"/>
        <w:ind w:left="567" w:hanging="567"/>
        <w:rPr>
          <w:sz w:val="24"/>
          <w:szCs w:val="24"/>
          <w:lang w:val="en-US"/>
        </w:rPr>
      </w:pPr>
      <w:r w:rsidRPr="00B81C3D">
        <w:rPr>
          <w:rStyle w:val="FootnoteReference"/>
          <w:sz w:val="24"/>
          <w:szCs w:val="24"/>
        </w:rPr>
        <w:footnoteRef/>
      </w:r>
      <w:r w:rsidRPr="00B81C3D">
        <w:rPr>
          <w:sz w:val="24"/>
          <w:szCs w:val="24"/>
        </w:rPr>
        <w:t xml:space="preserve"> </w:t>
      </w:r>
      <w:r w:rsidRPr="00B81C3D">
        <w:rPr>
          <w:sz w:val="24"/>
          <w:szCs w:val="24"/>
        </w:rPr>
        <w:t xml:space="preserve">S.C. Res 1267, </w:t>
      </w:r>
      <w:r w:rsidRPr="00B81C3D">
        <w:rPr>
          <w:sz w:val="24"/>
          <w:szCs w:val="24"/>
          <w:lang w:val="en-US"/>
        </w:rPr>
        <w:t>¶6</w:t>
      </w:r>
      <w:r w:rsidRPr="00B81C3D">
        <w:rPr>
          <w:sz w:val="24"/>
          <w:szCs w:val="24"/>
        </w:rPr>
        <w:t xml:space="preserve"> (2006).</w:t>
      </w:r>
    </w:p>
  </w:footnote>
  <w:footnote w:id="258">
    <w:p w14:paraId="632A13C7" w14:textId="3ED5539C" w:rsidR="007C5844" w:rsidRPr="00B81C3D" w:rsidRDefault="007C5844" w:rsidP="00C75971">
      <w:pPr>
        <w:pStyle w:val="NoSpacing"/>
        <w:spacing w:afterLines="30" w:after="72"/>
        <w:ind w:left="567" w:hanging="567"/>
        <w:rPr>
          <w:rFonts w:eastAsia="Helvetica Neue"/>
          <w:color w:val="999999"/>
          <w:sz w:val="24"/>
          <w:szCs w:val="24"/>
        </w:rPr>
      </w:pPr>
      <w:r w:rsidRPr="00B81C3D">
        <w:rPr>
          <w:rStyle w:val="FootnoteReference"/>
          <w:i/>
          <w:iCs/>
          <w:sz w:val="24"/>
          <w:szCs w:val="24"/>
        </w:rPr>
        <w:footnoteRef/>
      </w:r>
      <w:r w:rsidRPr="00B81C3D">
        <w:rPr>
          <w:sz w:val="24"/>
          <w:szCs w:val="24"/>
        </w:rPr>
        <w:t xml:space="preserve"> </w:t>
      </w:r>
      <w:r w:rsidR="003F269B" w:rsidRPr="00B81C3D">
        <w:rPr>
          <w:i/>
          <w:iCs/>
          <w:sz w:val="24"/>
          <w:szCs w:val="24"/>
        </w:rPr>
        <w:t>Id.</w:t>
      </w:r>
      <w:r w:rsidRPr="00B81C3D">
        <w:rPr>
          <w:sz w:val="24"/>
          <w:szCs w:val="24"/>
        </w:rPr>
        <w:t xml:space="preserve"> ¶9.</w:t>
      </w:r>
    </w:p>
  </w:footnote>
  <w:footnote w:id="259">
    <w:p w14:paraId="60459741" w14:textId="286A7FFA" w:rsidR="007C5844" w:rsidRPr="00B81C3D" w:rsidRDefault="007C5844" w:rsidP="00C75971">
      <w:pPr>
        <w:pStyle w:val="FootnoteText"/>
        <w:spacing w:afterLines="30" w:after="72"/>
        <w:ind w:left="567" w:hanging="567"/>
        <w:rPr>
          <w:sz w:val="24"/>
          <w:szCs w:val="24"/>
        </w:rPr>
      </w:pPr>
      <w:r w:rsidRPr="00B81C3D">
        <w:rPr>
          <w:rStyle w:val="FootnoteReference"/>
          <w:sz w:val="24"/>
          <w:szCs w:val="24"/>
        </w:rPr>
        <w:footnoteRef/>
      </w:r>
      <w:r w:rsidRPr="00B81C3D">
        <w:rPr>
          <w:sz w:val="24"/>
          <w:szCs w:val="24"/>
        </w:rPr>
        <w:t xml:space="preserve"> </w:t>
      </w:r>
      <w:r w:rsidRPr="00B81C3D">
        <w:rPr>
          <w:sz w:val="24"/>
          <w:szCs w:val="24"/>
        </w:rPr>
        <w:t>S.C. Res</w:t>
      </w:r>
      <w:r w:rsidR="003F269B" w:rsidRPr="00B81C3D">
        <w:rPr>
          <w:sz w:val="24"/>
          <w:szCs w:val="24"/>
        </w:rPr>
        <w:t>.</w:t>
      </w:r>
      <w:r w:rsidRPr="00B81C3D">
        <w:rPr>
          <w:sz w:val="24"/>
          <w:szCs w:val="24"/>
        </w:rPr>
        <w:t xml:space="preserve"> 2379, </w:t>
      </w:r>
      <w:r w:rsidRPr="00B81C3D">
        <w:rPr>
          <w:sz w:val="24"/>
          <w:szCs w:val="24"/>
          <w:lang w:val="en-US"/>
        </w:rPr>
        <w:t>¶5</w:t>
      </w:r>
      <w:r w:rsidRPr="00B81C3D">
        <w:rPr>
          <w:sz w:val="24"/>
          <w:szCs w:val="24"/>
        </w:rPr>
        <w:t>(2007)</w:t>
      </w:r>
      <w:r w:rsidR="00526B4D" w:rsidRPr="00B81C3D">
        <w:rPr>
          <w:sz w:val="24"/>
          <w:szCs w:val="24"/>
        </w:rPr>
        <w:t>; S.C. Res</w:t>
      </w:r>
      <w:r w:rsidR="003F269B" w:rsidRPr="00B81C3D">
        <w:rPr>
          <w:sz w:val="24"/>
          <w:szCs w:val="24"/>
        </w:rPr>
        <w:t>.</w:t>
      </w:r>
      <w:r w:rsidR="00526B4D" w:rsidRPr="00B81C3D">
        <w:rPr>
          <w:sz w:val="24"/>
          <w:szCs w:val="24"/>
        </w:rPr>
        <w:t xml:space="preserve"> 2640, ¶26(2022); S.C. Res</w:t>
      </w:r>
      <w:r w:rsidR="003F269B" w:rsidRPr="00B81C3D">
        <w:rPr>
          <w:sz w:val="24"/>
          <w:szCs w:val="24"/>
        </w:rPr>
        <w:t>.</w:t>
      </w:r>
      <w:r w:rsidR="00526B4D" w:rsidRPr="00B81C3D">
        <w:rPr>
          <w:sz w:val="24"/>
          <w:szCs w:val="24"/>
        </w:rPr>
        <w:t xml:space="preserve"> 2625, ¶3(2022).</w:t>
      </w:r>
    </w:p>
  </w:footnote>
  <w:footnote w:id="260">
    <w:p w14:paraId="68C880E9" w14:textId="18BC6474" w:rsidR="007C5844" w:rsidRPr="00B81C3D" w:rsidRDefault="007C5844" w:rsidP="00C75971">
      <w:pPr>
        <w:pStyle w:val="NoSpacing"/>
        <w:spacing w:afterLines="30" w:after="72"/>
        <w:ind w:left="567" w:hanging="567"/>
        <w:rPr>
          <w:rFonts w:eastAsia="Helvetica Neue"/>
          <w:color w:val="999999"/>
          <w:sz w:val="24"/>
          <w:szCs w:val="24"/>
        </w:rPr>
      </w:pPr>
      <w:r w:rsidRPr="00B81C3D">
        <w:rPr>
          <w:rStyle w:val="FootnoteReference"/>
          <w:sz w:val="24"/>
          <w:szCs w:val="24"/>
        </w:rPr>
        <w:footnoteRef/>
      </w:r>
      <w:r w:rsidRPr="00B81C3D">
        <w:rPr>
          <w:sz w:val="24"/>
          <w:szCs w:val="24"/>
        </w:rPr>
        <w:t xml:space="preserve"> S.C. Res 1312, ¶3 (2000); S.C. Res 2518, ¶2 (2020); S.C. Res. 568, ¶8 (1985); S.C. Res. 289, ¶3 (1970); S.C. Res. 294, ¶4 (1971); S.C. Res. 295, ¶2 (1971); </w:t>
      </w:r>
      <w:r w:rsidR="003F269B" w:rsidRPr="00B81C3D">
        <w:rPr>
          <w:sz w:val="24"/>
          <w:szCs w:val="24"/>
        </w:rPr>
        <w:t>UNSC</w:t>
      </w:r>
      <w:r w:rsidRPr="00B81C3D">
        <w:rPr>
          <w:sz w:val="24"/>
          <w:szCs w:val="24"/>
        </w:rPr>
        <w:t xml:space="preserve">, </w:t>
      </w:r>
      <w:r w:rsidRPr="00B81C3D">
        <w:rPr>
          <w:i/>
          <w:iCs/>
          <w:sz w:val="24"/>
          <w:szCs w:val="24"/>
        </w:rPr>
        <w:t>Repertoire of the Practice of the Security Council art. 34, 1946-1951</w:t>
      </w:r>
      <w:r w:rsidRPr="00B81C3D">
        <w:rPr>
          <w:sz w:val="24"/>
          <w:szCs w:val="24"/>
        </w:rPr>
        <w:t>, 392 (1954).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9780804"/>
      <w:docPartObj>
        <w:docPartGallery w:val="Page Numbers (Top of Page)"/>
        <w:docPartUnique/>
      </w:docPartObj>
    </w:sdtPr>
    <w:sdtContent>
      <w:p w14:paraId="1F350F47" w14:textId="77777777" w:rsidR="00112E6D" w:rsidRDefault="00000000" w:rsidP="002B54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97DE76" w14:textId="77777777" w:rsidR="00112E6D" w:rsidRDefault="00112E6D" w:rsidP="00AF3D4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837171"/>
      <w:docPartObj>
        <w:docPartGallery w:val="Page Numbers (Top of Page)"/>
        <w:docPartUnique/>
      </w:docPartObj>
    </w:sdtPr>
    <w:sdtContent>
      <w:p w14:paraId="4FF2C79F" w14:textId="77777777" w:rsidR="00112E6D" w:rsidRDefault="00000000" w:rsidP="002B54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sdtContent>
  </w:sdt>
  <w:p w14:paraId="2FE0F588" w14:textId="5DD7299E" w:rsidR="00112E6D" w:rsidRPr="00AF3D41" w:rsidRDefault="00000000" w:rsidP="00AF3D41">
    <w:pPr>
      <w:pStyle w:val="Header"/>
      <w:ind w:right="360"/>
      <w:jc w:val="left"/>
      <w:rPr>
        <w:i/>
        <w:iCs/>
      </w:rPr>
    </w:pPr>
    <w:r>
      <w:rPr>
        <w:i/>
        <w:iCs/>
      </w:rPr>
      <w:t xml:space="preserve">Memorial for </w:t>
    </w:r>
    <w:r w:rsidR="00DE0400">
      <w:rPr>
        <w:i/>
        <w:iCs/>
      </w:rPr>
      <w:t>Respondent</w:t>
    </w:r>
    <w:r>
      <w:rPr>
        <w:i/>
        <w:iCs/>
      </w:rPr>
      <w:t xml:space="preserve"> - Preliminaries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7A907" w14:textId="77777777" w:rsidR="00112E6D" w:rsidRDefault="00112E6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7924242"/>
      <w:docPartObj>
        <w:docPartGallery w:val="Page Numbers (Top of Page)"/>
        <w:docPartUnique/>
      </w:docPartObj>
    </w:sdtPr>
    <w:sdtContent>
      <w:p w14:paraId="7CBB061D" w14:textId="77777777" w:rsidR="00112E6D" w:rsidRDefault="00000000" w:rsidP="002B54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E68C82" w14:textId="77777777" w:rsidR="00112E6D" w:rsidRDefault="00112E6D" w:rsidP="00AF3D41">
    <w:pPr>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9420574"/>
      <w:docPartObj>
        <w:docPartGallery w:val="Page Numbers (Top of Page)"/>
        <w:docPartUnique/>
      </w:docPartObj>
    </w:sdtPr>
    <w:sdtContent>
      <w:p w14:paraId="747EB9D9" w14:textId="77777777" w:rsidR="00112E6D" w:rsidRDefault="00000000" w:rsidP="002B54A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ACA4E8" w14:textId="3187BFCF" w:rsidR="00112E6D" w:rsidRPr="00AF3D41" w:rsidRDefault="00000000" w:rsidP="00AF3D41">
    <w:pPr>
      <w:ind w:right="360"/>
      <w:rPr>
        <w:i/>
        <w:iCs/>
      </w:rPr>
    </w:pPr>
    <w:r>
      <w:rPr>
        <w:i/>
        <w:iCs/>
      </w:rPr>
      <w:t xml:space="preserve">Memorial for </w:t>
    </w:r>
    <w:r w:rsidR="00DE0400">
      <w:rPr>
        <w:i/>
        <w:iCs/>
      </w:rPr>
      <w:t>Respondent</w:t>
    </w:r>
    <w:r>
      <w:rPr>
        <w:i/>
        <w:iCs/>
      </w:rPr>
      <w:t xml:space="preserve"> - Pleadings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28069" w14:textId="77777777" w:rsidR="00112E6D" w:rsidRDefault="00112E6D" w:rsidP="00537F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CC3"/>
    <w:multiLevelType w:val="multilevel"/>
    <w:tmpl w:val="04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BB384E"/>
    <w:multiLevelType w:val="hybridMultilevel"/>
    <w:tmpl w:val="329A8C62"/>
    <w:lvl w:ilvl="0" w:tplc="FFFFFFFF">
      <w:start w:val="1"/>
      <w:numFmt w:val="decimal"/>
      <w:lvlText w:val="%1."/>
      <w:lvlJc w:val="left"/>
      <w:pPr>
        <w:ind w:left="1069" w:hanging="360"/>
      </w:pPr>
    </w:lvl>
    <w:lvl w:ilvl="1" w:tplc="FFFFFFFF">
      <w:start w:val="1"/>
      <w:numFmt w:val="lowerLetter"/>
      <w:lvlText w:val="%2."/>
      <w:lvlJc w:val="left"/>
      <w:pPr>
        <w:ind w:left="2877" w:hanging="360"/>
      </w:pPr>
    </w:lvl>
    <w:lvl w:ilvl="2" w:tplc="FFFFFFFF" w:tentative="1">
      <w:start w:val="1"/>
      <w:numFmt w:val="lowerRoman"/>
      <w:lvlText w:val="%3."/>
      <w:lvlJc w:val="right"/>
      <w:pPr>
        <w:ind w:left="3597" w:hanging="180"/>
      </w:pPr>
    </w:lvl>
    <w:lvl w:ilvl="3" w:tplc="FFFFFFFF" w:tentative="1">
      <w:start w:val="1"/>
      <w:numFmt w:val="decimal"/>
      <w:lvlText w:val="%4."/>
      <w:lvlJc w:val="left"/>
      <w:pPr>
        <w:ind w:left="4317" w:hanging="360"/>
      </w:pPr>
    </w:lvl>
    <w:lvl w:ilvl="4" w:tplc="FFFFFFFF" w:tentative="1">
      <w:start w:val="1"/>
      <w:numFmt w:val="lowerLetter"/>
      <w:lvlText w:val="%5."/>
      <w:lvlJc w:val="left"/>
      <w:pPr>
        <w:ind w:left="5037" w:hanging="360"/>
      </w:pPr>
    </w:lvl>
    <w:lvl w:ilvl="5" w:tplc="FFFFFFFF" w:tentative="1">
      <w:start w:val="1"/>
      <w:numFmt w:val="lowerRoman"/>
      <w:lvlText w:val="%6."/>
      <w:lvlJc w:val="right"/>
      <w:pPr>
        <w:ind w:left="5757" w:hanging="180"/>
      </w:pPr>
    </w:lvl>
    <w:lvl w:ilvl="6" w:tplc="FFFFFFFF" w:tentative="1">
      <w:start w:val="1"/>
      <w:numFmt w:val="decimal"/>
      <w:lvlText w:val="%7."/>
      <w:lvlJc w:val="left"/>
      <w:pPr>
        <w:ind w:left="6477" w:hanging="360"/>
      </w:pPr>
    </w:lvl>
    <w:lvl w:ilvl="7" w:tplc="FFFFFFFF" w:tentative="1">
      <w:start w:val="1"/>
      <w:numFmt w:val="lowerLetter"/>
      <w:lvlText w:val="%8."/>
      <w:lvlJc w:val="left"/>
      <w:pPr>
        <w:ind w:left="7197" w:hanging="360"/>
      </w:pPr>
    </w:lvl>
    <w:lvl w:ilvl="8" w:tplc="FFFFFFFF" w:tentative="1">
      <w:start w:val="1"/>
      <w:numFmt w:val="lowerRoman"/>
      <w:lvlText w:val="%9."/>
      <w:lvlJc w:val="right"/>
      <w:pPr>
        <w:ind w:left="7917" w:hanging="180"/>
      </w:pPr>
    </w:lvl>
  </w:abstractNum>
  <w:abstractNum w:abstractNumId="2" w15:restartNumberingAfterBreak="0">
    <w:nsid w:val="07AB4C0D"/>
    <w:multiLevelType w:val="hybridMultilevel"/>
    <w:tmpl w:val="98DEFA20"/>
    <w:lvl w:ilvl="0" w:tplc="BA48CC80">
      <w:start w:val="1"/>
      <w:numFmt w:val="decimal"/>
      <w:lvlText w:val="%1."/>
      <w:lvlJc w:val="left"/>
      <w:pPr>
        <w:ind w:left="1069" w:hanging="360"/>
      </w:pPr>
    </w:lvl>
    <w:lvl w:ilvl="1" w:tplc="04090019">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3" w15:restartNumberingAfterBreak="0">
    <w:nsid w:val="0B14217D"/>
    <w:multiLevelType w:val="hybridMultilevel"/>
    <w:tmpl w:val="C464D32E"/>
    <w:lvl w:ilvl="0" w:tplc="94F28698">
      <w:start w:val="1"/>
      <w:numFmt w:val="upperRoman"/>
      <w:pStyle w:val="Heading2"/>
      <w:lvlText w:val="%1."/>
      <w:lvlJc w:val="right"/>
      <w:pPr>
        <w:ind w:left="1077" w:hanging="18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4" w15:restartNumberingAfterBreak="0">
    <w:nsid w:val="0CFF35B8"/>
    <w:multiLevelType w:val="hybridMultilevel"/>
    <w:tmpl w:val="98DEFA20"/>
    <w:lvl w:ilvl="0" w:tplc="FFFFFFFF">
      <w:start w:val="1"/>
      <w:numFmt w:val="decimal"/>
      <w:lvlText w:val="%1."/>
      <w:lvlJc w:val="left"/>
      <w:pPr>
        <w:ind w:left="1069" w:hanging="360"/>
      </w:pPr>
    </w:lvl>
    <w:lvl w:ilvl="1" w:tplc="FFFFFFFF">
      <w:start w:val="1"/>
      <w:numFmt w:val="lowerLetter"/>
      <w:lvlText w:val="%2."/>
      <w:lvlJc w:val="left"/>
      <w:pPr>
        <w:ind w:left="2877" w:hanging="360"/>
      </w:pPr>
    </w:lvl>
    <w:lvl w:ilvl="2" w:tplc="FFFFFFFF" w:tentative="1">
      <w:start w:val="1"/>
      <w:numFmt w:val="lowerRoman"/>
      <w:lvlText w:val="%3."/>
      <w:lvlJc w:val="right"/>
      <w:pPr>
        <w:ind w:left="3597" w:hanging="180"/>
      </w:pPr>
    </w:lvl>
    <w:lvl w:ilvl="3" w:tplc="FFFFFFFF" w:tentative="1">
      <w:start w:val="1"/>
      <w:numFmt w:val="decimal"/>
      <w:lvlText w:val="%4."/>
      <w:lvlJc w:val="left"/>
      <w:pPr>
        <w:ind w:left="4317" w:hanging="360"/>
      </w:pPr>
    </w:lvl>
    <w:lvl w:ilvl="4" w:tplc="FFFFFFFF" w:tentative="1">
      <w:start w:val="1"/>
      <w:numFmt w:val="lowerLetter"/>
      <w:lvlText w:val="%5."/>
      <w:lvlJc w:val="left"/>
      <w:pPr>
        <w:ind w:left="5037" w:hanging="360"/>
      </w:pPr>
    </w:lvl>
    <w:lvl w:ilvl="5" w:tplc="FFFFFFFF" w:tentative="1">
      <w:start w:val="1"/>
      <w:numFmt w:val="lowerRoman"/>
      <w:lvlText w:val="%6."/>
      <w:lvlJc w:val="right"/>
      <w:pPr>
        <w:ind w:left="5757" w:hanging="180"/>
      </w:pPr>
    </w:lvl>
    <w:lvl w:ilvl="6" w:tplc="FFFFFFFF" w:tentative="1">
      <w:start w:val="1"/>
      <w:numFmt w:val="decimal"/>
      <w:lvlText w:val="%7."/>
      <w:lvlJc w:val="left"/>
      <w:pPr>
        <w:ind w:left="6477" w:hanging="360"/>
      </w:pPr>
    </w:lvl>
    <w:lvl w:ilvl="7" w:tplc="FFFFFFFF" w:tentative="1">
      <w:start w:val="1"/>
      <w:numFmt w:val="lowerLetter"/>
      <w:lvlText w:val="%8."/>
      <w:lvlJc w:val="left"/>
      <w:pPr>
        <w:ind w:left="7197" w:hanging="360"/>
      </w:pPr>
    </w:lvl>
    <w:lvl w:ilvl="8" w:tplc="FFFFFFFF" w:tentative="1">
      <w:start w:val="1"/>
      <w:numFmt w:val="lowerRoman"/>
      <w:lvlText w:val="%9."/>
      <w:lvlJc w:val="right"/>
      <w:pPr>
        <w:ind w:left="7917" w:hanging="180"/>
      </w:pPr>
    </w:lvl>
  </w:abstractNum>
  <w:abstractNum w:abstractNumId="5" w15:restartNumberingAfterBreak="0">
    <w:nsid w:val="106CF94B"/>
    <w:multiLevelType w:val="hybridMultilevel"/>
    <w:tmpl w:val="DBF6FDBE"/>
    <w:lvl w:ilvl="0" w:tplc="E5A8E5E2">
      <w:start w:val="1"/>
      <w:numFmt w:val="lowerLetter"/>
      <w:lvlText w:val="%1."/>
      <w:lvlJc w:val="left"/>
      <w:pPr>
        <w:ind w:left="2160" w:hanging="360"/>
      </w:pPr>
    </w:lvl>
    <w:lvl w:ilvl="1" w:tplc="B802B812">
      <w:start w:val="1"/>
      <w:numFmt w:val="lowerLetter"/>
      <w:lvlText w:val="%2."/>
      <w:lvlJc w:val="left"/>
      <w:pPr>
        <w:ind w:left="2880" w:hanging="360"/>
      </w:pPr>
    </w:lvl>
    <w:lvl w:ilvl="2" w:tplc="34D2A532">
      <w:start w:val="1"/>
      <w:numFmt w:val="lowerRoman"/>
      <w:lvlText w:val="%3."/>
      <w:lvlJc w:val="right"/>
      <w:pPr>
        <w:ind w:left="3600" w:hanging="180"/>
      </w:pPr>
    </w:lvl>
    <w:lvl w:ilvl="3" w:tplc="1B4A2E2C">
      <w:start w:val="1"/>
      <w:numFmt w:val="decimal"/>
      <w:lvlText w:val="%4."/>
      <w:lvlJc w:val="left"/>
      <w:pPr>
        <w:ind w:left="4320" w:hanging="360"/>
      </w:pPr>
    </w:lvl>
    <w:lvl w:ilvl="4" w:tplc="CE4CD574">
      <w:start w:val="1"/>
      <w:numFmt w:val="lowerLetter"/>
      <w:lvlText w:val="%5."/>
      <w:lvlJc w:val="left"/>
      <w:pPr>
        <w:ind w:left="5040" w:hanging="360"/>
      </w:pPr>
    </w:lvl>
    <w:lvl w:ilvl="5" w:tplc="56CC5C3A">
      <w:start w:val="1"/>
      <w:numFmt w:val="lowerRoman"/>
      <w:lvlText w:val="%6."/>
      <w:lvlJc w:val="right"/>
      <w:pPr>
        <w:ind w:left="5760" w:hanging="180"/>
      </w:pPr>
    </w:lvl>
    <w:lvl w:ilvl="6" w:tplc="8D64BF68">
      <w:start w:val="1"/>
      <w:numFmt w:val="decimal"/>
      <w:lvlText w:val="%7."/>
      <w:lvlJc w:val="left"/>
      <w:pPr>
        <w:ind w:left="6480" w:hanging="360"/>
      </w:pPr>
    </w:lvl>
    <w:lvl w:ilvl="7" w:tplc="8D5CACA8">
      <w:start w:val="1"/>
      <w:numFmt w:val="lowerLetter"/>
      <w:lvlText w:val="%8."/>
      <w:lvlJc w:val="left"/>
      <w:pPr>
        <w:ind w:left="7200" w:hanging="360"/>
      </w:pPr>
    </w:lvl>
    <w:lvl w:ilvl="8" w:tplc="25406D8A">
      <w:start w:val="1"/>
      <w:numFmt w:val="lowerRoman"/>
      <w:lvlText w:val="%9."/>
      <w:lvlJc w:val="right"/>
      <w:pPr>
        <w:ind w:left="7920" w:hanging="180"/>
      </w:pPr>
    </w:lvl>
  </w:abstractNum>
  <w:abstractNum w:abstractNumId="6" w15:restartNumberingAfterBreak="0">
    <w:nsid w:val="11B822F9"/>
    <w:multiLevelType w:val="hybridMultilevel"/>
    <w:tmpl w:val="9E4AFF0A"/>
    <w:lvl w:ilvl="0" w:tplc="D9588A1A">
      <w:start w:val="1"/>
      <w:numFmt w:val="bullet"/>
      <w:lvlText w:val=""/>
      <w:lvlJc w:val="left"/>
      <w:pPr>
        <w:ind w:left="720" w:hanging="360"/>
      </w:pPr>
      <w:rPr>
        <w:rFonts w:ascii="Symbol" w:hAnsi="Symbol" w:hint="default"/>
      </w:rPr>
    </w:lvl>
    <w:lvl w:ilvl="1" w:tplc="B0A421A8">
      <w:start w:val="1"/>
      <w:numFmt w:val="bullet"/>
      <w:lvlText w:val="o"/>
      <w:lvlJc w:val="left"/>
      <w:pPr>
        <w:ind w:left="1440" w:hanging="360"/>
      </w:pPr>
      <w:rPr>
        <w:rFonts w:ascii="Courier New" w:hAnsi="Courier New" w:hint="default"/>
      </w:rPr>
    </w:lvl>
    <w:lvl w:ilvl="2" w:tplc="A600EF12">
      <w:start w:val="1"/>
      <w:numFmt w:val="bullet"/>
      <w:lvlText w:val=""/>
      <w:lvlJc w:val="left"/>
      <w:pPr>
        <w:ind w:left="2160" w:hanging="360"/>
      </w:pPr>
      <w:rPr>
        <w:rFonts w:ascii="Wingdings" w:hAnsi="Wingdings" w:hint="default"/>
      </w:rPr>
    </w:lvl>
    <w:lvl w:ilvl="3" w:tplc="258A6A8A">
      <w:start w:val="1"/>
      <w:numFmt w:val="bullet"/>
      <w:lvlText w:val=""/>
      <w:lvlJc w:val="left"/>
      <w:pPr>
        <w:ind w:left="2880" w:hanging="360"/>
      </w:pPr>
      <w:rPr>
        <w:rFonts w:ascii="Symbol" w:hAnsi="Symbol" w:hint="default"/>
      </w:rPr>
    </w:lvl>
    <w:lvl w:ilvl="4" w:tplc="A118BEDA">
      <w:start w:val="1"/>
      <w:numFmt w:val="bullet"/>
      <w:lvlText w:val="o"/>
      <w:lvlJc w:val="left"/>
      <w:pPr>
        <w:ind w:left="3600" w:hanging="360"/>
      </w:pPr>
      <w:rPr>
        <w:rFonts w:ascii="Courier New" w:hAnsi="Courier New" w:hint="default"/>
      </w:rPr>
    </w:lvl>
    <w:lvl w:ilvl="5" w:tplc="341EEBD2">
      <w:start w:val="1"/>
      <w:numFmt w:val="bullet"/>
      <w:lvlText w:val=""/>
      <w:lvlJc w:val="left"/>
      <w:pPr>
        <w:ind w:left="4320" w:hanging="360"/>
      </w:pPr>
      <w:rPr>
        <w:rFonts w:ascii="Wingdings" w:hAnsi="Wingdings" w:hint="default"/>
      </w:rPr>
    </w:lvl>
    <w:lvl w:ilvl="6" w:tplc="79C4F596">
      <w:start w:val="1"/>
      <w:numFmt w:val="bullet"/>
      <w:lvlText w:val=""/>
      <w:lvlJc w:val="left"/>
      <w:pPr>
        <w:ind w:left="5040" w:hanging="360"/>
      </w:pPr>
      <w:rPr>
        <w:rFonts w:ascii="Symbol" w:hAnsi="Symbol" w:hint="default"/>
      </w:rPr>
    </w:lvl>
    <w:lvl w:ilvl="7" w:tplc="16B477F4">
      <w:start w:val="1"/>
      <w:numFmt w:val="bullet"/>
      <w:lvlText w:val="o"/>
      <w:lvlJc w:val="left"/>
      <w:pPr>
        <w:ind w:left="5760" w:hanging="360"/>
      </w:pPr>
      <w:rPr>
        <w:rFonts w:ascii="Courier New" w:hAnsi="Courier New" w:hint="default"/>
      </w:rPr>
    </w:lvl>
    <w:lvl w:ilvl="8" w:tplc="39E68070">
      <w:start w:val="1"/>
      <w:numFmt w:val="bullet"/>
      <w:lvlText w:val=""/>
      <w:lvlJc w:val="left"/>
      <w:pPr>
        <w:ind w:left="6480" w:hanging="360"/>
      </w:pPr>
      <w:rPr>
        <w:rFonts w:ascii="Wingdings" w:hAnsi="Wingdings" w:hint="default"/>
      </w:rPr>
    </w:lvl>
  </w:abstractNum>
  <w:abstractNum w:abstractNumId="7" w15:restartNumberingAfterBreak="0">
    <w:nsid w:val="161B40EF"/>
    <w:multiLevelType w:val="multilevel"/>
    <w:tmpl w:val="04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AE31E75"/>
    <w:multiLevelType w:val="hybridMultilevel"/>
    <w:tmpl w:val="E2D0D93E"/>
    <w:lvl w:ilvl="0" w:tplc="D3120C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EB04B9"/>
    <w:multiLevelType w:val="hybridMultilevel"/>
    <w:tmpl w:val="658AD9C0"/>
    <w:lvl w:ilvl="0" w:tplc="D94A7AE6">
      <w:start w:val="1"/>
      <w:numFmt w:val="upperRoman"/>
      <w:lvlText w:val="%1."/>
      <w:lvlJc w:val="left"/>
      <w:pPr>
        <w:ind w:left="1080" w:hanging="720"/>
      </w:pPr>
      <w:rPr>
        <w:rFonts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BC45C3"/>
    <w:multiLevelType w:val="hybridMultilevel"/>
    <w:tmpl w:val="97982E84"/>
    <w:lvl w:ilvl="0" w:tplc="04090013">
      <w:start w:val="1"/>
      <w:numFmt w:val="upperRoman"/>
      <w:lvlText w:val="%1."/>
      <w:lvlJc w:val="right"/>
      <w:pPr>
        <w:ind w:left="1314"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6244FD"/>
    <w:multiLevelType w:val="multilevel"/>
    <w:tmpl w:val="8AA8B02E"/>
    <w:lvl w:ilvl="0">
      <w:start w:val="1"/>
      <w:numFmt w:val="upperRoman"/>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861983"/>
    <w:multiLevelType w:val="hybridMultilevel"/>
    <w:tmpl w:val="7EE47238"/>
    <w:lvl w:ilvl="0" w:tplc="420047FA">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6A6AE7"/>
    <w:multiLevelType w:val="hybridMultilevel"/>
    <w:tmpl w:val="ECE812AA"/>
    <w:lvl w:ilvl="0" w:tplc="CB1C6F12">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D76BF"/>
    <w:multiLevelType w:val="hybridMultilevel"/>
    <w:tmpl w:val="9AF4EB88"/>
    <w:lvl w:ilvl="0" w:tplc="7408CDB8">
      <w:start w:val="1"/>
      <w:numFmt w:val="decimal"/>
      <w:pStyle w:val="Heading4"/>
      <w:lvlText w:val="%1."/>
      <w:lvlJc w:val="left"/>
      <w:pPr>
        <w:ind w:left="1797" w:hanging="360"/>
      </w:pPr>
    </w:lvl>
    <w:lvl w:ilvl="1" w:tplc="04090019" w:tentative="1">
      <w:start w:val="1"/>
      <w:numFmt w:val="lowerLetter"/>
      <w:lvlText w:val="%2."/>
      <w:lvlJc w:val="left"/>
      <w:pPr>
        <w:ind w:left="2517" w:hanging="360"/>
      </w:pPr>
    </w:lvl>
    <w:lvl w:ilvl="2" w:tplc="0409001B" w:tentative="1">
      <w:start w:val="1"/>
      <w:numFmt w:val="lowerRoman"/>
      <w:lvlText w:val="%3."/>
      <w:lvlJc w:val="right"/>
      <w:pPr>
        <w:ind w:left="3237" w:hanging="180"/>
      </w:pPr>
    </w:lvl>
    <w:lvl w:ilvl="3" w:tplc="0409000F" w:tentative="1">
      <w:start w:val="1"/>
      <w:numFmt w:val="decimal"/>
      <w:lvlText w:val="%4."/>
      <w:lvlJc w:val="left"/>
      <w:pPr>
        <w:ind w:left="3957" w:hanging="360"/>
      </w:pPr>
    </w:lvl>
    <w:lvl w:ilvl="4" w:tplc="04090019">
      <w:start w:val="1"/>
      <w:numFmt w:val="lowerLetter"/>
      <w:lvlText w:val="%5."/>
      <w:lvlJc w:val="left"/>
      <w:pPr>
        <w:ind w:left="4677" w:hanging="360"/>
      </w:pPr>
    </w:lvl>
    <w:lvl w:ilvl="5" w:tplc="0409001B" w:tentative="1">
      <w:start w:val="1"/>
      <w:numFmt w:val="lowerRoman"/>
      <w:lvlText w:val="%6."/>
      <w:lvlJc w:val="right"/>
      <w:pPr>
        <w:ind w:left="5397" w:hanging="180"/>
      </w:pPr>
    </w:lvl>
    <w:lvl w:ilvl="6" w:tplc="0409000F" w:tentative="1">
      <w:start w:val="1"/>
      <w:numFmt w:val="decimal"/>
      <w:lvlText w:val="%7."/>
      <w:lvlJc w:val="left"/>
      <w:pPr>
        <w:ind w:left="6117" w:hanging="360"/>
      </w:pPr>
    </w:lvl>
    <w:lvl w:ilvl="7" w:tplc="04090019" w:tentative="1">
      <w:start w:val="1"/>
      <w:numFmt w:val="lowerLetter"/>
      <w:lvlText w:val="%8."/>
      <w:lvlJc w:val="left"/>
      <w:pPr>
        <w:ind w:left="6837" w:hanging="360"/>
      </w:pPr>
    </w:lvl>
    <w:lvl w:ilvl="8" w:tplc="0409001B" w:tentative="1">
      <w:start w:val="1"/>
      <w:numFmt w:val="lowerRoman"/>
      <w:lvlText w:val="%9."/>
      <w:lvlJc w:val="right"/>
      <w:pPr>
        <w:ind w:left="7557" w:hanging="180"/>
      </w:pPr>
    </w:lvl>
  </w:abstractNum>
  <w:abstractNum w:abstractNumId="15" w15:restartNumberingAfterBreak="0">
    <w:nsid w:val="31CA3C9A"/>
    <w:multiLevelType w:val="hybridMultilevel"/>
    <w:tmpl w:val="8200B63C"/>
    <w:lvl w:ilvl="0" w:tplc="C818CA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B01D9"/>
    <w:multiLevelType w:val="hybridMultilevel"/>
    <w:tmpl w:val="08BED1F8"/>
    <w:lvl w:ilvl="0" w:tplc="5A829D20">
      <w:start w:val="1"/>
      <w:numFmt w:val="lowerLetter"/>
      <w:pStyle w:val="Heading7"/>
      <w:lvlText w:val="%1)"/>
      <w:lvlJc w:val="left"/>
      <w:pPr>
        <w:ind w:left="3708" w:hanging="360"/>
      </w:pPr>
    </w:lvl>
    <w:lvl w:ilvl="1" w:tplc="04090019" w:tentative="1">
      <w:start w:val="1"/>
      <w:numFmt w:val="lowerLetter"/>
      <w:lvlText w:val="%2."/>
      <w:lvlJc w:val="left"/>
      <w:pPr>
        <w:ind w:left="4428" w:hanging="360"/>
      </w:pPr>
    </w:lvl>
    <w:lvl w:ilvl="2" w:tplc="0409001B" w:tentative="1">
      <w:start w:val="1"/>
      <w:numFmt w:val="lowerRoman"/>
      <w:lvlText w:val="%3."/>
      <w:lvlJc w:val="right"/>
      <w:pPr>
        <w:ind w:left="5148" w:hanging="180"/>
      </w:pPr>
    </w:lvl>
    <w:lvl w:ilvl="3" w:tplc="0409000F" w:tentative="1">
      <w:start w:val="1"/>
      <w:numFmt w:val="decimal"/>
      <w:lvlText w:val="%4."/>
      <w:lvlJc w:val="left"/>
      <w:pPr>
        <w:ind w:left="5868" w:hanging="360"/>
      </w:pPr>
    </w:lvl>
    <w:lvl w:ilvl="4" w:tplc="04090019" w:tentative="1">
      <w:start w:val="1"/>
      <w:numFmt w:val="lowerLetter"/>
      <w:lvlText w:val="%5."/>
      <w:lvlJc w:val="left"/>
      <w:pPr>
        <w:ind w:left="6588" w:hanging="360"/>
      </w:pPr>
    </w:lvl>
    <w:lvl w:ilvl="5" w:tplc="0409001B" w:tentative="1">
      <w:start w:val="1"/>
      <w:numFmt w:val="lowerRoman"/>
      <w:lvlText w:val="%6."/>
      <w:lvlJc w:val="right"/>
      <w:pPr>
        <w:ind w:left="7308" w:hanging="180"/>
      </w:pPr>
    </w:lvl>
    <w:lvl w:ilvl="6" w:tplc="0409000F" w:tentative="1">
      <w:start w:val="1"/>
      <w:numFmt w:val="decimal"/>
      <w:lvlText w:val="%7."/>
      <w:lvlJc w:val="left"/>
      <w:pPr>
        <w:ind w:left="8028" w:hanging="360"/>
      </w:pPr>
    </w:lvl>
    <w:lvl w:ilvl="7" w:tplc="04090019" w:tentative="1">
      <w:start w:val="1"/>
      <w:numFmt w:val="lowerLetter"/>
      <w:lvlText w:val="%8."/>
      <w:lvlJc w:val="left"/>
      <w:pPr>
        <w:ind w:left="8748" w:hanging="360"/>
      </w:pPr>
    </w:lvl>
    <w:lvl w:ilvl="8" w:tplc="0409001B" w:tentative="1">
      <w:start w:val="1"/>
      <w:numFmt w:val="lowerRoman"/>
      <w:lvlText w:val="%9."/>
      <w:lvlJc w:val="right"/>
      <w:pPr>
        <w:ind w:left="9468" w:hanging="180"/>
      </w:pPr>
    </w:lvl>
  </w:abstractNum>
  <w:abstractNum w:abstractNumId="17" w15:restartNumberingAfterBreak="0">
    <w:nsid w:val="39DF5A59"/>
    <w:multiLevelType w:val="hybridMultilevel"/>
    <w:tmpl w:val="50C86EFE"/>
    <w:lvl w:ilvl="0" w:tplc="7A42B2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960A44"/>
    <w:multiLevelType w:val="hybridMultilevel"/>
    <w:tmpl w:val="329A8C62"/>
    <w:lvl w:ilvl="0" w:tplc="FFFFFFFF">
      <w:start w:val="1"/>
      <w:numFmt w:val="decimal"/>
      <w:lvlText w:val="%1."/>
      <w:lvlJc w:val="left"/>
      <w:pPr>
        <w:ind w:left="1069" w:hanging="360"/>
      </w:pPr>
    </w:lvl>
    <w:lvl w:ilvl="1" w:tplc="FFFFFFFF">
      <w:start w:val="1"/>
      <w:numFmt w:val="lowerLetter"/>
      <w:lvlText w:val="%2."/>
      <w:lvlJc w:val="left"/>
      <w:pPr>
        <w:ind w:left="2877" w:hanging="360"/>
      </w:pPr>
    </w:lvl>
    <w:lvl w:ilvl="2" w:tplc="FFFFFFFF" w:tentative="1">
      <w:start w:val="1"/>
      <w:numFmt w:val="lowerRoman"/>
      <w:lvlText w:val="%3."/>
      <w:lvlJc w:val="right"/>
      <w:pPr>
        <w:ind w:left="3597" w:hanging="180"/>
      </w:pPr>
    </w:lvl>
    <w:lvl w:ilvl="3" w:tplc="FFFFFFFF" w:tentative="1">
      <w:start w:val="1"/>
      <w:numFmt w:val="decimal"/>
      <w:lvlText w:val="%4."/>
      <w:lvlJc w:val="left"/>
      <w:pPr>
        <w:ind w:left="4317" w:hanging="360"/>
      </w:pPr>
    </w:lvl>
    <w:lvl w:ilvl="4" w:tplc="FFFFFFFF" w:tentative="1">
      <w:start w:val="1"/>
      <w:numFmt w:val="lowerLetter"/>
      <w:lvlText w:val="%5."/>
      <w:lvlJc w:val="left"/>
      <w:pPr>
        <w:ind w:left="5037" w:hanging="360"/>
      </w:pPr>
    </w:lvl>
    <w:lvl w:ilvl="5" w:tplc="FFFFFFFF" w:tentative="1">
      <w:start w:val="1"/>
      <w:numFmt w:val="lowerRoman"/>
      <w:lvlText w:val="%6."/>
      <w:lvlJc w:val="right"/>
      <w:pPr>
        <w:ind w:left="5757" w:hanging="180"/>
      </w:pPr>
    </w:lvl>
    <w:lvl w:ilvl="6" w:tplc="FFFFFFFF" w:tentative="1">
      <w:start w:val="1"/>
      <w:numFmt w:val="decimal"/>
      <w:lvlText w:val="%7."/>
      <w:lvlJc w:val="left"/>
      <w:pPr>
        <w:ind w:left="6477" w:hanging="360"/>
      </w:pPr>
    </w:lvl>
    <w:lvl w:ilvl="7" w:tplc="FFFFFFFF" w:tentative="1">
      <w:start w:val="1"/>
      <w:numFmt w:val="lowerLetter"/>
      <w:lvlText w:val="%8."/>
      <w:lvlJc w:val="left"/>
      <w:pPr>
        <w:ind w:left="7197" w:hanging="360"/>
      </w:pPr>
    </w:lvl>
    <w:lvl w:ilvl="8" w:tplc="FFFFFFFF" w:tentative="1">
      <w:start w:val="1"/>
      <w:numFmt w:val="lowerRoman"/>
      <w:lvlText w:val="%9."/>
      <w:lvlJc w:val="right"/>
      <w:pPr>
        <w:ind w:left="7917" w:hanging="180"/>
      </w:pPr>
    </w:lvl>
  </w:abstractNum>
  <w:abstractNum w:abstractNumId="19" w15:restartNumberingAfterBreak="0">
    <w:nsid w:val="4505202C"/>
    <w:multiLevelType w:val="hybridMultilevel"/>
    <w:tmpl w:val="E632C0C8"/>
    <w:lvl w:ilvl="0" w:tplc="9978008E">
      <w:start w:val="1"/>
      <w:numFmt w:val="upperLetter"/>
      <w:pStyle w:val="Heading3"/>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DB34C4"/>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A3D5A84"/>
    <w:multiLevelType w:val="multilevel"/>
    <w:tmpl w:val="04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722DB9"/>
    <w:multiLevelType w:val="multilevel"/>
    <w:tmpl w:val="791EDCEC"/>
    <w:lvl w:ilvl="0">
      <w:start w:val="1"/>
      <w:numFmt w:val="upp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F283AE5"/>
    <w:multiLevelType w:val="hybridMultilevel"/>
    <w:tmpl w:val="88EE7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C637B9"/>
    <w:multiLevelType w:val="multilevel"/>
    <w:tmpl w:val="791EDCEC"/>
    <w:lvl w:ilvl="0">
      <w:start w:val="1"/>
      <w:numFmt w:val="upp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2E18CF"/>
    <w:multiLevelType w:val="multilevel"/>
    <w:tmpl w:val="04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6585122"/>
    <w:multiLevelType w:val="hybridMultilevel"/>
    <w:tmpl w:val="27D80480"/>
    <w:lvl w:ilvl="0" w:tplc="EF8A0EB4">
      <w:start w:val="1"/>
      <w:numFmt w:val="lowerLetter"/>
      <w:lvlText w:val="%1."/>
      <w:lvlJc w:val="left"/>
      <w:pPr>
        <w:ind w:left="720" w:hanging="360"/>
      </w:pPr>
    </w:lvl>
    <w:lvl w:ilvl="1" w:tplc="58820BA0">
      <w:start w:val="1"/>
      <w:numFmt w:val="lowerLetter"/>
      <w:lvlText w:val="%2."/>
      <w:lvlJc w:val="left"/>
      <w:pPr>
        <w:ind w:left="1440" w:hanging="360"/>
      </w:pPr>
    </w:lvl>
    <w:lvl w:ilvl="2" w:tplc="6ED2E460">
      <w:start w:val="1"/>
      <w:numFmt w:val="lowerRoman"/>
      <w:lvlText w:val="%3."/>
      <w:lvlJc w:val="right"/>
      <w:pPr>
        <w:ind w:left="2160" w:hanging="180"/>
      </w:pPr>
    </w:lvl>
    <w:lvl w:ilvl="3" w:tplc="F8B602E6">
      <w:start w:val="1"/>
      <w:numFmt w:val="decimal"/>
      <w:lvlText w:val="%4."/>
      <w:lvlJc w:val="left"/>
      <w:pPr>
        <w:ind w:left="2880" w:hanging="360"/>
      </w:pPr>
    </w:lvl>
    <w:lvl w:ilvl="4" w:tplc="B226F2B2">
      <w:start w:val="1"/>
      <w:numFmt w:val="lowerLetter"/>
      <w:lvlText w:val="%5."/>
      <w:lvlJc w:val="left"/>
      <w:pPr>
        <w:ind w:left="3600" w:hanging="360"/>
      </w:pPr>
    </w:lvl>
    <w:lvl w:ilvl="5" w:tplc="1EDC66DE">
      <w:start w:val="1"/>
      <w:numFmt w:val="lowerRoman"/>
      <w:lvlText w:val="%6."/>
      <w:lvlJc w:val="right"/>
      <w:pPr>
        <w:ind w:left="4320" w:hanging="180"/>
      </w:pPr>
    </w:lvl>
    <w:lvl w:ilvl="6" w:tplc="B8008880">
      <w:start w:val="1"/>
      <w:numFmt w:val="decimal"/>
      <w:lvlText w:val="%7."/>
      <w:lvlJc w:val="left"/>
      <w:pPr>
        <w:ind w:left="5040" w:hanging="360"/>
      </w:pPr>
    </w:lvl>
    <w:lvl w:ilvl="7" w:tplc="25F46C3A">
      <w:start w:val="1"/>
      <w:numFmt w:val="lowerLetter"/>
      <w:lvlText w:val="%8."/>
      <w:lvlJc w:val="left"/>
      <w:pPr>
        <w:ind w:left="5760" w:hanging="360"/>
      </w:pPr>
    </w:lvl>
    <w:lvl w:ilvl="8" w:tplc="777644CE">
      <w:start w:val="1"/>
      <w:numFmt w:val="lowerRoman"/>
      <w:lvlText w:val="%9."/>
      <w:lvlJc w:val="right"/>
      <w:pPr>
        <w:ind w:left="6480" w:hanging="180"/>
      </w:pPr>
    </w:lvl>
  </w:abstractNum>
  <w:abstractNum w:abstractNumId="27" w15:restartNumberingAfterBreak="0">
    <w:nsid w:val="673C4729"/>
    <w:multiLevelType w:val="hybridMultilevel"/>
    <w:tmpl w:val="329A8C62"/>
    <w:lvl w:ilvl="0" w:tplc="FFFFFFFF">
      <w:start w:val="1"/>
      <w:numFmt w:val="decimal"/>
      <w:lvlText w:val="%1."/>
      <w:lvlJc w:val="left"/>
      <w:pPr>
        <w:ind w:left="1069" w:hanging="360"/>
      </w:pPr>
    </w:lvl>
    <w:lvl w:ilvl="1" w:tplc="FFFFFFFF">
      <w:start w:val="1"/>
      <w:numFmt w:val="lowerLetter"/>
      <w:lvlText w:val="%2."/>
      <w:lvlJc w:val="left"/>
      <w:pPr>
        <w:ind w:left="2877" w:hanging="360"/>
      </w:pPr>
    </w:lvl>
    <w:lvl w:ilvl="2" w:tplc="FFFFFFFF" w:tentative="1">
      <w:start w:val="1"/>
      <w:numFmt w:val="lowerRoman"/>
      <w:lvlText w:val="%3."/>
      <w:lvlJc w:val="right"/>
      <w:pPr>
        <w:ind w:left="3597" w:hanging="180"/>
      </w:pPr>
    </w:lvl>
    <w:lvl w:ilvl="3" w:tplc="FFFFFFFF" w:tentative="1">
      <w:start w:val="1"/>
      <w:numFmt w:val="decimal"/>
      <w:lvlText w:val="%4."/>
      <w:lvlJc w:val="left"/>
      <w:pPr>
        <w:ind w:left="4317" w:hanging="360"/>
      </w:pPr>
    </w:lvl>
    <w:lvl w:ilvl="4" w:tplc="FFFFFFFF" w:tentative="1">
      <w:start w:val="1"/>
      <w:numFmt w:val="lowerLetter"/>
      <w:lvlText w:val="%5."/>
      <w:lvlJc w:val="left"/>
      <w:pPr>
        <w:ind w:left="5037" w:hanging="360"/>
      </w:pPr>
    </w:lvl>
    <w:lvl w:ilvl="5" w:tplc="FFFFFFFF" w:tentative="1">
      <w:start w:val="1"/>
      <w:numFmt w:val="lowerRoman"/>
      <w:lvlText w:val="%6."/>
      <w:lvlJc w:val="right"/>
      <w:pPr>
        <w:ind w:left="5757" w:hanging="180"/>
      </w:pPr>
    </w:lvl>
    <w:lvl w:ilvl="6" w:tplc="FFFFFFFF" w:tentative="1">
      <w:start w:val="1"/>
      <w:numFmt w:val="decimal"/>
      <w:lvlText w:val="%7."/>
      <w:lvlJc w:val="left"/>
      <w:pPr>
        <w:ind w:left="6477" w:hanging="360"/>
      </w:pPr>
    </w:lvl>
    <w:lvl w:ilvl="7" w:tplc="FFFFFFFF" w:tentative="1">
      <w:start w:val="1"/>
      <w:numFmt w:val="lowerLetter"/>
      <w:lvlText w:val="%8."/>
      <w:lvlJc w:val="left"/>
      <w:pPr>
        <w:ind w:left="7197" w:hanging="360"/>
      </w:pPr>
    </w:lvl>
    <w:lvl w:ilvl="8" w:tplc="FFFFFFFF" w:tentative="1">
      <w:start w:val="1"/>
      <w:numFmt w:val="lowerRoman"/>
      <w:lvlText w:val="%9."/>
      <w:lvlJc w:val="right"/>
      <w:pPr>
        <w:ind w:left="7917" w:hanging="180"/>
      </w:pPr>
    </w:lvl>
  </w:abstractNum>
  <w:abstractNum w:abstractNumId="28" w15:restartNumberingAfterBreak="0">
    <w:nsid w:val="6AB03268"/>
    <w:multiLevelType w:val="hybridMultilevel"/>
    <w:tmpl w:val="0E7AB17E"/>
    <w:lvl w:ilvl="0" w:tplc="8ED4DF66">
      <w:start w:val="1"/>
      <w:numFmt w:val="lowerRoman"/>
      <w:pStyle w:val="Heading6"/>
      <w:lvlText w:val="%1."/>
      <w:lvlJc w:val="right"/>
      <w:pPr>
        <w:ind w:left="7801" w:hanging="180"/>
      </w:pPr>
    </w:lvl>
    <w:lvl w:ilvl="1" w:tplc="04090019" w:tentative="1">
      <w:start w:val="1"/>
      <w:numFmt w:val="lowerLetter"/>
      <w:lvlText w:val="%2."/>
      <w:lvlJc w:val="left"/>
      <w:pPr>
        <w:ind w:left="3481" w:hanging="360"/>
      </w:pPr>
    </w:lvl>
    <w:lvl w:ilvl="2" w:tplc="0409001B" w:tentative="1">
      <w:start w:val="1"/>
      <w:numFmt w:val="lowerRoman"/>
      <w:lvlText w:val="%3."/>
      <w:lvlJc w:val="right"/>
      <w:pPr>
        <w:ind w:left="4201" w:hanging="180"/>
      </w:pPr>
    </w:lvl>
    <w:lvl w:ilvl="3" w:tplc="0409000F" w:tentative="1">
      <w:start w:val="1"/>
      <w:numFmt w:val="decimal"/>
      <w:lvlText w:val="%4."/>
      <w:lvlJc w:val="left"/>
      <w:pPr>
        <w:ind w:left="4921" w:hanging="360"/>
      </w:pPr>
    </w:lvl>
    <w:lvl w:ilvl="4" w:tplc="04090019" w:tentative="1">
      <w:start w:val="1"/>
      <w:numFmt w:val="lowerLetter"/>
      <w:lvlText w:val="%5."/>
      <w:lvlJc w:val="left"/>
      <w:pPr>
        <w:ind w:left="5641" w:hanging="360"/>
      </w:pPr>
    </w:lvl>
    <w:lvl w:ilvl="5" w:tplc="0409001B" w:tentative="1">
      <w:start w:val="1"/>
      <w:numFmt w:val="lowerRoman"/>
      <w:lvlText w:val="%6."/>
      <w:lvlJc w:val="right"/>
      <w:pPr>
        <w:ind w:left="6361" w:hanging="180"/>
      </w:pPr>
    </w:lvl>
    <w:lvl w:ilvl="6" w:tplc="0409000F" w:tentative="1">
      <w:start w:val="1"/>
      <w:numFmt w:val="decimal"/>
      <w:lvlText w:val="%7."/>
      <w:lvlJc w:val="left"/>
      <w:pPr>
        <w:ind w:left="7081" w:hanging="360"/>
      </w:pPr>
    </w:lvl>
    <w:lvl w:ilvl="7" w:tplc="04090019" w:tentative="1">
      <w:start w:val="1"/>
      <w:numFmt w:val="lowerLetter"/>
      <w:lvlText w:val="%8."/>
      <w:lvlJc w:val="left"/>
      <w:pPr>
        <w:ind w:left="7801" w:hanging="360"/>
      </w:pPr>
    </w:lvl>
    <w:lvl w:ilvl="8" w:tplc="0409001B" w:tentative="1">
      <w:start w:val="1"/>
      <w:numFmt w:val="lowerRoman"/>
      <w:lvlText w:val="%9."/>
      <w:lvlJc w:val="right"/>
      <w:pPr>
        <w:ind w:left="8521" w:hanging="180"/>
      </w:pPr>
    </w:lvl>
  </w:abstractNum>
  <w:abstractNum w:abstractNumId="29" w15:restartNumberingAfterBreak="0">
    <w:nsid w:val="6FD93A86"/>
    <w:multiLevelType w:val="hybridMultilevel"/>
    <w:tmpl w:val="97982E84"/>
    <w:lvl w:ilvl="0" w:tplc="04090013">
      <w:start w:val="1"/>
      <w:numFmt w:val="upperRoman"/>
      <w:lvlText w:val="%1."/>
      <w:lvlJc w:val="right"/>
      <w:pPr>
        <w:ind w:left="1314" w:hanging="18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BA4AB0"/>
    <w:multiLevelType w:val="hybridMultilevel"/>
    <w:tmpl w:val="0D3AD906"/>
    <w:lvl w:ilvl="0" w:tplc="43547F9C">
      <w:start w:val="1"/>
      <w:numFmt w:val="lowerLetter"/>
      <w:pStyle w:val="Heading5"/>
      <w:lvlText w:val="%1."/>
      <w:lvlJc w:val="left"/>
      <w:pPr>
        <w:ind w:left="2160" w:hanging="360"/>
      </w:pPr>
      <w:rPr>
        <w:i w:val="0"/>
        <w:i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72D1E423"/>
    <w:multiLevelType w:val="hybridMultilevel"/>
    <w:tmpl w:val="90721178"/>
    <w:lvl w:ilvl="0" w:tplc="0409000F">
      <w:start w:val="1"/>
      <w:numFmt w:val="decimal"/>
      <w:lvlText w:val="%1."/>
      <w:lvlJc w:val="left"/>
      <w:pPr>
        <w:ind w:left="2157" w:hanging="360"/>
      </w:pPr>
    </w:lvl>
    <w:lvl w:ilvl="1" w:tplc="CC240FFE">
      <w:start w:val="1"/>
      <w:numFmt w:val="lowerLetter"/>
      <w:lvlText w:val="%2."/>
      <w:lvlJc w:val="left"/>
      <w:pPr>
        <w:ind w:left="2877" w:hanging="360"/>
      </w:pPr>
    </w:lvl>
    <w:lvl w:ilvl="2" w:tplc="D28A7F52">
      <w:start w:val="1"/>
      <w:numFmt w:val="lowerRoman"/>
      <w:lvlText w:val="%3."/>
      <w:lvlJc w:val="right"/>
      <w:pPr>
        <w:ind w:left="3597" w:hanging="180"/>
      </w:pPr>
    </w:lvl>
    <w:lvl w:ilvl="3" w:tplc="D184515C">
      <w:start w:val="1"/>
      <w:numFmt w:val="decimal"/>
      <w:lvlText w:val="%4."/>
      <w:lvlJc w:val="left"/>
      <w:pPr>
        <w:ind w:left="2203" w:hanging="360"/>
      </w:pPr>
    </w:lvl>
    <w:lvl w:ilvl="4" w:tplc="985A51D6">
      <w:start w:val="1"/>
      <w:numFmt w:val="lowerLetter"/>
      <w:lvlText w:val="%5."/>
      <w:lvlJc w:val="left"/>
      <w:pPr>
        <w:ind w:left="5037" w:hanging="360"/>
      </w:pPr>
    </w:lvl>
    <w:lvl w:ilvl="5" w:tplc="11C2AEC2">
      <w:start w:val="1"/>
      <w:numFmt w:val="lowerRoman"/>
      <w:lvlText w:val="%6."/>
      <w:lvlJc w:val="right"/>
      <w:pPr>
        <w:ind w:left="5757" w:hanging="180"/>
      </w:pPr>
    </w:lvl>
    <w:lvl w:ilvl="6" w:tplc="F692E694">
      <w:start w:val="1"/>
      <w:numFmt w:val="decimal"/>
      <w:lvlText w:val="%7."/>
      <w:lvlJc w:val="left"/>
      <w:pPr>
        <w:ind w:left="6477" w:hanging="360"/>
      </w:pPr>
    </w:lvl>
    <w:lvl w:ilvl="7" w:tplc="78084F16">
      <w:start w:val="1"/>
      <w:numFmt w:val="lowerLetter"/>
      <w:lvlText w:val="%8."/>
      <w:lvlJc w:val="left"/>
      <w:pPr>
        <w:ind w:left="7197" w:hanging="360"/>
      </w:pPr>
    </w:lvl>
    <w:lvl w:ilvl="8" w:tplc="4F1C62A6">
      <w:start w:val="1"/>
      <w:numFmt w:val="lowerRoman"/>
      <w:lvlText w:val="%9."/>
      <w:lvlJc w:val="right"/>
      <w:pPr>
        <w:ind w:left="7917" w:hanging="180"/>
      </w:pPr>
    </w:lvl>
  </w:abstractNum>
  <w:abstractNum w:abstractNumId="32" w15:restartNumberingAfterBreak="0">
    <w:nsid w:val="78A22160"/>
    <w:multiLevelType w:val="hybridMultilevel"/>
    <w:tmpl w:val="D17C23F8"/>
    <w:lvl w:ilvl="0" w:tplc="FFFFFFFF">
      <w:start w:val="1"/>
      <w:numFmt w:val="decimal"/>
      <w:lvlText w:val="%1."/>
      <w:lvlJc w:val="left"/>
      <w:pPr>
        <w:ind w:left="1069" w:hanging="360"/>
      </w:pPr>
    </w:lvl>
    <w:lvl w:ilvl="1" w:tplc="FFFFFFFF">
      <w:start w:val="1"/>
      <w:numFmt w:val="lowerLetter"/>
      <w:lvlText w:val="%2."/>
      <w:lvlJc w:val="left"/>
      <w:pPr>
        <w:ind w:left="2877" w:hanging="360"/>
      </w:pPr>
    </w:lvl>
    <w:lvl w:ilvl="2" w:tplc="FFFFFFFF" w:tentative="1">
      <w:start w:val="1"/>
      <w:numFmt w:val="lowerRoman"/>
      <w:lvlText w:val="%3."/>
      <w:lvlJc w:val="right"/>
      <w:pPr>
        <w:ind w:left="3597" w:hanging="180"/>
      </w:pPr>
    </w:lvl>
    <w:lvl w:ilvl="3" w:tplc="FFFFFFFF" w:tentative="1">
      <w:start w:val="1"/>
      <w:numFmt w:val="decimal"/>
      <w:lvlText w:val="%4."/>
      <w:lvlJc w:val="left"/>
      <w:pPr>
        <w:ind w:left="4317" w:hanging="360"/>
      </w:pPr>
    </w:lvl>
    <w:lvl w:ilvl="4" w:tplc="FFFFFFFF" w:tentative="1">
      <w:start w:val="1"/>
      <w:numFmt w:val="lowerLetter"/>
      <w:lvlText w:val="%5."/>
      <w:lvlJc w:val="left"/>
      <w:pPr>
        <w:ind w:left="5037" w:hanging="360"/>
      </w:pPr>
    </w:lvl>
    <w:lvl w:ilvl="5" w:tplc="FFFFFFFF" w:tentative="1">
      <w:start w:val="1"/>
      <w:numFmt w:val="lowerRoman"/>
      <w:lvlText w:val="%6."/>
      <w:lvlJc w:val="right"/>
      <w:pPr>
        <w:ind w:left="5757" w:hanging="180"/>
      </w:pPr>
    </w:lvl>
    <w:lvl w:ilvl="6" w:tplc="FFFFFFFF" w:tentative="1">
      <w:start w:val="1"/>
      <w:numFmt w:val="decimal"/>
      <w:lvlText w:val="%7."/>
      <w:lvlJc w:val="left"/>
      <w:pPr>
        <w:ind w:left="6477" w:hanging="360"/>
      </w:pPr>
    </w:lvl>
    <w:lvl w:ilvl="7" w:tplc="FFFFFFFF" w:tentative="1">
      <w:start w:val="1"/>
      <w:numFmt w:val="lowerLetter"/>
      <w:lvlText w:val="%8."/>
      <w:lvlJc w:val="left"/>
      <w:pPr>
        <w:ind w:left="7197" w:hanging="360"/>
      </w:pPr>
    </w:lvl>
    <w:lvl w:ilvl="8" w:tplc="FFFFFFFF" w:tentative="1">
      <w:start w:val="1"/>
      <w:numFmt w:val="lowerRoman"/>
      <w:lvlText w:val="%9."/>
      <w:lvlJc w:val="right"/>
      <w:pPr>
        <w:ind w:left="7917" w:hanging="180"/>
      </w:pPr>
    </w:lvl>
  </w:abstractNum>
  <w:abstractNum w:abstractNumId="33" w15:restartNumberingAfterBreak="0">
    <w:nsid w:val="78CD32F9"/>
    <w:multiLevelType w:val="hybridMultilevel"/>
    <w:tmpl w:val="F8C097EE"/>
    <w:lvl w:ilvl="0" w:tplc="4EF43DE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1783552">
    <w:abstractNumId w:val="25"/>
  </w:num>
  <w:num w:numId="2" w16cid:durableId="1260530804">
    <w:abstractNumId w:val="3"/>
  </w:num>
  <w:num w:numId="3" w16cid:durableId="187792190">
    <w:abstractNumId w:val="21"/>
  </w:num>
  <w:num w:numId="4" w16cid:durableId="1030835278">
    <w:abstractNumId w:val="19"/>
  </w:num>
  <w:num w:numId="5" w16cid:durableId="542012921">
    <w:abstractNumId w:val="0"/>
  </w:num>
  <w:num w:numId="6" w16cid:durableId="1084836186">
    <w:abstractNumId w:val="14"/>
  </w:num>
  <w:num w:numId="7" w16cid:durableId="2002074960">
    <w:abstractNumId w:val="20"/>
  </w:num>
  <w:num w:numId="8" w16cid:durableId="1602181265">
    <w:abstractNumId w:val="30"/>
  </w:num>
  <w:num w:numId="9" w16cid:durableId="1706980225">
    <w:abstractNumId w:val="7"/>
  </w:num>
  <w:num w:numId="10" w16cid:durableId="626084932">
    <w:abstractNumId w:val="28"/>
  </w:num>
  <w:num w:numId="11" w16cid:durableId="1777752762">
    <w:abstractNumId w:val="14"/>
    <w:lvlOverride w:ilvl="0">
      <w:startOverride w:val="1"/>
    </w:lvlOverride>
  </w:num>
  <w:num w:numId="12" w16cid:durableId="1047724899">
    <w:abstractNumId w:val="30"/>
    <w:lvlOverride w:ilvl="0">
      <w:startOverride w:val="1"/>
    </w:lvlOverride>
  </w:num>
  <w:num w:numId="13" w16cid:durableId="499584979">
    <w:abstractNumId w:val="19"/>
    <w:lvlOverride w:ilvl="0">
      <w:startOverride w:val="1"/>
    </w:lvlOverride>
  </w:num>
  <w:num w:numId="14" w16cid:durableId="1163009442">
    <w:abstractNumId w:val="16"/>
  </w:num>
  <w:num w:numId="15" w16cid:durableId="1848014292">
    <w:abstractNumId w:val="8"/>
  </w:num>
  <w:num w:numId="16" w16cid:durableId="1826972433">
    <w:abstractNumId w:val="15"/>
  </w:num>
  <w:num w:numId="17" w16cid:durableId="787361167">
    <w:abstractNumId w:val="10"/>
  </w:num>
  <w:num w:numId="18" w16cid:durableId="534849054">
    <w:abstractNumId w:val="19"/>
    <w:lvlOverride w:ilvl="0">
      <w:startOverride w:val="1"/>
    </w:lvlOverride>
  </w:num>
  <w:num w:numId="19" w16cid:durableId="1237201939">
    <w:abstractNumId w:val="14"/>
    <w:lvlOverride w:ilvl="0">
      <w:startOverride w:val="1"/>
    </w:lvlOverride>
  </w:num>
  <w:num w:numId="20" w16cid:durableId="1606425145">
    <w:abstractNumId w:val="14"/>
    <w:lvlOverride w:ilvl="0">
      <w:startOverride w:val="1"/>
    </w:lvlOverride>
  </w:num>
  <w:num w:numId="21" w16cid:durableId="472480179">
    <w:abstractNumId w:val="12"/>
  </w:num>
  <w:num w:numId="22" w16cid:durableId="388069941">
    <w:abstractNumId w:val="30"/>
    <w:lvlOverride w:ilvl="0">
      <w:startOverride w:val="1"/>
    </w:lvlOverride>
  </w:num>
  <w:num w:numId="23" w16cid:durableId="733699138">
    <w:abstractNumId w:val="14"/>
    <w:lvlOverride w:ilvl="0">
      <w:startOverride w:val="1"/>
    </w:lvlOverride>
  </w:num>
  <w:num w:numId="24" w16cid:durableId="1411389838">
    <w:abstractNumId w:val="30"/>
    <w:lvlOverride w:ilvl="0">
      <w:startOverride w:val="1"/>
    </w:lvlOverride>
  </w:num>
  <w:num w:numId="25" w16cid:durableId="1000699329">
    <w:abstractNumId w:val="14"/>
    <w:lvlOverride w:ilvl="0">
      <w:startOverride w:val="1"/>
    </w:lvlOverride>
  </w:num>
  <w:num w:numId="26" w16cid:durableId="1633946597">
    <w:abstractNumId w:val="30"/>
    <w:lvlOverride w:ilvl="0">
      <w:startOverride w:val="1"/>
    </w:lvlOverride>
  </w:num>
  <w:num w:numId="27" w16cid:durableId="1663124969">
    <w:abstractNumId w:val="28"/>
    <w:lvlOverride w:ilvl="0">
      <w:startOverride w:val="1"/>
    </w:lvlOverride>
  </w:num>
  <w:num w:numId="28" w16cid:durableId="1675179253">
    <w:abstractNumId w:val="14"/>
    <w:lvlOverride w:ilvl="0">
      <w:startOverride w:val="1"/>
    </w:lvlOverride>
  </w:num>
  <w:num w:numId="29" w16cid:durableId="788010015">
    <w:abstractNumId w:val="29"/>
  </w:num>
  <w:num w:numId="30" w16cid:durableId="2015377092">
    <w:abstractNumId w:val="19"/>
    <w:lvlOverride w:ilvl="0">
      <w:startOverride w:val="1"/>
    </w:lvlOverride>
  </w:num>
  <w:num w:numId="31" w16cid:durableId="1275552017">
    <w:abstractNumId w:val="30"/>
    <w:lvlOverride w:ilvl="0">
      <w:startOverride w:val="1"/>
    </w:lvlOverride>
  </w:num>
  <w:num w:numId="32" w16cid:durableId="264461288">
    <w:abstractNumId w:val="14"/>
    <w:lvlOverride w:ilvl="0">
      <w:startOverride w:val="1"/>
    </w:lvlOverride>
  </w:num>
  <w:num w:numId="33" w16cid:durableId="1663506933">
    <w:abstractNumId w:val="30"/>
    <w:lvlOverride w:ilvl="0">
      <w:startOverride w:val="1"/>
    </w:lvlOverride>
  </w:num>
  <w:num w:numId="34" w16cid:durableId="429661229">
    <w:abstractNumId w:val="14"/>
    <w:lvlOverride w:ilvl="0">
      <w:startOverride w:val="1"/>
    </w:lvlOverride>
  </w:num>
  <w:num w:numId="35" w16cid:durableId="1868711558">
    <w:abstractNumId w:val="30"/>
    <w:lvlOverride w:ilvl="0">
      <w:startOverride w:val="1"/>
    </w:lvlOverride>
  </w:num>
  <w:num w:numId="36" w16cid:durableId="1934429996">
    <w:abstractNumId w:val="14"/>
    <w:lvlOverride w:ilvl="0">
      <w:startOverride w:val="1"/>
    </w:lvlOverride>
  </w:num>
  <w:num w:numId="37" w16cid:durableId="1372000907">
    <w:abstractNumId w:val="19"/>
    <w:lvlOverride w:ilvl="0">
      <w:startOverride w:val="1"/>
    </w:lvlOverride>
  </w:num>
  <w:num w:numId="38" w16cid:durableId="1160344633">
    <w:abstractNumId w:val="14"/>
    <w:lvlOverride w:ilvl="0">
      <w:startOverride w:val="1"/>
    </w:lvlOverride>
  </w:num>
  <w:num w:numId="39" w16cid:durableId="1129788075">
    <w:abstractNumId w:val="30"/>
    <w:lvlOverride w:ilvl="0">
      <w:startOverride w:val="1"/>
    </w:lvlOverride>
  </w:num>
  <w:num w:numId="40" w16cid:durableId="1463385607">
    <w:abstractNumId w:val="28"/>
    <w:lvlOverride w:ilvl="0">
      <w:startOverride w:val="1"/>
    </w:lvlOverride>
  </w:num>
  <w:num w:numId="41" w16cid:durableId="1680886573">
    <w:abstractNumId w:val="14"/>
    <w:lvlOverride w:ilvl="0">
      <w:startOverride w:val="1"/>
    </w:lvlOverride>
  </w:num>
  <w:num w:numId="42" w16cid:durableId="1798992133">
    <w:abstractNumId w:val="30"/>
    <w:lvlOverride w:ilvl="0">
      <w:startOverride w:val="1"/>
    </w:lvlOverride>
  </w:num>
  <w:num w:numId="43" w16cid:durableId="2052342828">
    <w:abstractNumId w:val="14"/>
    <w:lvlOverride w:ilvl="0">
      <w:startOverride w:val="1"/>
    </w:lvlOverride>
  </w:num>
  <w:num w:numId="44" w16cid:durableId="1989553599">
    <w:abstractNumId w:val="30"/>
    <w:lvlOverride w:ilvl="0">
      <w:startOverride w:val="1"/>
    </w:lvlOverride>
  </w:num>
  <w:num w:numId="45" w16cid:durableId="1127242556">
    <w:abstractNumId w:val="22"/>
  </w:num>
  <w:num w:numId="46" w16cid:durableId="2034842757">
    <w:abstractNumId w:val="24"/>
  </w:num>
  <w:num w:numId="47" w16cid:durableId="1129204461">
    <w:abstractNumId w:val="14"/>
    <w:lvlOverride w:ilvl="0">
      <w:startOverride w:val="1"/>
    </w:lvlOverride>
  </w:num>
  <w:num w:numId="48" w16cid:durableId="1138719032">
    <w:abstractNumId w:val="30"/>
    <w:lvlOverride w:ilvl="0">
      <w:startOverride w:val="1"/>
    </w:lvlOverride>
  </w:num>
  <w:num w:numId="49" w16cid:durableId="1508901899">
    <w:abstractNumId w:val="30"/>
    <w:lvlOverride w:ilvl="0">
      <w:startOverride w:val="1"/>
    </w:lvlOverride>
  </w:num>
  <w:num w:numId="50" w16cid:durableId="1511262593">
    <w:abstractNumId w:val="11"/>
  </w:num>
  <w:num w:numId="51" w16cid:durableId="1746028366">
    <w:abstractNumId w:val="14"/>
    <w:lvlOverride w:ilvl="0">
      <w:startOverride w:val="1"/>
    </w:lvlOverride>
  </w:num>
  <w:num w:numId="52" w16cid:durableId="1883832347">
    <w:abstractNumId w:val="30"/>
    <w:lvlOverride w:ilvl="0">
      <w:startOverride w:val="1"/>
    </w:lvlOverride>
  </w:num>
  <w:num w:numId="53" w16cid:durableId="1983578301">
    <w:abstractNumId w:val="28"/>
    <w:lvlOverride w:ilvl="0">
      <w:startOverride w:val="1"/>
    </w:lvlOverride>
  </w:num>
  <w:num w:numId="54" w16cid:durableId="400370832">
    <w:abstractNumId w:val="18"/>
  </w:num>
  <w:num w:numId="55" w16cid:durableId="1465544142">
    <w:abstractNumId w:val="27"/>
  </w:num>
  <w:num w:numId="56" w16cid:durableId="45226027">
    <w:abstractNumId w:val="31"/>
  </w:num>
  <w:num w:numId="57" w16cid:durableId="2110268517">
    <w:abstractNumId w:val="26"/>
  </w:num>
  <w:num w:numId="58" w16cid:durableId="468858639">
    <w:abstractNumId w:val="6"/>
  </w:num>
  <w:num w:numId="59" w16cid:durableId="174273162">
    <w:abstractNumId w:val="2"/>
    <w:lvlOverride w:ilvl="0">
      <w:startOverride w:val="1"/>
    </w:lvlOverride>
  </w:num>
  <w:num w:numId="60" w16cid:durableId="989017448">
    <w:abstractNumId w:val="13"/>
    <w:lvlOverride w:ilvl="0">
      <w:startOverride w:val="1"/>
    </w:lvlOverride>
  </w:num>
  <w:num w:numId="61" w16cid:durableId="224688731">
    <w:abstractNumId w:val="4"/>
  </w:num>
  <w:num w:numId="62" w16cid:durableId="103621320">
    <w:abstractNumId w:val="5"/>
  </w:num>
  <w:num w:numId="63" w16cid:durableId="432895487">
    <w:abstractNumId w:val="32"/>
  </w:num>
  <w:num w:numId="64" w16cid:durableId="481509771">
    <w:abstractNumId w:val="1"/>
  </w:num>
  <w:num w:numId="65" w16cid:durableId="1773628159">
    <w:abstractNumId w:val="23"/>
  </w:num>
  <w:num w:numId="66" w16cid:durableId="2049142979">
    <w:abstractNumId w:val="14"/>
    <w:lvlOverride w:ilvl="0">
      <w:startOverride w:val="1"/>
    </w:lvlOverride>
  </w:num>
  <w:num w:numId="67" w16cid:durableId="1044985931">
    <w:abstractNumId w:val="30"/>
    <w:lvlOverride w:ilvl="0">
      <w:startOverride w:val="1"/>
    </w:lvlOverride>
  </w:num>
  <w:num w:numId="68" w16cid:durableId="467674442">
    <w:abstractNumId w:val="28"/>
    <w:lvlOverride w:ilvl="0">
      <w:startOverride w:val="1"/>
    </w:lvlOverride>
  </w:num>
  <w:num w:numId="69" w16cid:durableId="427312425">
    <w:abstractNumId w:val="19"/>
    <w:lvlOverride w:ilvl="0">
      <w:startOverride w:val="1"/>
    </w:lvlOverride>
  </w:num>
  <w:num w:numId="70" w16cid:durableId="117651092">
    <w:abstractNumId w:val="14"/>
    <w:lvlOverride w:ilvl="0">
      <w:startOverride w:val="1"/>
    </w:lvlOverride>
  </w:num>
  <w:num w:numId="71" w16cid:durableId="177041640">
    <w:abstractNumId w:val="30"/>
    <w:lvlOverride w:ilvl="0">
      <w:startOverride w:val="1"/>
    </w:lvlOverride>
  </w:num>
  <w:num w:numId="72" w16cid:durableId="132218114">
    <w:abstractNumId w:val="14"/>
    <w:lvlOverride w:ilvl="0">
      <w:startOverride w:val="1"/>
    </w:lvlOverride>
  </w:num>
  <w:num w:numId="73" w16cid:durableId="1473593633">
    <w:abstractNumId w:val="30"/>
    <w:lvlOverride w:ilvl="0">
      <w:startOverride w:val="1"/>
    </w:lvlOverride>
  </w:num>
  <w:num w:numId="74" w16cid:durableId="1088622001">
    <w:abstractNumId w:val="19"/>
    <w:lvlOverride w:ilvl="0">
      <w:startOverride w:val="1"/>
    </w:lvlOverride>
  </w:num>
  <w:num w:numId="75" w16cid:durableId="1123353503">
    <w:abstractNumId w:val="14"/>
    <w:lvlOverride w:ilvl="0">
      <w:startOverride w:val="1"/>
    </w:lvlOverride>
  </w:num>
  <w:num w:numId="76" w16cid:durableId="199779015">
    <w:abstractNumId w:val="30"/>
    <w:lvlOverride w:ilvl="0">
      <w:startOverride w:val="1"/>
    </w:lvlOverride>
  </w:num>
  <w:num w:numId="77" w16cid:durableId="1055736277">
    <w:abstractNumId w:val="28"/>
    <w:lvlOverride w:ilvl="0">
      <w:startOverride w:val="1"/>
    </w:lvlOverride>
  </w:num>
  <w:num w:numId="78" w16cid:durableId="519392103">
    <w:abstractNumId w:val="19"/>
    <w:lvlOverride w:ilvl="0">
      <w:startOverride w:val="1"/>
    </w:lvlOverride>
  </w:num>
  <w:num w:numId="79" w16cid:durableId="1463034095">
    <w:abstractNumId w:val="14"/>
    <w:lvlOverride w:ilvl="0">
      <w:startOverride w:val="1"/>
    </w:lvlOverride>
  </w:num>
  <w:num w:numId="80" w16cid:durableId="2109277391">
    <w:abstractNumId w:val="14"/>
    <w:lvlOverride w:ilvl="0">
      <w:startOverride w:val="1"/>
    </w:lvlOverride>
  </w:num>
  <w:num w:numId="81" w16cid:durableId="41103113">
    <w:abstractNumId w:val="30"/>
    <w:lvlOverride w:ilvl="0">
      <w:startOverride w:val="1"/>
    </w:lvlOverride>
  </w:num>
  <w:num w:numId="82" w16cid:durableId="1642617765">
    <w:abstractNumId w:val="14"/>
    <w:lvlOverride w:ilvl="0">
      <w:startOverride w:val="1"/>
    </w:lvlOverride>
  </w:num>
  <w:num w:numId="83" w16cid:durableId="1554850175">
    <w:abstractNumId w:val="28"/>
    <w:lvlOverride w:ilvl="0">
      <w:startOverride w:val="1"/>
    </w:lvlOverride>
  </w:num>
  <w:num w:numId="84" w16cid:durableId="521894306">
    <w:abstractNumId w:val="19"/>
    <w:lvlOverride w:ilvl="0">
      <w:startOverride w:val="1"/>
    </w:lvlOverride>
  </w:num>
  <w:num w:numId="85" w16cid:durableId="1639677498">
    <w:abstractNumId w:val="14"/>
    <w:lvlOverride w:ilvl="0">
      <w:startOverride w:val="1"/>
    </w:lvlOverride>
  </w:num>
  <w:num w:numId="86" w16cid:durableId="536165182">
    <w:abstractNumId w:val="30"/>
    <w:lvlOverride w:ilvl="0">
      <w:startOverride w:val="1"/>
    </w:lvlOverride>
  </w:num>
  <w:num w:numId="87" w16cid:durableId="333382782">
    <w:abstractNumId w:val="14"/>
    <w:lvlOverride w:ilvl="0">
      <w:startOverride w:val="1"/>
    </w:lvlOverride>
  </w:num>
  <w:num w:numId="88" w16cid:durableId="725102311">
    <w:abstractNumId w:val="30"/>
    <w:lvlOverride w:ilvl="0">
      <w:startOverride w:val="1"/>
    </w:lvlOverride>
  </w:num>
  <w:num w:numId="89" w16cid:durableId="500240562">
    <w:abstractNumId w:val="28"/>
    <w:lvlOverride w:ilvl="0">
      <w:startOverride w:val="1"/>
    </w:lvlOverride>
  </w:num>
  <w:num w:numId="90" w16cid:durableId="819156734">
    <w:abstractNumId w:val="19"/>
    <w:lvlOverride w:ilvl="0">
      <w:startOverride w:val="1"/>
    </w:lvlOverride>
  </w:num>
  <w:num w:numId="91" w16cid:durableId="279656047">
    <w:abstractNumId w:val="14"/>
    <w:lvlOverride w:ilvl="0">
      <w:startOverride w:val="1"/>
    </w:lvlOverride>
  </w:num>
  <w:num w:numId="92" w16cid:durableId="1178928223">
    <w:abstractNumId w:val="30"/>
    <w:lvlOverride w:ilvl="0">
      <w:startOverride w:val="1"/>
    </w:lvlOverride>
  </w:num>
  <w:num w:numId="93" w16cid:durableId="1771504572">
    <w:abstractNumId w:val="28"/>
    <w:lvlOverride w:ilvl="0">
      <w:startOverride w:val="1"/>
    </w:lvlOverride>
  </w:num>
  <w:num w:numId="94" w16cid:durableId="718212609">
    <w:abstractNumId w:val="9"/>
  </w:num>
  <w:num w:numId="95" w16cid:durableId="1923754586">
    <w:abstractNumId w:val="3"/>
    <w:lvlOverride w:ilvl="0">
      <w:startOverride w:val="1"/>
    </w:lvlOverride>
  </w:num>
  <w:num w:numId="96" w16cid:durableId="1140683430">
    <w:abstractNumId w:val="33"/>
  </w:num>
  <w:num w:numId="97" w16cid:durableId="672076002">
    <w:abstractNumId w:val="2"/>
  </w:num>
  <w:num w:numId="98" w16cid:durableId="1785421908">
    <w:abstractNumId w:val="13"/>
  </w:num>
  <w:num w:numId="99" w16cid:durableId="1432552550">
    <w:abstractNumId w:val="30"/>
    <w:lvlOverride w:ilvl="0">
      <w:startOverride w:val="1"/>
    </w:lvlOverride>
  </w:num>
  <w:num w:numId="100" w16cid:durableId="494687164">
    <w:abstractNumId w:val="30"/>
    <w:lvlOverride w:ilvl="0">
      <w:startOverride w:val="1"/>
    </w:lvlOverride>
  </w:num>
  <w:num w:numId="101" w16cid:durableId="1585915570">
    <w:abstractNumId w:val="14"/>
    <w:lvlOverride w:ilvl="0">
      <w:startOverride w:val="1"/>
    </w:lvlOverride>
  </w:num>
  <w:num w:numId="102" w16cid:durableId="1101337319">
    <w:abstractNumId w:val="19"/>
    <w:lvlOverride w:ilvl="0">
      <w:startOverride w:val="1"/>
    </w:lvlOverride>
  </w:num>
  <w:num w:numId="103" w16cid:durableId="1046220846">
    <w:abstractNumId w:val="14"/>
    <w:lvlOverride w:ilvl="0">
      <w:startOverride w:val="1"/>
    </w:lvlOverride>
  </w:num>
  <w:num w:numId="104" w16cid:durableId="1291934048">
    <w:abstractNumId w:val="30"/>
    <w:lvlOverride w:ilvl="0">
      <w:startOverride w:val="1"/>
    </w:lvlOverride>
  </w:num>
  <w:num w:numId="105" w16cid:durableId="2006394696">
    <w:abstractNumId w:val="30"/>
    <w:lvlOverride w:ilvl="0">
      <w:startOverride w:val="1"/>
    </w:lvlOverride>
  </w:num>
  <w:num w:numId="106" w16cid:durableId="577402679">
    <w:abstractNumId w:val="17"/>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2A6"/>
    <w:rsid w:val="00004279"/>
    <w:rsid w:val="00027BCA"/>
    <w:rsid w:val="00031EA3"/>
    <w:rsid w:val="000329A0"/>
    <w:rsid w:val="00040062"/>
    <w:rsid w:val="00040C9D"/>
    <w:rsid w:val="00041AAC"/>
    <w:rsid w:val="00041CBB"/>
    <w:rsid w:val="00047243"/>
    <w:rsid w:val="00055028"/>
    <w:rsid w:val="000619C2"/>
    <w:rsid w:val="00062868"/>
    <w:rsid w:val="00067A33"/>
    <w:rsid w:val="00067E94"/>
    <w:rsid w:val="00070D84"/>
    <w:rsid w:val="000740EA"/>
    <w:rsid w:val="00076F28"/>
    <w:rsid w:val="00080594"/>
    <w:rsid w:val="00081CDD"/>
    <w:rsid w:val="0008354B"/>
    <w:rsid w:val="000908DC"/>
    <w:rsid w:val="00090DE9"/>
    <w:rsid w:val="00094F0C"/>
    <w:rsid w:val="000A50D7"/>
    <w:rsid w:val="000B25F9"/>
    <w:rsid w:val="000B4CF1"/>
    <w:rsid w:val="000C55F2"/>
    <w:rsid w:val="000C5B6B"/>
    <w:rsid w:val="000C75AF"/>
    <w:rsid w:val="000D0105"/>
    <w:rsid w:val="000D028B"/>
    <w:rsid w:val="000D240F"/>
    <w:rsid w:val="000D715A"/>
    <w:rsid w:val="000D7D83"/>
    <w:rsid w:val="000D7E82"/>
    <w:rsid w:val="000E4258"/>
    <w:rsid w:val="000E452F"/>
    <w:rsid w:val="000F03E3"/>
    <w:rsid w:val="000F37FA"/>
    <w:rsid w:val="00112E6D"/>
    <w:rsid w:val="00114F01"/>
    <w:rsid w:val="00123545"/>
    <w:rsid w:val="0013152A"/>
    <w:rsid w:val="00132005"/>
    <w:rsid w:val="001320C0"/>
    <w:rsid w:val="00134BAE"/>
    <w:rsid w:val="00135522"/>
    <w:rsid w:val="00136E84"/>
    <w:rsid w:val="00141245"/>
    <w:rsid w:val="0016212D"/>
    <w:rsid w:val="00187026"/>
    <w:rsid w:val="00191453"/>
    <w:rsid w:val="001923C4"/>
    <w:rsid w:val="00196549"/>
    <w:rsid w:val="001A475D"/>
    <w:rsid w:val="001B38C3"/>
    <w:rsid w:val="001C1725"/>
    <w:rsid w:val="001C5016"/>
    <w:rsid w:val="001C5502"/>
    <w:rsid w:val="001D01D6"/>
    <w:rsid w:val="001D1577"/>
    <w:rsid w:val="001D205B"/>
    <w:rsid w:val="001D69E6"/>
    <w:rsid w:val="001D7974"/>
    <w:rsid w:val="001E10CE"/>
    <w:rsid w:val="001E132E"/>
    <w:rsid w:val="001E3782"/>
    <w:rsid w:val="001E3BC2"/>
    <w:rsid w:val="001F7FB3"/>
    <w:rsid w:val="00213757"/>
    <w:rsid w:val="002147CB"/>
    <w:rsid w:val="00215B2B"/>
    <w:rsid w:val="002350BB"/>
    <w:rsid w:val="002373ED"/>
    <w:rsid w:val="00246805"/>
    <w:rsid w:val="00260A6F"/>
    <w:rsid w:val="0026125A"/>
    <w:rsid w:val="00270CBA"/>
    <w:rsid w:val="0027430F"/>
    <w:rsid w:val="002765A0"/>
    <w:rsid w:val="00286FC7"/>
    <w:rsid w:val="00294ED2"/>
    <w:rsid w:val="002A2487"/>
    <w:rsid w:val="002A5668"/>
    <w:rsid w:val="002A7134"/>
    <w:rsid w:val="002B3741"/>
    <w:rsid w:val="002C0B06"/>
    <w:rsid w:val="002C0BEF"/>
    <w:rsid w:val="002D20E2"/>
    <w:rsid w:val="002D2F7F"/>
    <w:rsid w:val="002E5644"/>
    <w:rsid w:val="002F68F3"/>
    <w:rsid w:val="003100B6"/>
    <w:rsid w:val="00310ADB"/>
    <w:rsid w:val="00310CFA"/>
    <w:rsid w:val="00315A5D"/>
    <w:rsid w:val="00321BD4"/>
    <w:rsid w:val="00321C3C"/>
    <w:rsid w:val="00322595"/>
    <w:rsid w:val="00330691"/>
    <w:rsid w:val="00335474"/>
    <w:rsid w:val="0034117E"/>
    <w:rsid w:val="00345F63"/>
    <w:rsid w:val="0034606B"/>
    <w:rsid w:val="00346CE0"/>
    <w:rsid w:val="003472A3"/>
    <w:rsid w:val="00355D5A"/>
    <w:rsid w:val="00357405"/>
    <w:rsid w:val="00365542"/>
    <w:rsid w:val="00365C5D"/>
    <w:rsid w:val="00367E4A"/>
    <w:rsid w:val="00367F1E"/>
    <w:rsid w:val="00372CC8"/>
    <w:rsid w:val="003812EC"/>
    <w:rsid w:val="00387B42"/>
    <w:rsid w:val="003912BA"/>
    <w:rsid w:val="00391B30"/>
    <w:rsid w:val="00393AB0"/>
    <w:rsid w:val="00393ABB"/>
    <w:rsid w:val="003A4B89"/>
    <w:rsid w:val="003C7055"/>
    <w:rsid w:val="003D35A0"/>
    <w:rsid w:val="003D35C0"/>
    <w:rsid w:val="003D3A78"/>
    <w:rsid w:val="003E5425"/>
    <w:rsid w:val="003F269B"/>
    <w:rsid w:val="003F2B9E"/>
    <w:rsid w:val="003F7A26"/>
    <w:rsid w:val="004035EB"/>
    <w:rsid w:val="00406B70"/>
    <w:rsid w:val="004172C2"/>
    <w:rsid w:val="0042505F"/>
    <w:rsid w:val="00441153"/>
    <w:rsid w:val="004452C1"/>
    <w:rsid w:val="004470B9"/>
    <w:rsid w:val="004567C3"/>
    <w:rsid w:val="00465D85"/>
    <w:rsid w:val="00465ECC"/>
    <w:rsid w:val="004702C7"/>
    <w:rsid w:val="00470FEA"/>
    <w:rsid w:val="00472E9F"/>
    <w:rsid w:val="00474364"/>
    <w:rsid w:val="00486DF8"/>
    <w:rsid w:val="004900B3"/>
    <w:rsid w:val="004923F1"/>
    <w:rsid w:val="00494522"/>
    <w:rsid w:val="00495F6D"/>
    <w:rsid w:val="004A1E3A"/>
    <w:rsid w:val="004A7E71"/>
    <w:rsid w:val="004B592B"/>
    <w:rsid w:val="004C04D8"/>
    <w:rsid w:val="004C0DB8"/>
    <w:rsid w:val="004C70E6"/>
    <w:rsid w:val="004C7498"/>
    <w:rsid w:val="004D0610"/>
    <w:rsid w:val="004D0B6A"/>
    <w:rsid w:val="004E3F7F"/>
    <w:rsid w:val="004E5036"/>
    <w:rsid w:val="004F3A2F"/>
    <w:rsid w:val="00500938"/>
    <w:rsid w:val="0050181D"/>
    <w:rsid w:val="00511581"/>
    <w:rsid w:val="00514462"/>
    <w:rsid w:val="005205CD"/>
    <w:rsid w:val="00523A16"/>
    <w:rsid w:val="00526B4D"/>
    <w:rsid w:val="00527168"/>
    <w:rsid w:val="00536A47"/>
    <w:rsid w:val="0054380C"/>
    <w:rsid w:val="00543BEE"/>
    <w:rsid w:val="00545EFF"/>
    <w:rsid w:val="00552EA3"/>
    <w:rsid w:val="0056427D"/>
    <w:rsid w:val="005729CA"/>
    <w:rsid w:val="00574B8E"/>
    <w:rsid w:val="005A3968"/>
    <w:rsid w:val="005A4285"/>
    <w:rsid w:val="005A62A6"/>
    <w:rsid w:val="005B1292"/>
    <w:rsid w:val="005C5D2D"/>
    <w:rsid w:val="005C7799"/>
    <w:rsid w:val="005D7BC2"/>
    <w:rsid w:val="005F4267"/>
    <w:rsid w:val="005F4379"/>
    <w:rsid w:val="005F5C37"/>
    <w:rsid w:val="005F738C"/>
    <w:rsid w:val="00605DBF"/>
    <w:rsid w:val="006067C6"/>
    <w:rsid w:val="00611340"/>
    <w:rsid w:val="006255FC"/>
    <w:rsid w:val="00625C7B"/>
    <w:rsid w:val="00632CCB"/>
    <w:rsid w:val="00636BC5"/>
    <w:rsid w:val="006405DF"/>
    <w:rsid w:val="006473B8"/>
    <w:rsid w:val="00652FD0"/>
    <w:rsid w:val="00653582"/>
    <w:rsid w:val="0065397A"/>
    <w:rsid w:val="00657508"/>
    <w:rsid w:val="006578A7"/>
    <w:rsid w:val="00663872"/>
    <w:rsid w:val="006758A1"/>
    <w:rsid w:val="006848BD"/>
    <w:rsid w:val="00685458"/>
    <w:rsid w:val="00690DA0"/>
    <w:rsid w:val="006937C6"/>
    <w:rsid w:val="00694708"/>
    <w:rsid w:val="00694C07"/>
    <w:rsid w:val="00697657"/>
    <w:rsid w:val="006A16B1"/>
    <w:rsid w:val="006A76B8"/>
    <w:rsid w:val="006C210E"/>
    <w:rsid w:val="006C4C98"/>
    <w:rsid w:val="006C740D"/>
    <w:rsid w:val="006F05FA"/>
    <w:rsid w:val="0070138D"/>
    <w:rsid w:val="007029D0"/>
    <w:rsid w:val="007054E9"/>
    <w:rsid w:val="0070733B"/>
    <w:rsid w:val="00714BF0"/>
    <w:rsid w:val="00727B32"/>
    <w:rsid w:val="00730ED2"/>
    <w:rsid w:val="00736BA0"/>
    <w:rsid w:val="0073711E"/>
    <w:rsid w:val="007428CC"/>
    <w:rsid w:val="007454A2"/>
    <w:rsid w:val="0075255E"/>
    <w:rsid w:val="00754BC7"/>
    <w:rsid w:val="00754DB3"/>
    <w:rsid w:val="00756275"/>
    <w:rsid w:val="00772B5F"/>
    <w:rsid w:val="007828FC"/>
    <w:rsid w:val="007864F9"/>
    <w:rsid w:val="007868D7"/>
    <w:rsid w:val="007A1DB6"/>
    <w:rsid w:val="007A26D3"/>
    <w:rsid w:val="007A287F"/>
    <w:rsid w:val="007A58CD"/>
    <w:rsid w:val="007B11E4"/>
    <w:rsid w:val="007B4123"/>
    <w:rsid w:val="007B4631"/>
    <w:rsid w:val="007B7FD7"/>
    <w:rsid w:val="007C5844"/>
    <w:rsid w:val="007C5937"/>
    <w:rsid w:val="007D356C"/>
    <w:rsid w:val="007E0F41"/>
    <w:rsid w:val="007E30E4"/>
    <w:rsid w:val="007E5721"/>
    <w:rsid w:val="007E5A0F"/>
    <w:rsid w:val="007E6B53"/>
    <w:rsid w:val="00800D1A"/>
    <w:rsid w:val="00816D7C"/>
    <w:rsid w:val="008254F4"/>
    <w:rsid w:val="0083151B"/>
    <w:rsid w:val="00841F01"/>
    <w:rsid w:val="00844671"/>
    <w:rsid w:val="008452A5"/>
    <w:rsid w:val="0084554B"/>
    <w:rsid w:val="00847B84"/>
    <w:rsid w:val="008620EF"/>
    <w:rsid w:val="00870222"/>
    <w:rsid w:val="00873605"/>
    <w:rsid w:val="00874230"/>
    <w:rsid w:val="008837DF"/>
    <w:rsid w:val="008868EA"/>
    <w:rsid w:val="00891256"/>
    <w:rsid w:val="00893227"/>
    <w:rsid w:val="00895392"/>
    <w:rsid w:val="00895644"/>
    <w:rsid w:val="00897BE1"/>
    <w:rsid w:val="008A3D46"/>
    <w:rsid w:val="008A5386"/>
    <w:rsid w:val="008A60C7"/>
    <w:rsid w:val="008B0790"/>
    <w:rsid w:val="008B3738"/>
    <w:rsid w:val="008B6896"/>
    <w:rsid w:val="008C0535"/>
    <w:rsid w:val="008C3B30"/>
    <w:rsid w:val="008C758A"/>
    <w:rsid w:val="008D0412"/>
    <w:rsid w:val="008D56C1"/>
    <w:rsid w:val="008D67F3"/>
    <w:rsid w:val="008E7A37"/>
    <w:rsid w:val="008F3C7A"/>
    <w:rsid w:val="009006B9"/>
    <w:rsid w:val="0090651A"/>
    <w:rsid w:val="009228CB"/>
    <w:rsid w:val="009240FF"/>
    <w:rsid w:val="00930A04"/>
    <w:rsid w:val="009346C1"/>
    <w:rsid w:val="00935D21"/>
    <w:rsid w:val="00941B0A"/>
    <w:rsid w:val="00954988"/>
    <w:rsid w:val="00954A40"/>
    <w:rsid w:val="00967631"/>
    <w:rsid w:val="00975F12"/>
    <w:rsid w:val="00997937"/>
    <w:rsid w:val="009A725A"/>
    <w:rsid w:val="009B0DE6"/>
    <w:rsid w:val="009B19FE"/>
    <w:rsid w:val="009E112E"/>
    <w:rsid w:val="009E1460"/>
    <w:rsid w:val="009E1DC1"/>
    <w:rsid w:val="009E2328"/>
    <w:rsid w:val="009E52F5"/>
    <w:rsid w:val="009F0034"/>
    <w:rsid w:val="009F0342"/>
    <w:rsid w:val="009F2753"/>
    <w:rsid w:val="00A007DD"/>
    <w:rsid w:val="00A0456D"/>
    <w:rsid w:val="00A1434B"/>
    <w:rsid w:val="00A152AE"/>
    <w:rsid w:val="00A25E41"/>
    <w:rsid w:val="00A37D17"/>
    <w:rsid w:val="00A37E54"/>
    <w:rsid w:val="00A4314B"/>
    <w:rsid w:val="00A47049"/>
    <w:rsid w:val="00A615EA"/>
    <w:rsid w:val="00A6204B"/>
    <w:rsid w:val="00A634EE"/>
    <w:rsid w:val="00A74DED"/>
    <w:rsid w:val="00A80DE0"/>
    <w:rsid w:val="00A83577"/>
    <w:rsid w:val="00A85862"/>
    <w:rsid w:val="00A86A88"/>
    <w:rsid w:val="00A86FB5"/>
    <w:rsid w:val="00A87B16"/>
    <w:rsid w:val="00A9717C"/>
    <w:rsid w:val="00AA0EB5"/>
    <w:rsid w:val="00AB079F"/>
    <w:rsid w:val="00AB733A"/>
    <w:rsid w:val="00AC2575"/>
    <w:rsid w:val="00AC5189"/>
    <w:rsid w:val="00AD0FC2"/>
    <w:rsid w:val="00AE208D"/>
    <w:rsid w:val="00AE2770"/>
    <w:rsid w:val="00AF04FE"/>
    <w:rsid w:val="00B02C85"/>
    <w:rsid w:val="00B07AD7"/>
    <w:rsid w:val="00B11A55"/>
    <w:rsid w:val="00B14D38"/>
    <w:rsid w:val="00B21839"/>
    <w:rsid w:val="00B2339A"/>
    <w:rsid w:val="00B26FC2"/>
    <w:rsid w:val="00B319B9"/>
    <w:rsid w:val="00B400A2"/>
    <w:rsid w:val="00B555F4"/>
    <w:rsid w:val="00B6164C"/>
    <w:rsid w:val="00B617F2"/>
    <w:rsid w:val="00B65970"/>
    <w:rsid w:val="00B678CF"/>
    <w:rsid w:val="00B81C3D"/>
    <w:rsid w:val="00B820B9"/>
    <w:rsid w:val="00B82798"/>
    <w:rsid w:val="00B82810"/>
    <w:rsid w:val="00B93E05"/>
    <w:rsid w:val="00B93EB5"/>
    <w:rsid w:val="00BA0EE0"/>
    <w:rsid w:val="00BA6DA5"/>
    <w:rsid w:val="00BA78C8"/>
    <w:rsid w:val="00BB02C4"/>
    <w:rsid w:val="00BC3350"/>
    <w:rsid w:val="00BD00A0"/>
    <w:rsid w:val="00BD080E"/>
    <w:rsid w:val="00BD7579"/>
    <w:rsid w:val="00BE0815"/>
    <w:rsid w:val="00BE0D0B"/>
    <w:rsid w:val="00BE4169"/>
    <w:rsid w:val="00BE6F8E"/>
    <w:rsid w:val="00BE7E09"/>
    <w:rsid w:val="00BE7E28"/>
    <w:rsid w:val="00BF1E3D"/>
    <w:rsid w:val="00BF2170"/>
    <w:rsid w:val="00BF2DA6"/>
    <w:rsid w:val="00BF708A"/>
    <w:rsid w:val="00C0400D"/>
    <w:rsid w:val="00C04D7C"/>
    <w:rsid w:val="00C128A8"/>
    <w:rsid w:val="00C13CC2"/>
    <w:rsid w:val="00C26068"/>
    <w:rsid w:val="00C26140"/>
    <w:rsid w:val="00C35B4D"/>
    <w:rsid w:val="00C52B06"/>
    <w:rsid w:val="00C57840"/>
    <w:rsid w:val="00C75971"/>
    <w:rsid w:val="00C807CE"/>
    <w:rsid w:val="00C81263"/>
    <w:rsid w:val="00C81B3E"/>
    <w:rsid w:val="00C95E91"/>
    <w:rsid w:val="00CA4021"/>
    <w:rsid w:val="00CB4FC8"/>
    <w:rsid w:val="00CC2575"/>
    <w:rsid w:val="00CC25A1"/>
    <w:rsid w:val="00CC449E"/>
    <w:rsid w:val="00CC5959"/>
    <w:rsid w:val="00CC733F"/>
    <w:rsid w:val="00CD25D3"/>
    <w:rsid w:val="00CD4B0C"/>
    <w:rsid w:val="00CE1E10"/>
    <w:rsid w:val="00D04163"/>
    <w:rsid w:val="00D16241"/>
    <w:rsid w:val="00D16761"/>
    <w:rsid w:val="00D243B6"/>
    <w:rsid w:val="00D4164A"/>
    <w:rsid w:val="00D534C6"/>
    <w:rsid w:val="00D55CDE"/>
    <w:rsid w:val="00D60F97"/>
    <w:rsid w:val="00D74BC2"/>
    <w:rsid w:val="00D82900"/>
    <w:rsid w:val="00D829DA"/>
    <w:rsid w:val="00D836AB"/>
    <w:rsid w:val="00D85CFD"/>
    <w:rsid w:val="00D95D93"/>
    <w:rsid w:val="00D96841"/>
    <w:rsid w:val="00DB3485"/>
    <w:rsid w:val="00DB40D8"/>
    <w:rsid w:val="00DB7E72"/>
    <w:rsid w:val="00DC40DB"/>
    <w:rsid w:val="00DC7133"/>
    <w:rsid w:val="00DD2428"/>
    <w:rsid w:val="00DE0400"/>
    <w:rsid w:val="00DE6400"/>
    <w:rsid w:val="00DF17C3"/>
    <w:rsid w:val="00DF2B8B"/>
    <w:rsid w:val="00E02FCB"/>
    <w:rsid w:val="00E061DA"/>
    <w:rsid w:val="00E07831"/>
    <w:rsid w:val="00E11007"/>
    <w:rsid w:val="00E120AD"/>
    <w:rsid w:val="00E23B44"/>
    <w:rsid w:val="00E30218"/>
    <w:rsid w:val="00E351AB"/>
    <w:rsid w:val="00E359A9"/>
    <w:rsid w:val="00E4091C"/>
    <w:rsid w:val="00E4367E"/>
    <w:rsid w:val="00E442BE"/>
    <w:rsid w:val="00E4458B"/>
    <w:rsid w:val="00E45B04"/>
    <w:rsid w:val="00E462C8"/>
    <w:rsid w:val="00E46EDA"/>
    <w:rsid w:val="00E61A62"/>
    <w:rsid w:val="00E6533F"/>
    <w:rsid w:val="00E71324"/>
    <w:rsid w:val="00E76012"/>
    <w:rsid w:val="00E766B8"/>
    <w:rsid w:val="00E86D19"/>
    <w:rsid w:val="00E91E46"/>
    <w:rsid w:val="00E96558"/>
    <w:rsid w:val="00E9737B"/>
    <w:rsid w:val="00EA0146"/>
    <w:rsid w:val="00EA1292"/>
    <w:rsid w:val="00EA2B23"/>
    <w:rsid w:val="00EA5FE3"/>
    <w:rsid w:val="00EA6633"/>
    <w:rsid w:val="00EA6F5D"/>
    <w:rsid w:val="00EA71B7"/>
    <w:rsid w:val="00EB24F3"/>
    <w:rsid w:val="00EB5500"/>
    <w:rsid w:val="00ED2BA5"/>
    <w:rsid w:val="00EE40E3"/>
    <w:rsid w:val="00EF319F"/>
    <w:rsid w:val="00EF785A"/>
    <w:rsid w:val="00F04FC3"/>
    <w:rsid w:val="00F06CC4"/>
    <w:rsid w:val="00F30315"/>
    <w:rsid w:val="00F37D5E"/>
    <w:rsid w:val="00F41495"/>
    <w:rsid w:val="00F41B0F"/>
    <w:rsid w:val="00F46A0A"/>
    <w:rsid w:val="00F605A7"/>
    <w:rsid w:val="00F61343"/>
    <w:rsid w:val="00F729F7"/>
    <w:rsid w:val="00F77D56"/>
    <w:rsid w:val="00F85CC6"/>
    <w:rsid w:val="00F871E7"/>
    <w:rsid w:val="00F94404"/>
    <w:rsid w:val="00FA0B1A"/>
    <w:rsid w:val="00FA4A9C"/>
    <w:rsid w:val="00FB69DA"/>
    <w:rsid w:val="00FC0C0B"/>
    <w:rsid w:val="00FC5B8F"/>
    <w:rsid w:val="00FC6BC6"/>
    <w:rsid w:val="00FD3315"/>
    <w:rsid w:val="00FE17A9"/>
    <w:rsid w:val="00FE40FD"/>
    <w:rsid w:val="00FE538E"/>
    <w:rsid w:val="00FF4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D53"/>
  <w15:chartTrackingRefBased/>
  <w15:docId w15:val="{F7C20FAA-A7E8-1048-BACF-21DCBDFF1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D5A"/>
    <w:pPr>
      <w:spacing w:after="240" w:line="360" w:lineRule="auto"/>
      <w:jc w:val="both"/>
    </w:pPr>
    <w:rPr>
      <w:rFonts w:ascii="Times New Roman" w:eastAsia="Times New Roman" w:hAnsi="Times New Roman" w:cs="Times New Roman"/>
      <w:kern w:val="0"/>
      <w:lang w:val="en-PH"/>
      <w14:ligatures w14:val="none"/>
    </w:rPr>
  </w:style>
  <w:style w:type="paragraph" w:styleId="Heading1">
    <w:name w:val="heading 1"/>
    <w:basedOn w:val="Normal"/>
    <w:next w:val="Normal"/>
    <w:link w:val="Heading1Char"/>
    <w:uiPriority w:val="9"/>
    <w:qFormat/>
    <w:rsid w:val="00B07AD7"/>
    <w:pPr>
      <w:pBdr>
        <w:top w:val="single" w:sz="4" w:space="1" w:color="auto"/>
        <w:bottom w:val="single" w:sz="4" w:space="1" w:color="auto"/>
      </w:pBdr>
      <w:spacing w:line="240" w:lineRule="auto"/>
      <w:jc w:val="center"/>
      <w:outlineLvl w:val="0"/>
    </w:pPr>
    <w:rPr>
      <w:b/>
      <w:caps/>
      <w:color w:val="000000"/>
    </w:rPr>
  </w:style>
  <w:style w:type="paragraph" w:styleId="Heading2">
    <w:name w:val="heading 2"/>
    <w:basedOn w:val="ListParagraph"/>
    <w:next w:val="Normal"/>
    <w:link w:val="Heading2Char"/>
    <w:uiPriority w:val="9"/>
    <w:unhideWhenUsed/>
    <w:qFormat/>
    <w:rsid w:val="00B07AD7"/>
    <w:pPr>
      <w:numPr>
        <w:numId w:val="2"/>
      </w:numPr>
      <w:ind w:left="360" w:hanging="360"/>
      <w:outlineLvl w:val="1"/>
    </w:pPr>
    <w:rPr>
      <w:b/>
      <w:caps/>
    </w:rPr>
  </w:style>
  <w:style w:type="paragraph" w:styleId="Heading3">
    <w:name w:val="heading 3"/>
    <w:basedOn w:val="Normal"/>
    <w:next w:val="Normal"/>
    <w:link w:val="Heading3Char"/>
    <w:uiPriority w:val="9"/>
    <w:unhideWhenUsed/>
    <w:qFormat/>
    <w:rsid w:val="00B07AD7"/>
    <w:pPr>
      <w:numPr>
        <w:numId w:val="4"/>
      </w:numPr>
      <w:shd w:val="clear" w:color="auto" w:fill="FFFFFF"/>
      <w:ind w:left="720"/>
      <w:outlineLvl w:val="2"/>
    </w:pPr>
    <w:rPr>
      <w:b/>
      <w:iCs/>
      <w:smallCaps/>
    </w:rPr>
  </w:style>
  <w:style w:type="paragraph" w:styleId="Heading4">
    <w:name w:val="heading 4"/>
    <w:basedOn w:val="Normal"/>
    <w:next w:val="Normal"/>
    <w:link w:val="Heading4Char"/>
    <w:uiPriority w:val="9"/>
    <w:unhideWhenUsed/>
    <w:qFormat/>
    <w:rsid w:val="00B07AD7"/>
    <w:pPr>
      <w:numPr>
        <w:numId w:val="6"/>
      </w:numPr>
      <w:ind w:left="1094"/>
      <w:outlineLvl w:val="3"/>
    </w:pPr>
    <w:rPr>
      <w:b/>
      <w:i/>
      <w:iCs/>
      <w:color w:val="000000"/>
    </w:rPr>
  </w:style>
  <w:style w:type="paragraph" w:styleId="Heading5">
    <w:name w:val="heading 5"/>
    <w:basedOn w:val="Heading4"/>
    <w:next w:val="Normal"/>
    <w:link w:val="Heading5Char"/>
    <w:uiPriority w:val="9"/>
    <w:unhideWhenUsed/>
    <w:qFormat/>
    <w:rsid w:val="00B07AD7"/>
    <w:pPr>
      <w:numPr>
        <w:numId w:val="8"/>
      </w:numPr>
      <w:ind w:left="1440"/>
      <w:outlineLvl w:val="4"/>
    </w:pPr>
    <w:rPr>
      <w:i w:val="0"/>
    </w:rPr>
  </w:style>
  <w:style w:type="paragraph" w:styleId="Heading6">
    <w:name w:val="heading 6"/>
    <w:basedOn w:val="Heading5"/>
    <w:next w:val="Normal"/>
    <w:link w:val="Heading6Char"/>
    <w:uiPriority w:val="9"/>
    <w:unhideWhenUsed/>
    <w:qFormat/>
    <w:rsid w:val="00B07AD7"/>
    <w:pPr>
      <w:numPr>
        <w:numId w:val="10"/>
      </w:numPr>
      <w:ind w:left="1800" w:hanging="360"/>
      <w:outlineLvl w:val="5"/>
    </w:pPr>
    <w:rPr>
      <w:b w:val="0"/>
      <w:u w:val="single"/>
    </w:rPr>
  </w:style>
  <w:style w:type="paragraph" w:styleId="Heading7">
    <w:name w:val="heading 7"/>
    <w:basedOn w:val="Normal"/>
    <w:next w:val="Normal"/>
    <w:link w:val="Heading7Char"/>
    <w:uiPriority w:val="9"/>
    <w:unhideWhenUsed/>
    <w:qFormat/>
    <w:rsid w:val="005A62A6"/>
    <w:pPr>
      <w:keepNext/>
      <w:keepLines/>
      <w:numPr>
        <w:numId w:val="14"/>
      </w:numPr>
      <w:outlineLvl w:val="6"/>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AD7"/>
    <w:rPr>
      <w:rFonts w:ascii="Times New Roman" w:eastAsia="Times New Roman" w:hAnsi="Times New Roman" w:cs="Times New Roman"/>
      <w:b/>
      <w:caps/>
      <w:color w:val="000000"/>
      <w:kern w:val="0"/>
      <w:lang w:val="en-PH"/>
      <w14:ligatures w14:val="none"/>
    </w:rPr>
  </w:style>
  <w:style w:type="character" w:customStyle="1" w:styleId="Heading2Char">
    <w:name w:val="Heading 2 Char"/>
    <w:basedOn w:val="DefaultParagraphFont"/>
    <w:link w:val="Heading2"/>
    <w:uiPriority w:val="9"/>
    <w:rsid w:val="00B07AD7"/>
    <w:rPr>
      <w:rFonts w:ascii="Times New Roman" w:eastAsia="Times New Roman" w:hAnsi="Times New Roman" w:cs="Times New Roman"/>
      <w:b/>
      <w:caps/>
      <w:kern w:val="0"/>
      <w:lang w:val="en-PH"/>
      <w14:ligatures w14:val="none"/>
    </w:rPr>
  </w:style>
  <w:style w:type="character" w:customStyle="1" w:styleId="Heading3Char">
    <w:name w:val="Heading 3 Char"/>
    <w:basedOn w:val="DefaultParagraphFont"/>
    <w:link w:val="Heading3"/>
    <w:uiPriority w:val="9"/>
    <w:rsid w:val="00B07AD7"/>
    <w:rPr>
      <w:rFonts w:ascii="Times New Roman" w:eastAsia="Times New Roman" w:hAnsi="Times New Roman" w:cs="Times New Roman"/>
      <w:b/>
      <w:iCs/>
      <w:smallCaps/>
      <w:kern w:val="0"/>
      <w:shd w:val="clear" w:color="auto" w:fill="FFFFFF"/>
      <w:lang w:val="en-PH"/>
      <w14:ligatures w14:val="none"/>
    </w:rPr>
  </w:style>
  <w:style w:type="character" w:customStyle="1" w:styleId="Heading4Char">
    <w:name w:val="Heading 4 Char"/>
    <w:basedOn w:val="DefaultParagraphFont"/>
    <w:link w:val="Heading4"/>
    <w:uiPriority w:val="9"/>
    <w:rsid w:val="00B07AD7"/>
    <w:rPr>
      <w:rFonts w:ascii="Times New Roman" w:eastAsia="Times New Roman" w:hAnsi="Times New Roman" w:cs="Times New Roman"/>
      <w:b/>
      <w:i/>
      <w:iCs/>
      <w:color w:val="000000"/>
      <w:kern w:val="0"/>
      <w:lang w:val="en-PH"/>
      <w14:ligatures w14:val="none"/>
    </w:rPr>
  </w:style>
  <w:style w:type="character" w:customStyle="1" w:styleId="Heading5Char">
    <w:name w:val="Heading 5 Char"/>
    <w:basedOn w:val="DefaultParagraphFont"/>
    <w:link w:val="Heading5"/>
    <w:uiPriority w:val="9"/>
    <w:rsid w:val="00B07AD7"/>
    <w:rPr>
      <w:rFonts w:ascii="Times New Roman" w:eastAsia="Times New Roman" w:hAnsi="Times New Roman" w:cs="Times New Roman"/>
      <w:b/>
      <w:iCs/>
      <w:color w:val="000000"/>
      <w:kern w:val="0"/>
      <w:lang w:val="en-PH"/>
      <w14:ligatures w14:val="none"/>
    </w:rPr>
  </w:style>
  <w:style w:type="character" w:customStyle="1" w:styleId="Heading6Char">
    <w:name w:val="Heading 6 Char"/>
    <w:basedOn w:val="DefaultParagraphFont"/>
    <w:link w:val="Heading6"/>
    <w:uiPriority w:val="9"/>
    <w:rsid w:val="00B07AD7"/>
    <w:rPr>
      <w:rFonts w:ascii="Times New Roman" w:eastAsia="Times New Roman" w:hAnsi="Times New Roman" w:cs="Times New Roman"/>
      <w:iCs/>
      <w:color w:val="000000"/>
      <w:kern w:val="0"/>
      <w:u w:val="single"/>
      <w:lang w:val="en-PH"/>
      <w14:ligatures w14:val="none"/>
    </w:rPr>
  </w:style>
  <w:style w:type="character" w:customStyle="1" w:styleId="Heading7Char">
    <w:name w:val="Heading 7 Char"/>
    <w:basedOn w:val="DefaultParagraphFont"/>
    <w:link w:val="Heading7"/>
    <w:uiPriority w:val="9"/>
    <w:rsid w:val="005A62A6"/>
    <w:rPr>
      <w:rFonts w:ascii="Times New Roman" w:eastAsiaTheme="majorEastAsia" w:hAnsi="Times New Roman" w:cstheme="majorBidi"/>
      <w:iCs/>
      <w:color w:val="000000" w:themeColor="text1"/>
      <w:kern w:val="0"/>
      <w:lang w:val="en-PH"/>
      <w14:ligatures w14:val="none"/>
    </w:rPr>
  </w:style>
  <w:style w:type="paragraph" w:styleId="Title">
    <w:name w:val="Title"/>
    <w:basedOn w:val="Heading1"/>
    <w:next w:val="Normal"/>
    <w:link w:val="TitleChar"/>
    <w:uiPriority w:val="10"/>
    <w:qFormat/>
    <w:rsid w:val="005A62A6"/>
    <w:rPr>
      <w:b w:val="0"/>
      <w:bCs/>
    </w:rPr>
  </w:style>
  <w:style w:type="character" w:customStyle="1" w:styleId="TitleChar">
    <w:name w:val="Title Char"/>
    <w:basedOn w:val="DefaultParagraphFont"/>
    <w:link w:val="Title"/>
    <w:uiPriority w:val="10"/>
    <w:rsid w:val="005A62A6"/>
    <w:rPr>
      <w:rFonts w:ascii="Times New Roman" w:eastAsia="Times New Roman" w:hAnsi="Times New Roman" w:cs="Times New Roman"/>
      <w:bCs/>
      <w:caps/>
      <w:color w:val="000000"/>
      <w:kern w:val="0"/>
      <w:lang w:val="en-PH"/>
      <w14:ligatures w14:val="none"/>
    </w:rPr>
  </w:style>
  <w:style w:type="paragraph" w:styleId="Subtitle">
    <w:name w:val="Subtitle"/>
    <w:basedOn w:val="Normal"/>
    <w:next w:val="Normal"/>
    <w:link w:val="SubtitleChar"/>
    <w:uiPriority w:val="11"/>
    <w:qFormat/>
    <w:rsid w:val="005A62A6"/>
    <w:pPr>
      <w:keepNext/>
      <w:keepLines/>
      <w:spacing w:after="320"/>
    </w:pPr>
    <w:rPr>
      <w:color w:val="666666"/>
      <w:sz w:val="30"/>
      <w:szCs w:val="30"/>
    </w:rPr>
  </w:style>
  <w:style w:type="character" w:customStyle="1" w:styleId="SubtitleChar">
    <w:name w:val="Subtitle Char"/>
    <w:basedOn w:val="DefaultParagraphFont"/>
    <w:link w:val="Subtitle"/>
    <w:uiPriority w:val="11"/>
    <w:rsid w:val="005A62A6"/>
    <w:rPr>
      <w:rFonts w:ascii="Times New Roman" w:eastAsia="Times New Roman" w:hAnsi="Times New Roman" w:cs="Times New Roman"/>
      <w:color w:val="666666"/>
      <w:kern w:val="0"/>
      <w:sz w:val="30"/>
      <w:szCs w:val="30"/>
      <w:lang w:val="en-PH"/>
      <w14:ligatures w14:val="none"/>
    </w:rPr>
  </w:style>
  <w:style w:type="paragraph" w:styleId="CommentText">
    <w:name w:val="annotation text"/>
    <w:basedOn w:val="Normal"/>
    <w:link w:val="CommentTextChar"/>
    <w:uiPriority w:val="99"/>
    <w:unhideWhenUsed/>
    <w:rsid w:val="005A62A6"/>
    <w:pPr>
      <w:spacing w:line="240" w:lineRule="auto"/>
    </w:pPr>
    <w:rPr>
      <w:sz w:val="20"/>
      <w:szCs w:val="20"/>
    </w:rPr>
  </w:style>
  <w:style w:type="character" w:customStyle="1" w:styleId="CommentTextChar">
    <w:name w:val="Comment Text Char"/>
    <w:basedOn w:val="DefaultParagraphFont"/>
    <w:link w:val="CommentText"/>
    <w:uiPriority w:val="99"/>
    <w:rsid w:val="005A62A6"/>
    <w:rPr>
      <w:rFonts w:ascii="Times New Roman" w:eastAsia="Times New Roman" w:hAnsi="Times New Roman" w:cs="Times New Roman"/>
      <w:kern w:val="0"/>
      <w:sz w:val="20"/>
      <w:szCs w:val="20"/>
      <w:lang w:val="en-PH"/>
      <w14:ligatures w14:val="none"/>
    </w:rPr>
  </w:style>
  <w:style w:type="character" w:styleId="CommentReference">
    <w:name w:val="annotation reference"/>
    <w:basedOn w:val="DefaultParagraphFont"/>
    <w:uiPriority w:val="99"/>
    <w:semiHidden/>
    <w:unhideWhenUsed/>
    <w:rsid w:val="005A62A6"/>
    <w:rPr>
      <w:sz w:val="16"/>
      <w:szCs w:val="16"/>
    </w:rPr>
  </w:style>
  <w:style w:type="paragraph" w:styleId="Header">
    <w:name w:val="header"/>
    <w:basedOn w:val="Normal"/>
    <w:link w:val="HeaderChar"/>
    <w:uiPriority w:val="99"/>
    <w:unhideWhenUsed/>
    <w:rsid w:val="005A62A6"/>
    <w:pPr>
      <w:tabs>
        <w:tab w:val="center" w:pos="4680"/>
        <w:tab w:val="right" w:pos="9360"/>
      </w:tabs>
      <w:spacing w:line="240" w:lineRule="auto"/>
    </w:pPr>
  </w:style>
  <w:style w:type="character" w:customStyle="1" w:styleId="HeaderChar">
    <w:name w:val="Header Char"/>
    <w:basedOn w:val="DefaultParagraphFont"/>
    <w:link w:val="Header"/>
    <w:uiPriority w:val="99"/>
    <w:rsid w:val="005A62A6"/>
    <w:rPr>
      <w:rFonts w:ascii="Times New Roman" w:eastAsia="Times New Roman" w:hAnsi="Times New Roman" w:cs="Times New Roman"/>
      <w:kern w:val="0"/>
      <w:lang w:val="en-PH"/>
      <w14:ligatures w14:val="none"/>
    </w:rPr>
  </w:style>
  <w:style w:type="paragraph" w:styleId="Footer">
    <w:name w:val="footer"/>
    <w:basedOn w:val="Normal"/>
    <w:link w:val="FooterChar"/>
    <w:uiPriority w:val="99"/>
    <w:unhideWhenUsed/>
    <w:rsid w:val="005A62A6"/>
    <w:pPr>
      <w:tabs>
        <w:tab w:val="center" w:pos="4680"/>
        <w:tab w:val="right" w:pos="9360"/>
      </w:tabs>
      <w:spacing w:line="240" w:lineRule="auto"/>
    </w:pPr>
  </w:style>
  <w:style w:type="character" w:customStyle="1" w:styleId="FooterChar">
    <w:name w:val="Footer Char"/>
    <w:basedOn w:val="DefaultParagraphFont"/>
    <w:link w:val="Footer"/>
    <w:uiPriority w:val="99"/>
    <w:rsid w:val="005A62A6"/>
    <w:rPr>
      <w:rFonts w:ascii="Times New Roman" w:eastAsia="Times New Roman" w:hAnsi="Times New Roman" w:cs="Times New Roman"/>
      <w:kern w:val="0"/>
      <w:lang w:val="en-PH"/>
      <w14:ligatures w14:val="none"/>
    </w:rPr>
  </w:style>
  <w:style w:type="paragraph" w:styleId="ListParagraph">
    <w:name w:val="List Paragraph"/>
    <w:basedOn w:val="Normal"/>
    <w:uiPriority w:val="34"/>
    <w:qFormat/>
    <w:rsid w:val="00B07AD7"/>
    <w:pPr>
      <w:ind w:left="720"/>
      <w:contextualSpacing/>
    </w:pPr>
  </w:style>
  <w:style w:type="paragraph" w:styleId="FootnoteText">
    <w:name w:val="footnote text"/>
    <w:aliases w:val="fn,Footnote ak,ft,fn cafc,Footnote Text Char1,fn Char Char,footnote text Char Char,Footnotes Char Char,Footnote ak Char Char,Footnote Text Char1 Char1,footnote citation,Footnote Text Char Char,fn Char1,Char,Char Char Char,Ch,footnote text"/>
    <w:basedOn w:val="Normal"/>
    <w:link w:val="FootnoteTextChar"/>
    <w:uiPriority w:val="99"/>
    <w:unhideWhenUsed/>
    <w:qFormat/>
    <w:rsid w:val="005A62A6"/>
    <w:pPr>
      <w:spacing w:line="240" w:lineRule="auto"/>
    </w:pPr>
    <w:rPr>
      <w:sz w:val="20"/>
      <w:szCs w:val="20"/>
    </w:rPr>
  </w:style>
  <w:style w:type="character" w:customStyle="1" w:styleId="FootnoteTextChar">
    <w:name w:val="Footnote Text Char"/>
    <w:aliases w:val="fn Char,Footnote ak Char,ft Char,fn cafc Char,Footnote Text Char1 Char,fn Char Char Char,footnote text Char Char Char,Footnotes Char Char Char,Footnote ak Char Char Char,Footnote Text Char1 Char1 Char,footnote citation Char,Char Char"/>
    <w:basedOn w:val="DefaultParagraphFont"/>
    <w:link w:val="FootnoteText"/>
    <w:uiPriority w:val="99"/>
    <w:qFormat/>
    <w:rsid w:val="005A62A6"/>
    <w:rPr>
      <w:rFonts w:ascii="Times New Roman" w:eastAsia="Times New Roman" w:hAnsi="Times New Roman" w:cs="Times New Roman"/>
      <w:kern w:val="0"/>
      <w:sz w:val="20"/>
      <w:szCs w:val="20"/>
      <w:lang w:val="en-PH"/>
      <w14:ligatures w14:val="none"/>
    </w:rPr>
  </w:style>
  <w:style w:type="character" w:styleId="FootnoteReference">
    <w:name w:val="footnote reference"/>
    <w:aliases w:val="Ref,de nota al pie,Footnote anchor,Style 5,4_G,註腳內容,de nota al pie + (Asian) MS Mincho,11 pt,FZ,Footnote Refernece,Footnote Reference Number,callout,Footnote Refernece + (Latein) Arial,10 pt,Blau,ftref,Footnote Number,Footnotes refss"/>
    <w:basedOn w:val="DefaultParagraphFont"/>
    <w:link w:val="FootnotesymbolCarZchnZchn"/>
    <w:uiPriority w:val="99"/>
    <w:unhideWhenUsed/>
    <w:qFormat/>
    <w:rsid w:val="005A62A6"/>
    <w:rPr>
      <w:vertAlign w:val="superscript"/>
    </w:rPr>
  </w:style>
  <w:style w:type="character" w:styleId="Hyperlink">
    <w:name w:val="Hyperlink"/>
    <w:basedOn w:val="DefaultParagraphFont"/>
    <w:uiPriority w:val="99"/>
    <w:unhideWhenUsed/>
    <w:rsid w:val="005A62A6"/>
    <w:rPr>
      <w:color w:val="0563C1" w:themeColor="hyperlink"/>
      <w:u w:val="single"/>
    </w:rPr>
  </w:style>
  <w:style w:type="character" w:styleId="UnresolvedMention">
    <w:name w:val="Unresolved Mention"/>
    <w:basedOn w:val="DefaultParagraphFont"/>
    <w:uiPriority w:val="99"/>
    <w:semiHidden/>
    <w:unhideWhenUsed/>
    <w:rsid w:val="005A62A6"/>
    <w:rPr>
      <w:color w:val="605E5C"/>
      <w:shd w:val="clear" w:color="auto" w:fill="E1DFDD"/>
    </w:rPr>
  </w:style>
  <w:style w:type="paragraph" w:styleId="NoSpacing">
    <w:name w:val="No Spacing"/>
    <w:aliases w:val="Footnotes"/>
    <w:basedOn w:val="FootnoteText"/>
    <w:uiPriority w:val="1"/>
    <w:qFormat/>
    <w:rsid w:val="005A62A6"/>
    <w:rPr>
      <w:lang w:val="en-US"/>
    </w:rPr>
  </w:style>
  <w:style w:type="character" w:styleId="FollowedHyperlink">
    <w:name w:val="FollowedHyperlink"/>
    <w:basedOn w:val="DefaultParagraphFont"/>
    <w:uiPriority w:val="99"/>
    <w:semiHidden/>
    <w:unhideWhenUsed/>
    <w:rsid w:val="005A62A6"/>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A62A6"/>
    <w:rPr>
      <w:b/>
      <w:bCs/>
    </w:rPr>
  </w:style>
  <w:style w:type="character" w:customStyle="1" w:styleId="CommentSubjectChar">
    <w:name w:val="Comment Subject Char"/>
    <w:basedOn w:val="CommentTextChar"/>
    <w:link w:val="CommentSubject"/>
    <w:uiPriority w:val="99"/>
    <w:semiHidden/>
    <w:rsid w:val="005A62A6"/>
    <w:rPr>
      <w:rFonts w:ascii="Times New Roman" w:eastAsia="Times New Roman" w:hAnsi="Times New Roman" w:cs="Times New Roman"/>
      <w:b/>
      <w:bCs/>
      <w:kern w:val="0"/>
      <w:sz w:val="20"/>
      <w:szCs w:val="20"/>
      <w:lang w:val="en-PH"/>
      <w14:ligatures w14:val="none"/>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
    <w:basedOn w:val="Normal"/>
    <w:link w:val="FootnoteReference"/>
    <w:uiPriority w:val="99"/>
    <w:rsid w:val="005A62A6"/>
    <w:pPr>
      <w:suppressAutoHyphens/>
      <w:spacing w:after="160" w:line="240" w:lineRule="exact"/>
    </w:pPr>
    <w:rPr>
      <w:rFonts w:asciiTheme="minorHAnsi" w:eastAsiaTheme="minorHAnsi" w:hAnsiTheme="minorHAnsi" w:cstheme="minorBidi"/>
      <w:kern w:val="2"/>
      <w:vertAlign w:val="superscript"/>
      <w:lang w:val="en-US"/>
      <w14:ligatures w14:val="standardContextual"/>
    </w:rPr>
  </w:style>
  <w:style w:type="paragraph" w:styleId="NormalWeb">
    <w:name w:val="Normal (Web)"/>
    <w:basedOn w:val="Normal"/>
    <w:uiPriority w:val="99"/>
    <w:unhideWhenUsed/>
    <w:rsid w:val="005A62A6"/>
    <w:pPr>
      <w:spacing w:line="240" w:lineRule="auto"/>
      <w:jc w:val="left"/>
    </w:pPr>
  </w:style>
  <w:style w:type="paragraph" w:styleId="Revision">
    <w:name w:val="Revision"/>
    <w:hidden/>
    <w:uiPriority w:val="99"/>
    <w:semiHidden/>
    <w:rsid w:val="005A62A6"/>
    <w:rPr>
      <w:rFonts w:ascii="Times New Roman" w:eastAsia="Times New Roman" w:hAnsi="Times New Roman" w:cs="Times New Roman"/>
      <w:kern w:val="0"/>
      <w:lang w:val="en"/>
      <w14:ligatures w14:val="none"/>
    </w:rPr>
  </w:style>
  <w:style w:type="table" w:styleId="TableGrid">
    <w:name w:val="Table Grid"/>
    <w:basedOn w:val="TableNormal"/>
    <w:uiPriority w:val="59"/>
    <w:rsid w:val="005A62A6"/>
    <w:rPr>
      <w:rFonts w:ascii="Cambria" w:eastAsia="MS Mincho" w:hAnsi="Cambria" w:cs="Times New Roman"/>
      <w:kern w:val="0"/>
      <w:lang w:val="en-P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A62A6"/>
    <w:rPr>
      <w:b/>
      <w:bCs/>
    </w:rPr>
  </w:style>
  <w:style w:type="character" w:styleId="PageNumber">
    <w:name w:val="page number"/>
    <w:basedOn w:val="DefaultParagraphFont"/>
    <w:uiPriority w:val="99"/>
    <w:semiHidden/>
    <w:unhideWhenUsed/>
    <w:rsid w:val="005A62A6"/>
  </w:style>
  <w:style w:type="character" w:customStyle="1" w:styleId="s7d2086b4">
    <w:name w:val="s7d2086b4"/>
    <w:basedOn w:val="DefaultParagraphFont"/>
    <w:rsid w:val="005A62A6"/>
  </w:style>
  <w:style w:type="paragraph" w:customStyle="1" w:styleId="Default">
    <w:name w:val="Default"/>
    <w:rsid w:val="005A62A6"/>
    <w:pPr>
      <w:autoSpaceDE w:val="0"/>
      <w:autoSpaceDN w:val="0"/>
      <w:adjustRightInd w:val="0"/>
    </w:pPr>
    <w:rPr>
      <w:rFonts w:ascii="Deja Vu Serif" w:hAnsi="Deja Vu Serif" w:cs="Deja Vu Serif"/>
      <w:color w:val="000000"/>
      <w:kern w:val="0"/>
      <w14:ligatures w14:val="none"/>
    </w:rPr>
  </w:style>
  <w:style w:type="character" w:customStyle="1" w:styleId="sb8d990e2">
    <w:name w:val="sb8d990e2"/>
    <w:basedOn w:val="DefaultParagraphFont"/>
    <w:rsid w:val="005A62A6"/>
  </w:style>
  <w:style w:type="character" w:customStyle="1" w:styleId="s6b621b36">
    <w:name w:val="s6b621b36"/>
    <w:basedOn w:val="DefaultParagraphFont"/>
    <w:rsid w:val="005A62A6"/>
  </w:style>
  <w:style w:type="character" w:customStyle="1" w:styleId="apple-tab-span">
    <w:name w:val="apple-tab-span"/>
    <w:basedOn w:val="DefaultParagraphFont"/>
    <w:rsid w:val="005A62A6"/>
  </w:style>
  <w:style w:type="numbering" w:customStyle="1" w:styleId="CurrentList1">
    <w:name w:val="Current List1"/>
    <w:uiPriority w:val="99"/>
    <w:rsid w:val="005A62A6"/>
    <w:pPr>
      <w:numPr>
        <w:numId w:val="1"/>
      </w:numPr>
    </w:pPr>
  </w:style>
  <w:style w:type="numbering" w:customStyle="1" w:styleId="CurrentList2">
    <w:name w:val="Current List2"/>
    <w:uiPriority w:val="99"/>
    <w:rsid w:val="005A62A6"/>
    <w:pPr>
      <w:numPr>
        <w:numId w:val="3"/>
      </w:numPr>
    </w:pPr>
  </w:style>
  <w:style w:type="numbering" w:customStyle="1" w:styleId="CurrentList3">
    <w:name w:val="Current List3"/>
    <w:uiPriority w:val="99"/>
    <w:rsid w:val="005A62A6"/>
    <w:pPr>
      <w:numPr>
        <w:numId w:val="5"/>
      </w:numPr>
    </w:pPr>
  </w:style>
  <w:style w:type="numbering" w:customStyle="1" w:styleId="CurrentList4">
    <w:name w:val="Current List4"/>
    <w:uiPriority w:val="99"/>
    <w:rsid w:val="005A62A6"/>
    <w:pPr>
      <w:numPr>
        <w:numId w:val="7"/>
      </w:numPr>
    </w:pPr>
  </w:style>
  <w:style w:type="numbering" w:customStyle="1" w:styleId="CurrentList5">
    <w:name w:val="Current List5"/>
    <w:uiPriority w:val="99"/>
    <w:rsid w:val="005A62A6"/>
    <w:pPr>
      <w:numPr>
        <w:numId w:val="9"/>
      </w:numPr>
    </w:pPr>
  </w:style>
  <w:style w:type="character" w:styleId="Emphasis">
    <w:name w:val="Emphasis"/>
    <w:basedOn w:val="DefaultParagraphFont"/>
    <w:uiPriority w:val="20"/>
    <w:qFormat/>
    <w:rsid w:val="005A62A6"/>
    <w:rPr>
      <w:i/>
      <w:iCs/>
    </w:rPr>
  </w:style>
  <w:style w:type="paragraph" w:styleId="TOC1">
    <w:name w:val="toc 1"/>
    <w:basedOn w:val="Normal"/>
    <w:next w:val="Normal"/>
    <w:autoRedefine/>
    <w:uiPriority w:val="39"/>
    <w:unhideWhenUsed/>
    <w:rsid w:val="00DB7E72"/>
    <w:pPr>
      <w:spacing w:after="120" w:line="240" w:lineRule="auto"/>
      <w:ind w:left="284" w:hanging="284"/>
      <w:jc w:val="left"/>
    </w:pPr>
    <w:rPr>
      <w:b/>
      <w:bCs/>
      <w:iCs/>
      <w:caps/>
    </w:rPr>
  </w:style>
  <w:style w:type="paragraph" w:styleId="TOC2">
    <w:name w:val="toc 2"/>
    <w:basedOn w:val="Normal"/>
    <w:next w:val="Normal"/>
    <w:autoRedefine/>
    <w:uiPriority w:val="39"/>
    <w:unhideWhenUsed/>
    <w:rsid w:val="00DB7E72"/>
    <w:pPr>
      <w:spacing w:after="120" w:line="240" w:lineRule="auto"/>
      <w:ind w:left="284" w:hanging="284"/>
    </w:pPr>
    <w:rPr>
      <w:b/>
      <w:bCs/>
      <w:caps/>
      <w:szCs w:val="22"/>
    </w:rPr>
  </w:style>
  <w:style w:type="paragraph" w:styleId="TOC3">
    <w:name w:val="toc 3"/>
    <w:basedOn w:val="Normal"/>
    <w:next w:val="Normal"/>
    <w:autoRedefine/>
    <w:uiPriority w:val="39"/>
    <w:unhideWhenUsed/>
    <w:rsid w:val="00DB7E72"/>
    <w:pPr>
      <w:spacing w:after="120" w:line="240" w:lineRule="auto"/>
      <w:ind w:left="641" w:hanging="284"/>
    </w:pPr>
    <w:rPr>
      <w:rFonts w:ascii="Times New Roman Bold" w:hAnsi="Times New Roman Bold"/>
      <w:b/>
      <w:i/>
      <w:szCs w:val="20"/>
    </w:rPr>
  </w:style>
  <w:style w:type="paragraph" w:styleId="TOC4">
    <w:name w:val="toc 4"/>
    <w:basedOn w:val="Normal"/>
    <w:next w:val="Normal"/>
    <w:autoRedefine/>
    <w:uiPriority w:val="39"/>
    <w:unhideWhenUsed/>
    <w:rsid w:val="00DB7E72"/>
    <w:pPr>
      <w:spacing w:after="120" w:line="240" w:lineRule="auto"/>
      <w:ind w:left="1021" w:hanging="284"/>
    </w:pPr>
    <w:rPr>
      <w:b/>
      <w:szCs w:val="20"/>
    </w:rPr>
  </w:style>
  <w:style w:type="paragraph" w:styleId="TOC5">
    <w:name w:val="toc 5"/>
    <w:basedOn w:val="Normal"/>
    <w:next w:val="Normal"/>
    <w:autoRedefine/>
    <w:uiPriority w:val="39"/>
    <w:unhideWhenUsed/>
    <w:rsid w:val="00DB7E72"/>
    <w:pPr>
      <w:spacing w:after="120" w:line="240" w:lineRule="auto"/>
      <w:ind w:left="1361" w:hanging="284"/>
    </w:pPr>
    <w:rPr>
      <w:rFonts w:ascii="Times" w:hAnsi="Times"/>
      <w:b/>
      <w:szCs w:val="20"/>
    </w:rPr>
  </w:style>
  <w:style w:type="paragraph" w:styleId="TOC6">
    <w:name w:val="toc 6"/>
    <w:basedOn w:val="Normal"/>
    <w:next w:val="Normal"/>
    <w:autoRedefine/>
    <w:uiPriority w:val="39"/>
    <w:unhideWhenUsed/>
    <w:rsid w:val="005A62A6"/>
    <w:pPr>
      <w:spacing w:after="0"/>
      <w:ind w:left="1200"/>
      <w:jc w:val="left"/>
    </w:pPr>
    <w:rPr>
      <w:rFonts w:asciiTheme="minorHAnsi" w:hAnsiTheme="minorHAnsi"/>
      <w:sz w:val="20"/>
      <w:szCs w:val="20"/>
    </w:rPr>
  </w:style>
  <w:style w:type="paragraph" w:styleId="TOC7">
    <w:name w:val="toc 7"/>
    <w:basedOn w:val="Normal"/>
    <w:next w:val="Normal"/>
    <w:autoRedefine/>
    <w:uiPriority w:val="39"/>
    <w:unhideWhenUsed/>
    <w:rsid w:val="005A62A6"/>
    <w:pPr>
      <w:spacing w:after="0"/>
      <w:ind w:left="1440"/>
      <w:jc w:val="left"/>
    </w:pPr>
    <w:rPr>
      <w:rFonts w:asciiTheme="minorHAnsi" w:hAnsiTheme="minorHAnsi"/>
      <w:sz w:val="20"/>
      <w:szCs w:val="20"/>
    </w:rPr>
  </w:style>
  <w:style w:type="paragraph" w:styleId="TOC8">
    <w:name w:val="toc 8"/>
    <w:basedOn w:val="Normal"/>
    <w:next w:val="Normal"/>
    <w:autoRedefine/>
    <w:uiPriority w:val="39"/>
    <w:unhideWhenUsed/>
    <w:rsid w:val="005A62A6"/>
    <w:pPr>
      <w:spacing w:after="0"/>
      <w:ind w:left="1680"/>
      <w:jc w:val="left"/>
    </w:pPr>
    <w:rPr>
      <w:rFonts w:asciiTheme="minorHAnsi" w:hAnsiTheme="minorHAnsi"/>
      <w:sz w:val="20"/>
      <w:szCs w:val="20"/>
    </w:rPr>
  </w:style>
  <w:style w:type="paragraph" w:styleId="TOC9">
    <w:name w:val="toc 9"/>
    <w:basedOn w:val="Normal"/>
    <w:next w:val="Normal"/>
    <w:autoRedefine/>
    <w:uiPriority w:val="39"/>
    <w:unhideWhenUsed/>
    <w:rsid w:val="005A62A6"/>
    <w:pPr>
      <w:spacing w:after="0"/>
      <w:ind w:left="1920"/>
      <w:jc w:val="left"/>
    </w:pPr>
    <w:rPr>
      <w:rFonts w:asciiTheme="minorHAnsi" w:hAnsiTheme="minorHAnsi"/>
      <w:sz w:val="20"/>
      <w:szCs w:val="20"/>
    </w:rPr>
  </w:style>
  <w:style w:type="character" w:customStyle="1" w:styleId="normaltextrun">
    <w:name w:val="normaltextrun"/>
    <w:basedOn w:val="DefaultParagraphFont"/>
    <w:rsid w:val="006578A7"/>
  </w:style>
  <w:style w:type="character" w:customStyle="1" w:styleId="eop">
    <w:name w:val="eop"/>
    <w:basedOn w:val="DefaultParagraphFont"/>
    <w:rsid w:val="006578A7"/>
  </w:style>
  <w:style w:type="character" w:customStyle="1" w:styleId="superscript">
    <w:name w:val="superscript"/>
    <w:basedOn w:val="DefaultParagraphFont"/>
    <w:rsid w:val="006578A7"/>
  </w:style>
  <w:style w:type="character" w:customStyle="1" w:styleId="message-time">
    <w:name w:val="message-time"/>
    <w:basedOn w:val="DefaultParagraphFont"/>
    <w:rsid w:val="006578A7"/>
  </w:style>
  <w:style w:type="character" w:customStyle="1" w:styleId="apple-converted-space">
    <w:name w:val="apple-converted-space"/>
    <w:basedOn w:val="DefaultParagraphFont"/>
    <w:rsid w:val="00C128A8"/>
  </w:style>
  <w:style w:type="paragraph" w:styleId="z-TopofForm">
    <w:name w:val="HTML Top of Form"/>
    <w:basedOn w:val="Normal"/>
    <w:next w:val="Normal"/>
    <w:link w:val="z-TopofFormChar"/>
    <w:hidden/>
    <w:uiPriority w:val="99"/>
    <w:semiHidden/>
    <w:unhideWhenUsed/>
    <w:rsid w:val="00C0400D"/>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0400D"/>
    <w:rPr>
      <w:rFonts w:ascii="Arial" w:eastAsia="Times New Roman" w:hAnsi="Arial" w:cs="Arial"/>
      <w:vanish/>
      <w:kern w:val="0"/>
      <w:sz w:val="16"/>
      <w:szCs w:val="16"/>
      <w:lang w:val="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75467">
      <w:bodyDiv w:val="1"/>
      <w:marLeft w:val="0"/>
      <w:marRight w:val="0"/>
      <w:marTop w:val="0"/>
      <w:marBottom w:val="0"/>
      <w:divBdr>
        <w:top w:val="none" w:sz="0" w:space="0" w:color="auto"/>
        <w:left w:val="none" w:sz="0" w:space="0" w:color="auto"/>
        <w:bottom w:val="none" w:sz="0" w:space="0" w:color="auto"/>
        <w:right w:val="none" w:sz="0" w:space="0" w:color="auto"/>
      </w:divBdr>
    </w:div>
    <w:div w:id="1533497779">
      <w:bodyDiv w:val="1"/>
      <w:marLeft w:val="0"/>
      <w:marRight w:val="0"/>
      <w:marTop w:val="0"/>
      <w:marBottom w:val="0"/>
      <w:divBdr>
        <w:top w:val="none" w:sz="0" w:space="0" w:color="auto"/>
        <w:left w:val="none" w:sz="0" w:space="0" w:color="auto"/>
        <w:bottom w:val="none" w:sz="0" w:space="0" w:color="auto"/>
        <w:right w:val="none" w:sz="0" w:space="0" w:color="auto"/>
      </w:divBdr>
    </w:div>
    <w:div w:id="17917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317F-1693-204E-A14D-926FCAFE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55</Pages>
  <Words>13090</Words>
  <Characters>72651</Characters>
  <Application>Microsoft Office Word</Application>
  <DocSecurity>0</DocSecurity>
  <Lines>1579</Lines>
  <Paragraphs>793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Isabelle Beatriz Ginez</cp:lastModifiedBy>
  <cp:revision>24</cp:revision>
  <dcterms:created xsi:type="dcterms:W3CDTF">2024-01-12T22:22:00Z</dcterms:created>
  <dcterms:modified xsi:type="dcterms:W3CDTF">2024-01-12T22:40:00Z</dcterms:modified>
  <cp:category/>
</cp:coreProperties>
</file>