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B922" w14:textId="77777777" w:rsidR="0020093C" w:rsidRPr="004A546C" w:rsidRDefault="0020093C" w:rsidP="0020093C">
      <w:pPr>
        <w:pStyle w:val="Title"/>
        <w:rPr>
          <w:caps w:val="0"/>
          <w:smallCaps/>
        </w:rPr>
      </w:pPr>
      <w:r w:rsidRPr="00851DA7">
        <w:rPr>
          <w:caps w:val="0"/>
          <w:smallCaps/>
        </w:rPr>
        <w:t>International Court of Justice</w:t>
      </w:r>
    </w:p>
    <w:p w14:paraId="419D1E46" w14:textId="77777777" w:rsidR="0020093C" w:rsidRPr="004A546C" w:rsidRDefault="0020093C" w:rsidP="0020093C">
      <w:pPr>
        <w:pStyle w:val="Title"/>
      </w:pPr>
    </w:p>
    <w:p w14:paraId="439F43DD" w14:textId="77777777" w:rsidR="0020093C" w:rsidRPr="004A546C" w:rsidRDefault="0020093C" w:rsidP="0020093C">
      <w:pPr>
        <w:pStyle w:val="Title"/>
      </w:pPr>
    </w:p>
    <w:p w14:paraId="4FFB465B" w14:textId="77777777" w:rsidR="0020093C" w:rsidRPr="004A546C" w:rsidRDefault="0020093C" w:rsidP="0020093C">
      <w:pPr>
        <w:pStyle w:val="Title"/>
        <w:rPr>
          <w:b w:val="0"/>
        </w:rPr>
      </w:pPr>
      <w:r w:rsidRPr="00030D0F">
        <w:rPr>
          <w:b w:val="0"/>
          <w:caps w:val="0"/>
        </w:rPr>
        <w:t>The Peace Palace</w:t>
      </w:r>
    </w:p>
    <w:p w14:paraId="75C6FF6D" w14:textId="77777777" w:rsidR="0020093C" w:rsidRPr="004A546C" w:rsidRDefault="0020093C" w:rsidP="0020093C">
      <w:pPr>
        <w:pStyle w:val="Title"/>
        <w:rPr>
          <w:b w:val="0"/>
        </w:rPr>
      </w:pPr>
      <w:r w:rsidRPr="00030D0F">
        <w:rPr>
          <w:b w:val="0"/>
          <w:caps w:val="0"/>
        </w:rPr>
        <w:t xml:space="preserve">The </w:t>
      </w:r>
      <w:r>
        <w:rPr>
          <w:b w:val="0"/>
          <w:caps w:val="0"/>
        </w:rPr>
        <w:t>H</w:t>
      </w:r>
      <w:r w:rsidRPr="00030D0F">
        <w:rPr>
          <w:b w:val="0"/>
          <w:caps w:val="0"/>
        </w:rPr>
        <w:t xml:space="preserve">ague, </w:t>
      </w:r>
      <w:r>
        <w:rPr>
          <w:b w:val="0"/>
          <w:caps w:val="0"/>
        </w:rPr>
        <w:t>T</w:t>
      </w:r>
      <w:r w:rsidRPr="00030D0F">
        <w:rPr>
          <w:b w:val="0"/>
          <w:caps w:val="0"/>
        </w:rPr>
        <w:t xml:space="preserve">he </w:t>
      </w:r>
      <w:r>
        <w:rPr>
          <w:b w:val="0"/>
          <w:caps w:val="0"/>
        </w:rPr>
        <w:t>N</w:t>
      </w:r>
      <w:r w:rsidRPr="00030D0F">
        <w:rPr>
          <w:b w:val="0"/>
          <w:caps w:val="0"/>
        </w:rPr>
        <w:t xml:space="preserve">etherlands </w:t>
      </w:r>
    </w:p>
    <w:p w14:paraId="6E41E7CA" w14:textId="77777777" w:rsidR="0020093C" w:rsidRPr="004A546C" w:rsidRDefault="0020093C" w:rsidP="0020093C">
      <w:pPr>
        <w:pStyle w:val="Title"/>
      </w:pPr>
    </w:p>
    <w:p w14:paraId="71661F80" w14:textId="77777777" w:rsidR="0020093C" w:rsidRPr="004A546C" w:rsidRDefault="0020093C" w:rsidP="0020093C">
      <w:pPr>
        <w:pStyle w:val="Title"/>
      </w:pPr>
    </w:p>
    <w:p w14:paraId="75D359B9" w14:textId="77777777" w:rsidR="0020093C" w:rsidRPr="004A546C" w:rsidRDefault="0020093C" w:rsidP="0020093C">
      <w:pPr>
        <w:pStyle w:val="Title"/>
        <w:rPr>
          <w:lang w:val="en-US"/>
        </w:rPr>
      </w:pPr>
      <w:r w:rsidRPr="004A546C">
        <w:rPr>
          <w:noProof/>
          <w:lang w:eastAsia="en-CA"/>
        </w:rPr>
        <w:drawing>
          <wp:inline distT="0" distB="0" distL="0" distR="0" wp14:anchorId="0EEB78EC" wp14:editId="7A8AA396">
            <wp:extent cx="958850" cy="958850"/>
            <wp:effectExtent l="0" t="0" r="6350" b="6350"/>
            <wp:docPr id="1" name="Picture 1" descr="age1image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1image55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p w14:paraId="48260186" w14:textId="77777777" w:rsidR="0020093C" w:rsidRPr="004A546C" w:rsidRDefault="0020093C" w:rsidP="0020093C">
      <w:pPr>
        <w:pStyle w:val="Title"/>
      </w:pPr>
    </w:p>
    <w:p w14:paraId="75153A22" w14:textId="77777777" w:rsidR="0020093C" w:rsidRPr="004A546C" w:rsidRDefault="0020093C" w:rsidP="0020093C">
      <w:pPr>
        <w:pStyle w:val="Title"/>
        <w:rPr>
          <w:b w:val="0"/>
        </w:rPr>
      </w:pPr>
    </w:p>
    <w:p w14:paraId="4A641CFE" w14:textId="43135E88" w:rsidR="0020093C" w:rsidRPr="004A546C" w:rsidRDefault="0020093C" w:rsidP="0020093C">
      <w:pPr>
        <w:pStyle w:val="Title"/>
        <w:rPr>
          <w:b w:val="0"/>
        </w:rPr>
      </w:pPr>
      <w:r w:rsidRPr="00030D0F">
        <w:rPr>
          <w:b w:val="0"/>
          <w:caps w:val="0"/>
        </w:rPr>
        <w:t>The 20</w:t>
      </w:r>
      <w:r>
        <w:rPr>
          <w:b w:val="0"/>
          <w:caps w:val="0"/>
        </w:rPr>
        <w:t>2</w:t>
      </w:r>
      <w:r w:rsidR="00FF67B7">
        <w:rPr>
          <w:b w:val="0"/>
          <w:caps w:val="0"/>
        </w:rPr>
        <w:t>4</w:t>
      </w:r>
      <w:r w:rsidRPr="00030D0F">
        <w:rPr>
          <w:b w:val="0"/>
          <w:caps w:val="0"/>
        </w:rPr>
        <w:t xml:space="preserve"> Philip C. Jessup International Law </w:t>
      </w:r>
      <w:r>
        <w:rPr>
          <w:b w:val="0"/>
        </w:rPr>
        <w:br/>
      </w:r>
      <w:r w:rsidRPr="00030D0F">
        <w:rPr>
          <w:b w:val="0"/>
          <w:caps w:val="0"/>
        </w:rPr>
        <w:t xml:space="preserve">Moot Court Competition </w:t>
      </w:r>
    </w:p>
    <w:p w14:paraId="7DB912D0" w14:textId="77777777" w:rsidR="0020093C" w:rsidRPr="004A546C" w:rsidRDefault="0020093C" w:rsidP="0020093C">
      <w:pPr>
        <w:pStyle w:val="Title"/>
      </w:pPr>
    </w:p>
    <w:p w14:paraId="4013ADE6" w14:textId="77777777" w:rsidR="0020093C" w:rsidRPr="004A546C" w:rsidRDefault="0020093C" w:rsidP="0020093C">
      <w:pPr>
        <w:pStyle w:val="Title"/>
      </w:pPr>
    </w:p>
    <w:p w14:paraId="4E031F9A" w14:textId="77777777" w:rsidR="0020093C" w:rsidRPr="004A546C" w:rsidRDefault="0020093C" w:rsidP="0020093C">
      <w:pPr>
        <w:pStyle w:val="Title"/>
      </w:pPr>
    </w:p>
    <w:p w14:paraId="68E048FC" w14:textId="1D3D616E" w:rsidR="0020093C" w:rsidRPr="00FF67B7" w:rsidRDefault="0020093C" w:rsidP="0020093C">
      <w:pPr>
        <w:pStyle w:val="Title"/>
        <w:rPr>
          <w:smallCaps/>
        </w:rPr>
      </w:pPr>
      <w:r w:rsidRPr="00FF67B7">
        <w:rPr>
          <w:caps w:val="0"/>
          <w:smallCaps/>
        </w:rPr>
        <w:t xml:space="preserve">The Case Concerning the </w:t>
      </w:r>
      <w:r w:rsidR="00FF67B7" w:rsidRPr="00FF67B7">
        <w:rPr>
          <w:caps w:val="0"/>
          <w:smallCaps/>
        </w:rPr>
        <w:t>Sterren Forty</w:t>
      </w:r>
    </w:p>
    <w:p w14:paraId="7F5CD6EA" w14:textId="77777777" w:rsidR="0020093C" w:rsidRPr="004A546C" w:rsidRDefault="0020093C" w:rsidP="0020093C">
      <w:pPr>
        <w:pStyle w:val="Title"/>
      </w:pPr>
    </w:p>
    <w:p w14:paraId="27ADDA60" w14:textId="77777777" w:rsidR="0020093C" w:rsidRPr="004A546C" w:rsidRDefault="0020093C" w:rsidP="0020093C">
      <w:pPr>
        <w:pStyle w:val="Title"/>
      </w:pPr>
    </w:p>
    <w:p w14:paraId="539F6905" w14:textId="77777777" w:rsidR="0020093C" w:rsidRPr="004A546C" w:rsidRDefault="0020093C" w:rsidP="0020093C">
      <w:pPr>
        <w:pStyle w:val="Title"/>
      </w:pPr>
    </w:p>
    <w:p w14:paraId="258CBDFC" w14:textId="73090F8D" w:rsidR="0020093C" w:rsidRPr="004A546C" w:rsidRDefault="0020093C" w:rsidP="0020093C">
      <w:pPr>
        <w:pStyle w:val="Title"/>
        <w:rPr>
          <w:smallCaps/>
        </w:rPr>
      </w:pPr>
      <w:r>
        <w:rPr>
          <w:caps w:val="0"/>
          <w:smallCaps/>
        </w:rPr>
        <w:t xml:space="preserve">The </w:t>
      </w:r>
      <w:r w:rsidR="00FF67B7">
        <w:rPr>
          <w:caps w:val="0"/>
          <w:smallCaps/>
        </w:rPr>
        <w:t>Republic of Antrano</w:t>
      </w:r>
    </w:p>
    <w:p w14:paraId="236125DE" w14:textId="77777777" w:rsidR="0020093C" w:rsidRPr="004A546C" w:rsidRDefault="0020093C" w:rsidP="0020093C">
      <w:pPr>
        <w:pStyle w:val="Title"/>
      </w:pPr>
    </w:p>
    <w:p w14:paraId="60F68DC3" w14:textId="77777777" w:rsidR="0020093C" w:rsidRPr="004A546C" w:rsidRDefault="0020093C" w:rsidP="0020093C">
      <w:pPr>
        <w:pStyle w:val="Title"/>
        <w:rPr>
          <w:b w:val="0"/>
          <w:i/>
        </w:rPr>
      </w:pPr>
      <w:r w:rsidRPr="00030D0F">
        <w:rPr>
          <w:b w:val="0"/>
          <w:i/>
          <w:caps w:val="0"/>
        </w:rPr>
        <w:t>(Applicant)</w:t>
      </w:r>
    </w:p>
    <w:p w14:paraId="6DA9630E" w14:textId="77777777" w:rsidR="0020093C" w:rsidRDefault="0020093C" w:rsidP="0020093C">
      <w:pPr>
        <w:pStyle w:val="Title"/>
        <w:jc w:val="left"/>
        <w:rPr>
          <w:i/>
        </w:rPr>
      </w:pPr>
    </w:p>
    <w:p w14:paraId="1649FB89" w14:textId="77777777" w:rsidR="0020093C" w:rsidRPr="004A546C" w:rsidRDefault="0020093C" w:rsidP="0020093C">
      <w:pPr>
        <w:pStyle w:val="Title"/>
        <w:rPr>
          <w:b w:val="0"/>
        </w:rPr>
      </w:pPr>
      <w:r>
        <w:rPr>
          <w:b w:val="0"/>
          <w:caps w:val="0"/>
        </w:rPr>
        <w:t>v</w:t>
      </w:r>
    </w:p>
    <w:p w14:paraId="2F437C87" w14:textId="77777777" w:rsidR="0020093C" w:rsidRPr="004A546C" w:rsidRDefault="0020093C" w:rsidP="0020093C">
      <w:pPr>
        <w:pStyle w:val="Title"/>
        <w:rPr>
          <w:b w:val="0"/>
        </w:rPr>
      </w:pPr>
    </w:p>
    <w:p w14:paraId="4B0D2501" w14:textId="2670EBEA" w:rsidR="0020093C" w:rsidRPr="004A546C" w:rsidRDefault="00FF67B7" w:rsidP="0020093C">
      <w:pPr>
        <w:pStyle w:val="Title"/>
        <w:rPr>
          <w:smallCaps/>
        </w:rPr>
      </w:pPr>
      <w:r>
        <w:rPr>
          <w:caps w:val="0"/>
          <w:smallCaps/>
        </w:rPr>
        <w:t>The Kingdom of Remisia</w:t>
      </w:r>
    </w:p>
    <w:p w14:paraId="525168A9" w14:textId="77777777" w:rsidR="0020093C" w:rsidRPr="004A546C" w:rsidRDefault="0020093C" w:rsidP="0020093C">
      <w:pPr>
        <w:pStyle w:val="Title"/>
        <w:rPr>
          <w:b w:val="0"/>
        </w:rPr>
      </w:pPr>
    </w:p>
    <w:p w14:paraId="1828F84F" w14:textId="77777777" w:rsidR="0020093C" w:rsidRPr="004A546C" w:rsidRDefault="0020093C" w:rsidP="0020093C">
      <w:pPr>
        <w:pStyle w:val="Title"/>
        <w:rPr>
          <w:b w:val="0"/>
          <w:i/>
        </w:rPr>
      </w:pPr>
      <w:r w:rsidRPr="00030D0F">
        <w:rPr>
          <w:b w:val="0"/>
          <w:i/>
          <w:caps w:val="0"/>
        </w:rPr>
        <w:t xml:space="preserve">(Respondent) </w:t>
      </w:r>
    </w:p>
    <w:p w14:paraId="76CAAB2A" w14:textId="77777777" w:rsidR="0020093C" w:rsidRPr="004A546C" w:rsidRDefault="0020093C" w:rsidP="0020093C">
      <w:pPr>
        <w:pStyle w:val="Title"/>
        <w:rPr>
          <w:i/>
        </w:rPr>
      </w:pPr>
    </w:p>
    <w:p w14:paraId="58155A80" w14:textId="77777777" w:rsidR="0020093C" w:rsidRPr="004A546C" w:rsidRDefault="0020093C" w:rsidP="0020093C">
      <w:pPr>
        <w:pStyle w:val="Title"/>
        <w:jc w:val="left"/>
        <w:rPr>
          <w:i/>
        </w:rPr>
      </w:pPr>
    </w:p>
    <w:p w14:paraId="463DBE3C" w14:textId="77777777" w:rsidR="0020093C" w:rsidRPr="004A546C" w:rsidRDefault="0020093C" w:rsidP="0020093C">
      <w:pPr>
        <w:pStyle w:val="Title"/>
        <w:pBdr>
          <w:top w:val="single" w:sz="4" w:space="1" w:color="auto"/>
        </w:pBdr>
        <w:jc w:val="left"/>
      </w:pPr>
    </w:p>
    <w:p w14:paraId="49B7E68D" w14:textId="77777777" w:rsidR="0020093C" w:rsidRPr="00851DA7" w:rsidRDefault="0020093C" w:rsidP="0020093C">
      <w:pPr>
        <w:pStyle w:val="Title"/>
        <w:pBdr>
          <w:bottom w:val="single" w:sz="4" w:space="1" w:color="auto"/>
        </w:pBdr>
        <w:rPr>
          <w:caps w:val="0"/>
          <w:smallCaps/>
        </w:rPr>
      </w:pPr>
      <w:r w:rsidRPr="00851DA7">
        <w:rPr>
          <w:caps w:val="0"/>
          <w:smallCaps/>
        </w:rPr>
        <w:t xml:space="preserve">Memorial for the </w:t>
      </w:r>
      <w:r w:rsidRPr="00E43DEC">
        <w:rPr>
          <w:caps w:val="0"/>
          <w:smallCaps/>
        </w:rPr>
        <w:t>Applicant</w:t>
      </w:r>
    </w:p>
    <w:p w14:paraId="2F149880" w14:textId="77777777" w:rsidR="0020093C" w:rsidRPr="004A546C" w:rsidRDefault="0020093C" w:rsidP="0020093C">
      <w:pPr>
        <w:pStyle w:val="Title"/>
        <w:pBdr>
          <w:bottom w:val="single" w:sz="4" w:space="1" w:color="auto"/>
        </w:pBdr>
      </w:pPr>
    </w:p>
    <w:p w14:paraId="442B21D8" w14:textId="77777777" w:rsidR="0020093C" w:rsidRDefault="0020093C" w:rsidP="0020093C"/>
    <w:p w14:paraId="45BE2FEA" w14:textId="77777777" w:rsidR="0020093C" w:rsidRDefault="0020093C" w:rsidP="0020093C"/>
    <w:p w14:paraId="2C40F2AF" w14:textId="740F59D6" w:rsidR="0020093C" w:rsidRPr="00FE0AD9" w:rsidRDefault="0020093C" w:rsidP="0020093C">
      <w:pPr>
        <w:jc w:val="center"/>
        <w:rPr>
          <w:rFonts w:ascii="Times New Roman" w:eastAsia="Times New Roman" w:hAnsi="Times New Roman" w:cs="Times New Roman"/>
          <w:caps/>
          <w:kern w:val="28"/>
          <w:lang w:val="en-CA"/>
        </w:rPr>
      </w:pPr>
      <w:r w:rsidRPr="00FE0AD9">
        <w:rPr>
          <w:rFonts w:ascii="Times New Roman" w:eastAsia="Times New Roman" w:hAnsi="Times New Roman" w:cs="Times New Roman"/>
          <w:caps/>
          <w:kern w:val="28"/>
          <w:lang w:val="en-CA"/>
        </w:rPr>
        <w:t>20</w:t>
      </w:r>
      <w:r>
        <w:rPr>
          <w:rFonts w:ascii="Times New Roman" w:eastAsia="Times New Roman" w:hAnsi="Times New Roman" w:cs="Times New Roman"/>
          <w:caps/>
          <w:kern w:val="28"/>
          <w:lang w:val="en-CA"/>
        </w:rPr>
        <w:t>2</w:t>
      </w:r>
      <w:r w:rsidR="00FF67B7">
        <w:rPr>
          <w:rFonts w:ascii="Times New Roman" w:eastAsia="Times New Roman" w:hAnsi="Times New Roman" w:cs="Times New Roman"/>
          <w:caps/>
          <w:kern w:val="28"/>
          <w:lang w:val="en-CA"/>
        </w:rPr>
        <w:t>4</w:t>
      </w:r>
    </w:p>
    <w:p w14:paraId="52AAF2C6" w14:textId="77777777" w:rsidR="0020093C" w:rsidRDefault="0020093C" w:rsidP="0020093C">
      <w:pPr>
        <w:pStyle w:val="Title"/>
      </w:pPr>
    </w:p>
    <w:p w14:paraId="03306F8C" w14:textId="77777777" w:rsidR="0020093C" w:rsidRPr="0073376F" w:rsidRDefault="0020093C" w:rsidP="0020093C">
      <w:pPr>
        <w:pStyle w:val="Title"/>
        <w:jc w:val="left"/>
        <w:rPr>
          <w:b w:val="0"/>
          <w:bCs/>
          <w:iCs/>
          <w:caps w:val="0"/>
          <w:smallCaps/>
          <w:kern w:val="32"/>
        </w:rPr>
      </w:pPr>
    </w:p>
    <w:p w14:paraId="74340AA0" w14:textId="77777777" w:rsidR="0020093C" w:rsidRPr="0073376F" w:rsidRDefault="0020093C" w:rsidP="0020093C">
      <w:pPr>
        <w:pStyle w:val="Title"/>
        <w:jc w:val="left"/>
      </w:pPr>
    </w:p>
    <w:p w14:paraId="7EE37063" w14:textId="55C7C94F" w:rsidR="00F02743" w:rsidRDefault="00F02743">
      <w:pPr>
        <w:rPr>
          <w:lang w:val="en-CA"/>
        </w:rPr>
      </w:pPr>
    </w:p>
    <w:p w14:paraId="44847F00" w14:textId="2D3354B3" w:rsidR="0020093C" w:rsidRDefault="0020093C">
      <w:pPr>
        <w:rPr>
          <w:lang w:val="en-CA"/>
        </w:rPr>
      </w:pPr>
    </w:p>
    <w:p w14:paraId="2545325E" w14:textId="77777777" w:rsidR="00926CC1" w:rsidRPr="00E55EF1" w:rsidRDefault="00926CC1">
      <w:pPr>
        <w:rPr>
          <w:rFonts w:ascii="Times New Roman" w:hAnsi="Times New Roman"/>
          <w:lang w:val="en-CA"/>
        </w:rPr>
      </w:pPr>
    </w:p>
    <w:p w14:paraId="33A82CB4" w14:textId="77777777" w:rsidR="0020093C" w:rsidRPr="00E55EF1" w:rsidRDefault="0020093C" w:rsidP="0020093C">
      <w:pPr>
        <w:pStyle w:val="Title"/>
        <w:rPr>
          <w:caps w:val="0"/>
          <w:smallCaps/>
        </w:rPr>
      </w:pPr>
      <w:r w:rsidRPr="00E55EF1">
        <w:rPr>
          <w:caps w:val="0"/>
          <w:smallCaps/>
        </w:rPr>
        <w:lastRenderedPageBreak/>
        <w:t>Table of Contents</w:t>
      </w:r>
    </w:p>
    <w:p w14:paraId="3573FA4E" w14:textId="77777777" w:rsidR="0020093C" w:rsidRPr="00E55EF1" w:rsidRDefault="0020093C" w:rsidP="0020093C">
      <w:pPr>
        <w:jc w:val="center"/>
        <w:rPr>
          <w:rFonts w:ascii="Times New Roman" w:hAnsi="Times New Roman"/>
          <w:lang w:val="en-CA"/>
        </w:rPr>
      </w:pPr>
    </w:p>
    <w:p w14:paraId="2E40DC76" w14:textId="0AB3DCC1" w:rsidR="00E23B63" w:rsidRPr="00E23B63" w:rsidRDefault="00062EBB">
      <w:pPr>
        <w:pStyle w:val="TOC1"/>
        <w:rPr>
          <w:rFonts w:eastAsiaTheme="minorEastAsia" w:cs="Times New Roman"/>
          <w:b w:val="0"/>
          <w:bCs w:val="0"/>
          <w:iCs w:val="0"/>
          <w:caps w:val="0"/>
          <w:kern w:val="2"/>
          <w:lang w:val="en-CA" w:eastAsia="zh-CN"/>
          <w14:ligatures w14:val="standardContextual"/>
        </w:rPr>
      </w:pPr>
      <w:r w:rsidRPr="00E23B63">
        <w:rPr>
          <w:rFonts w:cs="Times New Roman"/>
        </w:rPr>
        <w:fldChar w:fldCharType="begin"/>
      </w:r>
      <w:r w:rsidRPr="00E23B63">
        <w:rPr>
          <w:rFonts w:cs="Times New Roman"/>
        </w:rPr>
        <w:instrText xml:space="preserve"> TOC \o "1-3" \h \z \u </w:instrText>
      </w:r>
      <w:r w:rsidRPr="00E23B63">
        <w:rPr>
          <w:rFonts w:cs="Times New Roman"/>
        </w:rPr>
        <w:fldChar w:fldCharType="separate"/>
      </w:r>
      <w:hyperlink w:anchor="_Toc155965809" w:history="1">
        <w:r w:rsidR="00E23B63" w:rsidRPr="00E23B63">
          <w:rPr>
            <w:rStyle w:val="Hyperlink"/>
            <w:rFonts w:cs="Times New Roman"/>
          </w:rPr>
          <w:t>I.</w:t>
        </w:r>
        <w:r w:rsidR="00E23B63" w:rsidRPr="00E23B63">
          <w:rPr>
            <w:rFonts w:eastAsiaTheme="minorEastAsia" w:cs="Times New Roman"/>
            <w:b w:val="0"/>
            <w:bCs w:val="0"/>
            <w:iCs w:val="0"/>
            <w:caps w:val="0"/>
            <w:kern w:val="2"/>
            <w:lang w:val="en-CA" w:eastAsia="zh-CN"/>
            <w14:ligatures w14:val="standardContextual"/>
          </w:rPr>
          <w:tab/>
        </w:r>
        <w:r w:rsidR="00E23B63" w:rsidRPr="00E23B63">
          <w:rPr>
            <w:rStyle w:val="Hyperlink"/>
            <w:rFonts w:cs="Times New Roman"/>
          </w:rPr>
          <w:t xml:space="preserve">Antrano has </w:t>
        </w:r>
        <w:r w:rsidR="00E23B63" w:rsidRPr="00E23B63">
          <w:rPr>
            <w:rStyle w:val="Hyperlink"/>
            <w:rFonts w:cs="Times New Roman"/>
            <w:i/>
          </w:rPr>
          <w:t xml:space="preserve">erga omnes partes </w:t>
        </w:r>
        <w:r w:rsidR="00E23B63" w:rsidRPr="00E23B63">
          <w:rPr>
            <w:rStyle w:val="Hyperlink"/>
            <w:rFonts w:cs="Times New Roman"/>
          </w:rPr>
          <w:t xml:space="preserve">and </w:t>
        </w:r>
        <w:r w:rsidR="00E23B63" w:rsidRPr="00E23B63">
          <w:rPr>
            <w:rStyle w:val="Hyperlink"/>
            <w:rFonts w:cs="Times New Roman"/>
            <w:i/>
          </w:rPr>
          <w:t xml:space="preserve">erga omnes </w:t>
        </w:r>
        <w:r w:rsidR="00E23B63" w:rsidRPr="00E23B63">
          <w:rPr>
            <w:rStyle w:val="Hyperlink"/>
            <w:rFonts w:cs="Times New Roman"/>
          </w:rPr>
          <w:t>standing to bring the dispute concerning Remisia’s deprivation of nationality of the Sterren Forty before the Court.</w:t>
        </w:r>
        <w:r w:rsidR="00E23B63" w:rsidRPr="00E23B63">
          <w:rPr>
            <w:rFonts w:cs="Times New Roman"/>
            <w:webHidden/>
          </w:rPr>
          <w:tab/>
        </w:r>
        <w:r w:rsidR="00E23B63" w:rsidRPr="00E23B63">
          <w:rPr>
            <w:rFonts w:cs="Times New Roman"/>
            <w:webHidden/>
          </w:rPr>
          <w:fldChar w:fldCharType="begin"/>
        </w:r>
        <w:r w:rsidR="00E23B63" w:rsidRPr="00E23B63">
          <w:rPr>
            <w:rFonts w:cs="Times New Roman"/>
            <w:webHidden/>
          </w:rPr>
          <w:instrText xml:space="preserve"> PAGEREF _Toc155965809 \h </w:instrText>
        </w:r>
        <w:r w:rsidR="00E23B63" w:rsidRPr="00E23B63">
          <w:rPr>
            <w:rFonts w:cs="Times New Roman"/>
            <w:webHidden/>
          </w:rPr>
        </w:r>
        <w:r w:rsidR="00E23B63" w:rsidRPr="00E23B63">
          <w:rPr>
            <w:rFonts w:cs="Times New Roman"/>
            <w:webHidden/>
          </w:rPr>
          <w:fldChar w:fldCharType="separate"/>
        </w:r>
        <w:r w:rsidR="00E0561B">
          <w:rPr>
            <w:rFonts w:cs="Times New Roman"/>
            <w:webHidden/>
          </w:rPr>
          <w:t>1</w:t>
        </w:r>
        <w:r w:rsidR="00E23B63" w:rsidRPr="00E23B63">
          <w:rPr>
            <w:rFonts w:cs="Times New Roman"/>
            <w:webHidden/>
          </w:rPr>
          <w:fldChar w:fldCharType="end"/>
        </w:r>
      </w:hyperlink>
    </w:p>
    <w:p w14:paraId="09565504" w14:textId="225C4AC7"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10" w:history="1">
        <w:r w:rsidR="00E23B63" w:rsidRPr="00E23B63">
          <w:rPr>
            <w:rStyle w:val="Hyperlink"/>
            <w:rFonts w:ascii="Times New Roman" w:hAnsi="Times New Roman" w:cs="Times New Roman"/>
            <w:noProof/>
            <w:sz w:val="24"/>
            <w:szCs w:val="24"/>
          </w:rPr>
          <w:t>A.</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Antrano does not need to establish a special interest.</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_Toc155965810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w:t>
        </w:r>
        <w:r w:rsidR="00E23B63" w:rsidRPr="00E23B63">
          <w:rPr>
            <w:rFonts w:ascii="Times New Roman" w:hAnsi="Times New Roman" w:cs="Times New Roman"/>
            <w:noProof/>
            <w:webHidden/>
            <w:sz w:val="24"/>
            <w:szCs w:val="24"/>
          </w:rPr>
          <w:fldChar w:fldCharType="end"/>
        </w:r>
      </w:hyperlink>
    </w:p>
    <w:p w14:paraId="50083A84" w14:textId="20E50F07"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11" w:history="1">
        <w:r w:rsidR="00E23B63" w:rsidRPr="00E23B63">
          <w:rPr>
            <w:rStyle w:val="Hyperlink"/>
            <w:rFonts w:ascii="Times New Roman" w:hAnsi="Times New Roman" w:cs="Times New Roman"/>
            <w:noProof/>
            <w:sz w:val="24"/>
            <w:szCs w:val="24"/>
          </w:rPr>
          <w:t>B.</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Antrano has </w:t>
        </w:r>
        <w:r w:rsidR="00E23B63" w:rsidRPr="00E23B63">
          <w:rPr>
            <w:rStyle w:val="Hyperlink"/>
            <w:rFonts w:ascii="Times New Roman" w:hAnsi="Times New Roman" w:cs="Times New Roman"/>
            <w:i/>
            <w:iCs/>
            <w:noProof/>
            <w:sz w:val="24"/>
            <w:szCs w:val="24"/>
          </w:rPr>
          <w:t xml:space="preserve">erga omnes partes </w:t>
        </w:r>
        <w:r w:rsidR="00E23B63" w:rsidRPr="00E23B63">
          <w:rPr>
            <w:rStyle w:val="Hyperlink"/>
            <w:rFonts w:ascii="Times New Roman" w:hAnsi="Times New Roman" w:cs="Times New Roman"/>
            <w:noProof/>
            <w:sz w:val="24"/>
            <w:szCs w:val="24"/>
          </w:rPr>
          <w:t>standing to launch this claim.</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_Toc155965811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w:t>
        </w:r>
        <w:r w:rsidR="00E23B63" w:rsidRPr="00E23B63">
          <w:rPr>
            <w:rFonts w:ascii="Times New Roman" w:hAnsi="Times New Roman" w:cs="Times New Roman"/>
            <w:noProof/>
            <w:webHidden/>
            <w:sz w:val="24"/>
            <w:szCs w:val="24"/>
          </w:rPr>
          <w:fldChar w:fldCharType="end"/>
        </w:r>
      </w:hyperlink>
    </w:p>
    <w:p w14:paraId="66B9BF67" w14:textId="1D0D3ABF"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12" w:history="1">
        <w:r w:rsidR="00E23B63" w:rsidRPr="00E23B63">
          <w:rPr>
            <w:rStyle w:val="Hyperlink"/>
            <w:rFonts w:ascii="Times New Roman" w:hAnsi="Times New Roman" w:cs="Times New Roman"/>
            <w:noProof/>
            <w:sz w:val="24"/>
            <w:szCs w:val="24"/>
          </w:rPr>
          <w:t>1.</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States parties to the </w:t>
        </w:r>
        <w:r w:rsidR="00E23B63" w:rsidRPr="00E23B63">
          <w:rPr>
            <w:rStyle w:val="Hyperlink"/>
            <w:rFonts w:ascii="Times New Roman" w:hAnsi="Times New Roman" w:cs="Times New Roman"/>
            <w:i/>
            <w:iCs/>
            <w:noProof/>
            <w:sz w:val="24"/>
            <w:szCs w:val="24"/>
          </w:rPr>
          <w:t xml:space="preserve">CRS </w:t>
        </w:r>
        <w:r w:rsidR="00E23B63" w:rsidRPr="00E23B63">
          <w:rPr>
            <w:rStyle w:val="Hyperlink"/>
            <w:rFonts w:ascii="Times New Roman" w:hAnsi="Times New Roman" w:cs="Times New Roman"/>
            <w:noProof/>
            <w:sz w:val="24"/>
            <w:szCs w:val="24"/>
          </w:rPr>
          <w:t>have a common interest in preventing statelessness.</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_Toc155965812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w:t>
        </w:r>
        <w:r w:rsidR="00E23B63" w:rsidRPr="00E23B63">
          <w:rPr>
            <w:rFonts w:ascii="Times New Roman" w:hAnsi="Times New Roman" w:cs="Times New Roman"/>
            <w:noProof/>
            <w:webHidden/>
            <w:sz w:val="24"/>
            <w:szCs w:val="24"/>
          </w:rPr>
          <w:fldChar w:fldCharType="end"/>
        </w:r>
      </w:hyperlink>
    </w:p>
    <w:p w14:paraId="7EF0D05E" w14:textId="762F3155"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13" w:history="1">
        <w:r w:rsidR="00E23B63" w:rsidRPr="00E23B63">
          <w:rPr>
            <w:rStyle w:val="Hyperlink"/>
            <w:rFonts w:ascii="Times New Roman" w:hAnsi="Times New Roman" w:cs="Times New Roman"/>
            <w:noProof/>
            <w:sz w:val="24"/>
            <w:szCs w:val="24"/>
          </w:rPr>
          <w:t>2.</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Article 8 of the </w:t>
        </w:r>
        <w:r w:rsidR="00E23B63" w:rsidRPr="00E23B63">
          <w:rPr>
            <w:rStyle w:val="Hyperlink"/>
            <w:rFonts w:ascii="Times New Roman" w:hAnsi="Times New Roman" w:cs="Times New Roman"/>
            <w:i/>
            <w:iCs/>
            <w:noProof/>
            <w:sz w:val="24"/>
            <w:szCs w:val="24"/>
          </w:rPr>
          <w:t>CRS</w:t>
        </w:r>
        <w:r w:rsidR="00E23B63" w:rsidRPr="00E23B63">
          <w:rPr>
            <w:rStyle w:val="Hyperlink"/>
            <w:rFonts w:ascii="Times New Roman" w:hAnsi="Times New Roman" w:cs="Times New Roman"/>
            <w:noProof/>
            <w:sz w:val="24"/>
            <w:szCs w:val="24"/>
          </w:rPr>
          <w:t xml:space="preserve"> is an </w:t>
        </w:r>
        <w:r w:rsidR="00E23B63" w:rsidRPr="00E23B63">
          <w:rPr>
            <w:rStyle w:val="Hyperlink"/>
            <w:rFonts w:ascii="Times New Roman" w:hAnsi="Times New Roman" w:cs="Times New Roman"/>
            <w:i/>
            <w:iCs/>
            <w:noProof/>
            <w:sz w:val="24"/>
            <w:szCs w:val="24"/>
          </w:rPr>
          <w:t>erga omnes partes</w:t>
        </w:r>
        <w:r w:rsidR="00E23B63" w:rsidRPr="00E23B63">
          <w:rPr>
            <w:rStyle w:val="Hyperlink"/>
            <w:rFonts w:ascii="Times New Roman" w:hAnsi="Times New Roman" w:cs="Times New Roman"/>
            <w:noProof/>
            <w:sz w:val="24"/>
            <w:szCs w:val="24"/>
          </w:rPr>
          <w:t xml:space="preserve"> obligation.</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_Toc155965813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4</w:t>
        </w:r>
        <w:r w:rsidR="00E23B63" w:rsidRPr="00E23B63">
          <w:rPr>
            <w:rFonts w:ascii="Times New Roman" w:hAnsi="Times New Roman" w:cs="Times New Roman"/>
            <w:noProof/>
            <w:webHidden/>
            <w:sz w:val="24"/>
            <w:szCs w:val="24"/>
          </w:rPr>
          <w:fldChar w:fldCharType="end"/>
        </w:r>
      </w:hyperlink>
    </w:p>
    <w:p w14:paraId="7776B34F" w14:textId="73EEF930"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14" w:history="1">
        <w:r w:rsidR="00E23B63" w:rsidRPr="00E23B63">
          <w:rPr>
            <w:rStyle w:val="Hyperlink"/>
            <w:rFonts w:ascii="Times New Roman" w:hAnsi="Times New Roman" w:cs="Times New Roman"/>
            <w:noProof/>
            <w:sz w:val="24"/>
            <w:szCs w:val="24"/>
          </w:rPr>
          <w:t>3.</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Article 9 of the </w:t>
        </w:r>
        <w:r w:rsidR="00E23B63" w:rsidRPr="00E23B63">
          <w:rPr>
            <w:rStyle w:val="Hyperlink"/>
            <w:rFonts w:ascii="Times New Roman" w:hAnsi="Times New Roman" w:cs="Times New Roman"/>
            <w:i/>
            <w:iCs/>
            <w:noProof/>
            <w:sz w:val="24"/>
            <w:szCs w:val="24"/>
          </w:rPr>
          <w:t>CRS</w:t>
        </w:r>
        <w:r w:rsidR="00E23B63" w:rsidRPr="00E23B63">
          <w:rPr>
            <w:rStyle w:val="Hyperlink"/>
            <w:rFonts w:ascii="Times New Roman" w:hAnsi="Times New Roman" w:cs="Times New Roman"/>
            <w:noProof/>
            <w:sz w:val="24"/>
            <w:szCs w:val="24"/>
          </w:rPr>
          <w:t xml:space="preserve"> is an </w:t>
        </w:r>
        <w:r w:rsidR="00E23B63" w:rsidRPr="00E23B63">
          <w:rPr>
            <w:rStyle w:val="Hyperlink"/>
            <w:rFonts w:ascii="Times New Roman" w:hAnsi="Times New Roman" w:cs="Times New Roman"/>
            <w:i/>
            <w:iCs/>
            <w:noProof/>
            <w:sz w:val="24"/>
            <w:szCs w:val="24"/>
          </w:rPr>
          <w:t>erga omnes partes</w:t>
        </w:r>
        <w:r w:rsidR="00E23B63" w:rsidRPr="00E23B63">
          <w:rPr>
            <w:rStyle w:val="Hyperlink"/>
            <w:rFonts w:ascii="Times New Roman" w:hAnsi="Times New Roman" w:cs="Times New Roman"/>
            <w:noProof/>
            <w:sz w:val="24"/>
            <w:szCs w:val="24"/>
          </w:rPr>
          <w:t xml:space="preserve"> obligation.</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_Toc155965814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5</w:t>
        </w:r>
        <w:r w:rsidR="00E23B63" w:rsidRPr="00E23B63">
          <w:rPr>
            <w:rFonts w:ascii="Times New Roman" w:hAnsi="Times New Roman" w:cs="Times New Roman"/>
            <w:noProof/>
            <w:webHidden/>
            <w:sz w:val="24"/>
            <w:szCs w:val="24"/>
          </w:rPr>
          <w:fldChar w:fldCharType="end"/>
        </w:r>
      </w:hyperlink>
    </w:p>
    <w:p w14:paraId="1FC9E5FF" w14:textId="29E4AE06"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15" w:history="1">
        <w:r w:rsidR="00E23B63" w:rsidRPr="00E23B63">
          <w:rPr>
            <w:rStyle w:val="Hyperlink"/>
            <w:rFonts w:ascii="Times New Roman" w:hAnsi="Times New Roman" w:cs="Times New Roman"/>
            <w:noProof/>
            <w:sz w:val="24"/>
            <w:szCs w:val="24"/>
          </w:rPr>
          <w:t>C.</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Antrano has </w:t>
        </w:r>
        <w:r w:rsidR="00E23B63" w:rsidRPr="00E23B63">
          <w:rPr>
            <w:rStyle w:val="Hyperlink"/>
            <w:rFonts w:ascii="Times New Roman" w:hAnsi="Times New Roman" w:cs="Times New Roman"/>
            <w:i/>
            <w:iCs/>
            <w:noProof/>
            <w:sz w:val="24"/>
            <w:szCs w:val="24"/>
          </w:rPr>
          <w:t>erga omnes</w:t>
        </w:r>
        <w:r w:rsidR="00E23B63" w:rsidRPr="00E23B63">
          <w:rPr>
            <w:rStyle w:val="Hyperlink"/>
            <w:rFonts w:ascii="Times New Roman" w:hAnsi="Times New Roman" w:cs="Times New Roman"/>
            <w:noProof/>
            <w:sz w:val="24"/>
            <w:szCs w:val="24"/>
          </w:rPr>
          <w:t xml:space="preserve"> standing to launch this claim.</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_Toc155965815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5</w:t>
        </w:r>
        <w:r w:rsidR="00E23B63" w:rsidRPr="00E23B63">
          <w:rPr>
            <w:rFonts w:ascii="Times New Roman" w:hAnsi="Times New Roman" w:cs="Times New Roman"/>
            <w:noProof/>
            <w:webHidden/>
            <w:sz w:val="24"/>
            <w:szCs w:val="24"/>
          </w:rPr>
          <w:fldChar w:fldCharType="end"/>
        </w:r>
      </w:hyperlink>
    </w:p>
    <w:p w14:paraId="1F892AB3" w14:textId="0019C2D6"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16" w:history="1">
        <w:r w:rsidR="00E23B63" w:rsidRPr="00E23B63">
          <w:rPr>
            <w:rStyle w:val="Hyperlink"/>
            <w:rFonts w:ascii="Times New Roman" w:hAnsi="Times New Roman" w:cs="Times New Roman"/>
            <w:noProof/>
            <w:sz w:val="24"/>
            <w:szCs w:val="24"/>
          </w:rPr>
          <w:t>1.</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The right to a nationality and the prohibition of arbitrary deprivation of nationality are obligations </w:t>
        </w:r>
        <w:r w:rsidR="00E23B63" w:rsidRPr="00E23B63">
          <w:rPr>
            <w:rStyle w:val="Hyperlink"/>
            <w:rFonts w:ascii="Times New Roman" w:hAnsi="Times New Roman" w:cs="Times New Roman"/>
            <w:i/>
            <w:iCs/>
            <w:noProof/>
            <w:sz w:val="24"/>
            <w:szCs w:val="24"/>
          </w:rPr>
          <w:t>erga omnes</w:t>
        </w:r>
        <w:r w:rsidR="00E23B63" w:rsidRPr="00E23B63">
          <w:rPr>
            <w:rStyle w:val="Hyperlink"/>
            <w:rFonts w:ascii="Times New Roman" w:hAnsi="Times New Roman" w:cs="Times New Roman"/>
            <w:noProof/>
            <w:sz w:val="24"/>
            <w:szCs w:val="24"/>
          </w:rPr>
          <w:t>.</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_Toc155965816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6</w:t>
        </w:r>
        <w:r w:rsidR="00E23B63" w:rsidRPr="00E23B63">
          <w:rPr>
            <w:rFonts w:ascii="Times New Roman" w:hAnsi="Times New Roman" w:cs="Times New Roman"/>
            <w:noProof/>
            <w:webHidden/>
            <w:sz w:val="24"/>
            <w:szCs w:val="24"/>
          </w:rPr>
          <w:fldChar w:fldCharType="end"/>
        </w:r>
      </w:hyperlink>
    </w:p>
    <w:p w14:paraId="6C37DE4E" w14:textId="73F09133" w:rsidR="00E23B63" w:rsidRPr="00E23B63" w:rsidRDefault="00000000">
      <w:pPr>
        <w:pStyle w:val="TOC1"/>
        <w:rPr>
          <w:rFonts w:eastAsiaTheme="minorEastAsia" w:cs="Times New Roman"/>
          <w:b w:val="0"/>
          <w:bCs w:val="0"/>
          <w:iCs w:val="0"/>
          <w:caps w:val="0"/>
          <w:kern w:val="2"/>
          <w:lang w:val="en-CA" w:eastAsia="zh-CN"/>
          <w14:ligatures w14:val="standardContextual"/>
        </w:rPr>
      </w:pPr>
      <w:hyperlink w:anchor="_Toc155965817" w:history="1">
        <w:r w:rsidR="00E23B63" w:rsidRPr="00E23B63">
          <w:rPr>
            <w:rStyle w:val="Hyperlink"/>
            <w:rFonts w:cs="Times New Roman"/>
          </w:rPr>
          <w:t>II.</w:t>
        </w:r>
        <w:r w:rsidR="00E23B63" w:rsidRPr="00E23B63">
          <w:rPr>
            <w:rFonts w:eastAsiaTheme="minorEastAsia" w:cs="Times New Roman"/>
            <w:b w:val="0"/>
            <w:bCs w:val="0"/>
            <w:iCs w:val="0"/>
            <w:caps w:val="0"/>
            <w:kern w:val="2"/>
            <w:lang w:val="en-CA" w:eastAsia="zh-CN"/>
            <w14:ligatures w14:val="standardContextual"/>
          </w:rPr>
          <w:tab/>
        </w:r>
        <w:r w:rsidR="00E23B63" w:rsidRPr="00E23B63">
          <w:rPr>
            <w:rStyle w:val="Hyperlink"/>
            <w:rFonts w:cs="Times New Roman"/>
          </w:rPr>
          <w:t>Remisia violated international law by depriving the Sterren Forty of their nationality and rendering them stateless.</w:t>
        </w:r>
        <w:r w:rsidR="00E23B63" w:rsidRPr="00E23B63">
          <w:rPr>
            <w:rFonts w:cs="Times New Roman"/>
            <w:webHidden/>
          </w:rPr>
          <w:tab/>
        </w:r>
        <w:r w:rsidR="00E23B63" w:rsidRPr="00E23B63">
          <w:rPr>
            <w:rFonts w:cs="Times New Roman"/>
            <w:webHidden/>
          </w:rPr>
          <w:fldChar w:fldCharType="begin"/>
        </w:r>
        <w:r w:rsidR="00E23B63" w:rsidRPr="00E23B63">
          <w:rPr>
            <w:rFonts w:cs="Times New Roman"/>
            <w:webHidden/>
          </w:rPr>
          <w:instrText xml:space="preserve"> PAGEREF _Toc155965817 \h </w:instrText>
        </w:r>
        <w:r w:rsidR="00E23B63" w:rsidRPr="00E23B63">
          <w:rPr>
            <w:rFonts w:cs="Times New Roman"/>
            <w:webHidden/>
          </w:rPr>
        </w:r>
        <w:r w:rsidR="00E23B63" w:rsidRPr="00E23B63">
          <w:rPr>
            <w:rFonts w:cs="Times New Roman"/>
            <w:webHidden/>
          </w:rPr>
          <w:fldChar w:fldCharType="separate"/>
        </w:r>
        <w:r w:rsidR="00E0561B">
          <w:rPr>
            <w:rFonts w:cs="Times New Roman"/>
            <w:webHidden/>
          </w:rPr>
          <w:t>9</w:t>
        </w:r>
        <w:r w:rsidR="00E23B63" w:rsidRPr="00E23B63">
          <w:rPr>
            <w:rFonts w:cs="Times New Roman"/>
            <w:webHidden/>
          </w:rPr>
          <w:fldChar w:fldCharType="end"/>
        </w:r>
      </w:hyperlink>
    </w:p>
    <w:p w14:paraId="365848E7" w14:textId="50ADAA2F"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18" w:history="1">
        <w:r w:rsidR="00E23B63" w:rsidRPr="00E23B63">
          <w:rPr>
            <w:rStyle w:val="Hyperlink"/>
            <w:rFonts w:ascii="Times New Roman" w:hAnsi="Times New Roman" w:cs="Times New Roman"/>
            <w:noProof/>
            <w:sz w:val="24"/>
            <w:szCs w:val="24"/>
          </w:rPr>
          <w:t>A.</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Remisia violated its obligations under the </w:t>
        </w:r>
        <w:r w:rsidR="00E23B63" w:rsidRPr="00E23B63">
          <w:rPr>
            <w:rStyle w:val="Hyperlink"/>
            <w:rFonts w:ascii="Times New Roman" w:hAnsi="Times New Roman" w:cs="Times New Roman"/>
            <w:i/>
            <w:iCs/>
            <w:noProof/>
            <w:sz w:val="24"/>
            <w:szCs w:val="24"/>
          </w:rPr>
          <w:t>CRS</w:t>
        </w:r>
        <w:r w:rsidR="00E23B63" w:rsidRPr="00E23B63">
          <w:rPr>
            <w:rStyle w:val="Hyperlink"/>
            <w:rFonts w:ascii="Times New Roman" w:hAnsi="Times New Roman" w:cs="Times New Roman"/>
            <w:noProof/>
            <w:sz w:val="24"/>
            <w:szCs w:val="24"/>
          </w:rPr>
          <w:t>.</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_Toc155965818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9</w:t>
        </w:r>
        <w:r w:rsidR="00E23B63" w:rsidRPr="00E23B63">
          <w:rPr>
            <w:rFonts w:ascii="Times New Roman" w:hAnsi="Times New Roman" w:cs="Times New Roman"/>
            <w:noProof/>
            <w:webHidden/>
            <w:sz w:val="24"/>
            <w:szCs w:val="24"/>
          </w:rPr>
          <w:fldChar w:fldCharType="end"/>
        </w:r>
      </w:hyperlink>
    </w:p>
    <w:p w14:paraId="73F1956A" w14:textId="4BFB5B36"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19" w:history="1">
        <w:r w:rsidR="00E23B63" w:rsidRPr="00E23B63">
          <w:rPr>
            <w:rStyle w:val="Hyperlink"/>
            <w:rFonts w:ascii="Times New Roman" w:hAnsi="Times New Roman" w:cs="Times New Roman"/>
            <w:noProof/>
            <w:sz w:val="24"/>
            <w:szCs w:val="24"/>
          </w:rPr>
          <w:t>1.</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Remisia violated Article 8(1) of the </w:t>
        </w:r>
        <w:r w:rsidR="00E23B63" w:rsidRPr="00E23B63">
          <w:rPr>
            <w:rStyle w:val="Hyperlink"/>
            <w:rFonts w:ascii="Times New Roman" w:hAnsi="Times New Roman" w:cs="Times New Roman"/>
            <w:i/>
            <w:iCs/>
            <w:noProof/>
            <w:sz w:val="24"/>
            <w:szCs w:val="24"/>
          </w:rPr>
          <w:t>CRS</w:t>
        </w:r>
        <w:r w:rsidR="00E23B63" w:rsidRPr="00E23B63">
          <w:rPr>
            <w:rStyle w:val="Hyperlink"/>
            <w:rFonts w:ascii="Times New Roman" w:hAnsi="Times New Roman" w:cs="Times New Roman"/>
            <w:noProof/>
            <w:sz w:val="24"/>
            <w:szCs w:val="24"/>
          </w:rPr>
          <w:t>.</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_Toc155965819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10</w:t>
        </w:r>
        <w:r w:rsidR="00E23B63" w:rsidRPr="00E23B63">
          <w:rPr>
            <w:rFonts w:ascii="Times New Roman" w:hAnsi="Times New Roman" w:cs="Times New Roman"/>
            <w:noProof/>
            <w:webHidden/>
            <w:sz w:val="24"/>
            <w:szCs w:val="24"/>
          </w:rPr>
          <w:fldChar w:fldCharType="end"/>
        </w:r>
      </w:hyperlink>
    </w:p>
    <w:p w14:paraId="15FDF900" w14:textId="2DEF4FD5"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20" w:history="1">
        <w:r w:rsidR="00E23B63" w:rsidRPr="00E23B63">
          <w:rPr>
            <w:rStyle w:val="Hyperlink"/>
            <w:rFonts w:ascii="Times New Roman" w:hAnsi="Times New Roman" w:cs="Times New Roman"/>
            <w:noProof/>
            <w:sz w:val="24"/>
            <w:szCs w:val="24"/>
          </w:rPr>
          <w:t>2.</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Remisia violated Article 9 of the CRS.</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_Toc155965820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13</w:t>
        </w:r>
        <w:r w:rsidR="00E23B63" w:rsidRPr="00E23B63">
          <w:rPr>
            <w:rFonts w:ascii="Times New Roman" w:hAnsi="Times New Roman" w:cs="Times New Roman"/>
            <w:noProof/>
            <w:webHidden/>
            <w:sz w:val="24"/>
            <w:szCs w:val="24"/>
          </w:rPr>
          <w:fldChar w:fldCharType="end"/>
        </w:r>
      </w:hyperlink>
    </w:p>
    <w:p w14:paraId="4B462148" w14:textId="4B53B61B"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21" w:history="1">
        <w:r w:rsidR="00E23B63" w:rsidRPr="00E23B63">
          <w:rPr>
            <w:rStyle w:val="Hyperlink"/>
            <w:rFonts w:ascii="Times New Roman" w:hAnsi="Times New Roman" w:cs="Times New Roman"/>
            <w:noProof/>
            <w:sz w:val="24"/>
            <w:szCs w:val="24"/>
          </w:rPr>
          <w:t>B.</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Remisia violated the prohibition of arbitrary deprivation of nationality.</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_Toc155965821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14</w:t>
        </w:r>
        <w:r w:rsidR="00E23B63" w:rsidRPr="00E23B63">
          <w:rPr>
            <w:rFonts w:ascii="Times New Roman" w:hAnsi="Times New Roman" w:cs="Times New Roman"/>
            <w:noProof/>
            <w:webHidden/>
            <w:sz w:val="24"/>
            <w:szCs w:val="24"/>
          </w:rPr>
          <w:fldChar w:fldCharType="end"/>
        </w:r>
      </w:hyperlink>
    </w:p>
    <w:p w14:paraId="5C77AE68" w14:textId="300835D6"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22" w:history="1">
        <w:r w:rsidR="00E23B63" w:rsidRPr="00E23B63">
          <w:rPr>
            <w:rStyle w:val="Hyperlink"/>
            <w:rFonts w:ascii="Times New Roman" w:hAnsi="Times New Roman" w:cs="Times New Roman"/>
            <w:noProof/>
            <w:sz w:val="24"/>
            <w:szCs w:val="24"/>
          </w:rPr>
          <w:t>1.</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Remisia is bound by the prohibition of arbitrary deprivation of nationality.</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_Toc155965822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14</w:t>
        </w:r>
        <w:r w:rsidR="00E23B63" w:rsidRPr="00E23B63">
          <w:rPr>
            <w:rFonts w:ascii="Times New Roman" w:hAnsi="Times New Roman" w:cs="Times New Roman"/>
            <w:noProof/>
            <w:webHidden/>
            <w:sz w:val="24"/>
            <w:szCs w:val="24"/>
          </w:rPr>
          <w:fldChar w:fldCharType="end"/>
        </w:r>
      </w:hyperlink>
    </w:p>
    <w:p w14:paraId="766AB128" w14:textId="766D5BD9"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23" w:history="1">
        <w:r w:rsidR="00E23B63" w:rsidRPr="00E23B63">
          <w:rPr>
            <w:rStyle w:val="Hyperlink"/>
            <w:rFonts w:ascii="Times New Roman" w:hAnsi="Times New Roman" w:cs="Times New Roman"/>
            <w:noProof/>
            <w:sz w:val="24"/>
            <w:szCs w:val="24"/>
          </w:rPr>
          <w:t>2.</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Remisia violated the prohibition of arbitrary deprivation of nationality.</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_Toc155965823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14</w:t>
        </w:r>
        <w:r w:rsidR="00E23B63" w:rsidRPr="00E23B63">
          <w:rPr>
            <w:rFonts w:ascii="Times New Roman" w:hAnsi="Times New Roman" w:cs="Times New Roman"/>
            <w:noProof/>
            <w:webHidden/>
            <w:sz w:val="24"/>
            <w:szCs w:val="24"/>
          </w:rPr>
          <w:fldChar w:fldCharType="end"/>
        </w:r>
      </w:hyperlink>
    </w:p>
    <w:p w14:paraId="761B4284" w14:textId="59A5EBE9" w:rsidR="00E23B63" w:rsidRPr="00E23B63" w:rsidRDefault="00000000">
      <w:pPr>
        <w:pStyle w:val="TOC1"/>
        <w:rPr>
          <w:rFonts w:eastAsiaTheme="minorEastAsia" w:cs="Times New Roman"/>
          <w:b w:val="0"/>
          <w:bCs w:val="0"/>
          <w:iCs w:val="0"/>
          <w:caps w:val="0"/>
          <w:kern w:val="2"/>
          <w:lang w:val="en-CA" w:eastAsia="zh-CN"/>
          <w14:ligatures w14:val="standardContextual"/>
        </w:rPr>
      </w:pPr>
      <w:hyperlink w:anchor="_Toc155965824" w:history="1">
        <w:r w:rsidR="00E23B63" w:rsidRPr="00E23B63">
          <w:rPr>
            <w:rStyle w:val="Hyperlink"/>
            <w:rFonts w:cs="Times New Roman"/>
          </w:rPr>
          <w:t>III.</w:t>
        </w:r>
        <w:r w:rsidR="00E23B63" w:rsidRPr="00E23B63">
          <w:rPr>
            <w:rFonts w:eastAsiaTheme="minorEastAsia" w:cs="Times New Roman"/>
            <w:b w:val="0"/>
            <w:bCs w:val="0"/>
            <w:iCs w:val="0"/>
            <w:caps w:val="0"/>
            <w:kern w:val="2"/>
            <w:lang w:val="en-CA" w:eastAsia="zh-CN"/>
            <w14:ligatures w14:val="standardContextual"/>
          </w:rPr>
          <w:tab/>
        </w:r>
        <w:r w:rsidR="00E23B63" w:rsidRPr="00E23B63">
          <w:rPr>
            <w:rStyle w:val="Hyperlink"/>
            <w:rFonts w:cs="Times New Roman"/>
          </w:rPr>
          <w:t>Antrano did not violate international law when it refused to provide Remisia consular access to Ms. Saki Shaw during her time as a prisoner in Antrano.</w:t>
        </w:r>
        <w:r w:rsidR="00E23B63" w:rsidRPr="00E23B63">
          <w:rPr>
            <w:rFonts w:cs="Times New Roman"/>
            <w:webHidden/>
          </w:rPr>
          <w:tab/>
        </w:r>
        <w:r w:rsidR="00E23B63" w:rsidRPr="00E23B63">
          <w:rPr>
            <w:rFonts w:cs="Times New Roman"/>
            <w:webHidden/>
          </w:rPr>
          <w:fldChar w:fldCharType="begin"/>
        </w:r>
        <w:r w:rsidR="00E23B63" w:rsidRPr="00E23B63">
          <w:rPr>
            <w:rFonts w:cs="Times New Roman"/>
            <w:webHidden/>
          </w:rPr>
          <w:instrText xml:space="preserve"> PAGEREF _Toc155965824 \h </w:instrText>
        </w:r>
        <w:r w:rsidR="00E23B63" w:rsidRPr="00E23B63">
          <w:rPr>
            <w:rFonts w:cs="Times New Roman"/>
            <w:webHidden/>
          </w:rPr>
        </w:r>
        <w:r w:rsidR="00E23B63" w:rsidRPr="00E23B63">
          <w:rPr>
            <w:rFonts w:cs="Times New Roman"/>
            <w:webHidden/>
          </w:rPr>
          <w:fldChar w:fldCharType="separate"/>
        </w:r>
        <w:r w:rsidR="00E0561B">
          <w:rPr>
            <w:rFonts w:cs="Times New Roman"/>
            <w:webHidden/>
          </w:rPr>
          <w:t>16</w:t>
        </w:r>
        <w:r w:rsidR="00E23B63" w:rsidRPr="00E23B63">
          <w:rPr>
            <w:rFonts w:cs="Times New Roman"/>
            <w:webHidden/>
          </w:rPr>
          <w:fldChar w:fldCharType="end"/>
        </w:r>
      </w:hyperlink>
    </w:p>
    <w:p w14:paraId="0ED3ACE1" w14:textId="4CBD1688"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25" w:history="1">
        <w:r w:rsidR="00E23B63" w:rsidRPr="00E23B63">
          <w:rPr>
            <w:rStyle w:val="Hyperlink"/>
            <w:rFonts w:ascii="Times New Roman" w:hAnsi="Times New Roman" w:cs="Times New Roman"/>
            <w:noProof/>
            <w:sz w:val="24"/>
            <w:szCs w:val="24"/>
          </w:rPr>
          <w:t>A.</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Remisia was not entitled to exercise consular protection over Shaw.</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_Toc155965825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16</w:t>
        </w:r>
        <w:r w:rsidR="00E23B63" w:rsidRPr="00E23B63">
          <w:rPr>
            <w:rFonts w:ascii="Times New Roman" w:hAnsi="Times New Roman" w:cs="Times New Roman"/>
            <w:noProof/>
            <w:webHidden/>
            <w:sz w:val="24"/>
            <w:szCs w:val="24"/>
          </w:rPr>
          <w:fldChar w:fldCharType="end"/>
        </w:r>
      </w:hyperlink>
    </w:p>
    <w:p w14:paraId="699BEF01" w14:textId="2B25BA76"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26" w:history="1">
        <w:r w:rsidR="00E23B63" w:rsidRPr="00E23B63">
          <w:rPr>
            <w:rStyle w:val="Hyperlink"/>
            <w:rFonts w:ascii="Times New Roman" w:hAnsi="Times New Roman" w:cs="Times New Roman"/>
            <w:noProof/>
            <w:sz w:val="24"/>
            <w:szCs w:val="24"/>
          </w:rPr>
          <w:t>1.</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 xml:space="preserve">The effective nationality test in </w:t>
        </w:r>
        <w:r w:rsidR="00E23B63" w:rsidRPr="00E23B63">
          <w:rPr>
            <w:rStyle w:val="Hyperlink"/>
            <w:rFonts w:ascii="Times New Roman" w:hAnsi="Times New Roman" w:cs="Times New Roman"/>
            <w:i/>
            <w:iCs/>
            <w:noProof/>
            <w:sz w:val="24"/>
            <w:szCs w:val="24"/>
          </w:rPr>
          <w:t xml:space="preserve">Nottebohm </w:t>
        </w:r>
        <w:r w:rsidR="00E23B63" w:rsidRPr="00E23B63">
          <w:rPr>
            <w:rStyle w:val="Hyperlink"/>
            <w:rFonts w:ascii="Times New Roman" w:hAnsi="Times New Roman" w:cs="Times New Roman"/>
            <w:noProof/>
            <w:sz w:val="24"/>
            <w:szCs w:val="24"/>
          </w:rPr>
          <w:t>applies.</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_Toc155965826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17</w:t>
        </w:r>
        <w:r w:rsidR="00E23B63" w:rsidRPr="00E23B63">
          <w:rPr>
            <w:rFonts w:ascii="Times New Roman" w:hAnsi="Times New Roman" w:cs="Times New Roman"/>
            <w:noProof/>
            <w:webHidden/>
            <w:sz w:val="24"/>
            <w:szCs w:val="24"/>
          </w:rPr>
          <w:fldChar w:fldCharType="end"/>
        </w:r>
      </w:hyperlink>
    </w:p>
    <w:p w14:paraId="1E2CED34" w14:textId="7D550F73"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27" w:history="1">
        <w:r w:rsidR="00E23B63" w:rsidRPr="00E23B63">
          <w:rPr>
            <w:rStyle w:val="Hyperlink"/>
            <w:rFonts w:ascii="Times New Roman" w:hAnsi="Times New Roman" w:cs="Times New Roman"/>
            <w:noProof/>
            <w:sz w:val="24"/>
            <w:szCs w:val="24"/>
          </w:rPr>
          <w:t>2.</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Shaw was not a Remisian national under international law.</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_Toc155965827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18</w:t>
        </w:r>
        <w:r w:rsidR="00E23B63" w:rsidRPr="00E23B63">
          <w:rPr>
            <w:rFonts w:ascii="Times New Roman" w:hAnsi="Times New Roman" w:cs="Times New Roman"/>
            <w:noProof/>
            <w:webHidden/>
            <w:sz w:val="24"/>
            <w:szCs w:val="24"/>
          </w:rPr>
          <w:fldChar w:fldCharType="end"/>
        </w:r>
      </w:hyperlink>
    </w:p>
    <w:p w14:paraId="3C94B6B0" w14:textId="56AC0647"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28" w:history="1">
        <w:r w:rsidR="00E23B63" w:rsidRPr="00E23B63">
          <w:rPr>
            <w:rStyle w:val="Hyperlink"/>
            <w:rFonts w:ascii="Times New Roman" w:hAnsi="Times New Roman" w:cs="Times New Roman"/>
            <w:noProof/>
            <w:sz w:val="24"/>
            <w:szCs w:val="24"/>
          </w:rPr>
          <w:t>3.</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Antrano is not estopped from denying Shaw’s Remisian nationality.</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_Toc155965828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19</w:t>
        </w:r>
        <w:r w:rsidR="00E23B63" w:rsidRPr="00E23B63">
          <w:rPr>
            <w:rFonts w:ascii="Times New Roman" w:hAnsi="Times New Roman" w:cs="Times New Roman"/>
            <w:noProof/>
            <w:webHidden/>
            <w:sz w:val="24"/>
            <w:szCs w:val="24"/>
          </w:rPr>
          <w:fldChar w:fldCharType="end"/>
        </w:r>
      </w:hyperlink>
    </w:p>
    <w:p w14:paraId="30314CC3" w14:textId="77B44C45"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29" w:history="1">
        <w:r w:rsidR="00E23B63" w:rsidRPr="00E23B63">
          <w:rPr>
            <w:rStyle w:val="Hyperlink"/>
            <w:rFonts w:ascii="Times New Roman" w:hAnsi="Times New Roman" w:cs="Times New Roman"/>
            <w:noProof/>
            <w:sz w:val="24"/>
            <w:szCs w:val="24"/>
          </w:rPr>
          <w:t>B.</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Shaw did not exhaust local remedies.</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_Toc155965829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21</w:t>
        </w:r>
        <w:r w:rsidR="00E23B63" w:rsidRPr="00E23B63">
          <w:rPr>
            <w:rFonts w:ascii="Times New Roman" w:hAnsi="Times New Roman" w:cs="Times New Roman"/>
            <w:noProof/>
            <w:webHidden/>
            <w:sz w:val="24"/>
            <w:szCs w:val="24"/>
          </w:rPr>
          <w:fldChar w:fldCharType="end"/>
        </w:r>
      </w:hyperlink>
    </w:p>
    <w:p w14:paraId="6E5AB1F9" w14:textId="34196768"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30" w:history="1">
        <w:r w:rsidR="00E23B63" w:rsidRPr="00E23B63">
          <w:rPr>
            <w:rStyle w:val="Hyperlink"/>
            <w:rFonts w:ascii="Times New Roman" w:hAnsi="Times New Roman" w:cs="Times New Roman"/>
            <w:noProof/>
            <w:sz w:val="24"/>
            <w:szCs w:val="24"/>
          </w:rPr>
          <w:t>C.</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If Remisia was entitled to exercise consular protection over Shaw, Antrano’s actions complied with international law.</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_Toc155965830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21</w:t>
        </w:r>
        <w:r w:rsidR="00E23B63" w:rsidRPr="00E23B63">
          <w:rPr>
            <w:rFonts w:ascii="Times New Roman" w:hAnsi="Times New Roman" w:cs="Times New Roman"/>
            <w:noProof/>
            <w:webHidden/>
            <w:sz w:val="24"/>
            <w:szCs w:val="24"/>
          </w:rPr>
          <w:fldChar w:fldCharType="end"/>
        </w:r>
      </w:hyperlink>
    </w:p>
    <w:p w14:paraId="286A9532" w14:textId="2CE78ED8"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31" w:history="1">
        <w:r w:rsidR="00E23B63" w:rsidRPr="00E23B63">
          <w:rPr>
            <w:rStyle w:val="Hyperlink"/>
            <w:rFonts w:ascii="Times New Roman" w:hAnsi="Times New Roman" w:cs="Times New Roman"/>
            <w:noProof/>
            <w:sz w:val="24"/>
            <w:szCs w:val="24"/>
          </w:rPr>
          <w:t>1.</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If applicable, Antrano did not violate its obligations under Article 36, subparagraphs 1(A) and (C).</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_Toc155965831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21</w:t>
        </w:r>
        <w:r w:rsidR="00E23B63" w:rsidRPr="00E23B63">
          <w:rPr>
            <w:rFonts w:ascii="Times New Roman" w:hAnsi="Times New Roman" w:cs="Times New Roman"/>
            <w:noProof/>
            <w:webHidden/>
            <w:sz w:val="24"/>
            <w:szCs w:val="24"/>
          </w:rPr>
          <w:fldChar w:fldCharType="end"/>
        </w:r>
      </w:hyperlink>
    </w:p>
    <w:p w14:paraId="1BEA5CAF" w14:textId="55360401"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32" w:history="1">
        <w:r w:rsidR="00E23B63" w:rsidRPr="00E23B63">
          <w:rPr>
            <w:rStyle w:val="Hyperlink"/>
            <w:rFonts w:ascii="Times New Roman" w:hAnsi="Times New Roman" w:cs="Times New Roman"/>
            <w:noProof/>
            <w:sz w:val="24"/>
            <w:szCs w:val="24"/>
          </w:rPr>
          <w:t>2.</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If applicable, Antrano did not violate its obligations under Article 36, subparagraphs 1(A) and (C).</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_Toc155965832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24</w:t>
        </w:r>
        <w:r w:rsidR="00E23B63" w:rsidRPr="00E23B63">
          <w:rPr>
            <w:rFonts w:ascii="Times New Roman" w:hAnsi="Times New Roman" w:cs="Times New Roman"/>
            <w:noProof/>
            <w:webHidden/>
            <w:sz w:val="24"/>
            <w:szCs w:val="24"/>
          </w:rPr>
          <w:fldChar w:fldCharType="end"/>
        </w:r>
      </w:hyperlink>
    </w:p>
    <w:p w14:paraId="08F25DED" w14:textId="2297D024" w:rsidR="00E23B63" w:rsidRPr="00E23B63" w:rsidRDefault="00000000">
      <w:pPr>
        <w:pStyle w:val="TOC1"/>
        <w:rPr>
          <w:rFonts w:eastAsiaTheme="minorEastAsia" w:cs="Times New Roman"/>
          <w:b w:val="0"/>
          <w:bCs w:val="0"/>
          <w:iCs w:val="0"/>
          <w:caps w:val="0"/>
          <w:kern w:val="2"/>
          <w:lang w:val="en-CA" w:eastAsia="zh-CN"/>
          <w14:ligatures w14:val="standardContextual"/>
        </w:rPr>
      </w:pPr>
      <w:hyperlink w:anchor="_Toc155965833" w:history="1">
        <w:r w:rsidR="00E23B63" w:rsidRPr="00E23B63">
          <w:rPr>
            <w:rStyle w:val="Hyperlink"/>
            <w:rFonts w:cs="Times New Roman"/>
          </w:rPr>
          <w:t>IV.</w:t>
        </w:r>
        <w:r w:rsidR="00E23B63" w:rsidRPr="00E23B63">
          <w:rPr>
            <w:rFonts w:eastAsiaTheme="minorEastAsia" w:cs="Times New Roman"/>
            <w:b w:val="0"/>
            <w:bCs w:val="0"/>
            <w:iCs w:val="0"/>
            <w:caps w:val="0"/>
            <w:kern w:val="2"/>
            <w:lang w:val="en-CA" w:eastAsia="zh-CN"/>
            <w14:ligatures w14:val="standardContextual"/>
          </w:rPr>
          <w:tab/>
        </w:r>
        <w:r w:rsidR="00E23B63" w:rsidRPr="00E23B63">
          <w:rPr>
            <w:rStyle w:val="Hyperlink"/>
            <w:rFonts w:cs="Times New Roman"/>
          </w:rPr>
          <w:t>Remisia violated international law by denying Dr. Tulous Malex entry to Remisia as required by Security Council Resolution 99997.</w:t>
        </w:r>
        <w:r w:rsidR="00E23B63" w:rsidRPr="00E23B63">
          <w:rPr>
            <w:rFonts w:cs="Times New Roman"/>
            <w:webHidden/>
          </w:rPr>
          <w:tab/>
        </w:r>
        <w:r w:rsidR="00E23B63" w:rsidRPr="00E23B63">
          <w:rPr>
            <w:rFonts w:cs="Times New Roman"/>
            <w:webHidden/>
          </w:rPr>
          <w:fldChar w:fldCharType="begin"/>
        </w:r>
        <w:r w:rsidR="00E23B63" w:rsidRPr="00E23B63">
          <w:rPr>
            <w:rFonts w:cs="Times New Roman"/>
            <w:webHidden/>
          </w:rPr>
          <w:instrText xml:space="preserve"> PAGEREF _Toc155965833 \h </w:instrText>
        </w:r>
        <w:r w:rsidR="00E23B63" w:rsidRPr="00E23B63">
          <w:rPr>
            <w:rFonts w:cs="Times New Roman"/>
            <w:webHidden/>
          </w:rPr>
        </w:r>
        <w:r w:rsidR="00E23B63" w:rsidRPr="00E23B63">
          <w:rPr>
            <w:rFonts w:cs="Times New Roman"/>
            <w:webHidden/>
          </w:rPr>
          <w:fldChar w:fldCharType="separate"/>
        </w:r>
        <w:r w:rsidR="00E0561B">
          <w:rPr>
            <w:rFonts w:cs="Times New Roman"/>
            <w:webHidden/>
          </w:rPr>
          <w:t>25</w:t>
        </w:r>
        <w:r w:rsidR="00E23B63" w:rsidRPr="00E23B63">
          <w:rPr>
            <w:rFonts w:cs="Times New Roman"/>
            <w:webHidden/>
          </w:rPr>
          <w:fldChar w:fldCharType="end"/>
        </w:r>
      </w:hyperlink>
    </w:p>
    <w:p w14:paraId="5509F0FD" w14:textId="1003EA5F"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34" w:history="1">
        <w:r w:rsidR="00E23B63" w:rsidRPr="00E23B63">
          <w:rPr>
            <w:rStyle w:val="Hyperlink"/>
            <w:rFonts w:ascii="Times New Roman" w:hAnsi="Times New Roman" w:cs="Times New Roman"/>
            <w:noProof/>
            <w:sz w:val="24"/>
            <w:szCs w:val="24"/>
          </w:rPr>
          <w:t>A.</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Resolution 99997 imposed legal obligations on Remisia to grant entry to Malex.</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_Toc155965834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25</w:t>
        </w:r>
        <w:r w:rsidR="00E23B63" w:rsidRPr="00E23B63">
          <w:rPr>
            <w:rFonts w:ascii="Times New Roman" w:hAnsi="Times New Roman" w:cs="Times New Roman"/>
            <w:noProof/>
            <w:webHidden/>
            <w:sz w:val="24"/>
            <w:szCs w:val="24"/>
          </w:rPr>
          <w:fldChar w:fldCharType="end"/>
        </w:r>
      </w:hyperlink>
    </w:p>
    <w:p w14:paraId="796EF3F9" w14:textId="0024EA44"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35" w:history="1">
        <w:r w:rsidR="00E23B63" w:rsidRPr="00E23B63">
          <w:rPr>
            <w:rStyle w:val="Hyperlink"/>
            <w:rFonts w:ascii="Times New Roman" w:hAnsi="Times New Roman" w:cs="Times New Roman"/>
            <w:noProof/>
            <w:sz w:val="24"/>
            <w:szCs w:val="24"/>
          </w:rPr>
          <w:t>1.</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The terms of Resolution 99997 confirm a binding obligation to grant entry.</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_Toc155965835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27</w:t>
        </w:r>
        <w:r w:rsidR="00E23B63" w:rsidRPr="00E23B63">
          <w:rPr>
            <w:rFonts w:ascii="Times New Roman" w:hAnsi="Times New Roman" w:cs="Times New Roman"/>
            <w:noProof/>
            <w:webHidden/>
            <w:sz w:val="24"/>
            <w:szCs w:val="24"/>
          </w:rPr>
          <w:fldChar w:fldCharType="end"/>
        </w:r>
      </w:hyperlink>
    </w:p>
    <w:p w14:paraId="30927E09" w14:textId="4E309668"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36" w:history="1">
        <w:r w:rsidR="00E23B63" w:rsidRPr="00E23B63">
          <w:rPr>
            <w:rStyle w:val="Hyperlink"/>
            <w:rFonts w:ascii="Times New Roman" w:hAnsi="Times New Roman" w:cs="Times New Roman"/>
            <w:noProof/>
            <w:sz w:val="24"/>
            <w:szCs w:val="24"/>
          </w:rPr>
          <w:t>2.</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Decisions under Article 34 are binding under Article 25.</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_Toc155965836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27</w:t>
        </w:r>
        <w:r w:rsidR="00E23B63" w:rsidRPr="00E23B63">
          <w:rPr>
            <w:rFonts w:ascii="Times New Roman" w:hAnsi="Times New Roman" w:cs="Times New Roman"/>
            <w:noProof/>
            <w:webHidden/>
            <w:sz w:val="24"/>
            <w:szCs w:val="24"/>
          </w:rPr>
          <w:fldChar w:fldCharType="end"/>
        </w:r>
      </w:hyperlink>
    </w:p>
    <w:p w14:paraId="7EF9EC5E" w14:textId="58051362" w:rsidR="00E23B63" w:rsidRPr="00E23B63" w:rsidRDefault="00000000">
      <w:pPr>
        <w:pStyle w:val="TOC3"/>
        <w:rPr>
          <w:rFonts w:ascii="Times New Roman" w:eastAsiaTheme="minorEastAsia" w:hAnsi="Times New Roman" w:cs="Times New Roman"/>
          <w:noProof/>
          <w:kern w:val="2"/>
          <w:sz w:val="24"/>
          <w:szCs w:val="24"/>
          <w:lang w:val="en-CA" w:eastAsia="zh-CN"/>
          <w14:ligatures w14:val="standardContextual"/>
        </w:rPr>
      </w:pPr>
      <w:hyperlink w:anchor="_Toc155965837" w:history="1">
        <w:r w:rsidR="00E23B63" w:rsidRPr="00E23B63">
          <w:rPr>
            <w:rStyle w:val="Hyperlink"/>
            <w:rFonts w:ascii="Times New Roman" w:hAnsi="Times New Roman" w:cs="Times New Roman"/>
            <w:noProof/>
            <w:sz w:val="24"/>
            <w:szCs w:val="24"/>
          </w:rPr>
          <w:t>3.</w:t>
        </w:r>
        <w:r w:rsidR="00E23B63" w:rsidRPr="00E23B63">
          <w:rPr>
            <w:rFonts w:ascii="Times New Roman" w:eastAsiaTheme="minorEastAsia" w:hAnsi="Times New Roman" w:cs="Times New Roman"/>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The context, object, and purpose of Resolution 99997.</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_Toc155965837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28</w:t>
        </w:r>
        <w:r w:rsidR="00E23B63" w:rsidRPr="00E23B63">
          <w:rPr>
            <w:rFonts w:ascii="Times New Roman" w:hAnsi="Times New Roman" w:cs="Times New Roman"/>
            <w:noProof/>
            <w:webHidden/>
            <w:sz w:val="24"/>
            <w:szCs w:val="24"/>
          </w:rPr>
          <w:fldChar w:fldCharType="end"/>
        </w:r>
      </w:hyperlink>
    </w:p>
    <w:p w14:paraId="54EDCED4" w14:textId="14B656DC"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38" w:history="1">
        <w:r w:rsidR="00E23B63" w:rsidRPr="00E23B63">
          <w:rPr>
            <w:rStyle w:val="Hyperlink"/>
            <w:rFonts w:ascii="Times New Roman" w:hAnsi="Times New Roman" w:cs="Times New Roman"/>
            <w:noProof/>
            <w:sz w:val="24"/>
            <w:szCs w:val="24"/>
          </w:rPr>
          <w:t>B.</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Remisia violated its obligations to grant entry to Malex.</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_Toc155965838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29</w:t>
        </w:r>
        <w:r w:rsidR="00E23B63" w:rsidRPr="00E23B63">
          <w:rPr>
            <w:rFonts w:ascii="Times New Roman" w:hAnsi="Times New Roman" w:cs="Times New Roman"/>
            <w:noProof/>
            <w:webHidden/>
            <w:sz w:val="24"/>
            <w:szCs w:val="24"/>
          </w:rPr>
          <w:fldChar w:fldCharType="end"/>
        </w:r>
      </w:hyperlink>
    </w:p>
    <w:p w14:paraId="42247E72" w14:textId="4FA25E5C"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39" w:history="1">
        <w:r w:rsidR="00E23B63" w:rsidRPr="00E23B63">
          <w:rPr>
            <w:rStyle w:val="Hyperlink"/>
            <w:rFonts w:ascii="Times New Roman" w:hAnsi="Times New Roman" w:cs="Times New Roman"/>
            <w:noProof/>
            <w:sz w:val="24"/>
            <w:szCs w:val="24"/>
          </w:rPr>
          <w:t>C.</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Remisia’s violations cannot be defended as countermeasures.</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_Toc155965839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30</w:t>
        </w:r>
        <w:r w:rsidR="00E23B63" w:rsidRPr="00E23B63">
          <w:rPr>
            <w:rFonts w:ascii="Times New Roman" w:hAnsi="Times New Roman" w:cs="Times New Roman"/>
            <w:noProof/>
            <w:webHidden/>
            <w:sz w:val="24"/>
            <w:szCs w:val="24"/>
          </w:rPr>
          <w:fldChar w:fldCharType="end"/>
        </w:r>
      </w:hyperlink>
    </w:p>
    <w:p w14:paraId="0D13B6AE" w14:textId="716A4EE7"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40" w:history="1">
        <w:r w:rsidR="00E23B63" w:rsidRPr="00E23B63">
          <w:rPr>
            <w:rStyle w:val="Hyperlink"/>
            <w:rFonts w:ascii="Times New Roman" w:hAnsi="Times New Roman" w:cs="Times New Roman"/>
            <w:noProof/>
            <w:sz w:val="24"/>
            <w:szCs w:val="24"/>
          </w:rPr>
          <w:t>D.</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This Court cannot review the invocation of Article 34.</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_Toc155965840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30</w:t>
        </w:r>
        <w:r w:rsidR="00E23B63" w:rsidRPr="00E23B63">
          <w:rPr>
            <w:rFonts w:ascii="Times New Roman" w:hAnsi="Times New Roman" w:cs="Times New Roman"/>
            <w:noProof/>
            <w:webHidden/>
            <w:sz w:val="24"/>
            <w:szCs w:val="24"/>
          </w:rPr>
          <w:fldChar w:fldCharType="end"/>
        </w:r>
      </w:hyperlink>
    </w:p>
    <w:p w14:paraId="4853EDD4" w14:textId="46945E5F" w:rsidR="00E23B63" w:rsidRPr="00E23B63" w:rsidRDefault="00000000">
      <w:pPr>
        <w:pStyle w:val="TOC2"/>
        <w:tabs>
          <w:tab w:val="left" w:pos="720"/>
          <w:tab w:val="right" w:leader="dot" w:pos="9350"/>
        </w:tabs>
        <w:rPr>
          <w:rFonts w:ascii="Times New Roman" w:eastAsiaTheme="minorEastAsia" w:hAnsi="Times New Roman" w:cs="Times New Roman"/>
          <w:b w:val="0"/>
          <w:bCs w:val="0"/>
          <w:noProof/>
          <w:kern w:val="2"/>
          <w:sz w:val="24"/>
          <w:szCs w:val="24"/>
          <w:lang w:val="en-CA" w:eastAsia="zh-CN"/>
          <w14:ligatures w14:val="standardContextual"/>
        </w:rPr>
      </w:pPr>
      <w:hyperlink w:anchor="_Toc155965841" w:history="1">
        <w:r w:rsidR="00E23B63" w:rsidRPr="00E23B63">
          <w:rPr>
            <w:rStyle w:val="Hyperlink"/>
            <w:rFonts w:ascii="Times New Roman" w:hAnsi="Times New Roman" w:cs="Times New Roman"/>
            <w:noProof/>
            <w:sz w:val="24"/>
            <w:szCs w:val="24"/>
          </w:rPr>
          <w:t>E.</w:t>
        </w:r>
        <w:r w:rsidR="00E23B63" w:rsidRPr="00E23B63">
          <w:rPr>
            <w:rFonts w:ascii="Times New Roman" w:eastAsiaTheme="minorEastAsia" w:hAnsi="Times New Roman" w:cs="Times New Roman"/>
            <w:b w:val="0"/>
            <w:bCs w:val="0"/>
            <w:noProof/>
            <w:kern w:val="2"/>
            <w:sz w:val="24"/>
            <w:szCs w:val="24"/>
            <w:lang w:val="en-CA" w:eastAsia="zh-CN"/>
            <w14:ligatures w14:val="standardContextual"/>
          </w:rPr>
          <w:tab/>
        </w:r>
        <w:r w:rsidR="00E23B63" w:rsidRPr="00E23B63">
          <w:rPr>
            <w:rStyle w:val="Hyperlink"/>
            <w:rFonts w:ascii="Times New Roman" w:hAnsi="Times New Roman" w:cs="Times New Roman"/>
            <w:noProof/>
            <w:sz w:val="24"/>
            <w:szCs w:val="24"/>
          </w:rPr>
          <w:t>This Court cannot review the invocation of Article 34.</w:t>
        </w:r>
        <w:r w:rsidR="00E23B63" w:rsidRPr="00E23B63">
          <w:rPr>
            <w:rFonts w:ascii="Times New Roman" w:hAnsi="Times New Roman" w:cs="Times New Roman"/>
            <w:noProof/>
            <w:webHidden/>
            <w:sz w:val="24"/>
            <w:szCs w:val="24"/>
          </w:rPr>
          <w:tab/>
        </w:r>
        <w:r w:rsidR="00E23B63" w:rsidRPr="00E23B63">
          <w:rPr>
            <w:rFonts w:ascii="Times New Roman" w:hAnsi="Times New Roman" w:cs="Times New Roman"/>
            <w:noProof/>
            <w:webHidden/>
            <w:sz w:val="24"/>
            <w:szCs w:val="24"/>
          </w:rPr>
          <w:fldChar w:fldCharType="begin"/>
        </w:r>
        <w:r w:rsidR="00E23B63" w:rsidRPr="00E23B63">
          <w:rPr>
            <w:rFonts w:ascii="Times New Roman" w:hAnsi="Times New Roman" w:cs="Times New Roman"/>
            <w:noProof/>
            <w:webHidden/>
            <w:sz w:val="24"/>
            <w:szCs w:val="24"/>
          </w:rPr>
          <w:instrText xml:space="preserve"> PAGEREF _Toc155965841 \h </w:instrText>
        </w:r>
        <w:r w:rsidR="00E23B63" w:rsidRPr="00E23B63">
          <w:rPr>
            <w:rFonts w:ascii="Times New Roman" w:hAnsi="Times New Roman" w:cs="Times New Roman"/>
            <w:noProof/>
            <w:webHidden/>
            <w:sz w:val="24"/>
            <w:szCs w:val="24"/>
          </w:rPr>
        </w:r>
        <w:r w:rsidR="00E23B63" w:rsidRPr="00E23B63">
          <w:rPr>
            <w:rFonts w:ascii="Times New Roman" w:hAnsi="Times New Roman" w:cs="Times New Roman"/>
            <w:noProof/>
            <w:webHidden/>
            <w:sz w:val="24"/>
            <w:szCs w:val="24"/>
          </w:rPr>
          <w:fldChar w:fldCharType="separate"/>
        </w:r>
        <w:r w:rsidR="00E0561B">
          <w:rPr>
            <w:rFonts w:ascii="Times New Roman" w:hAnsi="Times New Roman" w:cs="Times New Roman"/>
            <w:noProof/>
            <w:webHidden/>
            <w:sz w:val="24"/>
            <w:szCs w:val="24"/>
          </w:rPr>
          <w:t>31</w:t>
        </w:r>
        <w:r w:rsidR="00E23B63" w:rsidRPr="00E23B63">
          <w:rPr>
            <w:rFonts w:ascii="Times New Roman" w:hAnsi="Times New Roman" w:cs="Times New Roman"/>
            <w:noProof/>
            <w:webHidden/>
            <w:sz w:val="24"/>
            <w:szCs w:val="24"/>
          </w:rPr>
          <w:fldChar w:fldCharType="end"/>
        </w:r>
      </w:hyperlink>
    </w:p>
    <w:p w14:paraId="6B39C3C2" w14:textId="56D7B5D5" w:rsidR="00EA7B1A" w:rsidRPr="00E23B63" w:rsidRDefault="00062EBB">
      <w:pPr>
        <w:rPr>
          <w:rFonts w:ascii="Times New Roman" w:hAnsi="Times New Roman" w:cs="Times New Roman"/>
        </w:rPr>
      </w:pPr>
      <w:r w:rsidRPr="00E23B63">
        <w:rPr>
          <w:rFonts w:ascii="Times New Roman" w:hAnsi="Times New Roman" w:cs="Times New Roman"/>
          <w:b/>
          <w:bCs/>
          <w:iCs/>
        </w:rPr>
        <w:fldChar w:fldCharType="end"/>
      </w:r>
    </w:p>
    <w:p w14:paraId="6A49408C" w14:textId="6FFF23D5" w:rsidR="0020093C" w:rsidRPr="00E23B63" w:rsidRDefault="0020093C">
      <w:pPr>
        <w:rPr>
          <w:rFonts w:ascii="Times New Roman" w:hAnsi="Times New Roman" w:cs="Times New Roman"/>
          <w:lang w:val="en-CA"/>
        </w:rPr>
      </w:pPr>
    </w:p>
    <w:p w14:paraId="6837102A" w14:textId="237404E9" w:rsidR="00E94D09" w:rsidRPr="00E23B63" w:rsidRDefault="00E94D09">
      <w:pPr>
        <w:rPr>
          <w:rFonts w:ascii="Times New Roman" w:hAnsi="Times New Roman" w:cs="Times New Roman"/>
          <w:lang w:val="en-CA"/>
        </w:rPr>
      </w:pPr>
    </w:p>
    <w:p w14:paraId="34ED1678" w14:textId="5DCBBDFE" w:rsidR="00E94D09" w:rsidRPr="00E23B63" w:rsidRDefault="00E94D09">
      <w:pPr>
        <w:rPr>
          <w:rFonts w:ascii="Times New Roman" w:hAnsi="Times New Roman" w:cs="Times New Roman"/>
          <w:lang w:val="en-CA"/>
        </w:rPr>
      </w:pPr>
    </w:p>
    <w:p w14:paraId="6C44ADB6" w14:textId="362FDB05" w:rsidR="00E511B2" w:rsidRPr="00E23B63" w:rsidRDefault="00E511B2">
      <w:pPr>
        <w:rPr>
          <w:rFonts w:ascii="Times New Roman" w:hAnsi="Times New Roman" w:cs="Times New Roman"/>
          <w:lang w:val="en-CA"/>
        </w:rPr>
      </w:pPr>
    </w:p>
    <w:p w14:paraId="64F22641" w14:textId="38B28AD8" w:rsidR="00E511B2" w:rsidRPr="00E23B63" w:rsidRDefault="00E511B2">
      <w:pPr>
        <w:rPr>
          <w:rFonts w:ascii="Times New Roman" w:hAnsi="Times New Roman" w:cs="Times New Roman"/>
          <w:lang w:val="en-CA"/>
        </w:rPr>
      </w:pPr>
    </w:p>
    <w:p w14:paraId="2C4C36CE" w14:textId="77777777" w:rsidR="008961F8" w:rsidRPr="00E23B63" w:rsidRDefault="008961F8">
      <w:pPr>
        <w:rPr>
          <w:rFonts w:ascii="Times New Roman" w:hAnsi="Times New Roman" w:cs="Times New Roman"/>
          <w:lang w:val="en-CA"/>
        </w:rPr>
      </w:pPr>
    </w:p>
    <w:p w14:paraId="48E2A381" w14:textId="77777777" w:rsidR="008961F8" w:rsidRPr="00E23B63" w:rsidRDefault="008961F8">
      <w:pPr>
        <w:rPr>
          <w:rFonts w:ascii="Times New Roman" w:hAnsi="Times New Roman" w:cs="Times New Roman"/>
          <w:lang w:val="en-CA"/>
        </w:rPr>
      </w:pPr>
    </w:p>
    <w:p w14:paraId="63B0ED30" w14:textId="77777777" w:rsidR="008961F8" w:rsidRPr="00E23B63" w:rsidRDefault="008961F8">
      <w:pPr>
        <w:rPr>
          <w:rFonts w:ascii="Times New Roman" w:hAnsi="Times New Roman" w:cs="Times New Roman"/>
          <w:lang w:val="en-CA"/>
        </w:rPr>
      </w:pPr>
    </w:p>
    <w:p w14:paraId="257C8B98" w14:textId="77777777" w:rsidR="008961F8" w:rsidRPr="00E23B63" w:rsidRDefault="008961F8">
      <w:pPr>
        <w:rPr>
          <w:rFonts w:ascii="Times New Roman" w:hAnsi="Times New Roman" w:cs="Times New Roman"/>
          <w:lang w:val="en-CA"/>
        </w:rPr>
      </w:pPr>
    </w:p>
    <w:p w14:paraId="528EC7D3" w14:textId="77777777" w:rsidR="008961F8" w:rsidRDefault="008961F8">
      <w:pPr>
        <w:rPr>
          <w:lang w:val="en-CA"/>
        </w:rPr>
      </w:pPr>
    </w:p>
    <w:p w14:paraId="4A920E1F" w14:textId="77777777" w:rsidR="008961F8" w:rsidRDefault="008961F8">
      <w:pPr>
        <w:rPr>
          <w:lang w:val="en-CA"/>
        </w:rPr>
      </w:pPr>
    </w:p>
    <w:p w14:paraId="5EF21977" w14:textId="77777777" w:rsidR="008961F8" w:rsidRDefault="008961F8">
      <w:pPr>
        <w:rPr>
          <w:lang w:val="en-CA"/>
        </w:rPr>
      </w:pPr>
    </w:p>
    <w:p w14:paraId="75C4B529" w14:textId="77777777" w:rsidR="008961F8" w:rsidRDefault="008961F8">
      <w:pPr>
        <w:rPr>
          <w:lang w:val="en-CA"/>
        </w:rPr>
      </w:pPr>
    </w:p>
    <w:p w14:paraId="03E106E8" w14:textId="77777777" w:rsidR="008961F8" w:rsidRDefault="008961F8">
      <w:pPr>
        <w:rPr>
          <w:lang w:val="en-CA"/>
        </w:rPr>
      </w:pPr>
    </w:p>
    <w:p w14:paraId="2CC68551" w14:textId="77777777" w:rsidR="008961F8" w:rsidRDefault="008961F8">
      <w:pPr>
        <w:rPr>
          <w:lang w:val="en-CA"/>
        </w:rPr>
      </w:pPr>
    </w:p>
    <w:p w14:paraId="186FBEEB" w14:textId="77777777" w:rsidR="008961F8" w:rsidRDefault="008961F8">
      <w:pPr>
        <w:rPr>
          <w:lang w:val="en-CA"/>
        </w:rPr>
      </w:pPr>
    </w:p>
    <w:p w14:paraId="09538682" w14:textId="77777777" w:rsidR="008961F8" w:rsidRDefault="008961F8">
      <w:pPr>
        <w:rPr>
          <w:lang w:val="en-CA"/>
        </w:rPr>
      </w:pPr>
    </w:p>
    <w:p w14:paraId="331D77D7" w14:textId="77777777" w:rsidR="008961F8" w:rsidRDefault="008961F8">
      <w:pPr>
        <w:rPr>
          <w:lang w:val="en-CA"/>
        </w:rPr>
      </w:pPr>
    </w:p>
    <w:p w14:paraId="54F749E6" w14:textId="77777777" w:rsidR="008961F8" w:rsidRDefault="008961F8">
      <w:pPr>
        <w:rPr>
          <w:lang w:val="en-CA"/>
        </w:rPr>
      </w:pPr>
    </w:p>
    <w:p w14:paraId="406DE635" w14:textId="77777777" w:rsidR="008961F8" w:rsidRDefault="008961F8">
      <w:pPr>
        <w:rPr>
          <w:lang w:val="en-CA"/>
        </w:rPr>
      </w:pPr>
    </w:p>
    <w:p w14:paraId="5A36C6A2" w14:textId="77777777" w:rsidR="008961F8" w:rsidRDefault="008961F8">
      <w:pPr>
        <w:rPr>
          <w:lang w:val="en-CA"/>
        </w:rPr>
      </w:pPr>
    </w:p>
    <w:p w14:paraId="2D7FAF96" w14:textId="167FE6CF" w:rsidR="0021655C" w:rsidRDefault="0021655C">
      <w:pPr>
        <w:rPr>
          <w:lang w:val="en-CA"/>
        </w:rPr>
      </w:pPr>
    </w:p>
    <w:p w14:paraId="0F6520BC" w14:textId="77777777" w:rsidR="000D77D4" w:rsidRDefault="000D77D4">
      <w:pPr>
        <w:rPr>
          <w:lang w:val="en-CA"/>
        </w:rPr>
      </w:pPr>
    </w:p>
    <w:p w14:paraId="300AF8DE" w14:textId="2FFA1E70" w:rsidR="00E55EF1" w:rsidRDefault="00E55EF1">
      <w:pPr>
        <w:rPr>
          <w:lang w:val="en-CA"/>
        </w:rPr>
      </w:pPr>
    </w:p>
    <w:p w14:paraId="67F81D80" w14:textId="77777777" w:rsidR="00314E1F" w:rsidRDefault="00314E1F">
      <w:pPr>
        <w:rPr>
          <w:lang w:val="en-CA"/>
        </w:rPr>
      </w:pPr>
    </w:p>
    <w:p w14:paraId="2A7A98E4" w14:textId="77777777" w:rsidR="00314E1F" w:rsidRDefault="00314E1F">
      <w:pPr>
        <w:rPr>
          <w:lang w:val="en-CA"/>
        </w:rPr>
      </w:pPr>
    </w:p>
    <w:p w14:paraId="35BA526E" w14:textId="77777777" w:rsidR="00314E1F" w:rsidRDefault="00314E1F">
      <w:pPr>
        <w:rPr>
          <w:lang w:val="en-CA"/>
        </w:rPr>
      </w:pPr>
    </w:p>
    <w:p w14:paraId="3999806A" w14:textId="77777777" w:rsidR="00314E1F" w:rsidRDefault="00314E1F">
      <w:pPr>
        <w:rPr>
          <w:lang w:val="en-CA"/>
        </w:rPr>
      </w:pPr>
    </w:p>
    <w:p w14:paraId="456F5464" w14:textId="77777777" w:rsidR="00314E1F" w:rsidRDefault="00314E1F">
      <w:pPr>
        <w:rPr>
          <w:lang w:val="en-CA"/>
        </w:rPr>
      </w:pPr>
    </w:p>
    <w:p w14:paraId="792A00BA" w14:textId="77777777" w:rsidR="00314E1F" w:rsidRDefault="00314E1F">
      <w:pPr>
        <w:rPr>
          <w:lang w:val="en-CA"/>
        </w:rPr>
      </w:pPr>
    </w:p>
    <w:p w14:paraId="2D9066AE" w14:textId="77777777" w:rsidR="00314E1F" w:rsidRDefault="00314E1F">
      <w:pPr>
        <w:rPr>
          <w:lang w:val="en-CA"/>
        </w:rPr>
      </w:pPr>
    </w:p>
    <w:p w14:paraId="3B4590F0" w14:textId="77777777" w:rsidR="00314E1F" w:rsidRDefault="00314E1F">
      <w:pPr>
        <w:rPr>
          <w:lang w:val="en-CA"/>
        </w:rPr>
      </w:pPr>
    </w:p>
    <w:p w14:paraId="0F703EB6" w14:textId="77777777" w:rsidR="00314E1F" w:rsidRDefault="00314E1F">
      <w:pPr>
        <w:rPr>
          <w:lang w:val="en-CA"/>
        </w:rPr>
      </w:pPr>
    </w:p>
    <w:p w14:paraId="25E4C322" w14:textId="77777777" w:rsidR="00314E1F" w:rsidRDefault="00314E1F">
      <w:pPr>
        <w:rPr>
          <w:lang w:val="en-CA"/>
        </w:rPr>
      </w:pPr>
    </w:p>
    <w:p w14:paraId="296E7499" w14:textId="1236173B" w:rsidR="00E55EF1" w:rsidRDefault="00E55EF1">
      <w:pPr>
        <w:rPr>
          <w:lang w:val="en-CA"/>
        </w:rPr>
      </w:pPr>
    </w:p>
    <w:p w14:paraId="4025F6D8" w14:textId="77777777" w:rsidR="00E55EF1" w:rsidRDefault="00E55EF1">
      <w:pPr>
        <w:rPr>
          <w:lang w:val="en-CA"/>
        </w:rPr>
      </w:pPr>
    </w:p>
    <w:p w14:paraId="11E3C082" w14:textId="77777777" w:rsidR="00022262" w:rsidRDefault="00022262">
      <w:pPr>
        <w:rPr>
          <w:lang w:val="en-CA"/>
        </w:rPr>
      </w:pPr>
    </w:p>
    <w:p w14:paraId="1B276E9A" w14:textId="40DFC1D8" w:rsidR="00926CC1" w:rsidRPr="00DF7DD6" w:rsidRDefault="00926CC1" w:rsidP="00926CC1">
      <w:pPr>
        <w:spacing w:after="200"/>
        <w:ind w:left="284" w:hanging="284"/>
        <w:jc w:val="center"/>
        <w:rPr>
          <w:rFonts w:ascii="Times New Roman" w:hAnsi="Times New Roman" w:cs="Times New Roman"/>
          <w:bCs/>
          <w:smallCaps/>
          <w:kern w:val="28"/>
        </w:rPr>
      </w:pPr>
      <w:r w:rsidRPr="00DF7DD6">
        <w:rPr>
          <w:rFonts w:ascii="Times New Roman" w:hAnsi="Times New Roman" w:cs="Times New Roman"/>
          <w:bCs/>
          <w:smallCaps/>
          <w:kern w:val="28"/>
        </w:rPr>
        <w:lastRenderedPageBreak/>
        <w:t>Index of Authorities</w:t>
      </w:r>
    </w:p>
    <w:tbl>
      <w:tblPr>
        <w:tblW w:w="9060" w:type="dxa"/>
        <w:tblBorders>
          <w:top w:val="nil"/>
          <w:left w:val="nil"/>
          <w:bottom w:val="nil"/>
          <w:right w:val="nil"/>
          <w:insideH w:val="nil"/>
          <w:insideV w:val="nil"/>
        </w:tblBorders>
        <w:tblLayout w:type="fixed"/>
        <w:tblLook w:val="0600" w:firstRow="0" w:lastRow="0" w:firstColumn="0" w:lastColumn="0" w:noHBand="1" w:noVBand="1"/>
      </w:tblPr>
      <w:tblGrid>
        <w:gridCol w:w="7530"/>
        <w:gridCol w:w="1530"/>
      </w:tblGrid>
      <w:tr w:rsidR="00DF7DD6" w14:paraId="23B89F16" w14:textId="77777777" w:rsidTr="00025059">
        <w:trPr>
          <w:trHeight w:val="345"/>
        </w:trPr>
        <w:tc>
          <w:tcPr>
            <w:tcW w:w="9060" w:type="dxa"/>
            <w:gridSpan w:val="2"/>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tcPr>
          <w:p w14:paraId="06B9DF4F"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UN Documents</w:t>
            </w:r>
          </w:p>
        </w:tc>
      </w:tr>
      <w:tr w:rsidR="00DF7DD6" w14:paraId="436905F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CBBCA1B" w14:textId="652B88CA" w:rsidR="00DF7DD6"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A/HRC/13/34 (2009)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B457A13" w14:textId="07AC6B3F" w:rsidR="00DF7DD6"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06027BA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FD3A3D8" w14:textId="0CB1751E" w:rsidR="00D83BA1" w:rsidRDefault="00D83BA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A/HRC/19/43 (2011)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5415264" w14:textId="5F4A9612"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691A8960"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2A061B1" w14:textId="4B33D138" w:rsidR="00D83BA1" w:rsidRDefault="00D83BA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A/HRC/25/28 (2013)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DD0AA1B" w14:textId="4B6C2102"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15997B8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80F9FEC" w14:textId="3B683B85" w:rsidR="00D83BA1" w:rsidRDefault="00D83BA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A/HRC/31/29 (2015)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A771627" w14:textId="0E3B15DB"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65A26C6C"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8A9EDB3" w14:textId="3EC2249A" w:rsidR="00D83BA1" w:rsidRDefault="00D83BA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A/HRC/RES/10/13 (2009)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A10E809" w14:textId="0BC23B05"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9</w:t>
            </w:r>
          </w:p>
        </w:tc>
      </w:tr>
      <w:tr w:rsidR="00D83BA1" w14:paraId="21ED444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42E1B69" w14:textId="07316248" w:rsidR="00D83BA1" w:rsidRDefault="00D83BA1" w:rsidP="00025059">
            <w:pPr>
              <w:widowControl w:val="0"/>
              <w:spacing w:after="200"/>
              <w:rPr>
                <w:rFonts w:ascii="Times New Roman" w:eastAsia="Times New Roman" w:hAnsi="Times New Roman" w:cs="Times New Roman"/>
              </w:rPr>
            </w:pPr>
            <w:r w:rsidRPr="00D83BA1">
              <w:rPr>
                <w:rFonts w:ascii="Times New Roman" w:eastAsia="Times New Roman" w:hAnsi="Times New Roman" w:cs="Times New Roman"/>
              </w:rPr>
              <w:t>A/HRC/RES/13/2 (2010)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7DE303B" w14:textId="355ED4BB"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w:t>
            </w:r>
          </w:p>
        </w:tc>
      </w:tr>
      <w:tr w:rsidR="00D83BA1" w14:paraId="6073381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AB5E0A8" w14:textId="3773D1DF" w:rsidR="00D83BA1" w:rsidRDefault="00D83BA1" w:rsidP="00025059">
            <w:pPr>
              <w:widowControl w:val="0"/>
              <w:spacing w:after="200"/>
              <w:rPr>
                <w:rFonts w:ascii="Times New Roman" w:eastAsia="Times New Roman" w:hAnsi="Times New Roman" w:cs="Times New Roman"/>
              </w:rPr>
            </w:pPr>
            <w:r w:rsidRPr="00D83BA1">
              <w:rPr>
                <w:rFonts w:ascii="Times New Roman" w:eastAsia="Times New Roman" w:hAnsi="Times New Roman" w:cs="Times New Roman"/>
              </w:rPr>
              <w:t>A/HRC/RES/20/4 (2012)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E78842B" w14:textId="1F91BA8E"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12</w:t>
            </w:r>
          </w:p>
        </w:tc>
      </w:tr>
      <w:tr w:rsidR="00D83BA1" w14:paraId="2BB6C06B"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50CF508" w14:textId="44B65606" w:rsidR="00D83BA1" w:rsidRDefault="00D83BA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A/HRC/RES/26/14 (2014)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D2125DF" w14:textId="34AE8A5E"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578D41A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A874572" w14:textId="76F92780"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A/HRC/RES/32/5 (2016)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2801AB5" w14:textId="1E0F3A60"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14</w:t>
            </w:r>
          </w:p>
        </w:tc>
      </w:tr>
      <w:tr w:rsidR="00D83BA1" w14:paraId="1FE9E09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F57A406" w14:textId="501966DE"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A/HRC/RES/7/10 (2008)</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03C2F29" w14:textId="18F89F7B"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14</w:t>
            </w:r>
          </w:p>
        </w:tc>
      </w:tr>
      <w:tr w:rsidR="00D83BA1" w14:paraId="66637AC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1CEFE92" w14:textId="4CF96C3F"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A/RES/50/152 (1995)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D08D1BF" w14:textId="68654F22"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5953CD2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F77624A" w14:textId="671C57D8"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A/RES/53/125 (1996)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2029D28" w14:textId="1199AA5D"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0983371C"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7B343C8" w14:textId="7F5052E1"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A/RES/59/34 (2004)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33C4080" w14:textId="4F29718C"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4B47B51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3668EAA" w14:textId="6C8C9AE0"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A/RES/61/136 (2006)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07BDFDC" w14:textId="03F5F7CE"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4DAC941B"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A6D35A3" w14:textId="39D9F3FE"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A/RES/67/149 (2012)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AAF99D0" w14:textId="0E305B8D"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4D45001C"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50766A8" w14:textId="68614292"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A/RES/68/141 (2013)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7FA02A9" w14:textId="7034EF29"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51FDB3DC"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8DF0CFB" w14:textId="1DD38489"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A/RES/71/1 (2016)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001D965" w14:textId="4518C4C3"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25</w:t>
            </w:r>
          </w:p>
        </w:tc>
      </w:tr>
      <w:tr w:rsidR="00D83BA1" w14:paraId="1F775C7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4E082F6" w14:textId="1C75074A" w:rsidR="00D83BA1" w:rsidRDefault="005124FF" w:rsidP="00025059">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CCPR/C/21/Rev.1/Add.13 (2004)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40CF09C" w14:textId="7F665A2E"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13</w:t>
            </w:r>
          </w:p>
        </w:tc>
      </w:tr>
      <w:tr w:rsidR="00D83BA1" w14:paraId="096BD825"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24CEA2E" w14:textId="045C2A4B" w:rsidR="00D83BA1" w:rsidRDefault="005124FF" w:rsidP="00025059">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CCPR/C/21/Rev.1/Add.6 (1994)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BC0AAF8" w14:textId="200563BB"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22</w:t>
            </w:r>
          </w:p>
        </w:tc>
      </w:tr>
      <w:tr w:rsidR="00D83BA1" w14:paraId="1EE37FE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FC8EEF9" w14:textId="0E33D298" w:rsidR="00D83BA1" w:rsidRDefault="005124FF" w:rsidP="00025059">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CCPR/C/21/Rev.1/Add.9 (1999)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A84ACBD" w14:textId="0042173A"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30</w:t>
            </w:r>
          </w:p>
        </w:tc>
      </w:tr>
      <w:tr w:rsidR="00D83BA1" w14:paraId="645B4C36"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231B834" w14:textId="7AEDA270" w:rsidR="00D83BA1"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lastRenderedPageBreak/>
              <w:t>CCPR/C/GC/34 (2011)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8746534" w14:textId="43CCAFFE"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24</w:t>
            </w:r>
          </w:p>
        </w:tc>
      </w:tr>
      <w:tr w:rsidR="00D83BA1" w14:paraId="2E4155F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1353680" w14:textId="486E4055" w:rsidR="00D83BA1"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CCPR/C/GC/37 (2020)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178B195" w14:textId="2EDFC4B6" w:rsidR="00D83BA1"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16, 17</w:t>
            </w:r>
          </w:p>
        </w:tc>
      </w:tr>
      <w:tr w:rsidR="00D83BA1" w14:paraId="1D83D0D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2AB9E48" w14:textId="3F2FFDDF" w:rsidR="00D83BA1"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CEDAW General Recommendation No. 21 (1994)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CE3E2E3" w14:textId="53E46DD9"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3CFD4BD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A97757C" w14:textId="1B41930B" w:rsidR="00D83BA1"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CERD General Recommendation XXX on Discrimination Against Non-Citizens (2002)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F82EE50" w14:textId="7D56F711"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4EC0223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36CD145" w14:textId="44A1AE84" w:rsidR="00D83BA1"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E.CN.4/RES/1997/36 (1997)</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0A5411F" w14:textId="0C515432"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3E467F6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5C1C8BC" w14:textId="21DB6DF3" w:rsidR="00D83BA1"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E.CN.4/RES/1998/48 (1998)</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63EB22E" w14:textId="2717AFCC"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57FE020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55DFC33" w14:textId="042AF97C" w:rsidR="00D83BA1"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E/CN.4/RES/1999/28 (1999)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1A0FC5B" w14:textId="52BFF056"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4FA70E9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33C456F" w14:textId="0DE3D2C8" w:rsidR="00D83BA1"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E/CN.4/RES/2005/45 (2005)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A40B685" w14:textId="2873FB2B"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83BA1" w14:paraId="7AC9898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03027E0" w14:textId="332C69D6" w:rsidR="00D83BA1" w:rsidRPr="005124FF"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General Assembly Official Records, 16th session, Supplement no. 1A, A/4800/Add. 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276989C" w14:textId="7642F6CE"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25</w:t>
            </w:r>
          </w:p>
        </w:tc>
      </w:tr>
      <w:tr w:rsidR="00D83BA1" w14:paraId="67EBB8C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812DE48" w14:textId="4C373C29" w:rsidR="00D83BA1"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HRI/MC/2007/5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6E630D2" w14:textId="4E9A7937"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13</w:t>
            </w:r>
          </w:p>
        </w:tc>
      </w:tr>
      <w:tr w:rsidR="00D83BA1" w14:paraId="2EAE3E40"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E61A4E5" w14:textId="0F7A0634" w:rsidR="00D83BA1" w:rsidRPr="005124FF" w:rsidRDefault="005124FF" w:rsidP="005124FF">
            <w:pPr>
              <w:widowControl w:val="0"/>
              <w:spacing w:after="200"/>
              <w:rPr>
                <w:rFonts w:ascii="Times New Roman" w:eastAsia="Times New Roman" w:hAnsi="Times New Roman" w:cs="Times New Roman"/>
              </w:rPr>
            </w:pPr>
            <w:r w:rsidRPr="005124FF">
              <w:rPr>
                <w:rFonts w:ascii="Times New Roman" w:eastAsia="Times New Roman" w:hAnsi="Times New Roman" w:cs="Times New Roman"/>
              </w:rPr>
              <w:t xml:space="preserve">International Law Commission, </w:t>
            </w:r>
            <w:r w:rsidRPr="005124FF">
              <w:rPr>
                <w:rFonts w:ascii="Times New Roman" w:eastAsia="Times New Roman" w:hAnsi="Times New Roman" w:cs="Times New Roman"/>
                <w:i/>
                <w:iCs/>
              </w:rPr>
              <w:t xml:space="preserve">Draft </w:t>
            </w:r>
            <w:r w:rsidR="00F64118">
              <w:rPr>
                <w:rFonts w:ascii="Times New Roman" w:eastAsia="Times New Roman" w:hAnsi="Times New Roman" w:cs="Times New Roman"/>
                <w:i/>
                <w:iCs/>
              </w:rPr>
              <w:t>A</w:t>
            </w:r>
            <w:r w:rsidRPr="005124FF">
              <w:rPr>
                <w:rFonts w:ascii="Times New Roman" w:eastAsia="Times New Roman" w:hAnsi="Times New Roman" w:cs="Times New Roman"/>
                <w:i/>
                <w:iCs/>
              </w:rPr>
              <w:t>rticles on Diplomatic Protection with Commentaries (</w:t>
            </w:r>
            <w:r w:rsidRPr="005124FF">
              <w:rPr>
                <w:rFonts w:ascii="Times New Roman" w:eastAsia="Times New Roman" w:hAnsi="Times New Roman" w:cs="Times New Roman"/>
              </w:rPr>
              <w:t>2006)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2FFE985" w14:textId="1AEC7357"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22</w:t>
            </w:r>
          </w:p>
        </w:tc>
      </w:tr>
      <w:tr w:rsidR="00D83BA1" w14:paraId="70A4F5D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FAAF6BF" w14:textId="31F0C12C" w:rsidR="00D83BA1" w:rsidRPr="005124FF" w:rsidRDefault="005124F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 xml:space="preserve">International Law Commission, </w:t>
            </w:r>
            <w:r>
              <w:rPr>
                <w:rFonts w:ascii="Times New Roman" w:eastAsia="Times New Roman" w:hAnsi="Times New Roman" w:cs="Times New Roman"/>
                <w:i/>
                <w:iCs/>
              </w:rPr>
              <w:t xml:space="preserve">Draft </w:t>
            </w:r>
            <w:r w:rsidR="00F64118">
              <w:rPr>
                <w:rFonts w:ascii="Times New Roman" w:eastAsia="Times New Roman" w:hAnsi="Times New Roman" w:cs="Times New Roman"/>
                <w:i/>
                <w:iCs/>
              </w:rPr>
              <w:t>A</w:t>
            </w:r>
            <w:r>
              <w:rPr>
                <w:rFonts w:ascii="Times New Roman" w:eastAsia="Times New Roman" w:hAnsi="Times New Roman" w:cs="Times New Roman"/>
                <w:i/>
                <w:iCs/>
              </w:rPr>
              <w:t xml:space="preserve">rticles on the responsibility of International Organizations </w:t>
            </w:r>
            <w:r>
              <w:rPr>
                <w:rFonts w:ascii="Times New Roman" w:eastAsia="Times New Roman" w:hAnsi="Times New Roman" w:cs="Times New Roman"/>
              </w:rPr>
              <w:t>(2011)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CC8DBCB" w14:textId="48F3550E"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30</w:t>
            </w:r>
          </w:p>
        </w:tc>
      </w:tr>
      <w:tr w:rsidR="00D83BA1" w14:paraId="61501DE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5C0F652" w14:textId="42E6BB9B" w:rsidR="00D83BA1" w:rsidRPr="00897B38" w:rsidRDefault="00897B38"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 xml:space="preserve">International Law Commission, </w:t>
            </w:r>
            <w:r>
              <w:rPr>
                <w:rFonts w:ascii="Times New Roman" w:eastAsia="Times New Roman" w:hAnsi="Times New Roman" w:cs="Times New Roman"/>
                <w:i/>
                <w:iCs/>
              </w:rPr>
              <w:t xml:space="preserve">Draft </w:t>
            </w:r>
            <w:r w:rsidR="00F64118">
              <w:rPr>
                <w:rFonts w:ascii="Times New Roman" w:eastAsia="Times New Roman" w:hAnsi="Times New Roman" w:cs="Times New Roman"/>
                <w:i/>
                <w:iCs/>
              </w:rPr>
              <w:t>A</w:t>
            </w:r>
            <w:r>
              <w:rPr>
                <w:rFonts w:ascii="Times New Roman" w:eastAsia="Times New Roman" w:hAnsi="Times New Roman" w:cs="Times New Roman"/>
                <w:i/>
                <w:iCs/>
              </w:rPr>
              <w:t xml:space="preserve">rticles on Consular Relations with Commentaries </w:t>
            </w:r>
            <w:r>
              <w:rPr>
                <w:rFonts w:ascii="Times New Roman" w:eastAsia="Times New Roman" w:hAnsi="Times New Roman" w:cs="Times New Roman"/>
              </w:rPr>
              <w:t>(1961)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6B67916" w14:textId="024A1AE4" w:rsidR="00D83BA1"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24</w:t>
            </w:r>
          </w:p>
        </w:tc>
      </w:tr>
      <w:tr w:rsidR="00F64118" w14:paraId="0EEF763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C5BE9D9" w14:textId="70F4BFDE" w:rsidR="00F64118" w:rsidRPr="00F64118" w:rsidRDefault="00F64118"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 xml:space="preserve">International Law Commission, </w:t>
            </w:r>
            <w:r>
              <w:rPr>
                <w:rFonts w:ascii="Times New Roman" w:eastAsia="Times New Roman" w:hAnsi="Times New Roman" w:cs="Times New Roman"/>
                <w:i/>
                <w:iCs/>
              </w:rPr>
              <w:t xml:space="preserve">First Report on Diplomatic Protection </w:t>
            </w:r>
            <w:r>
              <w:rPr>
                <w:rFonts w:ascii="Times New Roman" w:eastAsia="Times New Roman" w:hAnsi="Times New Roman" w:cs="Times New Roman"/>
              </w:rPr>
              <w:t>by the Special Rapporteur, Mr. John R. Dugard (2000)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D271221" w14:textId="1BA48AC0"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16, 17</w:t>
            </w:r>
          </w:p>
        </w:tc>
      </w:tr>
      <w:tr w:rsidR="00F64118" w14:paraId="513FD939"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8B14A3A" w14:textId="13D842C9" w:rsidR="00F64118" w:rsidRPr="00F64118" w:rsidRDefault="00F64118"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 xml:space="preserve">International Law Commission, </w:t>
            </w:r>
            <w:r>
              <w:rPr>
                <w:rFonts w:ascii="Times New Roman" w:eastAsia="Times New Roman" w:hAnsi="Times New Roman" w:cs="Times New Roman"/>
                <w:i/>
                <w:iCs/>
              </w:rPr>
              <w:t xml:space="preserve">Articles on Responsibility of States for Internationally Wrongful Acts </w:t>
            </w:r>
            <w:r>
              <w:rPr>
                <w:rFonts w:ascii="Times New Roman" w:eastAsia="Times New Roman" w:hAnsi="Times New Roman" w:cs="Times New Roman"/>
              </w:rPr>
              <w:t>(2001) A/56/49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4796C62" w14:textId="1E8BA7C9"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2, 5, 32</w:t>
            </w:r>
          </w:p>
        </w:tc>
      </w:tr>
      <w:tr w:rsidR="00F64118" w14:paraId="77A7B9E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D821457" w14:textId="0FF729C4" w:rsidR="00F64118" w:rsidRPr="00F64118" w:rsidRDefault="00F64118"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 xml:space="preserve">International Law Commission, </w:t>
            </w:r>
            <w:r>
              <w:rPr>
                <w:rFonts w:ascii="Times New Roman" w:eastAsia="Times New Roman" w:hAnsi="Times New Roman" w:cs="Times New Roman"/>
                <w:i/>
                <w:iCs/>
              </w:rPr>
              <w:t xml:space="preserve">Draft Articles on Responsibility of States for Internationally Wrongful Acts, with commentaries </w:t>
            </w:r>
            <w:r>
              <w:rPr>
                <w:rFonts w:ascii="Times New Roman" w:eastAsia="Times New Roman" w:hAnsi="Times New Roman" w:cs="Times New Roman"/>
              </w:rPr>
              <w:t>(2001)</w:t>
            </w:r>
            <w:r w:rsidR="00D76AED">
              <w:rPr>
                <w:rFonts w:ascii="Times New Roman" w:eastAsia="Times New Roman" w:hAnsi="Times New Roman" w:cs="Times New Roman"/>
              </w:rPr>
              <w:t>, ILC Yearbook, Vol.II(2)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253105D" w14:textId="033F7FD5"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2, 3, 5</w:t>
            </w:r>
          </w:p>
        </w:tc>
      </w:tr>
      <w:tr w:rsidR="00F64118" w14:paraId="18D6ECC6"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8D62310" w14:textId="1F1ECDD5" w:rsidR="00F64118" w:rsidRPr="00D76AED" w:rsidRDefault="00D76AED"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International Law Commission, Guide to Practice on Reservations to Treaties, A/66/10 (2011)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A0BFC32" w14:textId="28D29AA0"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10, 11, 12, 13, 14</w:t>
            </w:r>
          </w:p>
        </w:tc>
      </w:tr>
      <w:tr w:rsidR="00F64118" w14:paraId="7C2859FB"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F341F58" w14:textId="3BCDBEC4" w:rsidR="00F64118" w:rsidRPr="0071442E" w:rsidRDefault="00D76AED"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lastRenderedPageBreak/>
              <w:t>Man</w:t>
            </w:r>
            <w:r w:rsidR="0071442E">
              <w:rPr>
                <w:rFonts w:ascii="Times New Roman" w:eastAsia="Times New Roman" w:hAnsi="Times New Roman" w:cs="Times New Roman"/>
              </w:rPr>
              <w:t xml:space="preserve">ley O. Hudson, Special Rapporteur on Nationality Including Statelessness, </w:t>
            </w:r>
            <w:r w:rsidR="0071442E">
              <w:rPr>
                <w:rFonts w:ascii="Times New Roman" w:eastAsia="Times New Roman" w:hAnsi="Times New Roman" w:cs="Times New Roman"/>
                <w:i/>
                <w:iCs/>
              </w:rPr>
              <w:t xml:space="preserve">Rep. on Nationality Including Statelessness </w:t>
            </w:r>
            <w:r w:rsidR="0071442E">
              <w:rPr>
                <w:rFonts w:ascii="Times New Roman" w:eastAsia="Times New Roman" w:hAnsi="Times New Roman" w:cs="Times New Roman"/>
              </w:rPr>
              <w:t>(1952) ILC, A/CN.4/50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DA348AF" w14:textId="5BA700C9"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18</w:t>
            </w:r>
          </w:p>
        </w:tc>
      </w:tr>
      <w:tr w:rsidR="00F64118" w14:paraId="1330978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1A85129" w14:textId="6FC54663" w:rsidR="00F64118" w:rsidRPr="0071442E" w:rsidRDefault="0071442E"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Official Records of the United Nations Conference on Consular Relations, Vienna (1963) A/CONF.25/16/Add.1, Vol. II, 24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13E6EE1" w14:textId="13C3D75C"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22, 28</w:t>
            </w:r>
          </w:p>
        </w:tc>
      </w:tr>
      <w:tr w:rsidR="00F64118" w14:paraId="3C87D41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D863CAF" w14:textId="0F291441" w:rsidR="00F64118" w:rsidRDefault="0071442E"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Position of the UN Special Rapporteur on the promotion and protection of human rights and fundamental freedoms while countering terrorism on citizenship stripping in North-East Syria (February 2022)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1D2BC1F" w14:textId="5B298E01"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F64118" w14:paraId="3C76483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3FA8555" w14:textId="11BCE8CA" w:rsidR="00F64118" w:rsidRDefault="0071442E" w:rsidP="00025059">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S/PV-167, U.N. Security Council, Second Year, Official Records, No. 65, 167th Meeting (1947)</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CD9D968" w14:textId="1A18A952"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28, 32</w:t>
            </w:r>
          </w:p>
        </w:tc>
      </w:tr>
      <w:tr w:rsidR="00F64118" w14:paraId="477CCBB6"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B74D471" w14:textId="47E3ED5F" w:rsidR="00F64118" w:rsidRDefault="0071442E" w:rsidP="00025059">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S/PV-168, U.N. Security Council, Second Year, Official Records, No. 65, 168th Meeting (1947)</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C06AF39" w14:textId="746CDEC2"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28</w:t>
            </w:r>
          </w:p>
        </w:tc>
      </w:tr>
      <w:tr w:rsidR="00F64118" w14:paraId="2D510D59"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C042AB7" w14:textId="00A83850" w:rsidR="00F64118" w:rsidRDefault="0071442E" w:rsidP="00025059">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 xml:space="preserve">UN Office of Legal Affairs, </w:t>
            </w:r>
            <w:r w:rsidRPr="0071442E">
              <w:rPr>
                <w:rFonts w:ascii="Times New Roman" w:eastAsia="Times New Roman" w:hAnsi="Times New Roman" w:cs="Times New Roman"/>
                <w:i/>
                <w:iCs/>
              </w:rPr>
              <w:t>Facsimile to the Chief of the Special Procedures Centre for Human Rights</w:t>
            </w:r>
            <w:r w:rsidRPr="0071442E">
              <w:rPr>
                <w:rFonts w:ascii="Times New Roman" w:eastAsia="Times New Roman" w:hAnsi="Times New Roman" w:cs="Times New Roman"/>
              </w:rPr>
              <w:t>, United Nations Office in Geneva (1996) UNJYB</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6E79521" w14:textId="1FF8055D"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29</w:t>
            </w:r>
          </w:p>
        </w:tc>
      </w:tr>
      <w:tr w:rsidR="00F64118" w14:paraId="4F4C09E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A29DDA2" w14:textId="090F55C4" w:rsidR="00F64118"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 Security Council Resolution 15 (1946), S/Res/15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3286232" w14:textId="40C498C0"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32</w:t>
            </w:r>
          </w:p>
        </w:tc>
      </w:tr>
      <w:tr w:rsidR="00F64118" w14:paraId="017F1B1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6A4AE4D" w14:textId="6112AEF6" w:rsidR="00F64118"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 Security Council Resolution 39 (1948), S/Res/39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6BFA73A" w14:textId="0A5ED0D6"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32</w:t>
            </w:r>
          </w:p>
        </w:tc>
      </w:tr>
      <w:tr w:rsidR="00F64118" w14:paraId="594E576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E1A340F" w14:textId="76F6AA7D" w:rsidR="00F64118"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UNGA Res 56/83 (2001) UN Doc A/RES/56/83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E4C1F01" w14:textId="7566E231"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32</w:t>
            </w:r>
          </w:p>
        </w:tc>
      </w:tr>
      <w:tr w:rsidR="00F64118" w14:paraId="415CECE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78DC25E" w14:textId="106EF775" w:rsidR="00F64118"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UNHCR General Conclusion No. 102(LVI) (2005)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4663DC7" w14:textId="07006651"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F64118" w14:paraId="3291F6C5"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C05458A" w14:textId="4B9ADDE6" w:rsidR="00F64118"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UNHCR General Conclusion No. 106(LVI) (2006)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149AD80" w14:textId="3561F649"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F64118" w14:paraId="78E70D2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74F9E2F" w14:textId="570FC859" w:rsidR="00F64118"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UNHCR General Conclusion No. 78(XLVI) (1995)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4743377" w14:textId="0A322597"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F64118" w14:paraId="7F3F88C0"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5024B3E" w14:textId="18F9FED7" w:rsidR="00F64118"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UNHCR, </w:t>
            </w:r>
            <w:r w:rsidRPr="0071442E">
              <w:rPr>
                <w:rFonts w:ascii="Times New Roman" w:eastAsia="Times New Roman" w:hAnsi="Times New Roman" w:cs="Times New Roman"/>
                <w:i/>
                <w:iCs/>
              </w:rPr>
              <w:t>Addressing Statelessness through the Rule of Law </w:t>
            </w:r>
            <w:r w:rsidRPr="0071442E">
              <w:rPr>
                <w:rFonts w:ascii="Times New Roman" w:eastAsia="Times New Roman" w:hAnsi="Times New Roman" w:cs="Times New Roman"/>
              </w:rPr>
              <w:t>(2022)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40D59EC" w14:textId="05C52529"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5, 9</w:t>
            </w:r>
          </w:p>
        </w:tc>
      </w:tr>
      <w:tr w:rsidR="00F64118" w14:paraId="4C44091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135B801" w14:textId="7554F2DD" w:rsidR="00F64118"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UNHCR, </w:t>
            </w:r>
            <w:r w:rsidRPr="0071442E">
              <w:rPr>
                <w:rFonts w:ascii="Times New Roman" w:eastAsia="Times New Roman" w:hAnsi="Times New Roman" w:cs="Times New Roman"/>
                <w:i/>
                <w:iCs/>
              </w:rPr>
              <w:t>Expert Meeting: Interpreting the 1961 Statelessness Convention and Avoiding Statelessness resulting from Loss and Deprivation of Nationality </w:t>
            </w:r>
            <w:r w:rsidRPr="0071442E">
              <w:rPr>
                <w:rFonts w:ascii="Times New Roman" w:eastAsia="Times New Roman" w:hAnsi="Times New Roman" w:cs="Times New Roman"/>
              </w:rPr>
              <w:t>(2014)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4E0B9C8" w14:textId="4992BE0E" w:rsidR="00F64118"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8, 10, 11, 13, 14, 15</w:t>
            </w:r>
          </w:p>
        </w:tc>
      </w:tr>
      <w:tr w:rsidR="0071442E" w14:paraId="53C23EBB"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E614815" w14:textId="3802E19F" w:rsidR="0071442E"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UNHCR, </w:t>
            </w:r>
            <w:r w:rsidRPr="0071442E">
              <w:rPr>
                <w:rFonts w:ascii="Times New Roman" w:eastAsia="Times New Roman" w:hAnsi="Times New Roman" w:cs="Times New Roman"/>
                <w:i/>
                <w:iCs/>
              </w:rPr>
              <w:t>Guidelines on Statelessness No.5, </w:t>
            </w:r>
            <w:r w:rsidRPr="0071442E">
              <w:rPr>
                <w:rFonts w:ascii="Times New Roman" w:eastAsia="Times New Roman" w:hAnsi="Times New Roman" w:cs="Times New Roman"/>
              </w:rPr>
              <w:t>HCR/GS/20/05 (2020)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51723B9" w14:textId="21347702" w:rsidR="0071442E"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5, 10, 11, 13, 14, 15</w:t>
            </w:r>
          </w:p>
        </w:tc>
      </w:tr>
      <w:tr w:rsidR="0071442E" w14:paraId="4274BB1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8B2BF37" w14:textId="1FACE64E" w:rsidR="0071442E"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t>UNHCR,</w:t>
            </w:r>
            <w:r w:rsidRPr="0071442E">
              <w:rPr>
                <w:rFonts w:ascii="Times New Roman" w:eastAsia="Times New Roman" w:hAnsi="Times New Roman" w:cs="Times New Roman"/>
                <w:i/>
                <w:iCs/>
              </w:rPr>
              <w:t> Preventing and Reducing Statelessness: The 1961 Convention on the Reduction of Statelessness </w:t>
            </w:r>
            <w:r w:rsidRPr="0071442E">
              <w:rPr>
                <w:rFonts w:ascii="Times New Roman" w:eastAsia="Times New Roman" w:hAnsi="Times New Roman" w:cs="Times New Roman"/>
              </w:rPr>
              <w:t>(2014)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C5E8DDA" w14:textId="41B37B4B" w:rsidR="0071442E"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w:t>
            </w:r>
          </w:p>
        </w:tc>
      </w:tr>
      <w:tr w:rsidR="0071442E" w14:paraId="0A884DF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3B6C1DE" w14:textId="42A23C84" w:rsidR="0071442E"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rPr>
              <w:lastRenderedPageBreak/>
              <w:t>UNHCR,</w:t>
            </w:r>
            <w:r w:rsidRPr="0071442E">
              <w:rPr>
                <w:rFonts w:ascii="Times New Roman" w:eastAsia="Times New Roman" w:hAnsi="Times New Roman" w:cs="Times New Roman"/>
                <w:i/>
                <w:iCs/>
              </w:rPr>
              <w:t> The Statelessness Conventions Campaign: Why States Should Accede to the 1954 and 1961 Statelessness Conventions </w:t>
            </w:r>
            <w:r w:rsidRPr="0071442E">
              <w:rPr>
                <w:rFonts w:ascii="Times New Roman" w:eastAsia="Times New Roman" w:hAnsi="Times New Roman" w:cs="Times New Roman"/>
              </w:rPr>
              <w:t>(2010)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53843A7" w14:textId="0F0B5B1F" w:rsidR="0071442E"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29, 31</w:t>
            </w:r>
          </w:p>
        </w:tc>
      </w:tr>
      <w:tr w:rsidR="0071442E" w14:paraId="7E05B55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D0469D5" w14:textId="5AFC2D23" w:rsidR="0071442E" w:rsidRPr="0071442E" w:rsidRDefault="0071442E" w:rsidP="0071442E">
            <w:pPr>
              <w:widowControl w:val="0"/>
              <w:spacing w:after="200"/>
              <w:rPr>
                <w:rFonts w:ascii="Times New Roman" w:eastAsia="Times New Roman" w:hAnsi="Times New Roman" w:cs="Times New Roman"/>
              </w:rPr>
            </w:pPr>
            <w:r w:rsidRPr="0071442E">
              <w:rPr>
                <w:rFonts w:ascii="Times New Roman" w:eastAsia="Times New Roman" w:hAnsi="Times New Roman" w:cs="Times New Roman"/>
                <w:i/>
                <w:iCs/>
              </w:rPr>
              <w:t>Universal Declaration of Human Rights, </w:t>
            </w:r>
            <w:r w:rsidRPr="0071442E">
              <w:rPr>
                <w:rFonts w:ascii="Times New Roman" w:eastAsia="Times New Roman" w:hAnsi="Times New Roman" w:cs="Times New Roman"/>
              </w:rPr>
              <w:t>1948, 217 A (III)</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D5CD935" w14:textId="598A4CC3" w:rsidR="0071442E" w:rsidRDefault="00CB6A19"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DF7DD6" w14:paraId="5B6BCAA3" w14:textId="77777777" w:rsidTr="00025059">
        <w:trPr>
          <w:trHeight w:val="345"/>
        </w:trPr>
        <w:tc>
          <w:tcPr>
            <w:tcW w:w="9060" w:type="dxa"/>
            <w:gridSpan w:val="2"/>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3B17F41"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Treaties, Conventions</w:t>
            </w:r>
          </w:p>
        </w:tc>
      </w:tr>
      <w:tr w:rsidR="00DF7DD6" w14:paraId="2EF22BA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149A9E1" w14:textId="412F9AF2" w:rsidR="002118CD"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African Charter on the Rights and Welfare of the Child</w:t>
            </w:r>
            <w:r>
              <w:rPr>
                <w:rFonts w:ascii="Times New Roman" w:eastAsia="Times New Roman" w:hAnsi="Times New Roman" w:cs="Times New Roman"/>
                <w:iCs/>
              </w:rPr>
              <w:t>, 1990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206EE57" w14:textId="6A6CA933" w:rsidR="00DF7DD6"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6D8CC75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2978B20" w14:textId="21BAEE2C"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American Convention on Human Rights</w:t>
            </w:r>
            <w:r>
              <w:rPr>
                <w:rFonts w:ascii="Times New Roman" w:eastAsia="Times New Roman" w:hAnsi="Times New Roman" w:cs="Times New Roman"/>
                <w:iCs/>
              </w:rPr>
              <w:t>, 1969, 1144 U.N.T.S. 123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AC11D45" w14:textId="79EBC2FE"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1F22FC0C"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CA4EA06" w14:textId="2A468963"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Charter of the United Nations</w:t>
            </w:r>
            <w:r>
              <w:rPr>
                <w:rFonts w:ascii="Times New Roman" w:eastAsia="Times New Roman" w:hAnsi="Times New Roman" w:cs="Times New Roman"/>
                <w:iCs/>
              </w:rPr>
              <w:t>, 1945, 1 UNTS XVI</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DB2CB03" w14:textId="39D8623A"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27, 28, 29, 30, 31, 32</w:t>
            </w:r>
          </w:p>
        </w:tc>
      </w:tr>
      <w:tr w:rsidR="004D064F" w14:paraId="44173779"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B745D60" w14:textId="3B4CECDF"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 xml:space="preserve">Convention on the Elimination of All Forms of Discrimination Against Document, </w:t>
            </w:r>
            <w:r>
              <w:rPr>
                <w:rFonts w:ascii="Times New Roman" w:eastAsia="Times New Roman" w:hAnsi="Times New Roman" w:cs="Times New Roman"/>
                <w:iCs/>
              </w:rPr>
              <w:t>1979, 1249 U.N.T.S. 13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A2EE516" w14:textId="3D3D1001"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0AFB8BF5"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FC7A8D6" w14:textId="5158B16B"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Convention on the Nationality of Married Women</w:t>
            </w:r>
            <w:r>
              <w:rPr>
                <w:rFonts w:ascii="Times New Roman" w:eastAsia="Times New Roman" w:hAnsi="Times New Roman" w:cs="Times New Roman"/>
                <w:iCs/>
              </w:rPr>
              <w:t>, 1957, 309 U.N.T.S 65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9A5069D" w14:textId="6A9BD465"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56B5CE1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F34DE17" w14:textId="33874DD8"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Convention on the Reduction of Statelessness</w:t>
            </w:r>
            <w:r>
              <w:rPr>
                <w:rFonts w:ascii="Times New Roman" w:eastAsia="Times New Roman" w:hAnsi="Times New Roman" w:cs="Times New Roman"/>
                <w:iCs/>
              </w:rPr>
              <w:t>, 1961, 989 U.N.T.S 175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A38F903" w14:textId="432A9DBD"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2, 4, 5, 10, 13</w:t>
            </w:r>
          </w:p>
        </w:tc>
      </w:tr>
      <w:tr w:rsidR="004D064F" w14:paraId="1CB0B619"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7AF442F" w14:textId="6EABFA77"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Convention on the Rights of Persons with Disabilities</w:t>
            </w:r>
            <w:r>
              <w:rPr>
                <w:rFonts w:ascii="Times New Roman" w:eastAsia="Times New Roman" w:hAnsi="Times New Roman" w:cs="Times New Roman"/>
                <w:iCs/>
              </w:rPr>
              <w:t>, 2007 U.N.T.S 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9D78907" w14:textId="54F23247"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7A81F659"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CEBF183" w14:textId="1E42B9EF"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Convention on the Rights of the Child</w:t>
            </w:r>
            <w:r>
              <w:rPr>
                <w:rFonts w:ascii="Times New Roman" w:eastAsia="Times New Roman" w:hAnsi="Times New Roman" w:cs="Times New Roman"/>
                <w:iCs/>
              </w:rPr>
              <w:t>, 1989, 1577 U.N.T.S 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29CF579" w14:textId="6A7FA6BB"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18B79A26"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6D4BAE7" w14:textId="7A0DA79D"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European Convention on Nationality</w:t>
            </w:r>
            <w:r>
              <w:rPr>
                <w:rFonts w:ascii="Times New Roman" w:eastAsia="Times New Roman" w:hAnsi="Times New Roman" w:cs="Times New Roman"/>
                <w:iCs/>
              </w:rPr>
              <w:t>, 1997, 2135 U.N.T.S 213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A131274" w14:textId="3E2C4513"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4CEDEAE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6A16B83" w14:textId="42D2C42C"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International Convention on the Elimination of All Forms of Racial Discrimination</w:t>
            </w:r>
            <w:r>
              <w:rPr>
                <w:rFonts w:ascii="Times New Roman" w:eastAsia="Times New Roman" w:hAnsi="Times New Roman" w:cs="Times New Roman"/>
                <w:iCs/>
              </w:rPr>
              <w:t>, 1965, 660 U.N.T.S 195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9A653EA" w14:textId="4362CE62"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15A3EF8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39D3367" w14:textId="44EB3101"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International Convention on the Protection of the Rights of All Migrant Workers and Members of their Families</w:t>
            </w:r>
            <w:r>
              <w:rPr>
                <w:rFonts w:ascii="Times New Roman" w:eastAsia="Times New Roman" w:hAnsi="Times New Roman" w:cs="Times New Roman"/>
                <w:iCs/>
              </w:rPr>
              <w:t>, 1990, 2220 U.N.T.S. 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0C9B7FB" w14:textId="40944F55"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2D914F0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D29C61E" w14:textId="3946E45E"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International Covenant on Civil and Political Rights</w:t>
            </w:r>
            <w:r>
              <w:rPr>
                <w:rFonts w:ascii="Times New Roman" w:eastAsia="Times New Roman" w:hAnsi="Times New Roman" w:cs="Times New Roman"/>
                <w:iCs/>
              </w:rPr>
              <w:t>, 1996, 999 U.N.T.S 171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6A25B31" w14:textId="43078D8B" w:rsidR="004D064F" w:rsidRDefault="00B461B5"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24EBC5B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A918C6C" w14:textId="67882AF4"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Revised Arab Charter on Human Rights</w:t>
            </w:r>
            <w:r>
              <w:rPr>
                <w:rFonts w:ascii="Times New Roman" w:eastAsia="Times New Roman" w:hAnsi="Times New Roman" w:cs="Times New Roman"/>
                <w:iCs/>
              </w:rPr>
              <w:t>, 15 September 1994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CC4CCA5" w14:textId="34AF0537" w:rsidR="004D064F" w:rsidRDefault="004D064F"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7</w:t>
            </w:r>
          </w:p>
        </w:tc>
      </w:tr>
      <w:tr w:rsidR="004D064F" w14:paraId="117E989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9A4CDC2" w14:textId="1A606D13"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Vienna Convention on Consular Relations</w:t>
            </w:r>
            <w:r>
              <w:rPr>
                <w:rFonts w:ascii="Times New Roman" w:eastAsia="Times New Roman" w:hAnsi="Times New Roman" w:cs="Times New Roman"/>
                <w:iCs/>
              </w:rPr>
              <w:t>, 1963, 596 U.N.T.S. 261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2765A9B" w14:textId="4C2F060A" w:rsidR="004D064F" w:rsidRDefault="00B461B5"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16, 22, 24</w:t>
            </w:r>
          </w:p>
        </w:tc>
      </w:tr>
      <w:tr w:rsidR="004D064F" w14:paraId="7EB69550"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FFAC75B" w14:textId="18F794A7" w:rsidR="004D064F" w:rsidRPr="004D064F" w:rsidRDefault="004D064F" w:rsidP="002118CD">
            <w:pPr>
              <w:widowControl w:val="0"/>
              <w:spacing w:after="200"/>
              <w:rPr>
                <w:rFonts w:ascii="Times New Roman" w:eastAsia="Times New Roman" w:hAnsi="Times New Roman" w:cs="Times New Roman"/>
                <w:iCs/>
              </w:rPr>
            </w:pPr>
            <w:r>
              <w:rPr>
                <w:rFonts w:ascii="Times New Roman" w:eastAsia="Times New Roman" w:hAnsi="Times New Roman" w:cs="Times New Roman"/>
                <w:i/>
              </w:rPr>
              <w:t>Vienna Convention on the Law of the Treaties</w:t>
            </w:r>
            <w:r>
              <w:rPr>
                <w:rFonts w:ascii="Times New Roman" w:eastAsia="Times New Roman" w:hAnsi="Times New Roman" w:cs="Times New Roman"/>
                <w:iCs/>
              </w:rPr>
              <w:t>, 1969 U.N.T.S 331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2BED9CE" w14:textId="79A2D0D5" w:rsidR="004D064F" w:rsidRDefault="00B461B5"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3, 4, 11</w:t>
            </w:r>
          </w:p>
        </w:tc>
      </w:tr>
      <w:tr w:rsidR="00DF7DD6" w14:paraId="0E142B0A" w14:textId="77777777" w:rsidTr="00025059">
        <w:trPr>
          <w:trHeight w:val="345"/>
        </w:trPr>
        <w:tc>
          <w:tcPr>
            <w:tcW w:w="9060" w:type="dxa"/>
            <w:gridSpan w:val="2"/>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04765AB"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International Court of Justice Cases</w:t>
            </w:r>
          </w:p>
        </w:tc>
      </w:tr>
      <w:tr w:rsidR="00DF7DD6" w14:paraId="5230929B"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6C3D0E9" w14:textId="76CEAAF0" w:rsidR="00DF7DD6" w:rsidRDefault="00022D73" w:rsidP="00022D73">
            <w:pPr>
              <w:widowControl w:val="0"/>
              <w:spacing w:after="200"/>
              <w:rPr>
                <w:rFonts w:ascii="Times New Roman" w:eastAsia="Times New Roman" w:hAnsi="Times New Roman" w:cs="Times New Roman"/>
              </w:rPr>
            </w:pPr>
            <w:r w:rsidRPr="00022D73">
              <w:rPr>
                <w:rFonts w:ascii="Times New Roman" w:eastAsia="Times New Roman" w:hAnsi="Times New Roman" w:cs="Times New Roman"/>
                <w:i/>
                <w:iCs/>
              </w:rPr>
              <w:t xml:space="preserve">Application of the Convention against Torture and Other Cruel, Inhuman or Degrading Treatment or Punishment (Canada and the Netherlands/Syrian </w:t>
            </w:r>
            <w:r w:rsidRPr="00022D73">
              <w:rPr>
                <w:rFonts w:ascii="Times New Roman" w:eastAsia="Times New Roman" w:hAnsi="Times New Roman" w:cs="Times New Roman"/>
                <w:i/>
                <w:iCs/>
              </w:rPr>
              <w:lastRenderedPageBreak/>
              <w:t>Arab Republic), </w:t>
            </w:r>
            <w:r w:rsidRPr="00022D73">
              <w:rPr>
                <w:rFonts w:ascii="Times New Roman" w:eastAsia="Times New Roman" w:hAnsi="Times New Roman" w:cs="Times New Roman"/>
              </w:rPr>
              <w:t>[2023] ICJ Rep 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1324FEB" w14:textId="51DBB477" w:rsidR="00DF7DD6"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lastRenderedPageBreak/>
              <w:t>1, 2</w:t>
            </w:r>
          </w:p>
        </w:tc>
      </w:tr>
      <w:tr w:rsidR="00022D73" w14:paraId="12B607B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9B0D581" w14:textId="072513D7"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Application of the Convention on the Prevention and Punishment of the Crime of Genocide (Bosnia and Herzegovina/Serbia and Montenegro)</w:t>
            </w:r>
            <w:r w:rsidRPr="007D3DCE">
              <w:rPr>
                <w:rFonts w:ascii="Times New Roman" w:eastAsia="Times New Roman" w:hAnsi="Times New Roman" w:cs="Times New Roman"/>
              </w:rPr>
              <w:t>, [1996] ICJ Rep 595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FFB9CAB" w14:textId="0600481E"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5, 6</w:t>
            </w:r>
          </w:p>
        </w:tc>
      </w:tr>
      <w:tr w:rsidR="00022D73" w14:paraId="63F6956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EB79791" w14:textId="5E28D503"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Application of the Convention on the Prevention and Punishment of the Crime of Genocide (The Gambia/Myanmar)</w:t>
            </w:r>
            <w:r w:rsidRPr="007D3DCE">
              <w:rPr>
                <w:rFonts w:ascii="Times New Roman" w:eastAsia="Times New Roman" w:hAnsi="Times New Roman" w:cs="Times New Roman"/>
              </w:rPr>
              <w:t>, [2022] ICJ Rep 477</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43E4556" w14:textId="4A174A02"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1, 2, 3, 4, 5</w:t>
            </w:r>
          </w:p>
        </w:tc>
      </w:tr>
      <w:tr w:rsidR="00022D73" w14:paraId="1E771B2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03E2077" w14:textId="3BC892C8"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Application of the Convention on the Prevention and Punishment of the Crime of Genocide, </w:t>
            </w:r>
            <w:r w:rsidRPr="007D3DCE">
              <w:rPr>
                <w:rFonts w:ascii="Times New Roman" w:eastAsia="Times New Roman" w:hAnsi="Times New Roman" w:cs="Times New Roman"/>
              </w:rPr>
              <w:t>[1993] Provisional Measures, ICJ Rep 325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A703A3D" w14:textId="75140462"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31</w:t>
            </w:r>
          </w:p>
        </w:tc>
      </w:tr>
      <w:tr w:rsidR="00022D73" w14:paraId="04DAB61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E6B39D1" w14:textId="1ED2B623"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Armed Activities on the Territory of the Congo (Democratic Republic of the Congo/Rwanda)</w:t>
            </w:r>
            <w:r w:rsidRPr="007D3DCE">
              <w:rPr>
                <w:rFonts w:ascii="Times New Roman" w:eastAsia="Times New Roman" w:hAnsi="Times New Roman" w:cs="Times New Roman"/>
              </w:rPr>
              <w:t>, [2006] ICJ Rep 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295B8AE" w14:textId="1BF90948"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w:t>
            </w:r>
          </w:p>
        </w:tc>
      </w:tr>
      <w:tr w:rsidR="00022D73" w14:paraId="308BA8C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A7D944D" w14:textId="15332DBE"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Avena and Other Mexican Nationals (Mexico/United States of America), Judgment</w:t>
            </w:r>
            <w:r w:rsidRPr="007D3DCE">
              <w:rPr>
                <w:rFonts w:ascii="Times New Roman" w:eastAsia="Times New Roman" w:hAnsi="Times New Roman" w:cs="Times New Roman"/>
              </w:rPr>
              <w:t>, [2004] ICJ Rep 12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EAF2783" w14:textId="1A3FDD7C"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22, 23</w:t>
            </w:r>
          </w:p>
        </w:tc>
      </w:tr>
      <w:tr w:rsidR="00022D73" w14:paraId="2E03EAF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DD52209" w14:textId="0F22301A"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Barcelona Traction, Light and Power Company, Limited (Belgium/Spain)</w:t>
            </w:r>
            <w:r w:rsidRPr="007D3DCE">
              <w:rPr>
                <w:rFonts w:ascii="Times New Roman" w:eastAsia="Times New Roman" w:hAnsi="Times New Roman" w:cs="Times New Roman"/>
              </w:rPr>
              <w:t>, [1970] ICJ Rep 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48784F2" w14:textId="65E146DB"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1, 5, 6, 19</w:t>
            </w:r>
          </w:p>
        </w:tc>
      </w:tr>
      <w:tr w:rsidR="00022D73" w14:paraId="076CBF39"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BC91356" w14:textId="60499ADF"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Case Concerning United States Diplomatic and Consular Staff in Tehran (United States/Iran</w:t>
            </w:r>
            <w:r>
              <w:rPr>
                <w:rFonts w:ascii="Times New Roman" w:eastAsia="Times New Roman" w:hAnsi="Times New Roman" w:cs="Times New Roman"/>
                <w:i/>
                <w:iCs/>
              </w:rPr>
              <w:t>)</w:t>
            </w:r>
            <w:r>
              <w:rPr>
                <w:rFonts w:ascii="Times New Roman" w:eastAsia="Times New Roman" w:hAnsi="Times New Roman" w:cs="Times New Roman"/>
              </w:rPr>
              <w:t>,</w:t>
            </w:r>
            <w:r w:rsidRPr="007D3DCE">
              <w:rPr>
                <w:rFonts w:ascii="Times New Roman" w:eastAsia="Times New Roman" w:hAnsi="Times New Roman" w:cs="Times New Roman"/>
              </w:rPr>
              <w:t> [1980] ICJ Rep 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BF7AB21" w14:textId="0E683CEB"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022D73" w14:paraId="7F87599C"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0011BCF" w14:textId="2D4E5C9B"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Certain Expenses of the United Nations (Article 17, paragraph 2, of the Charter), Advisory Opinion</w:t>
            </w:r>
            <w:r w:rsidRPr="007D3DCE">
              <w:rPr>
                <w:rFonts w:ascii="Times New Roman" w:eastAsia="Times New Roman" w:hAnsi="Times New Roman" w:cs="Times New Roman"/>
              </w:rPr>
              <w:t>, [1962] ICJ Rep 151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59490E5" w14:textId="070A2C6C"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30, 31</w:t>
            </w:r>
          </w:p>
        </w:tc>
      </w:tr>
      <w:tr w:rsidR="00022D73" w14:paraId="716A2B2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4952853" w14:textId="2290E9B9"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Corfu Channel Case (Merits)</w:t>
            </w:r>
            <w:r>
              <w:rPr>
                <w:rFonts w:ascii="Times New Roman" w:eastAsia="Times New Roman" w:hAnsi="Times New Roman" w:cs="Times New Roman"/>
              </w:rPr>
              <w:t>,</w:t>
            </w:r>
            <w:r w:rsidRPr="007D3DCE">
              <w:rPr>
                <w:rFonts w:ascii="Times New Roman" w:eastAsia="Times New Roman" w:hAnsi="Times New Roman" w:cs="Times New Roman"/>
              </w:rPr>
              <w:t> [1949] ICJ Rep 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938C1A8" w14:textId="1D6849BF"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24</w:t>
            </w:r>
          </w:p>
        </w:tc>
      </w:tr>
      <w:tr w:rsidR="00022D73" w14:paraId="41949895"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E006A7F" w14:textId="16F9A0DF"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East Timor (Portugal/Australia),</w:t>
            </w:r>
            <w:r w:rsidRPr="007D3DCE">
              <w:rPr>
                <w:rFonts w:ascii="Times New Roman" w:eastAsia="Times New Roman" w:hAnsi="Times New Roman" w:cs="Times New Roman"/>
              </w:rPr>
              <w:t> [1995] ICJ Rep 90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1025571" w14:textId="20F44DFF"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5, 6</w:t>
            </w:r>
          </w:p>
        </w:tc>
      </w:tr>
      <w:tr w:rsidR="00022D73" w14:paraId="49724DB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FDE4E36" w14:textId="728342CD" w:rsidR="00022D73" w:rsidRPr="00A45B80" w:rsidRDefault="007D3DCE" w:rsidP="007D3DCE">
            <w:pPr>
              <w:widowControl w:val="0"/>
              <w:spacing w:after="200"/>
              <w:rPr>
                <w:rFonts w:ascii="Times New Roman" w:eastAsia="Times New Roman" w:hAnsi="Times New Roman" w:cs="Times New Roman"/>
                <w:i/>
                <w:iCs/>
              </w:rPr>
            </w:pPr>
            <w:r w:rsidRPr="00A45B80">
              <w:rPr>
                <w:rFonts w:ascii="Times New Roman" w:eastAsia="Times New Roman" w:hAnsi="Times New Roman" w:cs="Times New Roman"/>
                <w:i/>
                <w:iCs/>
              </w:rPr>
              <w:t>Electronica Sicula S.P.A. (ELSI), Judgment</w:t>
            </w:r>
            <w:r w:rsidRPr="00A45B80">
              <w:rPr>
                <w:rFonts w:ascii="Times New Roman" w:eastAsia="Times New Roman" w:hAnsi="Times New Roman" w:cs="Times New Roman"/>
              </w:rPr>
              <w:t>, [1989] ICJ Rep 15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E6B679B" w14:textId="3F484F6B"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22</w:t>
            </w:r>
          </w:p>
        </w:tc>
      </w:tr>
      <w:tr w:rsidR="00022D73" w14:paraId="5BEB14E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C52A184" w14:textId="4FE3A205" w:rsidR="00022D73" w:rsidRPr="00A45B80" w:rsidRDefault="007D3DCE" w:rsidP="007D3DCE">
            <w:pPr>
              <w:widowControl w:val="0"/>
              <w:spacing w:after="200"/>
              <w:rPr>
                <w:rFonts w:ascii="Times New Roman" w:eastAsia="Times New Roman" w:hAnsi="Times New Roman" w:cs="Times New Roman"/>
                <w:i/>
                <w:iCs/>
              </w:rPr>
            </w:pPr>
            <w:r w:rsidRPr="00A45B80">
              <w:rPr>
                <w:rFonts w:ascii="Times New Roman" w:eastAsia="Times New Roman" w:hAnsi="Times New Roman" w:cs="Times New Roman"/>
                <w:i/>
                <w:iCs/>
              </w:rPr>
              <w:t>Jadhav Case (India/Pakistan), Declaration of Judge Sebutinde</w:t>
            </w:r>
            <w:r w:rsidRPr="00A45B80">
              <w:rPr>
                <w:rFonts w:ascii="Times New Roman" w:eastAsia="Times New Roman" w:hAnsi="Times New Roman" w:cs="Times New Roman"/>
              </w:rPr>
              <w:t>, [2019] ICJ Rep 494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90B2730" w14:textId="7FCC3EB6"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16, 23, 24</w:t>
            </w:r>
          </w:p>
        </w:tc>
      </w:tr>
      <w:tr w:rsidR="00022D73" w14:paraId="43790B5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90A58C2" w14:textId="7C2A0A12" w:rsidR="00022D73" w:rsidRPr="00A45B80" w:rsidRDefault="007D3DCE" w:rsidP="00022D73">
            <w:pPr>
              <w:widowControl w:val="0"/>
              <w:spacing w:after="200"/>
              <w:rPr>
                <w:rFonts w:ascii="Times New Roman" w:eastAsia="Times New Roman" w:hAnsi="Times New Roman" w:cs="Times New Roman"/>
              </w:rPr>
            </w:pPr>
            <w:r w:rsidRPr="00A45B80">
              <w:rPr>
                <w:rFonts w:ascii="Times New Roman" w:hAnsi="Times New Roman" w:cs="Times New Roman"/>
                <w:i/>
                <w:iCs/>
                <w:color w:val="000000"/>
              </w:rPr>
              <w:t>Legal Consequences for States of the Continued Presence of South Africa in Namibia (South West Africa) notwithstanding Security Council Resolution 276 (1970)</w:t>
            </w:r>
            <w:r w:rsidRPr="00A45B80">
              <w:rPr>
                <w:rFonts w:ascii="Times New Roman" w:hAnsi="Times New Roman" w:cs="Times New Roman"/>
                <w:color w:val="000000"/>
              </w:rPr>
              <w:t>, Advisory Opinion,</w:t>
            </w:r>
            <w:r w:rsidRPr="00A45B80">
              <w:rPr>
                <w:rStyle w:val="apple-converted-space"/>
                <w:rFonts w:ascii="Times New Roman" w:hAnsi="Times New Roman" w:cs="Times New Roman"/>
                <w:color w:val="000000"/>
              </w:rPr>
              <w:t> </w:t>
            </w:r>
            <w:r w:rsidRPr="00A45B80">
              <w:rPr>
                <w:rFonts w:ascii="Times New Roman" w:hAnsi="Times New Roman" w:cs="Times New Roman"/>
                <w:color w:val="000000"/>
              </w:rPr>
              <w:t>[1971] ICJ Rep 16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CFBD075" w14:textId="455C9FE7"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25, 26, 30</w:t>
            </w:r>
          </w:p>
        </w:tc>
      </w:tr>
      <w:tr w:rsidR="00022D73" w14:paraId="2B88523B"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0F75B0B" w14:textId="45E99B81"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Legal Consequences of the Construction of a Wall in the Occupied Palestinian Territory, Advisory Opinion, </w:t>
            </w:r>
            <w:r w:rsidRPr="007D3DCE">
              <w:rPr>
                <w:rFonts w:ascii="Times New Roman" w:eastAsia="Times New Roman" w:hAnsi="Times New Roman" w:cs="Times New Roman"/>
              </w:rPr>
              <w:t>[2004] ICJ Rep 136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C6C8DCA" w14:textId="0D6F4566"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6</w:t>
            </w:r>
          </w:p>
        </w:tc>
      </w:tr>
      <w:tr w:rsidR="00022D73" w14:paraId="1B28954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FE56C7F" w14:textId="0000145B"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Maritime Delimitation in the Black Sea (Romania/Ukraine),</w:t>
            </w:r>
            <w:r w:rsidRPr="007D3DCE">
              <w:rPr>
                <w:rFonts w:ascii="Times New Roman" w:eastAsia="Times New Roman" w:hAnsi="Times New Roman" w:cs="Times New Roman"/>
              </w:rPr>
              <w:t xml:space="preserve"> [2009] ICJ Rep </w:t>
            </w:r>
            <w:r w:rsidRPr="007D3DCE">
              <w:rPr>
                <w:rFonts w:ascii="Times New Roman" w:eastAsia="Times New Roman" w:hAnsi="Times New Roman" w:cs="Times New Roman"/>
              </w:rPr>
              <w:lastRenderedPageBreak/>
              <w:t>61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F7FF6B6" w14:textId="4C57A5AB"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lastRenderedPageBreak/>
              <w:t>10</w:t>
            </w:r>
          </w:p>
        </w:tc>
      </w:tr>
      <w:tr w:rsidR="00022D73" w14:paraId="0419C4B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F038872" w14:textId="527C116F" w:rsidR="00022D73" w:rsidRPr="007D3DCE" w:rsidRDefault="007D3DCE" w:rsidP="007D3DCE">
            <w:pPr>
              <w:widowControl w:val="0"/>
              <w:spacing w:after="200"/>
              <w:rPr>
                <w:rFonts w:ascii="Times New Roman" w:eastAsia="Times New Roman" w:hAnsi="Times New Roman" w:cs="Times New Roman"/>
              </w:rPr>
            </w:pPr>
            <w:r w:rsidRPr="007D3DCE">
              <w:rPr>
                <w:rFonts w:ascii="Times New Roman" w:eastAsia="Times New Roman" w:hAnsi="Times New Roman" w:cs="Times New Roman"/>
                <w:i/>
                <w:iCs/>
              </w:rPr>
              <w:t>North Sea Continental Shelf, </w:t>
            </w:r>
            <w:r w:rsidRPr="007D3DCE">
              <w:rPr>
                <w:rFonts w:ascii="Times New Roman" w:eastAsia="Times New Roman" w:hAnsi="Times New Roman" w:cs="Times New Roman"/>
              </w:rPr>
              <w:t>[1969] ICJ Rep 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5965A79" w14:textId="597B6E2F"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022D73" w14:paraId="69F0EDF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AD0DEB5" w14:textId="0C8BFD0B"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Nottebohm (Liechtenstein/Guatemala)</w:t>
            </w:r>
            <w:r w:rsidRPr="007D3DCE">
              <w:rPr>
                <w:rFonts w:ascii="Times New Roman" w:eastAsia="Times New Roman" w:hAnsi="Times New Roman" w:cs="Times New Roman"/>
              </w:rPr>
              <w:t>, [1995] ICJ Rep 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9FC951A" w14:textId="2EAF5537"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8, 16, 17, 18, 19, 20, 23</w:t>
            </w:r>
          </w:p>
        </w:tc>
      </w:tr>
      <w:tr w:rsidR="00022D73" w14:paraId="11CBE85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AD2FA22" w14:textId="0D210349" w:rsidR="00022D73" w:rsidRPr="00022D73"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Oil Platforms (Islamic Republic of Iran/United States of America), Judgement</w:t>
            </w:r>
            <w:r>
              <w:rPr>
                <w:rFonts w:ascii="Times New Roman" w:eastAsia="Times New Roman" w:hAnsi="Times New Roman" w:cs="Times New Roman"/>
                <w:i/>
                <w:iCs/>
              </w:rPr>
              <w:t xml:space="preserve">, </w:t>
            </w:r>
            <w:r w:rsidRPr="007D3DCE">
              <w:rPr>
                <w:rFonts w:ascii="Times New Roman" w:eastAsia="Times New Roman" w:hAnsi="Times New Roman" w:cs="Times New Roman"/>
              </w:rPr>
              <w:t>[2003] ICJ Rep 161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AD2BDE5" w14:textId="15A4F93E" w:rsidR="00022D73"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24</w:t>
            </w:r>
          </w:p>
        </w:tc>
      </w:tr>
      <w:tr w:rsidR="007D3DCE" w14:paraId="74CEB74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5A54175" w14:textId="06E00FDD" w:rsidR="007D3DCE" w:rsidRPr="007D3DCE"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Questions of Interpretation and Application of the 1971 Montreal Convention arising from the Aerial Incident at Lockerbie (Libyan Arab Jamahiriya/United Kingdom), Provisional Measures</w:t>
            </w:r>
            <w:r w:rsidRPr="007D3DCE">
              <w:rPr>
                <w:rFonts w:ascii="Times New Roman" w:eastAsia="Times New Roman" w:hAnsi="Times New Roman" w:cs="Times New Roman"/>
              </w:rPr>
              <w:t>, [1992], ICJ Rep 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FCCF48D" w14:textId="0BB1B9A7" w:rsidR="007D3DCE"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28, 30, 31, 32</w:t>
            </w:r>
          </w:p>
        </w:tc>
      </w:tr>
      <w:tr w:rsidR="007D3DCE" w14:paraId="6FFFFDD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1286DE8" w14:textId="56E9DD8A" w:rsidR="007D3DCE" w:rsidRPr="007D3DCE" w:rsidRDefault="007D3DCE" w:rsidP="007D3DCE">
            <w:pPr>
              <w:widowControl w:val="0"/>
              <w:spacing w:after="200"/>
              <w:rPr>
                <w:rFonts w:ascii="Times New Roman" w:eastAsia="Times New Roman" w:hAnsi="Times New Roman" w:cs="Times New Roman"/>
              </w:rPr>
            </w:pPr>
            <w:r w:rsidRPr="007D3DCE">
              <w:rPr>
                <w:rFonts w:ascii="Times New Roman" w:eastAsia="Times New Roman" w:hAnsi="Times New Roman" w:cs="Times New Roman"/>
                <w:i/>
                <w:iCs/>
              </w:rPr>
              <w:t>Questions relating to the Obligation to Prosecute or Extradite (Belgium/Senegal), </w:t>
            </w:r>
            <w:r w:rsidRPr="007D3DCE">
              <w:rPr>
                <w:rFonts w:ascii="Times New Roman" w:eastAsia="Times New Roman" w:hAnsi="Times New Roman" w:cs="Times New Roman"/>
              </w:rPr>
              <w:t>[2012] ICJ Rep 422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70D303B" w14:textId="7A9C8F06" w:rsidR="007D3DCE"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1, 2, 3, 4, 5</w:t>
            </w:r>
          </w:p>
        </w:tc>
      </w:tr>
      <w:tr w:rsidR="007D3DCE" w14:paraId="7BEA0AD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77DA7E2" w14:textId="1EE5DB97" w:rsidR="007D3DCE" w:rsidRPr="007D3DCE" w:rsidRDefault="007D3DCE" w:rsidP="007D3DCE">
            <w:pPr>
              <w:widowControl w:val="0"/>
              <w:spacing w:after="200"/>
              <w:rPr>
                <w:rFonts w:ascii="Times New Roman" w:eastAsia="Times New Roman" w:hAnsi="Times New Roman" w:cs="Times New Roman"/>
                <w:i/>
                <w:iCs/>
              </w:rPr>
            </w:pPr>
            <w:r w:rsidRPr="007D3DCE">
              <w:rPr>
                <w:rFonts w:ascii="Times New Roman" w:eastAsia="Times New Roman" w:hAnsi="Times New Roman" w:cs="Times New Roman"/>
                <w:i/>
                <w:iCs/>
              </w:rPr>
              <w:t>South West Africa Cases (Ethiopia/South Africa; Liberia/South Africa), Preliminary Objections, </w:t>
            </w:r>
            <w:r w:rsidRPr="007D3DCE">
              <w:rPr>
                <w:rFonts w:ascii="Times New Roman" w:eastAsia="Times New Roman" w:hAnsi="Times New Roman" w:cs="Times New Roman"/>
              </w:rPr>
              <w:t>[1962] ICJ Rep 319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A9E748D" w14:textId="231A2D1B" w:rsidR="007D3DCE"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32</w:t>
            </w:r>
          </w:p>
        </w:tc>
      </w:tr>
      <w:tr w:rsidR="00DF7DD6" w14:paraId="260D8D9F" w14:textId="77777777" w:rsidTr="00025059">
        <w:trPr>
          <w:trHeight w:val="345"/>
        </w:trPr>
        <w:tc>
          <w:tcPr>
            <w:tcW w:w="9060" w:type="dxa"/>
            <w:gridSpan w:val="2"/>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1A22FB8"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Permanent Court of International Justice Cases</w:t>
            </w:r>
          </w:p>
        </w:tc>
      </w:tr>
      <w:tr w:rsidR="00DF7DD6" w14:paraId="76E0B7C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0FED630" w14:textId="441FAEF3" w:rsidR="00DF7DD6"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 xml:space="preserve">Nationality Decrees Issued in Tunis and Morocco, Advisory Opinion, </w:t>
            </w:r>
            <w:r w:rsidRPr="00A45B80">
              <w:rPr>
                <w:rFonts w:ascii="Times New Roman" w:eastAsia="Times New Roman" w:hAnsi="Times New Roman" w:cs="Times New Roman"/>
              </w:rPr>
              <w:t>[1923] PCIJ Rep Ser B, No 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B6BEFF0" w14:textId="79FDBDC7" w:rsidR="00DF7DD6" w:rsidRDefault="00A45B8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32</w:t>
            </w:r>
          </w:p>
        </w:tc>
      </w:tr>
      <w:tr w:rsidR="00DF7DD6" w14:paraId="5712A26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8E1D106"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Other International Cases</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A1C9F29" w14:textId="77777777" w:rsidR="00DF7DD6" w:rsidRDefault="00DF7DD6" w:rsidP="00025059">
            <w:pPr>
              <w:widowControl w:val="0"/>
              <w:spacing w:after="200"/>
              <w:rPr>
                <w:rFonts w:ascii="Times New Roman" w:eastAsia="Times New Roman" w:hAnsi="Times New Roman" w:cs="Times New Roman"/>
              </w:rPr>
            </w:pPr>
          </w:p>
        </w:tc>
      </w:tr>
      <w:tr w:rsidR="00DF7DD6" w14:paraId="4C3EEF8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0ED9108" w14:textId="7B4B8CF5" w:rsidR="00DF7DD6"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Anudo Ochieng Anudo v. United Republic of Tanzania, </w:t>
            </w:r>
            <w:r w:rsidRPr="00A45B80">
              <w:rPr>
                <w:rFonts w:ascii="Times New Roman" w:eastAsia="Times New Roman" w:hAnsi="Times New Roman" w:cs="Times New Roman"/>
              </w:rPr>
              <w:t>[2018] African Court on Human and Peoples’ Rights</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4E18F30" w14:textId="1C26C24A" w:rsidR="00DF7DD6"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8, 15</w:t>
            </w:r>
          </w:p>
        </w:tc>
      </w:tr>
      <w:tr w:rsidR="00A45B80" w14:paraId="7EC8CAD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5089E7F" w14:textId="4BB8961C"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Belilos v. Switzerland, [1998] </w:t>
            </w:r>
            <w:r w:rsidRPr="00A45B80">
              <w:rPr>
                <w:rFonts w:ascii="Times New Roman" w:eastAsia="Times New Roman" w:hAnsi="Times New Roman" w:cs="Times New Roman"/>
              </w:rPr>
              <w:t>European Court of Human Rights Application No. 10328/83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6B527E8" w14:textId="71D91548"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12</w:t>
            </w:r>
          </w:p>
        </w:tc>
      </w:tr>
      <w:tr w:rsidR="00A45B80" w14:paraId="35C5A7A5"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1A475D1" w14:textId="4B20012E"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Case of Expelled Dominicans and Haitians v. Dominican Republic,</w:t>
            </w:r>
            <w:r w:rsidRPr="00A45B80">
              <w:rPr>
                <w:rFonts w:ascii="Times New Roman" w:eastAsia="Times New Roman" w:hAnsi="Times New Roman" w:cs="Times New Roman"/>
              </w:rPr>
              <w:t> [2014] Inter-American Court of Human Rights</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D489D42" w14:textId="30126331"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A45B80" w14:paraId="583CC2F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FBFDF85" w14:textId="1AC51B5D" w:rsidR="00A45B80" w:rsidRPr="00A45B80" w:rsidRDefault="00A45B80" w:rsidP="00A45B80">
            <w:pPr>
              <w:widowControl w:val="0"/>
              <w:spacing w:after="200"/>
              <w:rPr>
                <w:rFonts w:ascii="Times New Roman" w:eastAsia="Times New Roman" w:hAnsi="Times New Roman" w:cs="Times New Roman"/>
                <w:i/>
                <w:iCs/>
              </w:rPr>
            </w:pPr>
            <w:r w:rsidRPr="00A45B80">
              <w:rPr>
                <w:rFonts w:ascii="Times New Roman" w:eastAsia="Times New Roman" w:hAnsi="Times New Roman" w:cs="Times New Roman"/>
                <w:i/>
                <w:iCs/>
              </w:rPr>
              <w:t>Dickson Car Wheel Company v. United Mexican States,</w:t>
            </w:r>
            <w:r w:rsidRPr="00A45B80">
              <w:rPr>
                <w:rFonts w:ascii="Times New Roman" w:eastAsia="Times New Roman" w:hAnsi="Times New Roman" w:cs="Times New Roman"/>
              </w:rPr>
              <w:t> [1931] 4 R.I.A.A. 669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EEEBFB0" w14:textId="6518257E" w:rsidR="00A45B80" w:rsidRDefault="00A45B8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9</w:t>
            </w:r>
          </w:p>
        </w:tc>
      </w:tr>
      <w:tr w:rsidR="00A45B80" w14:paraId="5E9E314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49E1168" w14:textId="15DB9AF9"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El derecho a la informacion sobre la asistencia consular en el marco de las garantlas del debidoproceso legal, </w:t>
            </w:r>
            <w:r w:rsidRPr="00A45B80">
              <w:rPr>
                <w:rFonts w:ascii="Times New Roman" w:eastAsia="Times New Roman" w:hAnsi="Times New Roman" w:cs="Times New Roman"/>
              </w:rPr>
              <w:t>[1999] Advisory Opinion, I</w:t>
            </w:r>
            <w:r>
              <w:rPr>
                <w:rFonts w:ascii="Times New Roman" w:eastAsia="Times New Roman" w:hAnsi="Times New Roman" w:cs="Times New Roman"/>
              </w:rPr>
              <w:t>nter-American Court of Human Rights,</w:t>
            </w:r>
            <w:r w:rsidRPr="00A45B80">
              <w:rPr>
                <w:rFonts w:ascii="Times New Roman" w:eastAsia="Times New Roman" w:hAnsi="Times New Roman" w:cs="Times New Roman"/>
              </w:rPr>
              <w:t xml:space="preserve"> OC/16/99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F0E9CB2" w14:textId="1F36AE07"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24</w:t>
            </w:r>
          </w:p>
        </w:tc>
      </w:tr>
      <w:tr w:rsidR="00A45B80" w14:paraId="1F77ADD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E46FCF3" w14:textId="06BEC478"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Eudoro Armando Olguín v. Republic of Paraguay, </w:t>
            </w:r>
            <w:r w:rsidRPr="00A45B80">
              <w:rPr>
                <w:rFonts w:ascii="Times New Roman" w:eastAsia="Times New Roman" w:hAnsi="Times New Roman" w:cs="Times New Roman"/>
              </w:rPr>
              <w:t xml:space="preserve">[2001] ICSID Case No </w:t>
            </w:r>
            <w:r w:rsidRPr="00A45B80">
              <w:rPr>
                <w:rFonts w:ascii="Times New Roman" w:eastAsia="Times New Roman" w:hAnsi="Times New Roman" w:cs="Times New Roman"/>
              </w:rPr>
              <w:lastRenderedPageBreak/>
              <w:t>ARB/98/5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462DAFB" w14:textId="4BA41152"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lastRenderedPageBreak/>
              <w:t>16, 17</w:t>
            </w:r>
          </w:p>
        </w:tc>
      </w:tr>
      <w:tr w:rsidR="00A45B80" w14:paraId="60E8919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A9645B1" w14:textId="6817650A"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Hilaire v. Trinidad and Tobago, </w:t>
            </w:r>
            <w:r w:rsidRPr="00A45B80">
              <w:rPr>
                <w:rFonts w:ascii="Times New Roman" w:eastAsia="Times New Roman" w:hAnsi="Times New Roman" w:cs="Times New Roman"/>
              </w:rPr>
              <w:t>[2001] Inter-American Court of Human Rights</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1FC8E36" w14:textId="18DC5BDF"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12, 13</w:t>
            </w:r>
          </w:p>
        </w:tc>
      </w:tr>
      <w:tr w:rsidR="00A45B80" w14:paraId="4C8E90B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3389442" w14:textId="7E81DC12"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Islamic Republic of Iran v. United States of America,</w:t>
            </w:r>
            <w:r w:rsidRPr="00A45B80">
              <w:rPr>
                <w:rFonts w:ascii="Times New Roman" w:eastAsia="Times New Roman" w:hAnsi="Times New Roman" w:cs="Times New Roman"/>
              </w:rPr>
              <w:t> [1984] IUSCT Case No. A-18, DEC 32-A18-FT </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C9C8B08" w14:textId="6E24D375"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17</w:t>
            </w:r>
          </w:p>
        </w:tc>
      </w:tr>
      <w:tr w:rsidR="00A45B80" w14:paraId="17C3B00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C83459B" w14:textId="2DA37E3F"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Janko Rottmann v. Freistaat Bayern, </w:t>
            </w:r>
            <w:r w:rsidRPr="00A45B80">
              <w:rPr>
                <w:rFonts w:ascii="Times New Roman" w:eastAsia="Times New Roman" w:hAnsi="Times New Roman" w:cs="Times New Roman"/>
              </w:rPr>
              <w:t>[2010] European Court Reports I-01449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312152F" w14:textId="125CE451"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15</w:t>
            </w:r>
          </w:p>
        </w:tc>
      </w:tr>
      <w:tr w:rsidR="00A45B80" w14:paraId="59E27F6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14A2505" w14:textId="066EE18A"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Loizidou v. Turkey,</w:t>
            </w:r>
            <w:r w:rsidRPr="00A45B80">
              <w:rPr>
                <w:rFonts w:ascii="Times New Roman" w:eastAsia="Times New Roman" w:hAnsi="Times New Roman" w:cs="Times New Roman"/>
              </w:rPr>
              <w:t> [1995] European Court of Human Rights Application No. 15318/89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47AE650" w14:textId="63568753"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12, 18</w:t>
            </w:r>
          </w:p>
        </w:tc>
      </w:tr>
      <w:tr w:rsidR="00A45B80" w14:paraId="2F7787B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45993E5" w14:textId="61FBC78C"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Partial Award (Civil Claims - Eritrea’s Claims 15, 16, 23, 37-32),</w:t>
            </w:r>
            <w:r w:rsidRPr="00A45B80">
              <w:rPr>
                <w:rFonts w:ascii="Times New Roman" w:eastAsia="Times New Roman" w:hAnsi="Times New Roman" w:cs="Times New Roman"/>
              </w:rPr>
              <w:t> [2004] Eritrea-Ethiopia Claims Commission </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B8B70E9" w14:textId="099257EB"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A45B80" w14:paraId="5F6F06C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853E622" w14:textId="0CCC06B0"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Proposed Amendments to the Naturalization Provision of the Constitution of Costa Rica, </w:t>
            </w:r>
            <w:r w:rsidRPr="00A45B80">
              <w:rPr>
                <w:rFonts w:ascii="Times New Roman" w:eastAsia="Times New Roman" w:hAnsi="Times New Roman" w:cs="Times New Roman"/>
              </w:rPr>
              <w:t>[1984] OC-4/84, Inter-American Court of Human Rights</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5B081C5" w14:textId="7A775D80"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8, 18</w:t>
            </w:r>
          </w:p>
        </w:tc>
      </w:tr>
      <w:tr w:rsidR="00A45B80" w14:paraId="60602046"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AD25874" w14:textId="0EBF76BF"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Prosecutor v Duško Tadić aka Dule, </w:t>
            </w:r>
            <w:r w:rsidRPr="00A45B80">
              <w:rPr>
                <w:rFonts w:ascii="Times New Roman" w:eastAsia="Times New Roman" w:hAnsi="Times New Roman" w:cs="Times New Roman"/>
              </w:rPr>
              <w:t>Decision on the defence motion on jurisdiction,</w:t>
            </w:r>
            <w:r w:rsidRPr="00A45B80">
              <w:rPr>
                <w:rFonts w:ascii="Times New Roman" w:eastAsia="Times New Roman" w:hAnsi="Times New Roman" w:cs="Times New Roman"/>
                <w:i/>
                <w:iCs/>
              </w:rPr>
              <w:t> </w:t>
            </w:r>
            <w:r w:rsidRPr="00A45B80">
              <w:rPr>
                <w:rFonts w:ascii="Times New Roman" w:eastAsia="Times New Roman" w:hAnsi="Times New Roman" w:cs="Times New Roman"/>
              </w:rPr>
              <w:t>[1995] IT-94-1-T, ICTY</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2981B67" w14:textId="678EE03E"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31</w:t>
            </w:r>
          </w:p>
        </w:tc>
      </w:tr>
      <w:tr w:rsidR="00A45B80" w14:paraId="29BFB8F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24CCA96" w14:textId="4F63B833"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Responsibilities and obligations of States with respect to activities in the Area, </w:t>
            </w:r>
            <w:r w:rsidRPr="00A45B80">
              <w:rPr>
                <w:rFonts w:ascii="Times New Roman" w:eastAsia="Times New Roman" w:hAnsi="Times New Roman" w:cs="Times New Roman"/>
              </w:rPr>
              <w:t>Advisory Opinion, [2011] ITLOS Rep 10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704AF24" w14:textId="6F3D8A47"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6</w:t>
            </w:r>
          </w:p>
        </w:tc>
      </w:tr>
      <w:tr w:rsidR="00A45B80" w14:paraId="0DD1B79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15899AB" w14:textId="0306C6BA"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Saba Fakes v. Republic of Turkey, </w:t>
            </w:r>
            <w:r w:rsidRPr="00A45B80">
              <w:rPr>
                <w:rFonts w:ascii="Times New Roman" w:eastAsia="Times New Roman" w:hAnsi="Times New Roman" w:cs="Times New Roman"/>
              </w:rPr>
              <w:t>[2010]</w:t>
            </w:r>
            <w:r w:rsidRPr="00A45B80">
              <w:rPr>
                <w:rFonts w:ascii="Times New Roman" w:eastAsia="Times New Roman" w:hAnsi="Times New Roman" w:cs="Times New Roman"/>
                <w:i/>
                <w:iCs/>
              </w:rPr>
              <w:t> </w:t>
            </w:r>
            <w:r w:rsidRPr="00A45B80">
              <w:rPr>
                <w:rFonts w:ascii="Times New Roman" w:eastAsia="Times New Roman" w:hAnsi="Times New Roman" w:cs="Times New Roman"/>
              </w:rPr>
              <w:t>ICSID Case No. ARB/07/20, Award</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F0C16C0" w14:textId="31F7D055"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18</w:t>
            </w:r>
          </w:p>
        </w:tc>
      </w:tr>
      <w:tr w:rsidR="00A45B80" w14:paraId="2E674E3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E48FDE9" w14:textId="22E5B1E3" w:rsidR="00A45B80"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Weber v. Switzerland,</w:t>
            </w:r>
            <w:r w:rsidRPr="00A45B80">
              <w:rPr>
                <w:rFonts w:ascii="Times New Roman" w:eastAsia="Times New Roman" w:hAnsi="Times New Roman" w:cs="Times New Roman"/>
              </w:rPr>
              <w:t> [1990] European Court of Human Rights Application No. 11034/84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141A517" w14:textId="1DD7A9AB" w:rsidR="00A45B80" w:rsidRDefault="00C74FE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12</w:t>
            </w:r>
          </w:p>
        </w:tc>
      </w:tr>
      <w:tr w:rsidR="00DF7DD6" w14:paraId="676D6E1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703DD9F"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Domestic Cases</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A59F087" w14:textId="77777777" w:rsidR="00DF7DD6" w:rsidRDefault="00DF7DD6" w:rsidP="00025059">
            <w:pPr>
              <w:widowControl w:val="0"/>
              <w:spacing w:after="200"/>
              <w:rPr>
                <w:rFonts w:ascii="Times New Roman" w:eastAsia="Times New Roman" w:hAnsi="Times New Roman" w:cs="Times New Roman"/>
              </w:rPr>
            </w:pPr>
          </w:p>
        </w:tc>
      </w:tr>
      <w:tr w:rsidR="00DF7DD6" w14:paraId="1BA0DD6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C255CB7" w14:textId="2A84FC60" w:rsidR="00DF7DD6" w:rsidRDefault="00A45B80" w:rsidP="00A45B80">
            <w:pPr>
              <w:widowControl w:val="0"/>
              <w:spacing w:after="200"/>
              <w:rPr>
                <w:rFonts w:ascii="Times New Roman" w:eastAsia="Times New Roman" w:hAnsi="Times New Roman" w:cs="Times New Roman"/>
              </w:rPr>
            </w:pPr>
            <w:r w:rsidRPr="00A45B80">
              <w:rPr>
                <w:rFonts w:ascii="Times New Roman" w:eastAsia="Times New Roman" w:hAnsi="Times New Roman" w:cs="Times New Roman"/>
                <w:i/>
                <w:iCs/>
              </w:rPr>
              <w:t>Pham v. The Secretary of State for the Home Department, </w:t>
            </w:r>
            <w:r w:rsidRPr="00A45B80">
              <w:rPr>
                <w:rFonts w:ascii="Times New Roman" w:eastAsia="Times New Roman" w:hAnsi="Times New Roman" w:cs="Times New Roman"/>
              </w:rPr>
              <w:t>[2018] EWCA Civ 2064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062DC0D" w14:textId="4C9DC6AE" w:rsidR="00DF7DD6" w:rsidRDefault="00A45B8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A45B80" w14:paraId="2895DE2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92245F0" w14:textId="30B24AFE" w:rsidR="00A45B80" w:rsidRPr="00A45B80" w:rsidRDefault="00A45B80" w:rsidP="00A45B80">
            <w:pPr>
              <w:widowControl w:val="0"/>
              <w:spacing w:after="200"/>
              <w:rPr>
                <w:rFonts w:ascii="Times New Roman" w:eastAsia="Times New Roman" w:hAnsi="Times New Roman" w:cs="Times New Roman"/>
                <w:i/>
                <w:iCs/>
              </w:rPr>
            </w:pPr>
            <w:r w:rsidRPr="00A45B80">
              <w:rPr>
                <w:rFonts w:ascii="Times New Roman" w:eastAsia="Times New Roman" w:hAnsi="Times New Roman" w:cs="Times New Roman"/>
                <w:i/>
                <w:iCs/>
              </w:rPr>
              <w:t>Trop v. Dulles</w:t>
            </w:r>
            <w:r w:rsidRPr="00A45B80">
              <w:rPr>
                <w:rFonts w:ascii="Times New Roman" w:eastAsia="Times New Roman" w:hAnsi="Times New Roman" w:cs="Times New Roman"/>
              </w:rPr>
              <w:t>, 356 US 86 (1958)</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2E1B97F" w14:textId="7C637532" w:rsidR="00A45B80" w:rsidRDefault="00A45B80"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DF7DD6" w14:paraId="25B9FFA8" w14:textId="77777777" w:rsidTr="00025059">
        <w:trPr>
          <w:trHeight w:val="345"/>
        </w:trPr>
        <w:tc>
          <w:tcPr>
            <w:tcW w:w="9060" w:type="dxa"/>
            <w:gridSpan w:val="2"/>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3372602"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Books</w:t>
            </w:r>
          </w:p>
        </w:tc>
      </w:tr>
      <w:tr w:rsidR="00DF7DD6" w14:paraId="0FC8127C"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B919D48" w14:textId="30FAD5C9" w:rsidR="00C74FE0" w:rsidRPr="008C741B" w:rsidRDefault="00C74FE0" w:rsidP="008C741B">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Bruno Simma et al, eds, </w:t>
            </w:r>
            <w:r w:rsidRPr="00C74FE0">
              <w:rPr>
                <w:rFonts w:ascii="Times New Roman" w:eastAsia="Times New Roman" w:hAnsi="Times New Roman" w:cs="Times New Roman"/>
                <w:i/>
                <w:iCs/>
              </w:rPr>
              <w:t>The Charter of the United Nations: A Commentary, Volume I, 3rd Edition </w:t>
            </w:r>
            <w:r w:rsidRPr="00C74FE0">
              <w:rPr>
                <w:rFonts w:ascii="Times New Roman" w:eastAsia="Times New Roman" w:hAnsi="Times New Roman" w:cs="Times New Roman"/>
              </w:rPr>
              <w:t>(2012)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C4BB769" w14:textId="2FA31250" w:rsidR="00DF7DD6"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27, 28, 30, 31, 32</w:t>
            </w:r>
          </w:p>
        </w:tc>
      </w:tr>
      <w:tr w:rsidR="008C741B" w14:paraId="0E7D235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46C1A60" w14:textId="12799764" w:rsidR="008C741B" w:rsidRPr="008C741B" w:rsidRDefault="008C741B" w:rsidP="008C741B">
            <w:pPr>
              <w:pStyle w:val="ListParagraph"/>
              <w:widowControl w:val="0"/>
              <w:spacing w:after="200"/>
              <w:rPr>
                <w:rFonts w:ascii="Times New Roman" w:eastAsia="Times New Roman" w:hAnsi="Times New Roman" w:cs="Times New Roman"/>
              </w:rPr>
            </w:pPr>
            <w:r w:rsidRPr="00C74FE0">
              <w:rPr>
                <w:rFonts w:ascii="Times New Roman" w:eastAsia="Times New Roman" w:hAnsi="Times New Roman" w:cs="Times New Roman"/>
              </w:rPr>
              <w:lastRenderedPageBreak/>
              <w:t>Christian Tomuschat, “Ch. 1. Purposes and Principles, Article 2(3)</w:t>
            </w:r>
            <w:r>
              <w:rPr>
                <w:rFonts w:ascii="Times New Roman" w:eastAsia="Times New Roman" w:hAnsi="Times New Roman" w:cs="Times New Roman"/>
              </w:rPr>
              <w:t>”</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23CB875" w14:textId="023BF89A" w:rsidR="008C741B"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32</w:t>
            </w:r>
          </w:p>
        </w:tc>
      </w:tr>
      <w:tr w:rsidR="00C74FE0" w14:paraId="02500BE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BFC2CB5" w14:textId="427BC3EB" w:rsidR="00C74FE0" w:rsidRPr="00C74FE0" w:rsidRDefault="00C74FE0" w:rsidP="008C741B">
            <w:pPr>
              <w:pStyle w:val="ListParagraph"/>
              <w:widowControl w:val="0"/>
              <w:spacing w:after="200"/>
              <w:rPr>
                <w:rFonts w:ascii="Times New Roman" w:eastAsia="Times New Roman" w:hAnsi="Times New Roman" w:cs="Times New Roman"/>
              </w:rPr>
            </w:pPr>
            <w:r w:rsidRPr="00C74FE0">
              <w:rPr>
                <w:rFonts w:ascii="Times New Roman" w:eastAsia="Times New Roman" w:hAnsi="Times New Roman" w:cs="Times New Roman"/>
              </w:rPr>
              <w:t>Greg Nolte, “Ch.1. Purposes and Principles, Article 2(7)”</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44BFDAF" w14:textId="5C43AFFA" w:rsidR="00C74FE0" w:rsidRDefault="008C741B"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32</w:t>
            </w:r>
          </w:p>
        </w:tc>
      </w:tr>
      <w:tr w:rsidR="00C74FE0" w14:paraId="01F39135"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D02EAA6" w14:textId="15917D9F" w:rsidR="00C74FE0" w:rsidRPr="00C74FE0" w:rsidRDefault="00C74FE0" w:rsidP="008C741B">
            <w:pPr>
              <w:pStyle w:val="ListParagraph"/>
              <w:widowControl w:val="0"/>
              <w:spacing w:after="200"/>
              <w:rPr>
                <w:rFonts w:ascii="Times New Roman" w:eastAsia="Times New Roman" w:hAnsi="Times New Roman" w:cs="Times New Roman"/>
              </w:rPr>
            </w:pPr>
            <w:r w:rsidRPr="00C74FE0">
              <w:rPr>
                <w:rFonts w:ascii="Times New Roman" w:eastAsia="Times New Roman" w:hAnsi="Times New Roman" w:cs="Times New Roman"/>
              </w:rPr>
              <w:t>Anne Peters, “Ch. V. The Security Council Functions and Powers, Article 25”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3F0A4EB" w14:textId="69549002"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27, 28, 30, 31</w:t>
            </w:r>
          </w:p>
        </w:tc>
      </w:tr>
      <w:tr w:rsidR="00C74FE0" w14:paraId="67765A85"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BEC1671" w14:textId="2E132082" w:rsidR="00C74FE0" w:rsidRPr="00C74FE0" w:rsidRDefault="00C74FE0" w:rsidP="008C741B">
            <w:pPr>
              <w:pStyle w:val="ListParagraph"/>
              <w:widowControl w:val="0"/>
              <w:spacing w:after="200"/>
              <w:rPr>
                <w:rFonts w:ascii="Times New Roman" w:eastAsia="Times New Roman" w:hAnsi="Times New Roman" w:cs="Times New Roman"/>
              </w:rPr>
            </w:pPr>
            <w:r w:rsidRPr="00C74FE0">
              <w:rPr>
                <w:rFonts w:ascii="Times New Roman" w:eastAsia="Times New Roman" w:hAnsi="Times New Roman" w:cs="Times New Roman"/>
              </w:rPr>
              <w:t>Theodor Schweisfurth, “Ch VI. Pacific Settlement of Disputes, Article 34”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B25E2B1" w14:textId="134D79DA"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27, 27, 31</w:t>
            </w:r>
          </w:p>
        </w:tc>
      </w:tr>
      <w:tr w:rsidR="00C74FE0" w14:paraId="77A32DD0"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6C988BC" w14:textId="2D991A6C"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H.F. Van Panhuys, </w:t>
            </w:r>
            <w:r w:rsidRPr="00C74FE0">
              <w:rPr>
                <w:rFonts w:ascii="Times New Roman" w:eastAsia="Times New Roman" w:hAnsi="Times New Roman" w:cs="Times New Roman"/>
                <w:i/>
                <w:iCs/>
              </w:rPr>
              <w:t>The Role of Nationality in International Law</w:t>
            </w:r>
            <w:r w:rsidRPr="00C74FE0">
              <w:rPr>
                <w:rFonts w:ascii="Times New Roman" w:eastAsia="Times New Roman" w:hAnsi="Times New Roman" w:cs="Times New Roman"/>
              </w:rPr>
              <w:t> (1959)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C8F7C60" w14:textId="5A2023BD"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17</w:t>
            </w:r>
          </w:p>
        </w:tc>
      </w:tr>
      <w:tr w:rsidR="00C74FE0" w14:paraId="683332B6"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0000641" w14:textId="5177340D"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Hannah Arendt, </w:t>
            </w:r>
            <w:r w:rsidRPr="00C74FE0">
              <w:rPr>
                <w:rFonts w:ascii="Times New Roman" w:eastAsia="Times New Roman" w:hAnsi="Times New Roman" w:cs="Times New Roman"/>
                <w:i/>
                <w:iCs/>
              </w:rPr>
              <w:t>The Origins of Totalitarianism</w:t>
            </w:r>
            <w:r w:rsidRPr="00C74FE0">
              <w:rPr>
                <w:rFonts w:ascii="Times New Roman" w:eastAsia="Times New Roman" w:hAnsi="Times New Roman" w:cs="Times New Roman"/>
              </w:rPr>
              <w:t> (1958)</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BFCB186" w14:textId="1E07EBBE"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C74FE0" w14:paraId="7646714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3E8B252" w14:textId="5BFFFA32"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Hans Kelsen, </w:t>
            </w:r>
            <w:r w:rsidRPr="00C74FE0">
              <w:rPr>
                <w:rFonts w:ascii="Times New Roman" w:eastAsia="Times New Roman" w:hAnsi="Times New Roman" w:cs="Times New Roman"/>
                <w:i/>
                <w:iCs/>
              </w:rPr>
              <w:t>The Law of the United Nations, A Critical Analysis of its Fundamental Problems </w:t>
            </w:r>
            <w:r w:rsidRPr="00C74FE0">
              <w:rPr>
                <w:rFonts w:ascii="Times New Roman" w:eastAsia="Times New Roman" w:hAnsi="Times New Roman" w:cs="Times New Roman"/>
              </w:rPr>
              <w:t>(1950)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10DB787" w14:textId="17DAD0BD"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27, 28</w:t>
            </w:r>
          </w:p>
        </w:tc>
      </w:tr>
      <w:tr w:rsidR="00C74FE0" w14:paraId="78FA7F66"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39CC849" w14:textId="442283F0"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J. Crawford, </w:t>
            </w:r>
            <w:r w:rsidRPr="00C74FE0">
              <w:rPr>
                <w:rFonts w:ascii="Times New Roman" w:eastAsia="Times New Roman" w:hAnsi="Times New Roman" w:cs="Times New Roman"/>
                <w:i/>
                <w:iCs/>
              </w:rPr>
              <w:t>Brownlie’s Principles of Public International Law, 8th ed</w:t>
            </w:r>
            <w:r w:rsidRPr="00C74FE0">
              <w:rPr>
                <w:rFonts w:ascii="Times New Roman" w:eastAsia="Times New Roman" w:hAnsi="Times New Roman" w:cs="Times New Roman"/>
              </w:rPr>
              <w:t> (2012)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0BC75A8" w14:textId="32B8FA92"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16, 17, 22</w:t>
            </w:r>
          </w:p>
        </w:tc>
      </w:tr>
      <w:tr w:rsidR="00C74FE0" w14:paraId="5FCE4A3A"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95893E9" w14:textId="690BE15E"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Jorunn Brandvoll, “Deprivation of nationality” </w:t>
            </w:r>
            <w:r w:rsidRPr="00C74FE0">
              <w:rPr>
                <w:rFonts w:ascii="Times New Roman" w:eastAsia="Times New Roman" w:hAnsi="Times New Roman" w:cs="Times New Roman"/>
                <w:i/>
                <w:iCs/>
              </w:rPr>
              <w:t>Nationality and Statelessness under International Law</w:t>
            </w:r>
            <w:r w:rsidRPr="00C74FE0">
              <w:rPr>
                <w:rFonts w:ascii="Times New Roman" w:eastAsia="Times New Roman" w:hAnsi="Times New Roman" w:cs="Times New Roman"/>
              </w:rPr>
              <w:t> (2014)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62F4DF4" w14:textId="06565B03"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15</w:t>
            </w:r>
          </w:p>
        </w:tc>
      </w:tr>
      <w:tr w:rsidR="00C74FE0" w14:paraId="2A784E6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DD8B0AB" w14:textId="0A45E85C"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Kate Parlett, </w:t>
            </w:r>
            <w:r w:rsidRPr="00C74FE0">
              <w:rPr>
                <w:rFonts w:ascii="Times New Roman" w:eastAsia="Times New Roman" w:hAnsi="Times New Roman" w:cs="Times New Roman"/>
                <w:i/>
                <w:iCs/>
              </w:rPr>
              <w:t>The Individual in the International Legal System: Continuity and Change in International Law </w:t>
            </w:r>
            <w:r w:rsidRPr="00C74FE0">
              <w:rPr>
                <w:rFonts w:ascii="Times New Roman" w:eastAsia="Times New Roman" w:hAnsi="Times New Roman" w:cs="Times New Roman"/>
              </w:rPr>
              <w:t>(2011)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CFE7FC3" w14:textId="39EE32DE"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9</w:t>
            </w:r>
          </w:p>
        </w:tc>
      </w:tr>
      <w:tr w:rsidR="00C74FE0" w14:paraId="7427AE3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B3F9AEA" w14:textId="0F327497"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LM Goodrich and AP Simons, </w:t>
            </w:r>
            <w:r w:rsidRPr="00C74FE0">
              <w:rPr>
                <w:rFonts w:ascii="Times New Roman" w:eastAsia="Times New Roman" w:hAnsi="Times New Roman" w:cs="Times New Roman"/>
                <w:i/>
                <w:iCs/>
              </w:rPr>
              <w:t>United Nations and the Maintenance of Peace and Security </w:t>
            </w:r>
            <w:r w:rsidRPr="00C74FE0">
              <w:rPr>
                <w:rFonts w:ascii="Times New Roman" w:eastAsia="Times New Roman" w:hAnsi="Times New Roman" w:cs="Times New Roman"/>
              </w:rPr>
              <w:t>(Brookings Institution 1955)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226C386" w14:textId="79B0C4A8"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28</w:t>
            </w:r>
          </w:p>
        </w:tc>
      </w:tr>
      <w:tr w:rsidR="00C74FE0" w14:paraId="2FB2856F"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4307002" w14:textId="2F295ECD"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Mark Manly &amp; Laura Van Waas, “The Value of the Human Security Framework in Addressing Statelessness”</w:t>
            </w:r>
            <w:r w:rsidRPr="00C74FE0">
              <w:rPr>
                <w:rFonts w:ascii="Times New Roman" w:eastAsia="Times New Roman" w:hAnsi="Times New Roman" w:cs="Times New Roman"/>
                <w:i/>
                <w:iCs/>
              </w:rPr>
              <w:t> Human Security and Non-Citizens </w:t>
            </w:r>
            <w:r w:rsidRPr="00C74FE0">
              <w:rPr>
                <w:rFonts w:ascii="Times New Roman" w:eastAsia="Times New Roman" w:hAnsi="Times New Roman" w:cs="Times New Roman"/>
              </w:rPr>
              <w:t>(2010)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145D96A" w14:textId="0D754823"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C74FE0" w14:paraId="1464524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22CCA1A" w14:textId="58D502BD"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Michael Schoiswohl, </w:t>
            </w:r>
            <w:r w:rsidRPr="00C74FE0">
              <w:rPr>
                <w:rFonts w:ascii="Times New Roman" w:eastAsia="Times New Roman" w:hAnsi="Times New Roman" w:cs="Times New Roman"/>
                <w:i/>
                <w:iCs/>
              </w:rPr>
              <w:t>IV Immunities and Privileges, X Laissez-Passer, Laissez-Passer</w:t>
            </w:r>
            <w:r w:rsidRPr="00C74FE0">
              <w:rPr>
                <w:rFonts w:ascii="Times New Roman" w:eastAsia="Times New Roman" w:hAnsi="Times New Roman" w:cs="Times New Roman"/>
              </w:rPr>
              <w:t> (2016)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B5203AF" w14:textId="17D136A1"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29, 30</w:t>
            </w:r>
          </w:p>
        </w:tc>
      </w:tr>
      <w:tr w:rsidR="00C74FE0" w14:paraId="066CF2B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37FF56F" w14:textId="4E932741"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Mirna Adjami, </w:t>
            </w:r>
            <w:r w:rsidRPr="00C74FE0">
              <w:rPr>
                <w:rFonts w:ascii="Times New Roman" w:eastAsia="Times New Roman" w:hAnsi="Times New Roman" w:cs="Times New Roman"/>
                <w:i/>
                <w:iCs/>
              </w:rPr>
              <w:t>Statelessness and Nationality in Côte D’Ivoire</w:t>
            </w:r>
            <w:r w:rsidRPr="00C74FE0">
              <w:rPr>
                <w:rFonts w:ascii="Times New Roman" w:eastAsia="Times New Roman" w:hAnsi="Times New Roman" w:cs="Times New Roman"/>
              </w:rPr>
              <w:t> (2016)</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EF775BF" w14:textId="60499ADF"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9</w:t>
            </w:r>
          </w:p>
        </w:tc>
      </w:tr>
      <w:tr w:rsidR="00C74FE0" w14:paraId="5D7C120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5CA1A75" w14:textId="4351E1C8"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Paolo Picone, “The Distinction between Jus Cogens and Obligations Erga Omnes”</w:t>
            </w:r>
            <w:r w:rsidRPr="00C74FE0">
              <w:rPr>
                <w:rFonts w:ascii="Times New Roman" w:eastAsia="Times New Roman" w:hAnsi="Times New Roman" w:cs="Times New Roman"/>
                <w:i/>
                <w:iCs/>
              </w:rPr>
              <w:t> The Law of Treaties Beyond the Vienna Convention </w:t>
            </w:r>
            <w:r w:rsidRPr="00C74FE0">
              <w:rPr>
                <w:rFonts w:ascii="Times New Roman" w:eastAsia="Times New Roman" w:hAnsi="Times New Roman" w:cs="Times New Roman"/>
              </w:rPr>
              <w:t>(2011)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565CD26" w14:textId="02C74B03"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6</w:t>
            </w:r>
          </w:p>
        </w:tc>
      </w:tr>
      <w:tr w:rsidR="00C74FE0" w14:paraId="293C360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B954F1E" w14:textId="6AF3A6DA"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Ruth Donner, </w:t>
            </w:r>
            <w:r w:rsidRPr="00C74FE0">
              <w:rPr>
                <w:rFonts w:ascii="Times New Roman" w:eastAsia="Times New Roman" w:hAnsi="Times New Roman" w:cs="Times New Roman"/>
                <w:i/>
                <w:iCs/>
              </w:rPr>
              <w:t>The Regulation of Nationality in International Law </w:t>
            </w:r>
            <w:r w:rsidRPr="00C74FE0">
              <w:rPr>
                <w:rFonts w:ascii="Times New Roman" w:eastAsia="Times New Roman" w:hAnsi="Times New Roman" w:cs="Times New Roman"/>
              </w:rPr>
              <w:t>(1994)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A091374" w14:textId="2660D4A1"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17</w:t>
            </w:r>
          </w:p>
        </w:tc>
      </w:tr>
      <w:tr w:rsidR="00C74FE0" w14:paraId="0AC90DB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E469600" w14:textId="75FF4D0D"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Sydney D. Bailey, and Sam Daws,</w:t>
            </w:r>
            <w:r w:rsidRPr="00C74FE0">
              <w:rPr>
                <w:rFonts w:ascii="Times New Roman" w:eastAsia="Times New Roman" w:hAnsi="Times New Roman" w:cs="Times New Roman"/>
                <w:i/>
                <w:iCs/>
              </w:rPr>
              <w:t xml:space="preserve"> 'Voting', The Procedure of the UN </w:t>
            </w:r>
            <w:r w:rsidRPr="00C74FE0">
              <w:rPr>
                <w:rFonts w:ascii="Times New Roman" w:eastAsia="Times New Roman" w:hAnsi="Times New Roman" w:cs="Times New Roman"/>
                <w:i/>
                <w:iCs/>
              </w:rPr>
              <w:lastRenderedPageBreak/>
              <w:t>Security Council, 3rd edn </w:t>
            </w:r>
            <w:r w:rsidRPr="00C74FE0">
              <w:rPr>
                <w:rFonts w:ascii="Times New Roman" w:eastAsia="Times New Roman" w:hAnsi="Times New Roman" w:cs="Times New Roman"/>
              </w:rPr>
              <w:t>(1998)</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4F58A56" w14:textId="2AF237A0"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lastRenderedPageBreak/>
              <w:t>25, 28</w:t>
            </w:r>
          </w:p>
        </w:tc>
      </w:tr>
      <w:tr w:rsidR="00DF7DD6" w14:paraId="267FBE96" w14:textId="77777777" w:rsidTr="00025059">
        <w:trPr>
          <w:trHeight w:val="345"/>
        </w:trPr>
        <w:tc>
          <w:tcPr>
            <w:tcW w:w="9060" w:type="dxa"/>
            <w:gridSpan w:val="2"/>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031EDE1"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Secondary Sources</w:t>
            </w:r>
          </w:p>
        </w:tc>
      </w:tr>
      <w:tr w:rsidR="00DF7DD6" w14:paraId="4C82D6A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DBF3EE9" w14:textId="3921FE7C" w:rsidR="00DF7DD6"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Amal de Chickera, </w:t>
            </w:r>
            <w:r>
              <w:rPr>
                <w:rFonts w:ascii="Times New Roman" w:eastAsia="Times New Roman" w:hAnsi="Times New Roman" w:cs="Times New Roman"/>
              </w:rPr>
              <w:t>“</w:t>
            </w:r>
            <w:r w:rsidRPr="00C74FE0">
              <w:rPr>
                <w:rFonts w:ascii="Times New Roman" w:eastAsia="Times New Roman" w:hAnsi="Times New Roman" w:cs="Times New Roman"/>
              </w:rPr>
              <w:t>Statelessness and Identity in the Rohingya Refugee Crisis” (2018)</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CDD2FE1" w14:textId="02CC554C" w:rsidR="00DF7DD6"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9</w:t>
            </w:r>
          </w:p>
        </w:tc>
      </w:tr>
      <w:tr w:rsidR="00C74FE0" w14:paraId="5A46D80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0AE9E62" w14:textId="5A3158F7"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Anthony Miller, </w:t>
            </w:r>
            <w:r w:rsidRPr="00C74FE0">
              <w:rPr>
                <w:rFonts w:ascii="Times New Roman" w:eastAsia="Times New Roman" w:hAnsi="Times New Roman" w:cs="Times New Roman"/>
                <w:i/>
                <w:iCs/>
              </w:rPr>
              <w:t>United Nations Experts on Mission and their Privileges and Immunities,</w:t>
            </w:r>
            <w:r w:rsidRPr="00C74FE0">
              <w:rPr>
                <w:rFonts w:ascii="Times New Roman" w:eastAsia="Times New Roman" w:hAnsi="Times New Roman" w:cs="Times New Roman"/>
              </w:rPr>
              <w:t> (2007) International Organizations Law Review</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5FEC7E1" w14:textId="7C538DB8"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29</w:t>
            </w:r>
          </w:p>
        </w:tc>
      </w:tr>
      <w:tr w:rsidR="00C74FE0" w14:paraId="1F940A1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2C55778" w14:textId="63D1B640"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Dapo Akabe, </w:t>
            </w:r>
            <w:r w:rsidRPr="00C74FE0">
              <w:rPr>
                <w:rFonts w:ascii="Times New Roman" w:eastAsia="Times New Roman" w:hAnsi="Times New Roman" w:cs="Times New Roman"/>
                <w:i/>
                <w:iCs/>
              </w:rPr>
              <w:t>The International Court of Justice and the Security Council: Is There Room for Judicial Control of Decisions of the Political Organs of the United Nations, </w:t>
            </w:r>
            <w:r w:rsidRPr="00C74FE0">
              <w:rPr>
                <w:rFonts w:ascii="Times New Roman" w:eastAsia="Times New Roman" w:hAnsi="Times New Roman" w:cs="Times New Roman"/>
              </w:rPr>
              <w:t>(1997) 46:2 Inti &amp; CLQ 309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7B96CE8" w14:textId="51BC7E41"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30, 31</w:t>
            </w:r>
          </w:p>
        </w:tc>
      </w:tr>
      <w:tr w:rsidR="00C74FE0" w14:paraId="53C5C33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F14A1DD" w14:textId="686FC9C2"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George Tridimas, </w:t>
            </w:r>
            <w:r>
              <w:rPr>
                <w:rFonts w:ascii="Times New Roman" w:eastAsia="Times New Roman" w:hAnsi="Times New Roman" w:cs="Times New Roman"/>
              </w:rPr>
              <w:t>“</w:t>
            </w:r>
            <w:r w:rsidRPr="00C74FE0">
              <w:rPr>
                <w:rFonts w:ascii="Times New Roman" w:eastAsia="Times New Roman" w:hAnsi="Times New Roman" w:cs="Times New Roman"/>
              </w:rPr>
              <w:t>Constitutional monarchy as power sharing</w:t>
            </w:r>
            <w:r>
              <w:rPr>
                <w:rFonts w:ascii="Times New Roman" w:eastAsia="Times New Roman" w:hAnsi="Times New Roman" w:cs="Times New Roman"/>
                <w:i/>
                <w:iCs/>
              </w:rPr>
              <w:t>”</w:t>
            </w:r>
            <w:r>
              <w:rPr>
                <w:rFonts w:ascii="Times New Roman" w:eastAsia="Times New Roman" w:hAnsi="Times New Roman" w:cs="Times New Roman"/>
              </w:rPr>
              <w:t>”</w:t>
            </w:r>
            <w:r w:rsidRPr="00C74FE0">
              <w:rPr>
                <w:rFonts w:ascii="Times New Roman" w:eastAsia="Times New Roman" w:hAnsi="Times New Roman" w:cs="Times New Roman"/>
                <w:i/>
                <w:iCs/>
              </w:rPr>
              <w:t> </w:t>
            </w:r>
            <w:r w:rsidRPr="00C74FE0">
              <w:rPr>
                <w:rFonts w:ascii="Times New Roman" w:eastAsia="Times New Roman" w:hAnsi="Times New Roman" w:cs="Times New Roman"/>
              </w:rPr>
              <w:t>(2021)</w:t>
            </w:r>
            <w:r w:rsidRPr="00C74FE0">
              <w:rPr>
                <w:rFonts w:ascii="Times New Roman" w:eastAsia="Times New Roman" w:hAnsi="Times New Roman" w:cs="Times New Roman"/>
                <w:i/>
                <w:iCs/>
              </w:rPr>
              <w:t> </w:t>
            </w:r>
            <w:r w:rsidRPr="00C74FE0">
              <w:rPr>
                <w:rFonts w:ascii="Times New Roman" w:eastAsia="Times New Roman" w:hAnsi="Times New Roman" w:cs="Times New Roman"/>
              </w:rPr>
              <w:t>32 Constitutional Political Economy</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592975E" w14:textId="23A5699E"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11</w:t>
            </w:r>
          </w:p>
        </w:tc>
      </w:tr>
      <w:tr w:rsidR="00C74FE0" w14:paraId="77F57EF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3264574" w14:textId="6E2F4722"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Ian Brownlie, </w:t>
            </w:r>
            <w:r w:rsidRPr="00C74FE0">
              <w:rPr>
                <w:rFonts w:ascii="Times New Roman" w:eastAsia="Times New Roman" w:hAnsi="Times New Roman" w:cs="Times New Roman"/>
                <w:i/>
                <w:iCs/>
              </w:rPr>
              <w:t>The Relations of Nationality in Public International Law,</w:t>
            </w:r>
            <w:r w:rsidRPr="00C74FE0">
              <w:rPr>
                <w:rFonts w:ascii="Times New Roman" w:eastAsia="Times New Roman" w:hAnsi="Times New Roman" w:cs="Times New Roman"/>
              </w:rPr>
              <w:t> (1963) 39 Brit YB Int'l L 284</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E4353DF" w14:textId="1252C48A"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16</w:t>
            </w:r>
          </w:p>
        </w:tc>
      </w:tr>
      <w:tr w:rsidR="00C74FE0" w14:paraId="7019DB2B"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FEF6A6F" w14:textId="3AA1DE75"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IC MacGibbon,</w:t>
            </w:r>
            <w:r w:rsidRPr="00C74FE0">
              <w:rPr>
                <w:rFonts w:ascii="Times New Roman" w:eastAsia="Times New Roman" w:hAnsi="Times New Roman" w:cs="Times New Roman"/>
                <w:i/>
                <w:iCs/>
              </w:rPr>
              <w:t> Estoppel in International Law, </w:t>
            </w:r>
            <w:r w:rsidRPr="00C74FE0">
              <w:rPr>
                <w:rFonts w:ascii="Times New Roman" w:eastAsia="Times New Roman" w:hAnsi="Times New Roman" w:cs="Times New Roman"/>
              </w:rPr>
              <w:t>(1958) 7:3 Inti &amp; CLQ 468</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ED302A9" w14:textId="22F8C341"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20</w:t>
            </w:r>
          </w:p>
        </w:tc>
      </w:tr>
      <w:tr w:rsidR="00C74FE0" w14:paraId="0CEB53D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6CE0F00" w14:textId="447A32D2"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Jacques Maury, </w:t>
            </w:r>
            <w:r w:rsidRPr="00C74FE0">
              <w:rPr>
                <w:rFonts w:ascii="Times New Roman" w:eastAsia="Times New Roman" w:hAnsi="Times New Roman" w:cs="Times New Roman"/>
                <w:i/>
                <w:iCs/>
              </w:rPr>
              <w:t>L'arret Nottebohm et La Condition de Nationalite Effective, </w:t>
            </w:r>
            <w:r w:rsidRPr="00C74FE0">
              <w:rPr>
                <w:rFonts w:ascii="Times New Roman" w:eastAsia="Times New Roman" w:hAnsi="Times New Roman" w:cs="Times New Roman"/>
              </w:rPr>
              <w:t>(1958) 23 Zeitschrift fur auslandisches und internationales Privatrecht</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A223229" w14:textId="626D7EB4"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22</w:t>
            </w:r>
          </w:p>
        </w:tc>
      </w:tr>
      <w:tr w:rsidR="00C74FE0" w14:paraId="0E73024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9F40BDE" w14:textId="431C8D79"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John Quigley, </w:t>
            </w:r>
            <w:r w:rsidRPr="00C74FE0">
              <w:rPr>
                <w:rFonts w:ascii="Times New Roman" w:eastAsia="Times New Roman" w:hAnsi="Times New Roman" w:cs="Times New Roman"/>
                <w:i/>
                <w:iCs/>
              </w:rPr>
              <w:t>Procedural Limitations on Capital Punishment: The Case of Foreign Nationals,</w:t>
            </w:r>
            <w:r w:rsidRPr="00C74FE0">
              <w:rPr>
                <w:rFonts w:ascii="Times New Roman" w:eastAsia="Times New Roman" w:hAnsi="Times New Roman" w:cs="Times New Roman"/>
              </w:rPr>
              <w:t> (2000) 6 ILSA J. INT'l &amp; COMP. L. 519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277F15B" w14:textId="1763FB5B"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22, 24, 25</w:t>
            </w:r>
          </w:p>
        </w:tc>
      </w:tr>
      <w:tr w:rsidR="00C74FE0" w14:paraId="6EFCC85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E52287D" w14:textId="14A9F8BF"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Maria Jose Recalde-Vela, </w:t>
            </w:r>
            <w:r w:rsidRPr="00C74FE0">
              <w:rPr>
                <w:rFonts w:ascii="Times New Roman" w:eastAsia="Times New Roman" w:hAnsi="Times New Roman" w:cs="Times New Roman"/>
                <w:i/>
                <w:iCs/>
              </w:rPr>
              <w:t>Access to Redress for Stateless Persons Under International Law: Challenges and Opportunities,</w:t>
            </w:r>
            <w:r w:rsidRPr="00C74FE0">
              <w:rPr>
                <w:rFonts w:ascii="Times New Roman" w:eastAsia="Times New Roman" w:hAnsi="Times New Roman" w:cs="Times New Roman"/>
              </w:rPr>
              <w:t> (2019) 24:2 TilburgLRev.</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0E7FDB4" w14:textId="390BE3AA"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1, 9</w:t>
            </w:r>
          </w:p>
        </w:tc>
      </w:tr>
      <w:tr w:rsidR="00C74FE0" w14:paraId="61AB2C4E"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316C1AC" w14:textId="091FE7F2"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Michael Wood</w:t>
            </w:r>
            <w:r w:rsidRPr="00C74FE0">
              <w:rPr>
                <w:rFonts w:ascii="Times New Roman" w:eastAsia="Times New Roman" w:hAnsi="Times New Roman" w:cs="Times New Roman"/>
                <w:i/>
                <w:iCs/>
              </w:rPr>
              <w:t>, The Interpretation of Security Council Resolutions, </w:t>
            </w:r>
            <w:r w:rsidRPr="00C74FE0">
              <w:rPr>
                <w:rFonts w:ascii="Times New Roman" w:eastAsia="Times New Roman" w:hAnsi="Times New Roman" w:cs="Times New Roman"/>
              </w:rPr>
              <w:t>(1998) 2 Max Planck Yearbook of United Nations Law</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B10E197" w14:textId="50DBA414"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26, 27, 28, 29</w:t>
            </w:r>
          </w:p>
        </w:tc>
      </w:tr>
      <w:tr w:rsidR="00C74FE0" w14:paraId="0452CCC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C6EC355" w14:textId="565F2DC7"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Oona Hathaway, Alaa Hachem &amp; Justin Cole, </w:t>
            </w:r>
            <w:r>
              <w:rPr>
                <w:rFonts w:ascii="Times New Roman" w:eastAsia="Times New Roman" w:hAnsi="Times New Roman" w:cs="Times New Roman"/>
              </w:rPr>
              <w:t>“</w:t>
            </w:r>
            <w:r w:rsidRPr="00C74FE0">
              <w:rPr>
                <w:rFonts w:ascii="Times New Roman" w:eastAsia="Times New Roman" w:hAnsi="Times New Roman" w:cs="Times New Roman"/>
              </w:rPr>
              <w:t>A New Tool for Enforcing Human Rights: Erga Omnes Partes Standing,</w:t>
            </w:r>
            <w:r>
              <w:rPr>
                <w:rFonts w:ascii="Times New Roman" w:eastAsia="Times New Roman" w:hAnsi="Times New Roman" w:cs="Times New Roman"/>
              </w:rPr>
              <w:t>”</w:t>
            </w:r>
            <w:r w:rsidRPr="00C74FE0">
              <w:rPr>
                <w:rFonts w:ascii="Times New Roman" w:eastAsia="Times New Roman" w:hAnsi="Times New Roman" w:cs="Times New Roman"/>
              </w:rPr>
              <w:t> (2024) 61:2 ColumbJTransnat’lL</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04864E0" w14:textId="43529328"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2, 3</w:t>
            </w:r>
          </w:p>
        </w:tc>
      </w:tr>
      <w:tr w:rsidR="00C74FE0" w14:paraId="4112ACF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477A461" w14:textId="0BE11F21"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Pok Yin S. Chow,</w:t>
            </w:r>
            <w:r w:rsidRPr="00C74FE0">
              <w:rPr>
                <w:rFonts w:ascii="Times New Roman" w:eastAsia="Times New Roman" w:hAnsi="Times New Roman" w:cs="Times New Roman"/>
                <w:i/>
                <w:iCs/>
              </w:rPr>
              <w:t> </w:t>
            </w:r>
            <w:r>
              <w:rPr>
                <w:rFonts w:ascii="Times New Roman" w:eastAsia="Times New Roman" w:hAnsi="Times New Roman" w:cs="Times New Roman"/>
                <w:i/>
                <w:iCs/>
              </w:rPr>
              <w:t>“</w:t>
            </w:r>
            <w:r w:rsidRPr="00C74FE0">
              <w:rPr>
                <w:rFonts w:ascii="Times New Roman" w:eastAsia="Times New Roman" w:hAnsi="Times New Roman" w:cs="Times New Roman"/>
              </w:rPr>
              <w:t>On Obligations Erga Omnes Partes</w:t>
            </w:r>
            <w:r w:rsidRPr="00C74FE0">
              <w:rPr>
                <w:rFonts w:ascii="Times New Roman" w:eastAsia="Times New Roman" w:hAnsi="Times New Roman" w:cs="Times New Roman"/>
                <w:i/>
                <w:iCs/>
              </w:rPr>
              <w:t>,</w:t>
            </w:r>
            <w:r>
              <w:rPr>
                <w:rFonts w:ascii="Times New Roman" w:eastAsia="Times New Roman" w:hAnsi="Times New Roman" w:cs="Times New Roman"/>
                <w:i/>
                <w:iCs/>
              </w:rPr>
              <w:t>”</w:t>
            </w:r>
            <w:r w:rsidRPr="00C74FE0">
              <w:rPr>
                <w:rFonts w:ascii="Times New Roman" w:eastAsia="Times New Roman" w:hAnsi="Times New Roman" w:cs="Times New Roman"/>
                <w:i/>
                <w:iCs/>
              </w:rPr>
              <w:t xml:space="preserve"> </w:t>
            </w:r>
            <w:r w:rsidRPr="00C74FE0">
              <w:rPr>
                <w:rFonts w:ascii="Times New Roman" w:eastAsia="Times New Roman" w:hAnsi="Times New Roman" w:cs="Times New Roman"/>
              </w:rPr>
              <w:t>(2021) 52:2 GeoJInt’lL</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CE9D163" w14:textId="19711B5F"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3, 5</w:t>
            </w:r>
          </w:p>
        </w:tc>
      </w:tr>
      <w:tr w:rsidR="00C74FE0" w14:paraId="3F0ADB8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438E76C" w14:textId="29D2387A"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Robert D. Sloane,</w:t>
            </w:r>
            <w:r w:rsidRPr="00C74FE0">
              <w:rPr>
                <w:rFonts w:ascii="Times New Roman" w:eastAsia="Times New Roman" w:hAnsi="Times New Roman" w:cs="Times New Roman"/>
                <w:i/>
                <w:iCs/>
              </w:rPr>
              <w:t> Breaking the Genuine Link: The Contemporary International Legal Regulation of Nationality, </w:t>
            </w:r>
            <w:r w:rsidRPr="00C74FE0">
              <w:rPr>
                <w:rFonts w:ascii="Times New Roman" w:eastAsia="Times New Roman" w:hAnsi="Times New Roman" w:cs="Times New Roman"/>
              </w:rPr>
              <w:t>2009 50 Harv Intl LJ 1 </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612EC95" w14:textId="143B35B0"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17</w:t>
            </w:r>
          </w:p>
        </w:tc>
      </w:tr>
      <w:tr w:rsidR="00C74FE0" w14:paraId="27C03EA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30D1650" w14:textId="3B57A9BD"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lastRenderedPageBreak/>
              <w:t>Tamás Molnár, </w:t>
            </w:r>
            <w:r>
              <w:rPr>
                <w:rFonts w:ascii="Times New Roman" w:eastAsia="Times New Roman" w:hAnsi="Times New Roman" w:cs="Times New Roman"/>
              </w:rPr>
              <w:t>“</w:t>
            </w:r>
            <w:r w:rsidRPr="00C74FE0">
              <w:rPr>
                <w:rFonts w:ascii="Times New Roman" w:eastAsia="Times New Roman" w:hAnsi="Times New Roman" w:cs="Times New Roman"/>
              </w:rPr>
              <w:t>The Prohibition of Arbitrary Deprivation of Nationality under International Law and EU Law: New Perspectives,” (2015) Hungarian YB Int’l &amp; Eur Law</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781DBBF3" w14:textId="3E875876"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8</w:t>
            </w:r>
          </w:p>
        </w:tc>
      </w:tr>
      <w:tr w:rsidR="00C74FE0" w14:paraId="405E7234"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8C6544E" w14:textId="6FC49715"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Yoshifumi Tanaka, </w:t>
            </w:r>
            <w:r>
              <w:rPr>
                <w:rFonts w:ascii="Times New Roman" w:eastAsia="Times New Roman" w:hAnsi="Times New Roman" w:cs="Times New Roman"/>
              </w:rPr>
              <w:t>“</w:t>
            </w:r>
            <w:r w:rsidRPr="00C74FE0">
              <w:rPr>
                <w:rFonts w:ascii="Times New Roman" w:eastAsia="Times New Roman" w:hAnsi="Times New Roman" w:cs="Times New Roman"/>
              </w:rPr>
              <w:t>The Legal Consequences of Obligations Erga Omnes in International Law,</w:t>
            </w:r>
            <w:r>
              <w:rPr>
                <w:rFonts w:ascii="Times New Roman" w:eastAsia="Times New Roman" w:hAnsi="Times New Roman" w:cs="Times New Roman"/>
              </w:rPr>
              <w:t xml:space="preserve">” </w:t>
            </w:r>
            <w:r w:rsidRPr="00C74FE0">
              <w:rPr>
                <w:rFonts w:ascii="Times New Roman" w:eastAsia="Times New Roman" w:hAnsi="Times New Roman" w:cs="Times New Roman"/>
              </w:rPr>
              <w:t>(2021) 68:1 NethInt’lLRev</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B9CFB39" w14:textId="37F44D2A"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5, 6</w:t>
            </w:r>
          </w:p>
        </w:tc>
      </w:tr>
      <w:tr w:rsidR="00DF7DD6" w14:paraId="11E9516E" w14:textId="77777777" w:rsidTr="00025059">
        <w:trPr>
          <w:trHeight w:val="345"/>
        </w:trPr>
        <w:tc>
          <w:tcPr>
            <w:tcW w:w="9060" w:type="dxa"/>
            <w:gridSpan w:val="2"/>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7076639" w14:textId="77777777" w:rsidR="00DF7DD6" w:rsidRDefault="00DF7DD6" w:rsidP="00025059">
            <w:pPr>
              <w:widowControl w:val="0"/>
              <w:spacing w:after="200"/>
              <w:rPr>
                <w:rFonts w:ascii="Times New Roman" w:eastAsia="Times New Roman" w:hAnsi="Times New Roman" w:cs="Times New Roman"/>
              </w:rPr>
            </w:pPr>
            <w:r>
              <w:rPr>
                <w:rFonts w:ascii="Times New Roman" w:eastAsia="Times New Roman" w:hAnsi="Times New Roman" w:cs="Times New Roman"/>
                <w:b/>
                <w:u w:val="single"/>
              </w:rPr>
              <w:t>Other Documents</w:t>
            </w:r>
          </w:p>
        </w:tc>
      </w:tr>
      <w:tr w:rsidR="00DF7DD6" w14:paraId="58DB5EB6"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EE5AFB2" w14:textId="3E94AA58" w:rsidR="00DF7DD6"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117th Congress (2021-2022) </w:t>
            </w:r>
            <w:r w:rsidRPr="00C74FE0">
              <w:rPr>
                <w:rFonts w:ascii="Times New Roman" w:eastAsia="Times New Roman" w:hAnsi="Times New Roman" w:cs="Times New Roman"/>
                <w:i/>
                <w:iCs/>
              </w:rPr>
              <w:t>No Travel for Traffickers Act of 2022, </w:t>
            </w:r>
            <w:r w:rsidRPr="00C74FE0">
              <w:rPr>
                <w:rFonts w:ascii="Times New Roman" w:eastAsia="Times New Roman" w:hAnsi="Times New Roman" w:cs="Times New Roman"/>
              </w:rPr>
              <w:t>H.R.6911.</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C920520" w14:textId="42D2C42C" w:rsidR="00DF7DD6"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18</w:t>
            </w:r>
          </w:p>
        </w:tc>
      </w:tr>
      <w:tr w:rsidR="00C74FE0" w14:paraId="4310B418"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BE2C510" w14:textId="3098BC01"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European Commission, </w:t>
            </w:r>
            <w:r w:rsidRPr="00C74FE0">
              <w:rPr>
                <w:rFonts w:ascii="Times New Roman" w:eastAsia="Times New Roman" w:hAnsi="Times New Roman" w:cs="Times New Roman"/>
                <w:i/>
                <w:iCs/>
              </w:rPr>
              <w:t>Investor citizenship scheme: Commission refers MALTA to the Court of Justice </w:t>
            </w:r>
            <w:r w:rsidRPr="00C74FE0">
              <w:rPr>
                <w:rFonts w:ascii="Times New Roman" w:eastAsia="Times New Roman" w:hAnsi="Times New Roman" w:cs="Times New Roman"/>
              </w:rPr>
              <w:t>(Brussels, 2022)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5AEEEED" w14:textId="210A4EA6"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18</w:t>
            </w:r>
          </w:p>
        </w:tc>
      </w:tr>
      <w:tr w:rsidR="00C74FE0" w14:paraId="1ACB4FDB"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B8A9BAB" w14:textId="42386D05"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European Commission,</w:t>
            </w:r>
            <w:r w:rsidRPr="00C74FE0">
              <w:rPr>
                <w:rFonts w:ascii="Times New Roman" w:eastAsia="Times New Roman" w:hAnsi="Times New Roman" w:cs="Times New Roman"/>
                <w:i/>
                <w:iCs/>
              </w:rPr>
              <w:t> Joint Statement on further restrictive economic measures</w:t>
            </w:r>
            <w:r w:rsidRPr="00C74FE0">
              <w:rPr>
                <w:rFonts w:ascii="Times New Roman" w:eastAsia="Times New Roman" w:hAnsi="Times New Roman" w:cs="Times New Roman"/>
              </w:rPr>
              <w:t> (2022)</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F82DFAA" w14:textId="4A9E0BD6"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18</w:t>
            </w:r>
          </w:p>
        </w:tc>
      </w:tr>
      <w:tr w:rsidR="00C74FE0" w14:paraId="424E96F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5D89327" w14:textId="13019676" w:rsidR="00C74FE0" w:rsidRPr="00C74FE0" w:rsidRDefault="00C74FE0" w:rsidP="00C74FE0">
            <w:pPr>
              <w:widowControl w:val="0"/>
              <w:spacing w:after="200"/>
              <w:rPr>
                <w:rFonts w:ascii="Times New Roman" w:eastAsia="Times New Roman" w:hAnsi="Times New Roman" w:cs="Times New Roman"/>
              </w:rPr>
            </w:pPr>
            <w:r w:rsidRPr="00C74FE0">
              <w:rPr>
                <w:rFonts w:ascii="Times New Roman" w:eastAsia="Times New Roman" w:hAnsi="Times New Roman" w:cs="Times New Roman"/>
              </w:rPr>
              <w:t>Human Rights Watch, “Bahrain: Hundreds Stripped of Citizenship”</w:t>
            </w:r>
            <w:r w:rsidRPr="00C74FE0">
              <w:rPr>
                <w:rFonts w:ascii="Times New Roman" w:eastAsia="Times New Roman" w:hAnsi="Times New Roman" w:cs="Times New Roman"/>
                <w:i/>
                <w:iCs/>
              </w:rPr>
              <w:t> </w:t>
            </w:r>
            <w:r w:rsidRPr="00C74FE0">
              <w:rPr>
                <w:rFonts w:ascii="Times New Roman" w:eastAsia="Times New Roman" w:hAnsi="Times New Roman" w:cs="Times New Roman"/>
              </w:rPr>
              <w:t>(2018)</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092297E" w14:textId="2C38EDF4" w:rsidR="00C74FE0"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w:t>
            </w:r>
          </w:p>
        </w:tc>
      </w:tr>
      <w:tr w:rsidR="008C741B" w14:paraId="4CDA4BE2"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0AC4A5B" w14:textId="4A2C077B" w:rsidR="008C741B" w:rsidRPr="00C74FE0" w:rsidRDefault="008C741B" w:rsidP="008C741B">
            <w:pPr>
              <w:widowControl w:val="0"/>
              <w:spacing w:after="200"/>
              <w:rPr>
                <w:rFonts w:ascii="Times New Roman" w:eastAsia="Times New Roman" w:hAnsi="Times New Roman" w:cs="Times New Roman"/>
              </w:rPr>
            </w:pPr>
            <w:r w:rsidRPr="008C741B">
              <w:rPr>
                <w:rFonts w:ascii="Times New Roman" w:eastAsia="Times New Roman" w:hAnsi="Times New Roman" w:cs="Times New Roman"/>
              </w:rPr>
              <w:t>Immigration, Refugees and Citizenship Canada</w:t>
            </w:r>
            <w:r w:rsidRPr="008C741B">
              <w:rPr>
                <w:rFonts w:ascii="Times New Roman" w:eastAsia="Times New Roman" w:hAnsi="Times New Roman" w:cs="Times New Roman"/>
                <w:i/>
                <w:iCs/>
              </w:rPr>
              <w:t>, Canada imposes a visa requirement on Antigua and Barbuda</w:t>
            </w:r>
            <w:r w:rsidRPr="008C741B">
              <w:rPr>
                <w:rFonts w:ascii="Times New Roman" w:eastAsia="Times New Roman" w:hAnsi="Times New Roman" w:cs="Times New Roman"/>
              </w:rPr>
              <w:t> (2017)</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6CAD3BC1" w14:textId="644059F1" w:rsidR="008C741B"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18</w:t>
            </w:r>
          </w:p>
        </w:tc>
      </w:tr>
      <w:tr w:rsidR="008C741B" w14:paraId="0287F143"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3019ADE" w14:textId="027E00EE" w:rsidR="008C741B" w:rsidRPr="008C741B" w:rsidRDefault="008C741B" w:rsidP="008C741B">
            <w:pPr>
              <w:widowControl w:val="0"/>
              <w:spacing w:after="200"/>
              <w:rPr>
                <w:rFonts w:ascii="Times New Roman" w:eastAsia="Times New Roman" w:hAnsi="Times New Roman" w:cs="Times New Roman"/>
              </w:rPr>
            </w:pPr>
            <w:r w:rsidRPr="008C741B">
              <w:rPr>
                <w:rFonts w:ascii="Times New Roman" w:eastAsia="Times New Roman" w:hAnsi="Times New Roman" w:cs="Times New Roman"/>
              </w:rPr>
              <w:t>Instituit de Droit International,</w:t>
            </w:r>
            <w:r w:rsidRPr="008C741B">
              <w:rPr>
                <w:rFonts w:ascii="Times New Roman" w:eastAsia="Times New Roman" w:hAnsi="Times New Roman" w:cs="Times New Roman"/>
                <w:i/>
                <w:iCs/>
              </w:rPr>
              <w:t> The National Character of an International Claim Presented by a State for Injury Suffered by an Individual, </w:t>
            </w:r>
            <w:r w:rsidRPr="008C741B">
              <w:rPr>
                <w:rFonts w:ascii="Times New Roman" w:eastAsia="Times New Roman" w:hAnsi="Times New Roman" w:cs="Times New Roman"/>
              </w:rPr>
              <w:t>Warsaw Session (1965)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2F9F04CD" w14:textId="6093A0F2" w:rsidR="008C741B"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17</w:t>
            </w:r>
          </w:p>
        </w:tc>
      </w:tr>
      <w:tr w:rsidR="008C741B" w14:paraId="61E680A9"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CCDCE96" w14:textId="22CF7159" w:rsidR="008C741B" w:rsidRPr="008C741B" w:rsidRDefault="008C741B" w:rsidP="008C741B">
            <w:pPr>
              <w:widowControl w:val="0"/>
              <w:spacing w:after="200"/>
              <w:rPr>
                <w:rFonts w:ascii="Times New Roman" w:eastAsia="Times New Roman" w:hAnsi="Times New Roman" w:cs="Times New Roman"/>
              </w:rPr>
            </w:pPr>
            <w:r w:rsidRPr="008C741B">
              <w:rPr>
                <w:rFonts w:ascii="Times New Roman" w:eastAsia="Times New Roman" w:hAnsi="Times New Roman" w:cs="Times New Roman"/>
              </w:rPr>
              <w:t>Institut de Droit International, </w:t>
            </w:r>
            <w:r w:rsidRPr="00C01AE5">
              <w:rPr>
                <w:rFonts w:ascii="Times New Roman" w:eastAsia="Times New Roman" w:hAnsi="Times New Roman" w:cs="Times New Roman"/>
                <w:i/>
                <w:iCs/>
              </w:rPr>
              <w:t>Resolution: Obligations Erga Omnes in International Law</w:t>
            </w:r>
            <w:r w:rsidRPr="00C01AE5">
              <w:rPr>
                <w:rFonts w:ascii="Times New Roman" w:eastAsia="Times New Roman" w:hAnsi="Times New Roman" w:cs="Times New Roman"/>
              </w:rPr>
              <w:t>, Krakow Session (2005)</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E7B0E75" w14:textId="1A924FBD" w:rsidR="008C741B"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w:t>
            </w:r>
          </w:p>
        </w:tc>
      </w:tr>
      <w:tr w:rsidR="008C741B" w14:paraId="2E08513D"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006FE4EC" w14:textId="2685B9FA" w:rsidR="008C741B" w:rsidRPr="008C741B" w:rsidRDefault="008C741B" w:rsidP="008C741B">
            <w:pPr>
              <w:widowControl w:val="0"/>
              <w:spacing w:after="200"/>
              <w:rPr>
                <w:rFonts w:ascii="Times New Roman" w:eastAsia="Times New Roman" w:hAnsi="Times New Roman" w:cs="Times New Roman"/>
              </w:rPr>
            </w:pPr>
            <w:r w:rsidRPr="008C741B">
              <w:rPr>
                <w:rFonts w:ascii="Times New Roman" w:eastAsia="Times New Roman" w:hAnsi="Times New Roman" w:cs="Times New Roman"/>
              </w:rPr>
              <w:t>Institute on Statelessness and Inclusion, </w:t>
            </w:r>
            <w:r w:rsidRPr="008C741B">
              <w:rPr>
                <w:rFonts w:ascii="Times New Roman" w:eastAsia="Times New Roman" w:hAnsi="Times New Roman" w:cs="Times New Roman"/>
                <w:i/>
                <w:iCs/>
              </w:rPr>
              <w:t>Principles on Deprivation of Nationality as a National Security Measure </w:t>
            </w:r>
            <w:r w:rsidRPr="008C741B">
              <w:rPr>
                <w:rFonts w:ascii="Times New Roman" w:eastAsia="Times New Roman" w:hAnsi="Times New Roman" w:cs="Times New Roman"/>
              </w:rPr>
              <w:t>(2020)</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FADEA74" w14:textId="6440CC2B" w:rsidR="008C741B"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14</w:t>
            </w:r>
          </w:p>
        </w:tc>
      </w:tr>
      <w:tr w:rsidR="008C741B" w14:paraId="25D4B625"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A4C934B" w14:textId="34165E82" w:rsidR="008C741B" w:rsidRPr="008C741B" w:rsidRDefault="008C741B" w:rsidP="008C741B">
            <w:pPr>
              <w:widowControl w:val="0"/>
              <w:spacing w:after="200"/>
              <w:rPr>
                <w:rFonts w:ascii="Times New Roman" w:eastAsia="Times New Roman" w:hAnsi="Times New Roman" w:cs="Times New Roman"/>
              </w:rPr>
            </w:pPr>
            <w:r w:rsidRPr="008C741B">
              <w:rPr>
                <w:rFonts w:ascii="Times New Roman" w:eastAsia="Times New Roman" w:hAnsi="Times New Roman" w:cs="Times New Roman"/>
              </w:rPr>
              <w:t>International Federation for Human Rights, “Nicaragua: Serious human rights impacts caused by arbitrary deprivation of nationality” (2023)</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46BB9876" w14:textId="24E5691C" w:rsidR="008C741B"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5</w:t>
            </w:r>
          </w:p>
        </w:tc>
      </w:tr>
      <w:tr w:rsidR="008C741B" w14:paraId="1235E991"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33640367" w14:textId="4E20B313" w:rsidR="008C741B" w:rsidRPr="008C741B" w:rsidRDefault="008C741B" w:rsidP="008C741B">
            <w:pPr>
              <w:widowControl w:val="0"/>
              <w:spacing w:after="200"/>
              <w:rPr>
                <w:rFonts w:ascii="Times New Roman" w:eastAsia="Times New Roman" w:hAnsi="Times New Roman" w:cs="Times New Roman"/>
              </w:rPr>
            </w:pPr>
            <w:r w:rsidRPr="008C741B">
              <w:rPr>
                <w:rFonts w:ascii="Times New Roman" w:eastAsia="Times New Roman" w:hAnsi="Times New Roman" w:cs="Times New Roman"/>
              </w:rPr>
              <w:t>Secretary of State for the Home Department,</w:t>
            </w:r>
            <w:r w:rsidRPr="008C741B">
              <w:rPr>
                <w:rFonts w:ascii="Times New Roman" w:eastAsia="Times New Roman" w:hAnsi="Times New Roman" w:cs="Times New Roman"/>
                <w:i/>
                <w:iCs/>
              </w:rPr>
              <w:t> Statement of Changes in Immigration Rules</w:t>
            </w:r>
            <w:r w:rsidRPr="008C741B">
              <w:rPr>
                <w:rFonts w:ascii="Times New Roman" w:eastAsia="Times New Roman" w:hAnsi="Times New Roman" w:cs="Times New Roman"/>
              </w:rPr>
              <w:t> (2023), UIN HCWS979</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EE354B8" w14:textId="246C001E" w:rsidR="008C741B"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18</w:t>
            </w:r>
          </w:p>
        </w:tc>
      </w:tr>
      <w:tr w:rsidR="008C741B" w14:paraId="3D594FE7" w14:textId="77777777" w:rsidTr="00025059">
        <w:trPr>
          <w:trHeight w:val="345"/>
        </w:trPr>
        <w:tc>
          <w:tcPr>
            <w:tcW w:w="7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5C3FF062" w14:textId="01B51910" w:rsidR="008C741B" w:rsidRPr="008C741B" w:rsidRDefault="008C741B" w:rsidP="008C741B">
            <w:pPr>
              <w:widowControl w:val="0"/>
              <w:spacing w:after="200"/>
              <w:rPr>
                <w:rFonts w:ascii="Times New Roman" w:eastAsia="Times New Roman" w:hAnsi="Times New Roman" w:cs="Times New Roman"/>
              </w:rPr>
            </w:pPr>
            <w:r w:rsidRPr="008C741B">
              <w:rPr>
                <w:rFonts w:ascii="Times New Roman" w:eastAsia="Times New Roman" w:hAnsi="Times New Roman" w:cs="Times New Roman"/>
              </w:rPr>
              <w:t>Valeria Bello, </w:t>
            </w:r>
            <w:r w:rsidRPr="008C741B">
              <w:rPr>
                <w:rFonts w:ascii="Times New Roman" w:eastAsia="Times New Roman" w:hAnsi="Times New Roman" w:cs="Times New Roman"/>
                <w:i/>
                <w:iCs/>
              </w:rPr>
              <w:t>Is the discussion of ‘Statelessness’ in the UN Security Council a question of human security or international security? </w:t>
            </w:r>
            <w:r w:rsidRPr="008C741B">
              <w:rPr>
                <w:rFonts w:ascii="Times New Roman" w:eastAsia="Times New Roman" w:hAnsi="Times New Roman" w:cs="Times New Roman"/>
              </w:rPr>
              <w:t>(2014), Policy Report No. 02/02. Barcelona: UNU-GCM</w:t>
            </w:r>
          </w:p>
        </w:tc>
        <w:tc>
          <w:tcPr>
            <w:tcW w:w="1530"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tcPr>
          <w:p w14:paraId="1BF5BCD1" w14:textId="0BA10510" w:rsidR="008C741B" w:rsidRDefault="007D6531" w:rsidP="00025059">
            <w:pPr>
              <w:widowControl w:val="0"/>
              <w:spacing w:after="200"/>
              <w:rPr>
                <w:rFonts w:ascii="Times New Roman" w:eastAsia="Times New Roman" w:hAnsi="Times New Roman" w:cs="Times New Roman"/>
              </w:rPr>
            </w:pPr>
            <w:r>
              <w:rPr>
                <w:rFonts w:ascii="Times New Roman" w:eastAsia="Times New Roman" w:hAnsi="Times New Roman" w:cs="Times New Roman"/>
              </w:rPr>
              <w:t>29, 31</w:t>
            </w:r>
          </w:p>
        </w:tc>
      </w:tr>
    </w:tbl>
    <w:p w14:paraId="6347D580" w14:textId="77777777" w:rsidR="00237EEC" w:rsidRDefault="00237EEC" w:rsidP="002C7165">
      <w:pPr>
        <w:spacing w:after="200" w:line="360" w:lineRule="auto"/>
        <w:rPr>
          <w:rFonts w:ascii="Times New Roman" w:hAnsi="Times New Roman" w:cs="Times New Roman"/>
          <w:b/>
          <w:smallCaps/>
          <w:kern w:val="28"/>
        </w:rPr>
      </w:pPr>
    </w:p>
    <w:p w14:paraId="187A4F52" w14:textId="2C1CADE4" w:rsidR="00926CC1" w:rsidRDefault="00FD240E" w:rsidP="00730052">
      <w:pPr>
        <w:spacing w:after="200" w:line="360" w:lineRule="auto"/>
        <w:ind w:left="284" w:hanging="284"/>
        <w:jc w:val="center"/>
        <w:rPr>
          <w:rFonts w:ascii="Times New Roman" w:hAnsi="Times New Roman" w:cs="Times New Roman"/>
          <w:b/>
          <w:smallCaps/>
          <w:kern w:val="28"/>
        </w:rPr>
      </w:pPr>
      <w:r w:rsidRPr="00FD240E">
        <w:rPr>
          <w:rFonts w:ascii="Times New Roman" w:hAnsi="Times New Roman" w:cs="Times New Roman"/>
          <w:b/>
          <w:smallCaps/>
          <w:kern w:val="28"/>
        </w:rPr>
        <w:lastRenderedPageBreak/>
        <w:t>Statement of Jurisdiction</w:t>
      </w:r>
    </w:p>
    <w:p w14:paraId="1B654D6E" w14:textId="0447E01D" w:rsidR="00171EE1" w:rsidRDefault="00171EE1" w:rsidP="00171EE1">
      <w:pPr>
        <w:spacing w:after="20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w:t>
      </w:r>
      <w:r w:rsidR="00FF67B7">
        <w:rPr>
          <w:rFonts w:ascii="Times New Roman" w:eastAsia="Times New Roman" w:hAnsi="Times New Roman" w:cs="Times New Roman"/>
        </w:rPr>
        <w:t>Republic of Antrano</w:t>
      </w:r>
      <w:r>
        <w:rPr>
          <w:rFonts w:ascii="Times New Roman" w:eastAsia="Times New Roman" w:hAnsi="Times New Roman" w:cs="Times New Roman"/>
        </w:rPr>
        <w:t xml:space="preserve"> (“</w:t>
      </w:r>
      <w:r w:rsidR="00FF67B7">
        <w:rPr>
          <w:rFonts w:ascii="Times New Roman" w:eastAsia="Times New Roman" w:hAnsi="Times New Roman" w:cs="Times New Roman"/>
          <w:b/>
        </w:rPr>
        <w:t>Antrano</w:t>
      </w:r>
      <w:r>
        <w:rPr>
          <w:rFonts w:ascii="Times New Roman" w:eastAsia="Times New Roman" w:hAnsi="Times New Roman" w:cs="Times New Roman"/>
        </w:rPr>
        <w:t xml:space="preserve">”) and the </w:t>
      </w:r>
      <w:r w:rsidR="00FF67B7">
        <w:rPr>
          <w:rFonts w:ascii="Times New Roman" w:eastAsia="Times New Roman" w:hAnsi="Times New Roman" w:cs="Times New Roman"/>
        </w:rPr>
        <w:t>Kingdom of Remisia</w:t>
      </w:r>
      <w:r>
        <w:rPr>
          <w:rFonts w:ascii="Times New Roman" w:eastAsia="Times New Roman" w:hAnsi="Times New Roman" w:cs="Times New Roman"/>
        </w:rPr>
        <w:t xml:space="preserve"> (“</w:t>
      </w:r>
      <w:r w:rsidR="00FF67B7">
        <w:rPr>
          <w:rFonts w:ascii="Times New Roman" w:eastAsia="Times New Roman" w:hAnsi="Times New Roman" w:cs="Times New Roman"/>
          <w:b/>
        </w:rPr>
        <w:t>Remisia</w:t>
      </w:r>
      <w:r>
        <w:rPr>
          <w:rFonts w:ascii="Times New Roman" w:eastAsia="Times New Roman" w:hAnsi="Times New Roman" w:cs="Times New Roman"/>
        </w:rPr>
        <w:t xml:space="preserve">”) </w:t>
      </w:r>
      <w:r w:rsidR="00C270EE">
        <w:rPr>
          <w:rFonts w:ascii="Times New Roman" w:eastAsia="Times New Roman" w:hAnsi="Times New Roman" w:cs="Times New Roman"/>
        </w:rPr>
        <w:t xml:space="preserve">(collectively, </w:t>
      </w:r>
      <w:r w:rsidR="00C270EE" w:rsidRPr="00C270EE">
        <w:rPr>
          <w:rFonts w:ascii="Times New Roman" w:eastAsia="Times New Roman" w:hAnsi="Times New Roman" w:cs="Times New Roman"/>
          <w:b/>
          <w:bCs/>
        </w:rPr>
        <w:t>“t</w:t>
      </w:r>
      <w:r w:rsidR="00C270EE">
        <w:rPr>
          <w:rFonts w:ascii="Times New Roman" w:eastAsia="Times New Roman" w:hAnsi="Times New Roman" w:cs="Times New Roman"/>
          <w:b/>
          <w:bCs/>
        </w:rPr>
        <w:t>he Parties”</w:t>
      </w:r>
      <w:r w:rsidR="00C270EE">
        <w:rPr>
          <w:rFonts w:ascii="Times New Roman" w:eastAsia="Times New Roman" w:hAnsi="Times New Roman" w:cs="Times New Roman"/>
        </w:rPr>
        <w:t xml:space="preserve">) appear before the International Court of Justice in accordance with Article 40(1) of the </w:t>
      </w:r>
      <w:r w:rsidR="00C270EE" w:rsidRPr="00C270EE">
        <w:rPr>
          <w:rFonts w:ascii="Times New Roman" w:eastAsia="Times New Roman" w:hAnsi="Times New Roman" w:cs="Times New Roman"/>
          <w:i/>
          <w:iCs/>
        </w:rPr>
        <w:t>Statute of the International Court of Justice</w:t>
      </w:r>
      <w:r w:rsidR="00C270EE">
        <w:rPr>
          <w:rFonts w:ascii="Times New Roman" w:eastAsia="Times New Roman" w:hAnsi="Times New Roman" w:cs="Times New Roman"/>
          <w:i/>
          <w:iCs/>
        </w:rPr>
        <w:t xml:space="preserve"> </w:t>
      </w:r>
      <w:r w:rsidR="00C270EE">
        <w:rPr>
          <w:rFonts w:ascii="Times New Roman" w:eastAsia="Times New Roman" w:hAnsi="Times New Roman" w:cs="Times New Roman"/>
        </w:rPr>
        <w:t xml:space="preserve">through submission of a Special Agreement for the resolution of the differences between them concerning </w:t>
      </w:r>
      <w:r w:rsidR="00C270EE" w:rsidRPr="00C270EE">
        <w:rPr>
          <w:rFonts w:ascii="Times New Roman" w:eastAsia="Times New Roman" w:hAnsi="Times New Roman" w:cs="Times New Roman"/>
        </w:rPr>
        <w:t xml:space="preserve">the </w:t>
      </w:r>
      <w:r w:rsidR="00C270EE">
        <w:rPr>
          <w:rFonts w:ascii="Times New Roman" w:eastAsia="Times New Roman" w:hAnsi="Times New Roman" w:cs="Times New Roman"/>
        </w:rPr>
        <w:t>“</w:t>
      </w:r>
      <w:r w:rsidR="00C270EE" w:rsidRPr="00C270EE">
        <w:rPr>
          <w:rFonts w:ascii="Times New Roman" w:eastAsia="Times New Roman" w:hAnsi="Times New Roman" w:cs="Times New Roman"/>
        </w:rPr>
        <w:t>Sterren Forty</w:t>
      </w:r>
      <w:r w:rsidR="00C270EE">
        <w:rPr>
          <w:rFonts w:ascii="Times New Roman" w:eastAsia="Times New Roman" w:hAnsi="Times New Roman" w:cs="Times New Roman"/>
        </w:rPr>
        <w:t xml:space="preserve">” and other matters. The Parties have referred the dispute to the Court, granting it jurisdiction under Article 36(1) of the </w:t>
      </w:r>
      <w:r w:rsidR="00C270EE" w:rsidRPr="00C270EE">
        <w:rPr>
          <w:rFonts w:ascii="Times New Roman" w:eastAsia="Times New Roman" w:hAnsi="Times New Roman" w:cs="Times New Roman"/>
          <w:i/>
          <w:iCs/>
        </w:rPr>
        <w:t>Statute</w:t>
      </w:r>
      <w:r w:rsidR="00C270EE">
        <w:rPr>
          <w:rFonts w:ascii="Times New Roman" w:eastAsia="Times New Roman" w:hAnsi="Times New Roman" w:cs="Times New Roman"/>
        </w:rPr>
        <w:t>. The Parties concluded the Special Agreement in The Hague, the Netherlands, and jointly notified this Court of their Special Agreement on 14 September 2023.</w:t>
      </w:r>
    </w:p>
    <w:p w14:paraId="6EF7EDE9" w14:textId="77777777" w:rsidR="002C3F11" w:rsidRDefault="002C3F11" w:rsidP="00171EE1">
      <w:pPr>
        <w:spacing w:after="200" w:line="360" w:lineRule="auto"/>
        <w:ind w:firstLine="720"/>
        <w:jc w:val="both"/>
        <w:rPr>
          <w:rFonts w:ascii="Times New Roman" w:eastAsia="Times New Roman" w:hAnsi="Times New Roman" w:cs="Times New Roman"/>
        </w:rPr>
      </w:pPr>
    </w:p>
    <w:p w14:paraId="20866C40" w14:textId="77777777" w:rsidR="002C3F11" w:rsidRDefault="002C3F11" w:rsidP="00171EE1">
      <w:pPr>
        <w:spacing w:after="200" w:line="360" w:lineRule="auto"/>
        <w:ind w:firstLine="720"/>
        <w:jc w:val="both"/>
        <w:rPr>
          <w:rFonts w:ascii="Times New Roman" w:eastAsia="Times New Roman" w:hAnsi="Times New Roman" w:cs="Times New Roman"/>
        </w:rPr>
      </w:pPr>
    </w:p>
    <w:p w14:paraId="21866591" w14:textId="77777777" w:rsidR="002C3F11" w:rsidRDefault="002C3F11" w:rsidP="00171EE1">
      <w:pPr>
        <w:spacing w:after="200" w:line="360" w:lineRule="auto"/>
        <w:ind w:firstLine="720"/>
        <w:jc w:val="both"/>
        <w:rPr>
          <w:rFonts w:ascii="Times New Roman" w:eastAsia="Times New Roman" w:hAnsi="Times New Roman" w:cs="Times New Roman"/>
        </w:rPr>
      </w:pPr>
    </w:p>
    <w:p w14:paraId="01E26F0A" w14:textId="66CA770C" w:rsidR="00DA7129" w:rsidRPr="00171EE1" w:rsidRDefault="00DA7129" w:rsidP="009B121C">
      <w:pPr>
        <w:spacing w:after="200" w:line="360" w:lineRule="auto"/>
        <w:ind w:left="284" w:hanging="284"/>
        <w:jc w:val="both"/>
        <w:rPr>
          <w:rFonts w:ascii="Times New Roman" w:eastAsia="Times New Roman" w:hAnsi="Times New Roman" w:cs="Times New Roman"/>
        </w:rPr>
      </w:pPr>
    </w:p>
    <w:p w14:paraId="0045F980" w14:textId="17814140"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54B0EBFF" w14:textId="225A833D"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056992E8" w14:textId="3E35764B"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2407F4F0" w14:textId="604C5EEC"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6CE2655D" w14:textId="445794A0"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6EED9111" w14:textId="2AE33C4D"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6A8D2B04" w14:textId="44B81883"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65912E2F" w14:textId="0DA59DB0"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259F2FE6" w14:textId="66FD3E8E"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1C55A9AD" w14:textId="1D5B0E64" w:rsidR="00DA7129" w:rsidRDefault="00DA7129" w:rsidP="009B121C">
      <w:pPr>
        <w:spacing w:after="200" w:line="360" w:lineRule="auto"/>
        <w:ind w:left="284" w:hanging="284"/>
        <w:jc w:val="both"/>
        <w:rPr>
          <w:rFonts w:ascii="Times New Roman" w:eastAsia="Times New Roman" w:hAnsi="Times New Roman" w:cs="Times New Roman"/>
          <w:lang w:val="en-CA"/>
        </w:rPr>
      </w:pPr>
    </w:p>
    <w:p w14:paraId="4E2D4910" w14:textId="77777777" w:rsidR="00171EE1" w:rsidRDefault="00171EE1" w:rsidP="00171EE1">
      <w:pPr>
        <w:rPr>
          <w:rFonts w:ascii="Times New Roman" w:eastAsia="Times New Roman" w:hAnsi="Times New Roman" w:cs="Times New Roman"/>
          <w:b/>
          <w:smallCaps/>
          <w:kern w:val="28"/>
          <w:lang w:val="en-CA"/>
        </w:rPr>
      </w:pPr>
    </w:p>
    <w:p w14:paraId="513D5BB6" w14:textId="77777777" w:rsidR="00171EE1" w:rsidRDefault="00171EE1" w:rsidP="00DA7129">
      <w:pPr>
        <w:jc w:val="center"/>
        <w:rPr>
          <w:rFonts w:ascii="Times New Roman" w:eastAsia="Times New Roman" w:hAnsi="Times New Roman" w:cs="Times New Roman"/>
          <w:b/>
          <w:smallCaps/>
          <w:kern w:val="28"/>
          <w:lang w:val="en-CA"/>
        </w:rPr>
      </w:pPr>
    </w:p>
    <w:p w14:paraId="31927A44" w14:textId="55C3BD2D" w:rsidR="00DA7129" w:rsidRPr="00DA7129" w:rsidRDefault="00DA7129" w:rsidP="00DA7129">
      <w:pPr>
        <w:jc w:val="center"/>
        <w:rPr>
          <w:rFonts w:ascii="Times New Roman" w:eastAsia="Times New Roman" w:hAnsi="Times New Roman" w:cs="Times New Roman"/>
          <w:b/>
          <w:smallCaps/>
          <w:kern w:val="28"/>
          <w:lang w:val="en-CA"/>
        </w:rPr>
      </w:pPr>
      <w:r w:rsidRPr="00DA7129">
        <w:rPr>
          <w:rFonts w:ascii="Times New Roman" w:eastAsia="Times New Roman" w:hAnsi="Times New Roman" w:cs="Times New Roman"/>
          <w:b/>
          <w:smallCaps/>
          <w:kern w:val="28"/>
          <w:lang w:val="en-CA"/>
        </w:rPr>
        <w:lastRenderedPageBreak/>
        <w:t>Questions Presented</w:t>
      </w:r>
    </w:p>
    <w:p w14:paraId="175E16FF" w14:textId="468EE343" w:rsidR="00926CC1" w:rsidRDefault="00926CC1">
      <w:pPr>
        <w:rPr>
          <w:lang w:val="en-CA"/>
        </w:rPr>
      </w:pPr>
    </w:p>
    <w:p w14:paraId="72B16C56" w14:textId="77777777" w:rsidR="00171EE1" w:rsidRDefault="00171EE1">
      <w:pPr>
        <w:rPr>
          <w:lang w:val="en-CA"/>
        </w:rPr>
      </w:pPr>
    </w:p>
    <w:p w14:paraId="0D06728B" w14:textId="77777777" w:rsidR="00A50D75" w:rsidRPr="00A50D75" w:rsidRDefault="00A50D75" w:rsidP="00A50D75">
      <w:pPr>
        <w:spacing w:after="240" w:line="360" w:lineRule="auto"/>
        <w:jc w:val="center"/>
        <w:rPr>
          <w:rFonts w:ascii="Times New Roman" w:eastAsia="Times New Roman" w:hAnsi="Times New Roman" w:cs="Times New Roman"/>
          <w:b/>
          <w:lang w:val="en-CA"/>
        </w:rPr>
      </w:pPr>
      <w:r w:rsidRPr="00A50D75">
        <w:rPr>
          <w:rFonts w:ascii="Times New Roman" w:eastAsia="Times New Roman" w:hAnsi="Times New Roman" w:cs="Times New Roman"/>
          <w:b/>
          <w:lang w:val="en-CA"/>
        </w:rPr>
        <w:t>I</w:t>
      </w:r>
    </w:p>
    <w:p w14:paraId="4B64F318" w14:textId="67E948AD" w:rsidR="00A50D75" w:rsidRPr="00C270EE" w:rsidRDefault="004A1962" w:rsidP="00A50D75">
      <w:pPr>
        <w:spacing w:after="240" w:line="360" w:lineRule="auto"/>
        <w:jc w:val="center"/>
        <w:rPr>
          <w:rFonts w:ascii="Times New Roman" w:eastAsia="Times New Roman" w:hAnsi="Times New Roman" w:cs="Times New Roman"/>
          <w:bCs/>
          <w:lang w:val="en-CA"/>
        </w:rPr>
      </w:pPr>
      <w:r>
        <w:rPr>
          <w:rFonts w:ascii="Times New Roman" w:eastAsia="Times New Roman" w:hAnsi="Times New Roman" w:cs="Times New Roman"/>
          <w:bCs/>
          <w:lang w:val="en-CA"/>
        </w:rPr>
        <w:t xml:space="preserve">Does </w:t>
      </w:r>
      <w:r w:rsidR="00C270EE">
        <w:rPr>
          <w:rFonts w:ascii="Times New Roman" w:eastAsia="Times New Roman" w:hAnsi="Times New Roman" w:cs="Times New Roman"/>
          <w:bCs/>
          <w:lang w:val="en-CA"/>
        </w:rPr>
        <w:t>Antrano ha</w:t>
      </w:r>
      <w:r>
        <w:rPr>
          <w:rFonts w:ascii="Times New Roman" w:eastAsia="Times New Roman" w:hAnsi="Times New Roman" w:cs="Times New Roman"/>
          <w:bCs/>
          <w:lang w:val="en-CA"/>
        </w:rPr>
        <w:t>ve</w:t>
      </w:r>
      <w:r w:rsidR="00C270EE">
        <w:rPr>
          <w:rFonts w:ascii="Times New Roman" w:eastAsia="Times New Roman" w:hAnsi="Times New Roman" w:cs="Times New Roman"/>
          <w:bCs/>
          <w:lang w:val="en-CA"/>
        </w:rPr>
        <w:t xml:space="preserve"> standing to bring the dispute concerning Remisia’s </w:t>
      </w:r>
      <w:r>
        <w:rPr>
          <w:rFonts w:ascii="Times New Roman" w:eastAsia="Times New Roman" w:hAnsi="Times New Roman" w:cs="Times New Roman"/>
          <w:bCs/>
          <w:lang w:val="en-CA"/>
        </w:rPr>
        <w:t xml:space="preserve">deprivation of </w:t>
      </w:r>
      <w:r w:rsidR="00C270EE">
        <w:rPr>
          <w:rFonts w:ascii="Times New Roman" w:eastAsia="Times New Roman" w:hAnsi="Times New Roman" w:cs="Times New Roman"/>
          <w:bCs/>
          <w:lang w:val="en-CA"/>
        </w:rPr>
        <w:t>nationality of its citizens before the Court</w:t>
      </w:r>
      <w:r>
        <w:rPr>
          <w:rFonts w:ascii="Times New Roman" w:eastAsia="Times New Roman" w:hAnsi="Times New Roman" w:cs="Times New Roman"/>
          <w:bCs/>
          <w:lang w:val="en-CA"/>
        </w:rPr>
        <w:t>?</w:t>
      </w:r>
    </w:p>
    <w:p w14:paraId="7ACECD30" w14:textId="77777777" w:rsidR="00A50D75" w:rsidRPr="00A50D75" w:rsidRDefault="00A50D75" w:rsidP="00A50D75">
      <w:pPr>
        <w:spacing w:after="240" w:line="360" w:lineRule="auto"/>
        <w:jc w:val="center"/>
        <w:rPr>
          <w:rFonts w:ascii="Times New Roman" w:eastAsia="Times New Roman" w:hAnsi="Times New Roman" w:cs="Times New Roman"/>
          <w:b/>
          <w:lang w:val="en-CA"/>
        </w:rPr>
      </w:pPr>
      <w:r w:rsidRPr="00A50D75">
        <w:rPr>
          <w:rFonts w:ascii="Times New Roman" w:eastAsia="Times New Roman" w:hAnsi="Times New Roman" w:cs="Times New Roman"/>
          <w:b/>
          <w:lang w:val="en-CA"/>
        </w:rPr>
        <w:t>II</w:t>
      </w:r>
    </w:p>
    <w:p w14:paraId="6AA292BC" w14:textId="7B814ED8" w:rsidR="00A50D75" w:rsidRPr="00C270EE" w:rsidRDefault="004A1962" w:rsidP="00A50D75">
      <w:pPr>
        <w:spacing w:after="240" w:line="360" w:lineRule="auto"/>
        <w:jc w:val="center"/>
        <w:rPr>
          <w:rFonts w:ascii="Times New Roman" w:eastAsia="Times New Roman" w:hAnsi="Times New Roman" w:cs="Times New Roman"/>
          <w:bCs/>
          <w:lang w:val="en-CA"/>
        </w:rPr>
      </w:pPr>
      <w:r>
        <w:rPr>
          <w:rFonts w:ascii="Times New Roman" w:eastAsia="Times New Roman" w:hAnsi="Times New Roman" w:cs="Times New Roman"/>
          <w:bCs/>
          <w:lang w:val="en-CA"/>
        </w:rPr>
        <w:t>Did</w:t>
      </w:r>
      <w:r w:rsidR="00C270EE">
        <w:rPr>
          <w:rFonts w:ascii="Times New Roman" w:eastAsia="Times New Roman" w:hAnsi="Times New Roman" w:cs="Times New Roman"/>
          <w:bCs/>
          <w:i/>
          <w:iCs/>
          <w:lang w:val="en-CA"/>
        </w:rPr>
        <w:t xml:space="preserve"> </w:t>
      </w:r>
      <w:r w:rsidR="00C270EE">
        <w:rPr>
          <w:rFonts w:ascii="Times New Roman" w:eastAsia="Times New Roman" w:hAnsi="Times New Roman" w:cs="Times New Roman"/>
          <w:bCs/>
          <w:lang w:val="en-CA"/>
        </w:rPr>
        <w:t>Remisia</w:t>
      </w:r>
      <w:r>
        <w:rPr>
          <w:rFonts w:ascii="Times New Roman" w:eastAsia="Times New Roman" w:hAnsi="Times New Roman" w:cs="Times New Roman"/>
          <w:bCs/>
          <w:lang w:val="en-CA"/>
        </w:rPr>
        <w:t xml:space="preserve"> violate international law by depriving </w:t>
      </w:r>
      <w:r w:rsidR="002118CD">
        <w:rPr>
          <w:rFonts w:ascii="Times New Roman" w:eastAsia="Times New Roman" w:hAnsi="Times New Roman" w:cs="Times New Roman"/>
          <w:bCs/>
          <w:lang w:val="en-CA"/>
        </w:rPr>
        <w:t>its citizens</w:t>
      </w:r>
      <w:r>
        <w:rPr>
          <w:rFonts w:ascii="Times New Roman" w:eastAsia="Times New Roman" w:hAnsi="Times New Roman" w:cs="Times New Roman"/>
          <w:bCs/>
          <w:lang w:val="en-CA"/>
        </w:rPr>
        <w:t xml:space="preserve"> of their nationality and rendering them stateless?</w:t>
      </w:r>
    </w:p>
    <w:p w14:paraId="79E43080" w14:textId="77777777" w:rsidR="00A50D75" w:rsidRPr="00A50D75" w:rsidRDefault="00A50D75" w:rsidP="00A50D75">
      <w:pPr>
        <w:spacing w:after="240" w:line="360" w:lineRule="auto"/>
        <w:jc w:val="center"/>
        <w:rPr>
          <w:rFonts w:ascii="Times New Roman" w:eastAsia="Times New Roman" w:hAnsi="Times New Roman" w:cs="Times New Roman"/>
          <w:b/>
          <w:lang w:val="en-CA"/>
        </w:rPr>
      </w:pPr>
      <w:r w:rsidRPr="00A50D75">
        <w:rPr>
          <w:rFonts w:ascii="Times New Roman" w:eastAsia="Times New Roman" w:hAnsi="Times New Roman" w:cs="Times New Roman"/>
          <w:b/>
          <w:lang w:val="en-CA"/>
        </w:rPr>
        <w:t>III</w:t>
      </w:r>
    </w:p>
    <w:p w14:paraId="441342B6" w14:textId="3C3028B0" w:rsidR="002C3F11" w:rsidRPr="00C270EE" w:rsidRDefault="004A1962" w:rsidP="002C3F11">
      <w:pPr>
        <w:spacing w:after="240" w:line="360" w:lineRule="auto"/>
        <w:jc w:val="center"/>
        <w:rPr>
          <w:rFonts w:ascii="Times New Roman" w:eastAsia="Times New Roman" w:hAnsi="Times New Roman" w:cs="Times New Roman"/>
          <w:bCs/>
          <w:lang w:val="en-CA"/>
        </w:rPr>
      </w:pPr>
      <w:r>
        <w:rPr>
          <w:rFonts w:ascii="Times New Roman" w:eastAsia="Times New Roman" w:hAnsi="Times New Roman" w:cs="Times New Roman"/>
          <w:bCs/>
          <w:lang w:val="en-CA"/>
        </w:rPr>
        <w:t>Did</w:t>
      </w:r>
      <w:r w:rsidR="00C270EE">
        <w:rPr>
          <w:rFonts w:ascii="Times New Roman" w:eastAsia="Times New Roman" w:hAnsi="Times New Roman" w:cs="Times New Roman"/>
          <w:bCs/>
          <w:i/>
          <w:iCs/>
          <w:lang w:val="en-CA"/>
        </w:rPr>
        <w:t xml:space="preserve"> </w:t>
      </w:r>
      <w:r>
        <w:rPr>
          <w:rFonts w:ascii="Times New Roman" w:eastAsia="Times New Roman" w:hAnsi="Times New Roman" w:cs="Times New Roman"/>
          <w:bCs/>
          <w:lang w:val="en-CA"/>
        </w:rPr>
        <w:t>Antrano violate international law when it refused to provide Remisia consular access to Ms. Saki Shaw during her time in custody in Antrano?</w:t>
      </w:r>
    </w:p>
    <w:p w14:paraId="39BEC045" w14:textId="77777777" w:rsidR="00A50D75" w:rsidRPr="00A50D75" w:rsidRDefault="00A50D75" w:rsidP="00A50D75">
      <w:pPr>
        <w:spacing w:after="240" w:line="360" w:lineRule="auto"/>
        <w:jc w:val="center"/>
        <w:rPr>
          <w:rFonts w:ascii="Times New Roman" w:eastAsia="Times New Roman" w:hAnsi="Times New Roman" w:cs="Times New Roman"/>
          <w:b/>
          <w:lang w:val="en-CA"/>
        </w:rPr>
      </w:pPr>
      <w:r w:rsidRPr="00A50D75">
        <w:rPr>
          <w:rFonts w:ascii="Times New Roman" w:eastAsia="Times New Roman" w:hAnsi="Times New Roman" w:cs="Times New Roman"/>
          <w:b/>
          <w:lang w:val="en-CA"/>
        </w:rPr>
        <w:t>IV</w:t>
      </w:r>
    </w:p>
    <w:p w14:paraId="10C6F79C" w14:textId="1E95CBD2" w:rsidR="002C3F11" w:rsidRPr="004A1962" w:rsidRDefault="004A1962" w:rsidP="002C3F11">
      <w:pPr>
        <w:spacing w:after="240" w:line="360" w:lineRule="auto"/>
        <w:jc w:val="center"/>
        <w:rPr>
          <w:rFonts w:ascii="Times New Roman" w:eastAsia="Times New Roman" w:hAnsi="Times New Roman" w:cs="Times New Roman"/>
          <w:bCs/>
          <w:lang w:val="en-CA"/>
        </w:rPr>
      </w:pPr>
      <w:r>
        <w:rPr>
          <w:rFonts w:ascii="Times New Roman" w:eastAsia="Times New Roman" w:hAnsi="Times New Roman" w:cs="Times New Roman"/>
          <w:bCs/>
          <w:lang w:val="en-CA"/>
        </w:rPr>
        <w:t>Did</w:t>
      </w:r>
      <w:r>
        <w:rPr>
          <w:rFonts w:ascii="Times New Roman" w:eastAsia="Times New Roman" w:hAnsi="Times New Roman" w:cs="Times New Roman"/>
          <w:bCs/>
          <w:i/>
          <w:iCs/>
          <w:lang w:val="en-CA"/>
        </w:rPr>
        <w:t xml:space="preserve"> </w:t>
      </w:r>
      <w:r>
        <w:rPr>
          <w:rFonts w:ascii="Times New Roman" w:eastAsia="Times New Roman" w:hAnsi="Times New Roman" w:cs="Times New Roman"/>
          <w:bCs/>
          <w:lang w:val="en-CA"/>
        </w:rPr>
        <w:t>Remisia violate international law by denying Antranan national Dr. Tulous Malex entry to Remisia as required by Security Council Resolution 99997?</w:t>
      </w:r>
    </w:p>
    <w:p w14:paraId="43CB5952" w14:textId="6B2E74A8" w:rsidR="00926CC1" w:rsidRDefault="00926CC1">
      <w:pPr>
        <w:rPr>
          <w:lang w:val="en-CA"/>
        </w:rPr>
      </w:pPr>
    </w:p>
    <w:p w14:paraId="703E3103" w14:textId="1CEB3428" w:rsidR="00926CC1" w:rsidRDefault="00926CC1">
      <w:pPr>
        <w:rPr>
          <w:lang w:val="en-CA"/>
        </w:rPr>
      </w:pPr>
    </w:p>
    <w:p w14:paraId="063CA3F3" w14:textId="5F6A4458" w:rsidR="00926CC1" w:rsidRDefault="00926CC1">
      <w:pPr>
        <w:rPr>
          <w:lang w:val="en-CA"/>
        </w:rPr>
      </w:pPr>
    </w:p>
    <w:p w14:paraId="0ACCBE1C" w14:textId="6BA5FF5A" w:rsidR="00926CC1" w:rsidRDefault="00926CC1">
      <w:pPr>
        <w:rPr>
          <w:lang w:val="en-CA"/>
        </w:rPr>
      </w:pPr>
    </w:p>
    <w:p w14:paraId="5A420EF6" w14:textId="3344E988" w:rsidR="00926CC1" w:rsidRDefault="00926CC1">
      <w:pPr>
        <w:rPr>
          <w:lang w:val="en-CA"/>
        </w:rPr>
      </w:pPr>
    </w:p>
    <w:p w14:paraId="75BFCB0A" w14:textId="59DD2728" w:rsidR="00926CC1" w:rsidRDefault="00926CC1">
      <w:pPr>
        <w:rPr>
          <w:lang w:val="en-CA"/>
        </w:rPr>
      </w:pPr>
    </w:p>
    <w:p w14:paraId="1434125C" w14:textId="2CB10B52" w:rsidR="00926CC1" w:rsidRDefault="00926CC1">
      <w:pPr>
        <w:rPr>
          <w:lang w:val="en-CA"/>
        </w:rPr>
      </w:pPr>
    </w:p>
    <w:p w14:paraId="3FB4004F" w14:textId="77777777" w:rsidR="002C3F11" w:rsidRDefault="002C3F11">
      <w:pPr>
        <w:rPr>
          <w:lang w:val="en-CA"/>
        </w:rPr>
      </w:pPr>
    </w:p>
    <w:p w14:paraId="06C6C1B6" w14:textId="77777777" w:rsidR="002C3F11" w:rsidRDefault="002C3F11">
      <w:pPr>
        <w:rPr>
          <w:lang w:val="en-CA"/>
        </w:rPr>
      </w:pPr>
    </w:p>
    <w:p w14:paraId="76C78444" w14:textId="77777777" w:rsidR="002C3F11" w:rsidRDefault="002C3F11">
      <w:pPr>
        <w:rPr>
          <w:lang w:val="en-CA"/>
        </w:rPr>
      </w:pPr>
    </w:p>
    <w:p w14:paraId="6C1389D7" w14:textId="77777777" w:rsidR="002C3F11" w:rsidRDefault="002C3F11">
      <w:pPr>
        <w:rPr>
          <w:lang w:val="en-CA"/>
        </w:rPr>
      </w:pPr>
    </w:p>
    <w:p w14:paraId="2CFE8C25" w14:textId="77777777" w:rsidR="002C3F11" w:rsidRDefault="002C3F11">
      <w:pPr>
        <w:rPr>
          <w:lang w:val="en-CA"/>
        </w:rPr>
      </w:pPr>
    </w:p>
    <w:p w14:paraId="5C870C2B" w14:textId="77777777" w:rsidR="002C3F11" w:rsidRDefault="002C3F11">
      <w:pPr>
        <w:rPr>
          <w:lang w:val="en-CA"/>
        </w:rPr>
      </w:pPr>
    </w:p>
    <w:p w14:paraId="1FCD6183" w14:textId="77777777" w:rsidR="002C3F11" w:rsidRDefault="002C3F11">
      <w:pPr>
        <w:rPr>
          <w:lang w:val="en-CA"/>
        </w:rPr>
      </w:pPr>
    </w:p>
    <w:p w14:paraId="3ABA82CE" w14:textId="77777777" w:rsidR="002C3F11" w:rsidRDefault="002C3F11">
      <w:pPr>
        <w:rPr>
          <w:lang w:val="en-CA"/>
        </w:rPr>
      </w:pPr>
    </w:p>
    <w:p w14:paraId="429A95D7" w14:textId="77777777" w:rsidR="002C3F11" w:rsidRDefault="002C3F11">
      <w:pPr>
        <w:rPr>
          <w:lang w:val="en-CA"/>
        </w:rPr>
      </w:pPr>
    </w:p>
    <w:p w14:paraId="41C3DC18" w14:textId="77777777" w:rsidR="002C3F11" w:rsidRDefault="002C3F11">
      <w:pPr>
        <w:rPr>
          <w:lang w:val="en-CA"/>
        </w:rPr>
      </w:pPr>
    </w:p>
    <w:p w14:paraId="0EB16308" w14:textId="4630F489" w:rsidR="00926CC1" w:rsidRDefault="00926CC1">
      <w:pPr>
        <w:rPr>
          <w:lang w:val="en-CA"/>
        </w:rPr>
      </w:pPr>
    </w:p>
    <w:p w14:paraId="5F22024F" w14:textId="36BF8909" w:rsidR="00926CC1" w:rsidRDefault="00926CC1">
      <w:pPr>
        <w:rPr>
          <w:lang w:val="en-CA"/>
        </w:rPr>
      </w:pPr>
    </w:p>
    <w:p w14:paraId="13C8CD96" w14:textId="64277130" w:rsidR="00171EE1" w:rsidRDefault="00171EE1" w:rsidP="00171EE1">
      <w:pPr>
        <w:jc w:val="center"/>
        <w:rPr>
          <w:rFonts w:ascii="Times New Roman" w:eastAsia="Times New Roman" w:hAnsi="Times New Roman" w:cs="Times New Roman"/>
          <w:b/>
          <w:smallCaps/>
          <w:kern w:val="28"/>
          <w:lang w:val="en-CA"/>
        </w:rPr>
      </w:pPr>
      <w:r>
        <w:rPr>
          <w:rFonts w:ascii="Times New Roman" w:eastAsia="Times New Roman" w:hAnsi="Times New Roman" w:cs="Times New Roman"/>
          <w:b/>
          <w:smallCaps/>
          <w:kern w:val="28"/>
          <w:lang w:val="en-CA"/>
        </w:rPr>
        <w:t>Statement of Facts</w:t>
      </w:r>
    </w:p>
    <w:p w14:paraId="582E37AC" w14:textId="001A9748" w:rsidR="00171EE1" w:rsidRDefault="00171EE1" w:rsidP="00171EE1">
      <w:pPr>
        <w:jc w:val="center"/>
        <w:rPr>
          <w:rFonts w:ascii="Times New Roman" w:eastAsia="Times New Roman" w:hAnsi="Times New Roman" w:cs="Times New Roman"/>
          <w:b/>
          <w:smallCaps/>
          <w:kern w:val="28"/>
          <w:lang w:val="en-CA"/>
        </w:rPr>
      </w:pPr>
    </w:p>
    <w:p w14:paraId="49500CE0" w14:textId="2D8B5F4A" w:rsidR="00171EE1" w:rsidRDefault="00671A2A" w:rsidP="00171EE1">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Overview of the Parties</w:t>
      </w:r>
    </w:p>
    <w:p w14:paraId="09A75BFF" w14:textId="77777777"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Established in 1951, Antrano is a constitutional republic comprising several islands within the Mahali Archipelago. Since its inaugural President was elected, Antrano has been committed to promoting the rights of stateless individuals.</w:t>
      </w:r>
    </w:p>
    <w:p w14:paraId="74810D57" w14:textId="77777777"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Approximately 11,000 kilometres away from Antrano, Remisia is a constitutional monarchy on the Isidre Plateau. Under its Constitution of 1923, the monarch is entitled to reverence. Remisia’s reigning monarch, Queen Khasat, ascended to the throne in 2006.</w:t>
      </w:r>
    </w:p>
    <w:p w14:paraId="5EEB1DA1" w14:textId="6098585E" w:rsidR="00171EE1" w:rsidRDefault="00671A2A" w:rsidP="00171EE1">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Disrespect to the Crown Act (“DCA”)</w:t>
      </w:r>
    </w:p>
    <w:p w14:paraId="7CDC8C77" w14:textId="01833DE9" w:rsidR="00171EE1" w:rsidRDefault="00671A2A" w:rsidP="00171EE1">
      <w:pPr>
        <w:spacing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Remisia’s legislature enacted the DCA in 1955, making it an offence punishable by up to five years imprisonment to defame, insult or threaten the reigning monarch. The DCA authorizes the deprivation of Remisian citizenship if an individual is found guilty and a court determines their act or speech showed disloyalty to the Crown.</w:t>
      </w:r>
    </w:p>
    <w:p w14:paraId="25C5CC57" w14:textId="65DC2B45" w:rsidR="00671A2A" w:rsidRPr="00671A2A" w:rsidRDefault="00671A2A" w:rsidP="00671A2A">
      <w:pPr>
        <w:spacing w:after="240" w:line="360" w:lineRule="auto"/>
        <w:ind w:firstLine="720"/>
        <w:jc w:val="both"/>
        <w:rPr>
          <w:rFonts w:ascii="Times New Roman" w:eastAsia="Times New Roman" w:hAnsi="Times New Roman" w:cs="Times New Roman"/>
          <w:b/>
          <w:bCs/>
        </w:rPr>
      </w:pPr>
      <w:r>
        <w:rPr>
          <w:rFonts w:ascii="Times New Roman" w:eastAsia="Times New Roman" w:hAnsi="Times New Roman" w:cs="Times New Roman"/>
        </w:rPr>
        <w:t xml:space="preserve">Antrano and Remisia are both parties to the </w:t>
      </w:r>
      <w:r>
        <w:rPr>
          <w:rFonts w:ascii="Times New Roman" w:eastAsia="Times New Roman" w:hAnsi="Times New Roman" w:cs="Times New Roman"/>
          <w:i/>
          <w:iCs/>
        </w:rPr>
        <w:t xml:space="preserve">Convention on the Reduction of Statelessness </w:t>
      </w:r>
      <w:r>
        <w:rPr>
          <w:rFonts w:ascii="Times New Roman" w:eastAsia="Times New Roman" w:hAnsi="Times New Roman" w:cs="Times New Roman"/>
        </w:rPr>
        <w:t xml:space="preserve">(“CSR”). Antrano was an original party, </w:t>
      </w:r>
      <w:r w:rsidRPr="00671A2A">
        <w:rPr>
          <w:rFonts w:ascii="Times New Roman" w:eastAsia="Times New Roman" w:hAnsi="Times New Roman" w:cs="Times New Roman"/>
          <w:bCs/>
          <w:lang w:val="en-CA"/>
        </w:rPr>
        <w:t xml:space="preserve">while Remisia ratified the </w:t>
      </w:r>
      <w:r w:rsidRPr="00671A2A">
        <w:rPr>
          <w:rFonts w:ascii="Times New Roman" w:eastAsia="Times New Roman" w:hAnsi="Times New Roman" w:cs="Times New Roman"/>
          <w:bCs/>
          <w:i/>
          <w:iCs/>
          <w:lang w:val="en-CA"/>
        </w:rPr>
        <w:t xml:space="preserve">CRS </w:t>
      </w:r>
      <w:r w:rsidRPr="00671A2A">
        <w:rPr>
          <w:rFonts w:ascii="Times New Roman" w:eastAsia="Times New Roman" w:hAnsi="Times New Roman" w:cs="Times New Roman"/>
          <w:bCs/>
          <w:lang w:val="en-CA"/>
        </w:rPr>
        <w:t xml:space="preserve">in 1967 with a declaration under Article 8(3). Remisia’s declaration seeks to retain the authority to revoke an individual’s citizenship and render them stateless if convicted under the DCA. Antrano and three other States objected to Remisia’s declaration as being against the object and purpose of the </w:t>
      </w:r>
      <w:r w:rsidRPr="00671A2A">
        <w:rPr>
          <w:rFonts w:ascii="Times New Roman" w:eastAsia="Times New Roman" w:hAnsi="Times New Roman" w:cs="Times New Roman"/>
          <w:bCs/>
          <w:i/>
          <w:iCs/>
          <w:lang w:val="en-CA"/>
        </w:rPr>
        <w:t>CRS</w:t>
      </w:r>
      <w:r>
        <w:rPr>
          <w:rFonts w:ascii="Times New Roman" w:eastAsia="Times New Roman" w:hAnsi="Times New Roman" w:cs="Times New Roman"/>
          <w:bCs/>
          <w:lang w:val="en-CA"/>
        </w:rPr>
        <w:t>.</w:t>
      </w:r>
    </w:p>
    <w:p w14:paraId="4DAFA4FA" w14:textId="2232E4FD" w:rsidR="00171EE1" w:rsidRDefault="00967840" w:rsidP="00171EE1">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Citizenship for Sale</w:t>
      </w:r>
    </w:p>
    <w:p w14:paraId="745145FD" w14:textId="1DB8C6FA"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Following her coronation, Queen Khasat prioritized foreign investment. In 2008, Remisia enacted the Naturalization by Investment Act, authorizing the government to grant citizenship to applicants who invest €500,000 or more in Remisia. Remisia subsequently launched the Naturalization by Investment Program (“NIP”), a global marketing campaign encouraging high net worth individuals to apply for Remisian citizenship under the NIA, citing various benefits.</w:t>
      </w:r>
    </w:p>
    <w:p w14:paraId="038F02BA" w14:textId="77777777" w:rsidR="00671A2A" w:rsidRDefault="00671A2A" w:rsidP="00171EE1">
      <w:pPr>
        <w:spacing w:after="240" w:line="360" w:lineRule="auto"/>
        <w:jc w:val="both"/>
        <w:rPr>
          <w:rFonts w:ascii="Times New Roman" w:eastAsia="Times New Roman" w:hAnsi="Times New Roman" w:cs="Times New Roman"/>
          <w:b/>
        </w:rPr>
      </w:pPr>
    </w:p>
    <w:p w14:paraId="5A97AE4B" w14:textId="00DEC549" w:rsidR="00171EE1" w:rsidRDefault="00671A2A" w:rsidP="00171EE1">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Ms. Shaw </w:t>
      </w:r>
      <w:r w:rsidR="00B6383E">
        <w:rPr>
          <w:rFonts w:ascii="Times New Roman" w:eastAsia="Times New Roman" w:hAnsi="Times New Roman" w:cs="Times New Roman"/>
          <w:b/>
        </w:rPr>
        <w:t xml:space="preserve">Purchases </w:t>
      </w:r>
      <w:r>
        <w:rPr>
          <w:rFonts w:ascii="Times New Roman" w:eastAsia="Times New Roman" w:hAnsi="Times New Roman" w:cs="Times New Roman"/>
          <w:b/>
        </w:rPr>
        <w:t>Remisian Citizenship</w:t>
      </w:r>
    </w:p>
    <w:p w14:paraId="108671F3" w14:textId="4CE1CB6D"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Ms. Saki Shaw, a Molvanian national, shared a close friendship with Queen Khasat since 1988. Shaw was head of Lithos Limited, a wholly owned subsidiary of Shaw Corporation, a transnational mining conglomerate. Molvanian authorities launched a financial crimes investigation into ShawCorp in 2014 but were unable to subpoena Shaw, who, since purchasing a residence in Italy in 2012, had not revisited Molvania.</w:t>
      </w:r>
    </w:p>
    <w:p w14:paraId="10CE2E34" w14:textId="6E02515E"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In November 2014, Shaw contacted Queen Khasat and proposed a joint venture in cobalt mining between Lithos and the Remisian Ministry of Mines. This developed into the Lythos-Remisia Cooperative (“LRC”), approved in 2015, with ownership structured as 51% for Remisia and 49% for Lithos.</w:t>
      </w:r>
    </w:p>
    <w:p w14:paraId="50CF39D6" w14:textId="0189F1F6" w:rsidR="00671A2A" w:rsidRDefault="00671A2A" w:rsidP="00671A2A">
      <w:pPr>
        <w:spacing w:after="240" w:line="360" w:lineRule="auto"/>
        <w:jc w:val="both"/>
        <w:rPr>
          <w:rFonts w:ascii="Times New Roman" w:eastAsia="Times New Roman" w:hAnsi="Times New Roman" w:cs="Times New Roman"/>
          <w:bCs/>
        </w:rPr>
      </w:pPr>
      <w:r w:rsidRPr="00671A2A">
        <w:rPr>
          <w:rFonts w:ascii="Times New Roman" w:eastAsia="Times New Roman" w:hAnsi="Times New Roman" w:cs="Times New Roman"/>
          <w:bCs/>
          <w:lang w:val="en-CA"/>
        </w:rPr>
        <w:tab/>
        <w:t>Shaw personally contributed €500,000 to Remisia’s National Infrastructure Development Fund as part of the arrangement. Shaw, who had not visited Remisia since Queen Khasat’s coronation in 2006, successfully applied for Remisian citizenship under the NI</w:t>
      </w:r>
      <w:r w:rsidR="00B6383E">
        <w:rPr>
          <w:rFonts w:ascii="Times New Roman" w:eastAsia="Times New Roman" w:hAnsi="Times New Roman" w:cs="Times New Roman"/>
          <w:bCs/>
          <w:lang w:val="en-CA"/>
        </w:rPr>
        <w:t>P</w:t>
      </w:r>
      <w:r w:rsidRPr="00671A2A">
        <w:rPr>
          <w:rFonts w:ascii="Times New Roman" w:eastAsia="Times New Roman" w:hAnsi="Times New Roman" w:cs="Times New Roman"/>
          <w:bCs/>
          <w:lang w:val="en-CA"/>
        </w:rPr>
        <w:t xml:space="preserve"> and became </w:t>
      </w:r>
      <w:r w:rsidRPr="00671A2A">
        <w:rPr>
          <w:rFonts w:ascii="Times New Roman" w:eastAsia="Times New Roman" w:hAnsi="Times New Roman" w:cs="Times New Roman"/>
          <w:bCs/>
        </w:rPr>
        <w:t>a naturalized Remisian citizen in June 2016. Remisian law allows for dual citizenship.</w:t>
      </w:r>
    </w:p>
    <w:p w14:paraId="6FECED76" w14:textId="50A61EFB" w:rsidR="00967840" w:rsidRDefault="00B6383E" w:rsidP="00967840">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Non-Recognition of Purchased Citizenship</w:t>
      </w:r>
    </w:p>
    <w:p w14:paraId="723ED7E2" w14:textId="477536A9" w:rsidR="00967840" w:rsidRPr="00671A2A" w:rsidRDefault="00967840" w:rsidP="00967840">
      <w:pPr>
        <w:spacing w:after="240" w:line="360" w:lineRule="auto"/>
        <w:ind w:firstLine="720"/>
        <w:jc w:val="both"/>
        <w:rPr>
          <w:rFonts w:ascii="Times New Roman" w:eastAsia="Times New Roman" w:hAnsi="Times New Roman" w:cs="Times New Roman"/>
          <w:bCs/>
        </w:rPr>
      </w:pPr>
      <w:r w:rsidRPr="3930F507">
        <w:rPr>
          <w:rFonts w:ascii="Times New Roman" w:eastAsia="Times New Roman" w:hAnsi="Times New Roman" w:cs="Times New Roman"/>
        </w:rPr>
        <w:t xml:space="preserve">Antrano’s statutory non-recognition of purchased citizenship </w:t>
      </w:r>
      <w:r>
        <w:rPr>
          <w:rFonts w:ascii="Times New Roman" w:eastAsia="Times New Roman" w:hAnsi="Times New Roman" w:cs="Times New Roman"/>
        </w:rPr>
        <w:t xml:space="preserve">has been in effect since </w:t>
      </w:r>
      <w:r w:rsidRPr="3930F507">
        <w:rPr>
          <w:rFonts w:ascii="Times New Roman" w:eastAsia="Times New Roman" w:hAnsi="Times New Roman" w:cs="Times New Roman"/>
        </w:rPr>
        <w:t xml:space="preserve">2017. Passports issued under such arrangements are </w:t>
      </w:r>
      <w:r>
        <w:rPr>
          <w:rFonts w:ascii="Times New Roman" w:eastAsia="Times New Roman" w:hAnsi="Times New Roman" w:cs="Times New Roman"/>
        </w:rPr>
        <w:t>not valid</w:t>
      </w:r>
      <w:r w:rsidRPr="3930F507">
        <w:rPr>
          <w:rFonts w:ascii="Times New Roman" w:eastAsia="Times New Roman" w:hAnsi="Times New Roman" w:cs="Times New Roman"/>
        </w:rPr>
        <w:t xml:space="preserve"> in Antrano</w:t>
      </w:r>
      <w:r>
        <w:rPr>
          <w:rFonts w:ascii="Times New Roman" w:eastAsia="Times New Roman" w:hAnsi="Times New Roman" w:cs="Times New Roman"/>
        </w:rPr>
        <w:t>, with s</w:t>
      </w:r>
      <w:r w:rsidRPr="3930F507">
        <w:rPr>
          <w:rFonts w:ascii="Times New Roman" w:eastAsia="Times New Roman" w:hAnsi="Times New Roman" w:cs="Times New Roman"/>
        </w:rPr>
        <w:t xml:space="preserve">ignage at every port of entry </w:t>
      </w:r>
      <w:r w:rsidRPr="00B6383E">
        <w:rPr>
          <w:rFonts w:ascii="Times New Roman" w:eastAsia="Times New Roman" w:hAnsi="Times New Roman" w:cs="Times New Roman"/>
          <w:lang w:val="en-CA"/>
        </w:rPr>
        <w:t>informing travel</w:t>
      </w:r>
      <w:r w:rsidR="00B6383E" w:rsidRPr="00B6383E">
        <w:rPr>
          <w:rFonts w:ascii="Times New Roman" w:eastAsia="Times New Roman" w:hAnsi="Times New Roman" w:cs="Times New Roman"/>
          <w:lang w:val="en-CA"/>
        </w:rPr>
        <w:t>l</w:t>
      </w:r>
      <w:r w:rsidRPr="00B6383E">
        <w:rPr>
          <w:rFonts w:ascii="Times New Roman" w:eastAsia="Times New Roman" w:hAnsi="Times New Roman" w:cs="Times New Roman"/>
          <w:lang w:val="en-CA"/>
        </w:rPr>
        <w:t>ers of such.</w:t>
      </w:r>
    </w:p>
    <w:p w14:paraId="74049F75" w14:textId="1D8E29C5" w:rsidR="00171EE1" w:rsidRDefault="00671A2A" w:rsidP="00171EE1">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Protests </w:t>
      </w:r>
      <w:r w:rsidR="00B6383E">
        <w:rPr>
          <w:rFonts w:ascii="Times New Roman" w:eastAsia="Times New Roman" w:hAnsi="Times New Roman" w:cs="Times New Roman"/>
          <w:b/>
        </w:rPr>
        <w:t>against Cobalt Mining</w:t>
      </w:r>
    </w:p>
    <w:p w14:paraId="639ED7E7" w14:textId="77777777"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 xml:space="preserve">LRC applied for three mining licenses in July 2016, receiving approval from the Ministry in August 2017. Their cobalt mining operations caused environmental and health concerns because their facilities generated dust and emitted metallic minerals into nearby rivers. </w:t>
      </w:r>
    </w:p>
    <w:p w14:paraId="5FCDA57D" w14:textId="77777777"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In October 2019, LRC sought licenses for five new mines, denying any health risks. By December 2019, the Isidre League of Student Activists (“ISLA”) called for an end to cobalt mining because of environmental hazards.</w:t>
      </w:r>
    </w:p>
    <w:p w14:paraId="76FEBBD1" w14:textId="58652DF9" w:rsidR="00671A2A" w:rsidRPr="00967840" w:rsidRDefault="00671A2A" w:rsidP="00967840">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lastRenderedPageBreak/>
        <w:t>The Ministry approved four new licenses in January 2020. In response, ILSA organized a nationwide strike on 3 February with more than 30,000 students. More protests erupted that week, and police arrested seven students suspected of being coordinators. Protesters subsequently blocked access to LRC’s mines for three weeks. Thousands of protesters vocalized that Queen Khasat’s friendship with Shaw meant LRC’s operations were favoured at the risk of public health.</w:t>
      </w:r>
    </w:p>
    <w:p w14:paraId="45CAE4D6" w14:textId="63AB863C" w:rsidR="00671A2A" w:rsidRDefault="00671A2A" w:rsidP="00671A2A">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The Sterren Forty</w:t>
      </w:r>
    </w:p>
    <w:p w14:paraId="06D7C4CC" w14:textId="6336D433"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 xml:space="preserve">To end the demonstrations, the </w:t>
      </w:r>
      <w:r>
        <w:rPr>
          <w:rFonts w:ascii="Times New Roman" w:eastAsia="Times New Roman" w:hAnsi="Times New Roman" w:cs="Times New Roman"/>
          <w:bCs/>
          <w:lang w:val="en-CA"/>
        </w:rPr>
        <w:t xml:space="preserve">Remisian police </w:t>
      </w:r>
      <w:r w:rsidRPr="00671A2A">
        <w:rPr>
          <w:rFonts w:ascii="Times New Roman" w:eastAsia="Times New Roman" w:hAnsi="Times New Roman" w:cs="Times New Roman"/>
          <w:bCs/>
          <w:lang w:val="en-CA"/>
        </w:rPr>
        <w:t>detained over 1,000 protesters on 27 February 2020. At the Sterren Palace gates, forty protesters forming a human chain were arrested. They gained international media attention and were dubbed “the Sterren Forty.” Queen Khasat was not in residence at the time.</w:t>
      </w:r>
    </w:p>
    <w:p w14:paraId="5A861B7F" w14:textId="6A5EC91E" w:rsidR="00967840" w:rsidRDefault="00671A2A" w:rsidP="00967840">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 xml:space="preserve">The </w:t>
      </w:r>
      <w:r w:rsidR="00B6383E">
        <w:rPr>
          <w:rFonts w:ascii="Times New Roman" w:eastAsia="Times New Roman" w:hAnsi="Times New Roman" w:cs="Times New Roman"/>
          <w:bCs/>
          <w:lang w:val="en-CA"/>
        </w:rPr>
        <w:t xml:space="preserve">Remisian </w:t>
      </w:r>
      <w:r w:rsidRPr="00671A2A">
        <w:rPr>
          <w:rFonts w:ascii="Times New Roman" w:eastAsia="Times New Roman" w:hAnsi="Times New Roman" w:cs="Times New Roman"/>
          <w:bCs/>
          <w:lang w:val="en-CA"/>
        </w:rPr>
        <w:t xml:space="preserve">Attorney-General announced all protesters would be charged under the DCA unless they apologized to the Queen. ILSA clarified that they did not intend to challenge the Queen and expressed disappointment that free debate was not tolerated. Charges were ultimately filed against 230 students, including the Sterren Forty. </w:t>
      </w:r>
    </w:p>
    <w:p w14:paraId="0DB158E0" w14:textId="6D55A23F" w:rsidR="00671A2A" w:rsidRPr="00671A2A" w:rsidRDefault="00671A2A" w:rsidP="00967840">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Trials concluded by March 2021, all resulting in guilty verdicts. While most sentences ranged from one to three years, the Sterren Forty received five-year sentences with citizenship revocation. All 40 appealed to the Supreme Court of Remisia, arguing they were convicted of political offences and would be rendered stateless. Their appeals were rejected.</w:t>
      </w:r>
      <w:r w:rsidR="00967840">
        <w:rPr>
          <w:rFonts w:ascii="Times New Roman" w:eastAsia="Times New Roman" w:hAnsi="Times New Roman" w:cs="Times New Roman"/>
          <w:bCs/>
          <w:lang w:val="en-CA"/>
        </w:rPr>
        <w:t xml:space="preserve"> </w:t>
      </w:r>
      <w:r w:rsidRPr="00671A2A">
        <w:rPr>
          <w:rFonts w:ascii="Times New Roman" w:eastAsia="Times New Roman" w:hAnsi="Times New Roman" w:cs="Times New Roman"/>
          <w:bCs/>
          <w:lang w:val="en-CA"/>
        </w:rPr>
        <w:t>The Sterren Forty are now serving their sentences within Remisia as stateless individuals. This is the first time Remisia employed its citizenship-stripping powers under the DCA.</w:t>
      </w:r>
    </w:p>
    <w:p w14:paraId="59FFD164" w14:textId="6353E924" w:rsidR="00671A2A" w:rsidRDefault="00671A2A" w:rsidP="00671A2A">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Diplomatic Tensions</w:t>
      </w:r>
    </w:p>
    <w:p w14:paraId="4610D812" w14:textId="0078B92D"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 xml:space="preserve">In April 2021, Antrano’s President Iyali attempted to speak with Remisian authorities and resolve their differences regarding the application of the DCA. Remisia declined, citing internal affairs. In January 2022, Antrano notified the United Nations (“UN”) Security Council (“UNSC”) that Remisia’s actions created a dispute which could endanger the maintenance of international peace and security. Antrano sought Council action under Articles 34 and 36 of the </w:t>
      </w:r>
      <w:r w:rsidRPr="00671A2A">
        <w:rPr>
          <w:rFonts w:ascii="Times New Roman" w:eastAsia="Times New Roman" w:hAnsi="Times New Roman" w:cs="Times New Roman"/>
          <w:bCs/>
          <w:i/>
          <w:iCs/>
          <w:lang w:val="en-CA"/>
        </w:rPr>
        <w:t>Charter of the United Nations</w:t>
      </w:r>
      <w:r w:rsidRPr="00671A2A">
        <w:rPr>
          <w:rFonts w:ascii="Times New Roman" w:eastAsia="Times New Roman" w:hAnsi="Times New Roman" w:cs="Times New Roman"/>
          <w:bCs/>
          <w:lang w:val="en-CA"/>
        </w:rPr>
        <w:t xml:space="preserve">, affirming that Remisia rejected its attempts to amicably resolve the dispute as required by Article 33. Debate was scheduled for 28 March. </w:t>
      </w:r>
    </w:p>
    <w:p w14:paraId="0F3E1637" w14:textId="2E168402" w:rsidR="00671A2A" w:rsidRDefault="00671A2A" w:rsidP="00671A2A">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Extradition Request</w:t>
      </w:r>
    </w:p>
    <w:p w14:paraId="2D5B8CE4" w14:textId="77777777"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 xml:space="preserve">On 7 March 2022, Molvanian authorities replaced the 2014 subpoena for Shaw with an arrest warrant for financial crimes and obstruction of justice. Aware of Shaw’s impending trip to Antrano, Molvania requested her extradition from Antrano. </w:t>
      </w:r>
    </w:p>
    <w:p w14:paraId="210095C7" w14:textId="77777777" w:rsid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 xml:space="preserve">On 16 March, Shaw was detained by Antranan police based on the extradition request. Shaw told her arresting officers that she was a Remisian citizen and sought to speak to the Remisian consul. Antrano denied her request with a written notice because Antrano does not recognize purchased citizenship. Antrano arranged for Shaw to speak with the Molvanian consul instead, which she refused. Antrano also provided Remisia with a copy of Shaw’s notice and recommended they coordinate with the Molvanian Consulate. </w:t>
      </w:r>
    </w:p>
    <w:p w14:paraId="2C38D415" w14:textId="54782A6E"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Two weeks later, Shaw died of natural causes while in Antrano’s custody.</w:t>
      </w:r>
    </w:p>
    <w:p w14:paraId="45970C03" w14:textId="6363DD18" w:rsidR="00671A2A" w:rsidRDefault="00671A2A" w:rsidP="00671A2A">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UN Inspection Mission to Remisia (“UNIMR”)</w:t>
      </w:r>
    </w:p>
    <w:p w14:paraId="7A2864E5" w14:textId="77777777"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Following its scheduled meeting, the UNSC established the UNIMR by adopting Resolution 99997. Tasked with determining the circumstances underlying Remisia’s application of the DCA, Antranan national Dr. Tulous Malex was selected to lead the UNIMR. Remisia wrote to the UN Secretary-General twice, announcing that it would not permit Malex to enter Remisia without an entry visa, which they would not grant. The Secretary-General stated that denying Malex entry would violate Resolution 99997 and later condemned Remisia’s lack of cooperation.</w:t>
      </w:r>
    </w:p>
    <w:p w14:paraId="4EB4A9C1" w14:textId="0D42642E" w:rsidR="00671A2A" w:rsidRPr="00671A2A" w:rsidRDefault="00671A2A" w:rsidP="00671A2A">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 xml:space="preserve">On 9 August 2022, Malex was denied entry into Remisia despite his UN </w:t>
      </w:r>
      <w:r w:rsidR="00967840">
        <w:rPr>
          <w:rFonts w:ascii="Times New Roman" w:eastAsia="Times New Roman" w:hAnsi="Times New Roman" w:cs="Times New Roman"/>
          <w:bCs/>
          <w:lang w:val="en-CA"/>
        </w:rPr>
        <w:t xml:space="preserve">Certificate. </w:t>
      </w:r>
      <w:r w:rsidRPr="00671A2A">
        <w:rPr>
          <w:rFonts w:ascii="Times New Roman" w:eastAsia="Times New Roman" w:hAnsi="Times New Roman" w:cs="Times New Roman"/>
          <w:bCs/>
          <w:lang w:val="en-CA"/>
        </w:rPr>
        <w:t>The Secretary-General referred Remisia’s refusal to the UNSC, but a resolution calling for additional measures was vetoed by a permanent member.</w:t>
      </w:r>
    </w:p>
    <w:p w14:paraId="03E122B7" w14:textId="50CF5B97" w:rsidR="00671A2A" w:rsidRDefault="00671A2A" w:rsidP="00671A2A">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Diplomatic Negotiations</w:t>
      </w:r>
    </w:p>
    <w:p w14:paraId="07B43C2E" w14:textId="02F543E8" w:rsidR="00171EE1" w:rsidRPr="00967840" w:rsidRDefault="00671A2A" w:rsidP="00967840">
      <w:pPr>
        <w:spacing w:after="240" w:line="360" w:lineRule="auto"/>
        <w:ind w:firstLine="720"/>
        <w:jc w:val="both"/>
        <w:rPr>
          <w:rFonts w:ascii="Times New Roman" w:eastAsia="Times New Roman" w:hAnsi="Times New Roman" w:cs="Times New Roman"/>
          <w:bCs/>
          <w:lang w:val="en-CA"/>
        </w:rPr>
      </w:pPr>
      <w:r w:rsidRPr="00671A2A">
        <w:rPr>
          <w:rFonts w:ascii="Times New Roman" w:eastAsia="Times New Roman" w:hAnsi="Times New Roman" w:cs="Times New Roman"/>
          <w:bCs/>
          <w:lang w:val="en-CA"/>
        </w:rPr>
        <w:t xml:space="preserve">On 15 August 2022, Antrano and Remisia began discussions to submit </w:t>
      </w:r>
      <w:r w:rsidRPr="00671A2A">
        <w:rPr>
          <w:rFonts w:ascii="Times New Roman" w:eastAsia="Times New Roman" w:hAnsi="Times New Roman" w:cs="Times New Roman"/>
        </w:rPr>
        <w:t>a Special Agreement for the resolution of the differences between them concerning the Sterren Forty and other matters to the International Court of Justice. The Parties successfully negotiated and submitted the terms of the Special Agreement to the Registrar of the Court on 14 September 2023.</w:t>
      </w:r>
    </w:p>
    <w:p w14:paraId="6985ED79" w14:textId="7B156312" w:rsidR="004D0148" w:rsidRPr="00481959" w:rsidRDefault="004D0148" w:rsidP="004D0148">
      <w:pPr>
        <w:pStyle w:val="Title"/>
        <w:rPr>
          <w:caps w:val="0"/>
          <w:smallCaps/>
        </w:rPr>
      </w:pPr>
      <w:r>
        <w:rPr>
          <w:caps w:val="0"/>
          <w:smallCaps/>
        </w:rPr>
        <w:lastRenderedPageBreak/>
        <w:t>S</w:t>
      </w:r>
      <w:r w:rsidRPr="00481959">
        <w:rPr>
          <w:caps w:val="0"/>
          <w:smallCaps/>
        </w:rPr>
        <w:t xml:space="preserve">ummary of </w:t>
      </w:r>
      <w:r>
        <w:rPr>
          <w:caps w:val="0"/>
          <w:smallCaps/>
        </w:rPr>
        <w:t>P</w:t>
      </w:r>
      <w:r w:rsidRPr="00481959">
        <w:rPr>
          <w:caps w:val="0"/>
          <w:smallCaps/>
        </w:rPr>
        <w:t>leadings</w:t>
      </w:r>
    </w:p>
    <w:p w14:paraId="4FC8F056" w14:textId="77777777" w:rsidR="00171EE1" w:rsidRDefault="00171EE1" w:rsidP="00967840">
      <w:pPr>
        <w:pStyle w:val="Title"/>
        <w:jc w:val="left"/>
        <w:rPr>
          <w:b w:val="0"/>
          <w:smallCaps/>
        </w:rPr>
      </w:pPr>
    </w:p>
    <w:p w14:paraId="6AB8FFA9" w14:textId="77777777" w:rsidR="00171EE1" w:rsidRDefault="00171EE1" w:rsidP="00723106">
      <w:pPr>
        <w:pStyle w:val="Title"/>
        <w:rPr>
          <w:b w:val="0"/>
          <w:smallCaps/>
        </w:rPr>
      </w:pPr>
      <w:r>
        <w:rPr>
          <w:smallCaps/>
        </w:rPr>
        <w:t>Overview</w:t>
      </w:r>
    </w:p>
    <w:p w14:paraId="5634F03A" w14:textId="77777777" w:rsidR="00171EE1" w:rsidRDefault="00171EE1" w:rsidP="00723106">
      <w:pPr>
        <w:pStyle w:val="Title"/>
        <w:jc w:val="both"/>
        <w:rPr>
          <w:b w:val="0"/>
          <w:smallCaps/>
        </w:rPr>
      </w:pPr>
    </w:p>
    <w:p w14:paraId="7B3EF74B" w14:textId="0C174114" w:rsidR="00171EE1" w:rsidRDefault="00967840" w:rsidP="0096784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Antrano has standing to invoke the responsibility of Remisia with a view to ascertaining its failure to comply with its obligations </w:t>
      </w:r>
      <w:r>
        <w:rPr>
          <w:rFonts w:ascii="Times New Roman" w:eastAsia="Times New Roman" w:hAnsi="Times New Roman" w:cs="Times New Roman"/>
          <w:i/>
          <w:iCs/>
        </w:rPr>
        <w:t xml:space="preserve">erga omnes partes </w:t>
      </w:r>
      <w:r>
        <w:rPr>
          <w:rFonts w:ascii="Times New Roman" w:eastAsia="Times New Roman" w:hAnsi="Times New Roman" w:cs="Times New Roman"/>
        </w:rPr>
        <w:t xml:space="preserve">under the </w:t>
      </w:r>
      <w:r>
        <w:rPr>
          <w:rFonts w:ascii="Times New Roman" w:eastAsia="Times New Roman" w:hAnsi="Times New Roman" w:cs="Times New Roman"/>
          <w:i/>
          <w:iCs/>
        </w:rPr>
        <w:t xml:space="preserve">CRS </w:t>
      </w:r>
      <w:r>
        <w:rPr>
          <w:rFonts w:ascii="Times New Roman" w:eastAsia="Times New Roman" w:hAnsi="Times New Roman" w:cs="Times New Roman"/>
        </w:rPr>
        <w:t xml:space="preserve">and obligations </w:t>
      </w:r>
      <w:r>
        <w:rPr>
          <w:rFonts w:ascii="Times New Roman" w:eastAsia="Times New Roman" w:hAnsi="Times New Roman" w:cs="Times New Roman"/>
          <w:i/>
          <w:iCs/>
        </w:rPr>
        <w:t xml:space="preserve">erga </w:t>
      </w:r>
      <w:r w:rsidRPr="002C3382">
        <w:rPr>
          <w:rFonts w:ascii="Times New Roman" w:eastAsia="Times New Roman" w:hAnsi="Times New Roman" w:cs="Times New Roman"/>
          <w:i/>
          <w:iCs/>
        </w:rPr>
        <w:t>omnes</w:t>
      </w:r>
      <w:r>
        <w:rPr>
          <w:rFonts w:ascii="Times New Roman" w:eastAsia="Times New Roman" w:hAnsi="Times New Roman" w:cs="Times New Roman"/>
        </w:rPr>
        <w:t xml:space="preserve"> to respect the right to a nationality. In depriving the Sterren Forty of their nationality and rendering them stateless, Remisia violated its treaty obligations under the </w:t>
      </w:r>
      <w:r>
        <w:rPr>
          <w:rFonts w:ascii="Times New Roman" w:eastAsia="Times New Roman" w:hAnsi="Times New Roman" w:cs="Times New Roman"/>
          <w:i/>
          <w:iCs/>
        </w:rPr>
        <w:t>CRS</w:t>
      </w:r>
      <w:r>
        <w:rPr>
          <w:rFonts w:ascii="Times New Roman" w:eastAsia="Times New Roman" w:hAnsi="Times New Roman" w:cs="Times New Roman"/>
        </w:rPr>
        <w:t xml:space="preserve"> and the customary international prohibition of arbitrary deprivation of nationality.</w:t>
      </w:r>
    </w:p>
    <w:p w14:paraId="5CB9392D" w14:textId="7F144ACA" w:rsidR="00967840" w:rsidRDefault="00967840" w:rsidP="00967840">
      <w:pPr>
        <w:spacing w:line="360" w:lineRule="auto"/>
        <w:ind w:firstLine="720"/>
        <w:jc w:val="both"/>
        <w:rPr>
          <w:rFonts w:ascii="Times New Roman" w:eastAsia="Times New Roman" w:hAnsi="Times New Roman" w:cs="Times New Roman"/>
        </w:rPr>
      </w:pPr>
      <w:r w:rsidRPr="00967840">
        <w:rPr>
          <w:rFonts w:ascii="Times New Roman" w:eastAsia="Times New Roman" w:hAnsi="Times New Roman" w:cs="Times New Roman"/>
        </w:rPr>
        <w:t xml:space="preserve">Antrano satisfied its obligations to provide consular access to Remisian nationals under Article 36 of the </w:t>
      </w:r>
      <w:r>
        <w:rPr>
          <w:rFonts w:ascii="Times New Roman" w:eastAsia="Times New Roman" w:hAnsi="Times New Roman" w:cs="Times New Roman"/>
          <w:i/>
          <w:iCs/>
        </w:rPr>
        <w:t xml:space="preserve">Vienna Convention on Consular Relations </w:t>
      </w:r>
      <w:r>
        <w:rPr>
          <w:rFonts w:ascii="Times New Roman" w:eastAsia="Times New Roman" w:hAnsi="Times New Roman" w:cs="Times New Roman"/>
        </w:rPr>
        <w:t>(“</w:t>
      </w:r>
      <w:r w:rsidR="00303A4E">
        <w:rPr>
          <w:rFonts w:ascii="Times New Roman" w:eastAsia="Times New Roman" w:hAnsi="Times New Roman" w:cs="Times New Roman"/>
          <w:i/>
          <w:iCs/>
        </w:rPr>
        <w:t>VCCR</w:t>
      </w:r>
      <w:r>
        <w:rPr>
          <w:rFonts w:ascii="Times New Roman" w:eastAsia="Times New Roman" w:hAnsi="Times New Roman" w:cs="Times New Roman"/>
        </w:rPr>
        <w:t>”)</w:t>
      </w:r>
      <w:r w:rsidRPr="00967840">
        <w:rPr>
          <w:rFonts w:ascii="Times New Roman" w:eastAsia="Times New Roman" w:hAnsi="Times New Roman" w:cs="Times New Roman"/>
        </w:rPr>
        <w:t>. Remisia was not entitled to exercise consular protection over Shaw, who purchased Remisian citizenship and lacked an effective link to the State</w:t>
      </w:r>
      <w:r>
        <w:rPr>
          <w:rFonts w:ascii="Times New Roman" w:eastAsia="Times New Roman" w:hAnsi="Times New Roman" w:cs="Times New Roman"/>
        </w:rPr>
        <w:t>.</w:t>
      </w:r>
    </w:p>
    <w:p w14:paraId="05BE50E5" w14:textId="0042FED3" w:rsidR="00967840" w:rsidRDefault="00967840" w:rsidP="00967840">
      <w:pPr>
        <w:spacing w:line="360" w:lineRule="auto"/>
        <w:ind w:firstLine="720"/>
        <w:jc w:val="both"/>
        <w:rPr>
          <w:rFonts w:ascii="Times New Roman" w:eastAsia="Times New Roman" w:hAnsi="Times New Roman" w:cs="Times New Roman"/>
        </w:rPr>
      </w:pPr>
      <w:r w:rsidRPr="00967840">
        <w:rPr>
          <w:rFonts w:ascii="Times New Roman" w:eastAsia="Times New Roman" w:hAnsi="Times New Roman" w:cs="Times New Roman"/>
        </w:rPr>
        <w:t xml:space="preserve">Remisia violated its </w:t>
      </w:r>
      <w:r w:rsidR="00E43480">
        <w:rPr>
          <w:rFonts w:ascii="Times New Roman" w:eastAsia="Times New Roman" w:hAnsi="Times New Roman" w:cs="Times New Roman"/>
          <w:i/>
          <w:iCs/>
        </w:rPr>
        <w:t>Charter</w:t>
      </w:r>
      <w:r w:rsidRPr="00967840">
        <w:rPr>
          <w:rFonts w:ascii="Times New Roman" w:eastAsia="Times New Roman" w:hAnsi="Times New Roman" w:cs="Times New Roman"/>
        </w:rPr>
        <w:t xml:space="preserve"> and </w:t>
      </w:r>
      <w:r w:rsidR="00E43480">
        <w:rPr>
          <w:rFonts w:ascii="Times New Roman" w:eastAsia="Times New Roman" w:hAnsi="Times New Roman" w:cs="Times New Roman"/>
        </w:rPr>
        <w:t>t</w:t>
      </w:r>
      <w:r w:rsidRPr="00967840">
        <w:rPr>
          <w:rFonts w:ascii="Times New Roman" w:eastAsia="Times New Roman" w:hAnsi="Times New Roman" w:cs="Times New Roman"/>
        </w:rPr>
        <w:t xml:space="preserve">reaty obligations to facilitate Dr. Malex’s entry into the country. Security Council Resolution 99997 was a binding Security Council decision to establish a </w:t>
      </w:r>
      <w:r>
        <w:rPr>
          <w:rFonts w:ascii="Times New Roman" w:eastAsia="Times New Roman" w:hAnsi="Times New Roman" w:cs="Times New Roman"/>
        </w:rPr>
        <w:t>UNIMR</w:t>
      </w:r>
      <w:r w:rsidRPr="00967840">
        <w:rPr>
          <w:rFonts w:ascii="Times New Roman" w:eastAsia="Times New Roman" w:hAnsi="Times New Roman" w:cs="Times New Roman"/>
        </w:rPr>
        <w:t xml:space="preserve"> which would operate in Remisia</w:t>
      </w:r>
      <w:r>
        <w:rPr>
          <w:rFonts w:ascii="Times New Roman" w:eastAsia="Times New Roman" w:hAnsi="Times New Roman" w:cs="Times New Roman"/>
        </w:rPr>
        <w:t>.</w:t>
      </w:r>
    </w:p>
    <w:p w14:paraId="39A1F35B" w14:textId="77777777" w:rsidR="00171EE1" w:rsidRDefault="00171EE1" w:rsidP="00723106">
      <w:pPr>
        <w:jc w:val="both"/>
        <w:rPr>
          <w:rFonts w:ascii="Kings" w:eastAsia="Kings" w:hAnsi="Kings" w:cs="Kings"/>
        </w:rPr>
      </w:pPr>
    </w:p>
    <w:p w14:paraId="1501AE52" w14:textId="77777777" w:rsidR="00171EE1" w:rsidRDefault="00171EE1" w:rsidP="00723106">
      <w:pPr>
        <w:pStyle w:val="Title"/>
        <w:spacing w:after="240" w:line="360" w:lineRule="auto"/>
        <w:rPr>
          <w:b w:val="0"/>
          <w:smallCaps/>
        </w:rPr>
      </w:pPr>
      <w:r>
        <w:rPr>
          <w:smallCaps/>
        </w:rPr>
        <w:t>I</w:t>
      </w:r>
    </w:p>
    <w:p w14:paraId="692F93CC" w14:textId="5565E415" w:rsidR="002C3F11" w:rsidRDefault="004D07FC" w:rsidP="002C3F1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Antrano has standing to invoke the responsibility of Remisia with a view to ascertaining its failure to comply with its obligations </w:t>
      </w:r>
      <w:r>
        <w:rPr>
          <w:rFonts w:ascii="Times New Roman" w:eastAsia="Times New Roman" w:hAnsi="Times New Roman" w:cs="Times New Roman"/>
          <w:i/>
          <w:iCs/>
        </w:rPr>
        <w:t xml:space="preserve">erga omnes partes </w:t>
      </w:r>
      <w:r>
        <w:rPr>
          <w:rFonts w:ascii="Times New Roman" w:eastAsia="Times New Roman" w:hAnsi="Times New Roman" w:cs="Times New Roman"/>
        </w:rPr>
        <w:t xml:space="preserve">and </w:t>
      </w:r>
      <w:r>
        <w:rPr>
          <w:rFonts w:ascii="Times New Roman" w:eastAsia="Times New Roman" w:hAnsi="Times New Roman" w:cs="Times New Roman"/>
          <w:i/>
          <w:iCs/>
        </w:rPr>
        <w:t xml:space="preserve">erga </w:t>
      </w:r>
      <w:r w:rsidRPr="002C3382">
        <w:rPr>
          <w:rFonts w:ascii="Times New Roman" w:eastAsia="Times New Roman" w:hAnsi="Times New Roman" w:cs="Times New Roman"/>
          <w:i/>
          <w:iCs/>
        </w:rPr>
        <w:t>omnes</w:t>
      </w:r>
      <w:r>
        <w:rPr>
          <w:rFonts w:ascii="Times New Roman" w:eastAsia="Times New Roman" w:hAnsi="Times New Roman" w:cs="Times New Roman"/>
        </w:rPr>
        <w:t>. Antrano does not need to establish a special interest to launch this claim.</w:t>
      </w:r>
    </w:p>
    <w:p w14:paraId="340D6EB3" w14:textId="1FDBC19F" w:rsidR="004D07FC" w:rsidRPr="004D07FC" w:rsidRDefault="004D07FC" w:rsidP="002C3F11">
      <w:pPr>
        <w:spacing w:line="360" w:lineRule="auto"/>
        <w:ind w:firstLine="720"/>
        <w:jc w:val="both"/>
        <w:rPr>
          <w:rFonts w:ascii="Times New Roman" w:hAnsi="Times New Roman" w:cs="Times New Roman"/>
        </w:rPr>
      </w:pPr>
      <w:r>
        <w:rPr>
          <w:rFonts w:ascii="Times New Roman" w:hAnsi="Times New Roman" w:cs="Times New Roman"/>
        </w:rPr>
        <w:t xml:space="preserve">Antrano has standing because it invokes the responsibility of Remisia for violating its obligations </w:t>
      </w:r>
      <w:r>
        <w:rPr>
          <w:rFonts w:ascii="Times New Roman" w:hAnsi="Times New Roman" w:cs="Times New Roman"/>
          <w:i/>
          <w:iCs/>
        </w:rPr>
        <w:t xml:space="preserve">erga omnes partes </w:t>
      </w:r>
      <w:r>
        <w:rPr>
          <w:rFonts w:ascii="Times New Roman" w:hAnsi="Times New Roman" w:cs="Times New Roman"/>
        </w:rPr>
        <w:t xml:space="preserve">under Articles 8 and 9 of the </w:t>
      </w:r>
      <w:r w:rsidRPr="005A09FA">
        <w:rPr>
          <w:rFonts w:ascii="Times New Roman" w:hAnsi="Times New Roman" w:cs="Times New Roman"/>
          <w:i/>
          <w:iCs/>
        </w:rPr>
        <w:t>CRS</w:t>
      </w:r>
      <w:r>
        <w:rPr>
          <w:rFonts w:ascii="Times New Roman" w:hAnsi="Times New Roman" w:cs="Times New Roman"/>
        </w:rPr>
        <w:t xml:space="preserve">. States parties to the </w:t>
      </w:r>
      <w:r>
        <w:rPr>
          <w:rFonts w:ascii="Times New Roman" w:hAnsi="Times New Roman" w:cs="Times New Roman"/>
          <w:i/>
          <w:iCs/>
        </w:rPr>
        <w:t xml:space="preserve">CRS </w:t>
      </w:r>
      <w:r>
        <w:rPr>
          <w:rFonts w:ascii="Times New Roman" w:hAnsi="Times New Roman" w:cs="Times New Roman"/>
          <w:lang w:val="en-CA"/>
        </w:rPr>
        <w:t>have a common interest in preventing statelessness and cannot do so effectively without a common interest in compliance with the rules therein.</w:t>
      </w:r>
    </w:p>
    <w:p w14:paraId="271A8F3E" w14:textId="15D2C3B2" w:rsidR="004D07FC" w:rsidRPr="004D07FC" w:rsidRDefault="004D07FC" w:rsidP="002C3F11">
      <w:pPr>
        <w:spacing w:line="360" w:lineRule="auto"/>
        <w:ind w:firstLine="720"/>
        <w:jc w:val="both"/>
        <w:rPr>
          <w:rFonts w:ascii="Times New Roman" w:eastAsia="Times New Roman" w:hAnsi="Times New Roman" w:cs="Times New Roman"/>
          <w:lang w:val="en"/>
        </w:rPr>
      </w:pPr>
      <w:r>
        <w:rPr>
          <w:rFonts w:ascii="Times New Roman" w:hAnsi="Times New Roman" w:cs="Times New Roman"/>
        </w:rPr>
        <w:t xml:space="preserve">Further, Antrano has standing to invoke the responsibility of Remisia for violating its obligations </w:t>
      </w:r>
      <w:r>
        <w:rPr>
          <w:rFonts w:ascii="Times New Roman" w:hAnsi="Times New Roman" w:cs="Times New Roman"/>
          <w:i/>
          <w:iCs/>
        </w:rPr>
        <w:t xml:space="preserve">erga omnes </w:t>
      </w:r>
      <w:r>
        <w:rPr>
          <w:rFonts w:ascii="Times New Roman" w:hAnsi="Times New Roman" w:cs="Times New Roman"/>
        </w:rPr>
        <w:t xml:space="preserve">to respect the right to a nationality and prevent the arbitrary deprivation of nationality. These are customary international law norms </w:t>
      </w:r>
      <w:r w:rsidRPr="00D00AAD">
        <w:rPr>
          <w:rFonts w:ascii="Times New Roman" w:hAnsi="Times New Roman" w:cs="Times New Roman"/>
        </w:rPr>
        <w:t>concerning the basic rights of the human person</w:t>
      </w:r>
      <w:r>
        <w:rPr>
          <w:rFonts w:ascii="Times New Roman" w:hAnsi="Times New Roman" w:cs="Times New Roman"/>
        </w:rPr>
        <w:t xml:space="preserve"> and are thus obligations </w:t>
      </w:r>
      <w:r>
        <w:rPr>
          <w:rFonts w:ascii="Times New Roman" w:hAnsi="Times New Roman" w:cs="Times New Roman"/>
          <w:i/>
          <w:iCs/>
        </w:rPr>
        <w:t>erga omnes</w:t>
      </w:r>
      <w:r>
        <w:rPr>
          <w:rFonts w:ascii="Times New Roman" w:hAnsi="Times New Roman" w:cs="Times New Roman"/>
        </w:rPr>
        <w:t>.</w:t>
      </w:r>
    </w:p>
    <w:p w14:paraId="658EC00A" w14:textId="77777777" w:rsidR="00171EE1" w:rsidRDefault="00171EE1" w:rsidP="00723106">
      <w:pPr>
        <w:jc w:val="both"/>
      </w:pPr>
    </w:p>
    <w:p w14:paraId="2C8E635F" w14:textId="77777777" w:rsidR="00967840" w:rsidRDefault="00967840" w:rsidP="00723106">
      <w:pPr>
        <w:jc w:val="both"/>
      </w:pPr>
    </w:p>
    <w:p w14:paraId="6E5D86CA" w14:textId="77777777" w:rsidR="00967840" w:rsidRDefault="00967840" w:rsidP="00723106">
      <w:pPr>
        <w:jc w:val="both"/>
      </w:pPr>
    </w:p>
    <w:p w14:paraId="13FF8D09" w14:textId="77777777" w:rsidR="00967840" w:rsidRDefault="00967840" w:rsidP="00723106">
      <w:pPr>
        <w:jc w:val="both"/>
      </w:pPr>
    </w:p>
    <w:p w14:paraId="28F984C6" w14:textId="77777777" w:rsidR="00171EE1" w:rsidRDefault="00171EE1" w:rsidP="00723106">
      <w:pPr>
        <w:pStyle w:val="Title"/>
        <w:spacing w:after="240" w:line="360" w:lineRule="auto"/>
      </w:pPr>
      <w:bookmarkStart w:id="0" w:name="_yabt8ms3kvpt" w:colFirst="0" w:colLast="0"/>
      <w:bookmarkEnd w:id="0"/>
      <w:r>
        <w:rPr>
          <w:smallCaps/>
        </w:rPr>
        <w:lastRenderedPageBreak/>
        <w:t>II</w:t>
      </w:r>
    </w:p>
    <w:p w14:paraId="374FD29C" w14:textId="085EEAB0" w:rsidR="004D07FC" w:rsidRDefault="004D07FC" w:rsidP="004D07F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depriving the Sterren Forty of their nationality and rendering them stateless, Remisia violated its treaty obligations under Articles 8 and 9 of the </w:t>
      </w:r>
      <w:r>
        <w:rPr>
          <w:rFonts w:ascii="Times New Roman" w:eastAsia="Times New Roman" w:hAnsi="Times New Roman" w:cs="Times New Roman"/>
          <w:i/>
          <w:iCs/>
        </w:rPr>
        <w:t>CRS</w:t>
      </w:r>
      <w:r>
        <w:rPr>
          <w:rFonts w:ascii="Times New Roman" w:eastAsia="Times New Roman" w:hAnsi="Times New Roman" w:cs="Times New Roman"/>
        </w:rPr>
        <w:t>. Remisia’s declaration under Article 8(3) does not excuse its violation of Article 8(1) or impact its violation of Article 9.</w:t>
      </w:r>
    </w:p>
    <w:p w14:paraId="023A003C" w14:textId="5D4E67C4" w:rsidR="004D07FC" w:rsidRDefault="004D07FC" w:rsidP="004D07F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Further, Remisia violated the customary international prohibition of arbitrary deprivation of nationality</w:t>
      </w:r>
      <w:r w:rsidRPr="004D07FC">
        <w:rPr>
          <w:rFonts w:ascii="Times New Roman" w:eastAsia="Times New Roman" w:hAnsi="Times New Roman" w:cs="Times New Roman"/>
        </w:rPr>
        <w:t xml:space="preserve"> because its actions against the Sterren Forty did not have a clear basis in law, did not serve a legitimate purpose</w:t>
      </w:r>
      <w:r>
        <w:rPr>
          <w:rFonts w:ascii="Times New Roman" w:eastAsia="Times New Roman" w:hAnsi="Times New Roman" w:cs="Times New Roman"/>
        </w:rPr>
        <w:t>,</w:t>
      </w:r>
      <w:r w:rsidRPr="004D07FC">
        <w:rPr>
          <w:rFonts w:ascii="Times New Roman" w:eastAsia="Times New Roman" w:hAnsi="Times New Roman" w:cs="Times New Roman"/>
        </w:rPr>
        <w:t xml:space="preserve"> and were not proportionate</w:t>
      </w:r>
      <w:r>
        <w:rPr>
          <w:rFonts w:ascii="Times New Roman" w:eastAsia="Times New Roman" w:hAnsi="Times New Roman" w:cs="Times New Roman"/>
        </w:rPr>
        <w:t>.</w:t>
      </w:r>
    </w:p>
    <w:p w14:paraId="236A5DC6" w14:textId="77777777" w:rsidR="00171EE1" w:rsidRDefault="00171EE1" w:rsidP="00723106">
      <w:pPr>
        <w:spacing w:line="360" w:lineRule="auto"/>
        <w:jc w:val="both"/>
        <w:rPr>
          <w:rFonts w:ascii="Times New Roman" w:eastAsia="Times New Roman" w:hAnsi="Times New Roman" w:cs="Times New Roman"/>
        </w:rPr>
      </w:pPr>
    </w:p>
    <w:p w14:paraId="695AA5C0" w14:textId="5595A8DD" w:rsidR="00723106" w:rsidRDefault="00171EE1" w:rsidP="00723106">
      <w:pPr>
        <w:spacing w:after="240" w:line="360" w:lineRule="auto"/>
        <w:jc w:val="center"/>
        <w:rPr>
          <w:rFonts w:ascii="Times New Roman" w:eastAsia="Times New Roman" w:hAnsi="Times New Roman" w:cs="Times New Roman"/>
          <w:b/>
        </w:rPr>
      </w:pPr>
      <w:r>
        <w:rPr>
          <w:rFonts w:ascii="Times New Roman" w:eastAsia="Times New Roman" w:hAnsi="Times New Roman" w:cs="Times New Roman"/>
          <w:b/>
        </w:rPr>
        <w:t>III</w:t>
      </w:r>
    </w:p>
    <w:p w14:paraId="17511E22" w14:textId="5EF9E267" w:rsidR="002C3F11" w:rsidRDefault="00967840" w:rsidP="00967840">
      <w:pPr>
        <w:spacing w:after="240" w:line="360" w:lineRule="auto"/>
        <w:ind w:firstLine="720"/>
        <w:jc w:val="both"/>
        <w:rPr>
          <w:rFonts w:ascii="Times New Roman" w:eastAsia="Times New Roman" w:hAnsi="Times New Roman" w:cs="Times New Roman"/>
        </w:rPr>
      </w:pPr>
      <w:r w:rsidRPr="00967840">
        <w:rPr>
          <w:rFonts w:ascii="Times New Roman" w:eastAsia="Times New Roman" w:hAnsi="Times New Roman" w:cs="Times New Roman"/>
        </w:rPr>
        <w:t xml:space="preserve">Antrano satisfied its obligations to provide consular access to Remisian nationals under Article 36 of the </w:t>
      </w:r>
      <w:r w:rsidR="00303A4E">
        <w:rPr>
          <w:rFonts w:ascii="Times New Roman" w:eastAsia="Times New Roman" w:hAnsi="Times New Roman" w:cs="Times New Roman"/>
          <w:i/>
          <w:iCs/>
        </w:rPr>
        <w:t>VCCR</w:t>
      </w:r>
      <w:r w:rsidRPr="00967840">
        <w:rPr>
          <w:rFonts w:ascii="Times New Roman" w:eastAsia="Times New Roman" w:hAnsi="Times New Roman" w:cs="Times New Roman"/>
        </w:rPr>
        <w:t xml:space="preserve">. Remisia was not entitled to exercise consular protection over Shaw, who purchased Remisian citizenship and lacked an effective link to the State. Further, Remisia cannot bring this claim because Shaw did not exhaust local remedies in Antrano, and the direct injury alleged by Remisia follows from non-recognition of Shaw’s citizenship. In any event, Antrano complied with the Convention by providing consular notice to Remisia without delay and exercising its obligation to provide consular access to Remisian nationals in good faith, in accordance with Antranan law. </w:t>
      </w:r>
    </w:p>
    <w:p w14:paraId="764AC534" w14:textId="77777777" w:rsidR="00171EE1" w:rsidRDefault="00171EE1" w:rsidP="00723106">
      <w:pPr>
        <w:spacing w:after="240" w:line="360" w:lineRule="auto"/>
        <w:jc w:val="center"/>
        <w:rPr>
          <w:rFonts w:ascii="Times New Roman" w:eastAsia="Times New Roman" w:hAnsi="Times New Roman" w:cs="Times New Roman"/>
        </w:rPr>
      </w:pPr>
      <w:r>
        <w:rPr>
          <w:rFonts w:ascii="Times New Roman" w:eastAsia="Times New Roman" w:hAnsi="Times New Roman" w:cs="Times New Roman"/>
          <w:b/>
        </w:rPr>
        <w:t>IV</w:t>
      </w:r>
    </w:p>
    <w:p w14:paraId="741BAAAD" w14:textId="1803198F" w:rsidR="00D50212" w:rsidRPr="00967840" w:rsidRDefault="00967840" w:rsidP="00D50212">
      <w:pPr>
        <w:spacing w:after="240" w:line="360" w:lineRule="auto"/>
        <w:ind w:firstLine="720"/>
        <w:jc w:val="both"/>
        <w:rPr>
          <w:rFonts w:ascii="Times New Roman" w:eastAsia="Times New Roman" w:hAnsi="Times New Roman" w:cs="Times New Roman"/>
        </w:rPr>
        <w:sectPr w:rsidR="00D50212" w:rsidRPr="00967840" w:rsidSect="00756C22">
          <w:headerReference w:type="even" r:id="rId9"/>
          <w:headerReference w:type="default" r:id="rId10"/>
          <w:footerReference w:type="default" r:id="rId11"/>
          <w:headerReference w:type="first" r:id="rId12"/>
          <w:pgSz w:w="12240" w:h="15840"/>
          <w:pgMar w:top="1440" w:right="1440" w:bottom="1440" w:left="1440" w:header="708" w:footer="708" w:gutter="0"/>
          <w:pgNumType w:fmt="lowerRoman" w:start="1"/>
          <w:cols w:space="708"/>
          <w:titlePg/>
          <w:docGrid w:linePitch="360"/>
        </w:sectPr>
      </w:pPr>
      <w:r w:rsidRPr="00967840">
        <w:rPr>
          <w:rFonts w:ascii="Times New Roman" w:eastAsia="Times New Roman" w:hAnsi="Times New Roman" w:cs="Times New Roman"/>
        </w:rPr>
        <w:t xml:space="preserve">Remisia violated its </w:t>
      </w:r>
      <w:r w:rsidR="00E43480">
        <w:rPr>
          <w:rFonts w:ascii="Times New Roman" w:eastAsia="Times New Roman" w:hAnsi="Times New Roman" w:cs="Times New Roman"/>
          <w:i/>
          <w:iCs/>
        </w:rPr>
        <w:t xml:space="preserve">Charter </w:t>
      </w:r>
      <w:r w:rsidRPr="00967840">
        <w:rPr>
          <w:rFonts w:ascii="Times New Roman" w:eastAsia="Times New Roman" w:hAnsi="Times New Roman" w:cs="Times New Roman"/>
        </w:rPr>
        <w:t xml:space="preserve">and </w:t>
      </w:r>
      <w:r w:rsidR="00E43480">
        <w:rPr>
          <w:rFonts w:ascii="Times New Roman" w:eastAsia="Times New Roman" w:hAnsi="Times New Roman" w:cs="Times New Roman"/>
        </w:rPr>
        <w:t>t</w:t>
      </w:r>
      <w:r w:rsidRPr="00967840">
        <w:rPr>
          <w:rFonts w:ascii="Times New Roman" w:eastAsia="Times New Roman" w:hAnsi="Times New Roman" w:cs="Times New Roman"/>
        </w:rPr>
        <w:t xml:space="preserve">reaty obligations to facilitate Dr. Toulous Malex’s entry into the country. Security Council Resolution 99997 was a binding Security Council decision to establish a UN Inspection Mission which would operate in Remisia. The Resolution must be presumed to be a valid exercise of the Council’s Article 34 powers of investigation under the </w:t>
      </w:r>
      <w:r w:rsidR="00E43480">
        <w:rPr>
          <w:rFonts w:ascii="Times New Roman" w:eastAsia="Times New Roman" w:hAnsi="Times New Roman" w:cs="Times New Roman"/>
          <w:i/>
          <w:iCs/>
        </w:rPr>
        <w:t>Charter</w:t>
      </w:r>
      <w:r w:rsidRPr="00967840">
        <w:rPr>
          <w:rFonts w:ascii="Times New Roman" w:eastAsia="Times New Roman" w:hAnsi="Times New Roman" w:cs="Times New Roman"/>
        </w:rPr>
        <w:t>, and obliged Remisia to grant entry to investigators. Remisia violated its obligations under Article 25 to accept and carry out the decisions of the Security Council by refusing to grant entry to the UNIMR lead, D</w:t>
      </w:r>
      <w:r>
        <w:rPr>
          <w:rFonts w:ascii="Times New Roman" w:eastAsia="Times New Roman" w:hAnsi="Times New Roman" w:cs="Times New Roman"/>
        </w:rPr>
        <w:t xml:space="preserve">r. </w:t>
      </w:r>
      <w:r w:rsidRPr="00967840">
        <w:rPr>
          <w:rFonts w:ascii="Times New Roman" w:eastAsia="Times New Roman" w:hAnsi="Times New Roman" w:cs="Times New Roman"/>
        </w:rPr>
        <w:t>Malex. Further, Remisia violated its obligation under Section 26 of the CPI by failing to facilitate a speedy issuance of an entry visa for a UN Expert. Remisia cannot defend its violations as legal countermeasures against the Security Council, or Antrano</w:t>
      </w:r>
      <w:r w:rsidR="00D50212">
        <w:rPr>
          <w:rFonts w:ascii="Times New Roman" w:eastAsia="Times New Roman" w:hAnsi="Times New Roman" w:cs="Times New Roman"/>
        </w:rPr>
        <w:t>.</w:t>
      </w:r>
    </w:p>
    <w:p w14:paraId="73D3BCA9" w14:textId="021F3161" w:rsidR="00E95293" w:rsidRDefault="0020093C" w:rsidP="00967840">
      <w:pPr>
        <w:pStyle w:val="Title"/>
        <w:rPr>
          <w:caps w:val="0"/>
          <w:smallCaps/>
        </w:rPr>
      </w:pPr>
      <w:r>
        <w:rPr>
          <w:caps w:val="0"/>
          <w:smallCaps/>
        </w:rPr>
        <w:lastRenderedPageBreak/>
        <w:t>Pleadings</w:t>
      </w:r>
    </w:p>
    <w:p w14:paraId="39055B1E" w14:textId="77777777" w:rsidR="00E95293" w:rsidRPr="00E95293" w:rsidRDefault="00E95293" w:rsidP="00E95293">
      <w:pPr>
        <w:pStyle w:val="Title"/>
        <w:jc w:val="left"/>
        <w:rPr>
          <w:caps w:val="0"/>
          <w:smallCaps/>
        </w:rPr>
      </w:pPr>
    </w:p>
    <w:p w14:paraId="735EDAC7" w14:textId="77777777" w:rsidR="00D50212" w:rsidRPr="009902C2" w:rsidRDefault="00D50212" w:rsidP="00D50212">
      <w:pPr>
        <w:pStyle w:val="Heading1"/>
      </w:pPr>
      <w:bookmarkStart w:id="1" w:name="_Toc117865015"/>
      <w:bookmarkStart w:id="2" w:name="_Toc155047644"/>
      <w:bookmarkStart w:id="3" w:name="_Toc155965809"/>
      <w:r w:rsidRPr="00236E6F">
        <w:t xml:space="preserve">Antrano has </w:t>
      </w:r>
      <w:bookmarkEnd w:id="1"/>
      <w:r>
        <w:rPr>
          <w:i/>
          <w:iCs/>
        </w:rPr>
        <w:t xml:space="preserve">erga omnes partes </w:t>
      </w:r>
      <w:r>
        <w:t xml:space="preserve">and </w:t>
      </w:r>
      <w:r>
        <w:rPr>
          <w:i/>
          <w:iCs/>
        </w:rPr>
        <w:t xml:space="preserve">erga omnes </w:t>
      </w:r>
      <w:r>
        <w:t xml:space="preserve">standing </w:t>
      </w:r>
      <w:r w:rsidRPr="00236E6F">
        <w:t xml:space="preserve">to </w:t>
      </w:r>
      <w:r>
        <w:t>bring the dispute concerning Remisia’s deprivation of nationality of the Sterren Forty before the Court.</w:t>
      </w:r>
      <w:bookmarkEnd w:id="2"/>
      <w:bookmarkEnd w:id="3"/>
    </w:p>
    <w:p w14:paraId="18FC0998" w14:textId="77777777" w:rsidR="00D50212" w:rsidRPr="00CA5BC4"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Antrano has standing as an indirectly injured State because Remisia violated its obligations </w:t>
      </w:r>
      <w:r>
        <w:rPr>
          <w:rFonts w:ascii="Times New Roman" w:eastAsia="Times New Roman" w:hAnsi="Times New Roman" w:cs="Times New Roman"/>
          <w:i/>
          <w:iCs/>
        </w:rPr>
        <w:t xml:space="preserve">erga omnes partes </w:t>
      </w:r>
      <w:r>
        <w:rPr>
          <w:rFonts w:ascii="Times New Roman" w:eastAsia="Times New Roman" w:hAnsi="Times New Roman" w:cs="Times New Roman"/>
        </w:rPr>
        <w:t xml:space="preserve">and </w:t>
      </w:r>
      <w:r>
        <w:rPr>
          <w:rFonts w:ascii="Times New Roman" w:eastAsia="Times New Roman" w:hAnsi="Times New Roman" w:cs="Times New Roman"/>
          <w:i/>
          <w:iCs/>
        </w:rPr>
        <w:t xml:space="preserve">erga omnes </w:t>
      </w:r>
      <w:r>
        <w:rPr>
          <w:rFonts w:ascii="Times New Roman" w:eastAsia="Times New Roman" w:hAnsi="Times New Roman" w:cs="Times New Roman"/>
        </w:rPr>
        <w:t>in depriving the Sterren Forty of their nationality and rendering them stateless. Antrano</w:t>
      </w:r>
      <w:r>
        <w:rPr>
          <w:rFonts w:ascii="Times New Roman" w:eastAsia="Times New Roman" w:hAnsi="Times New Roman" w:cs="Times New Roman"/>
          <w:i/>
          <w:iCs/>
        </w:rPr>
        <w:t xml:space="preserve"> </w:t>
      </w:r>
      <w:r>
        <w:rPr>
          <w:rFonts w:ascii="Times New Roman" w:eastAsia="Times New Roman" w:hAnsi="Times New Roman" w:cs="Times New Roman"/>
        </w:rPr>
        <w:t xml:space="preserve">does not need to establish a special interest to launch this claim </w:t>
      </w:r>
      <w:r>
        <w:rPr>
          <w:rFonts w:ascii="Times New Roman" w:eastAsia="Times New Roman" w:hAnsi="Times New Roman" w:cs="Times New Roman"/>
          <w:b/>
          <w:bCs/>
        </w:rPr>
        <w:t>[A]</w:t>
      </w:r>
      <w:r>
        <w:rPr>
          <w:rFonts w:ascii="Times New Roman" w:eastAsia="Times New Roman" w:hAnsi="Times New Roman" w:cs="Times New Roman"/>
        </w:rPr>
        <w:t xml:space="preserve">. </w:t>
      </w:r>
      <w:r>
        <w:rPr>
          <w:rFonts w:ascii="Times New Roman" w:hAnsi="Times New Roman" w:cs="Times New Roman"/>
        </w:rPr>
        <w:t xml:space="preserve">Antrano has standing to invoke the responsibility of Remisia for violating its obligations </w:t>
      </w:r>
      <w:r>
        <w:rPr>
          <w:rFonts w:ascii="Times New Roman" w:hAnsi="Times New Roman" w:cs="Times New Roman"/>
          <w:i/>
          <w:iCs/>
        </w:rPr>
        <w:t xml:space="preserve">erga omnes partes </w:t>
      </w:r>
      <w:r>
        <w:rPr>
          <w:rFonts w:ascii="Times New Roman" w:hAnsi="Times New Roman" w:cs="Times New Roman"/>
        </w:rPr>
        <w:t xml:space="preserve">under Articles 8 and 9 of the </w:t>
      </w:r>
      <w:r>
        <w:rPr>
          <w:rFonts w:ascii="Times New Roman" w:hAnsi="Times New Roman" w:cs="Times New Roman"/>
          <w:i/>
          <w:iCs/>
        </w:rPr>
        <w:t xml:space="preserve">CRS </w:t>
      </w:r>
      <w:r>
        <w:rPr>
          <w:rFonts w:ascii="Times New Roman" w:hAnsi="Times New Roman" w:cs="Times New Roman"/>
          <w:b/>
          <w:bCs/>
        </w:rPr>
        <w:t>[B]</w:t>
      </w:r>
      <w:r>
        <w:rPr>
          <w:rFonts w:ascii="Times New Roman" w:hAnsi="Times New Roman" w:cs="Times New Roman"/>
        </w:rPr>
        <w:t xml:space="preserve">. Further, Antrano has standing to invoke the responsibility of Remisia for violating its obligations </w:t>
      </w:r>
      <w:r>
        <w:rPr>
          <w:rFonts w:ascii="Times New Roman" w:hAnsi="Times New Roman" w:cs="Times New Roman"/>
          <w:i/>
          <w:iCs/>
        </w:rPr>
        <w:t xml:space="preserve">erga omnes </w:t>
      </w:r>
      <w:r>
        <w:rPr>
          <w:rFonts w:ascii="Times New Roman" w:hAnsi="Times New Roman" w:cs="Times New Roman"/>
        </w:rPr>
        <w:t xml:space="preserve">to respect the right to a nationality and prevent the arbitrary deprivation of nationality </w:t>
      </w:r>
      <w:r>
        <w:rPr>
          <w:rFonts w:ascii="Times New Roman" w:hAnsi="Times New Roman" w:cs="Times New Roman"/>
          <w:b/>
          <w:bCs/>
        </w:rPr>
        <w:t>[C]</w:t>
      </w:r>
      <w:r>
        <w:rPr>
          <w:rFonts w:ascii="Times New Roman" w:hAnsi="Times New Roman" w:cs="Times New Roman"/>
        </w:rPr>
        <w:t xml:space="preserve">. </w:t>
      </w:r>
    </w:p>
    <w:p w14:paraId="1808C518" w14:textId="77777777" w:rsidR="00D50212" w:rsidRPr="00F26EA2" w:rsidRDefault="00D50212" w:rsidP="00D50212">
      <w:pPr>
        <w:pStyle w:val="Heading2"/>
      </w:pPr>
      <w:bookmarkStart w:id="4" w:name="_Toc155047653"/>
      <w:bookmarkStart w:id="5" w:name="_Toc155965810"/>
      <w:r w:rsidRPr="00F26EA2">
        <w:t>Antrano does not need to establish a special interest</w:t>
      </w:r>
      <w:bookmarkEnd w:id="4"/>
      <w:r w:rsidRPr="00F26EA2">
        <w:t>.</w:t>
      </w:r>
      <w:bookmarkEnd w:id="5"/>
    </w:p>
    <w:p w14:paraId="237DD807" w14:textId="77777777" w:rsidR="00D50212" w:rsidRPr="00CA5BC4"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Antrano does not need to establish a special interest or show that the victims are its nationals to launch this claim. Rather, Antrano is entitled to invoke the responsibility of Remisia with a view to ascertaining its failure to comply with its obligations </w:t>
      </w:r>
      <w:r>
        <w:rPr>
          <w:rFonts w:ascii="Times New Roman" w:eastAsia="Times New Roman" w:hAnsi="Times New Roman" w:cs="Times New Roman"/>
          <w:i/>
          <w:iCs/>
        </w:rPr>
        <w:t xml:space="preserve">erga omnes partes </w:t>
      </w:r>
      <w:r>
        <w:rPr>
          <w:rFonts w:ascii="Times New Roman" w:eastAsia="Times New Roman" w:hAnsi="Times New Roman" w:cs="Times New Roman"/>
        </w:rPr>
        <w:t xml:space="preserve">and </w:t>
      </w:r>
      <w:r>
        <w:rPr>
          <w:rFonts w:ascii="Times New Roman" w:eastAsia="Times New Roman" w:hAnsi="Times New Roman" w:cs="Times New Roman"/>
          <w:i/>
          <w:iCs/>
        </w:rPr>
        <w:t xml:space="preserve">erga </w:t>
      </w:r>
      <w:r w:rsidRPr="002C3382">
        <w:rPr>
          <w:rFonts w:ascii="Times New Roman" w:eastAsia="Times New Roman" w:hAnsi="Times New Roman" w:cs="Times New Roman"/>
          <w:i/>
          <w:iCs/>
        </w:rPr>
        <w:t>omnes</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The </w:t>
      </w:r>
      <w:r w:rsidRPr="0040789F">
        <w:rPr>
          <w:rFonts w:ascii="Times New Roman" w:eastAsia="Times New Roman" w:hAnsi="Times New Roman" w:cs="Times New Roman"/>
          <w:i/>
          <w:iCs/>
        </w:rPr>
        <w:t>raison d’être</w:t>
      </w:r>
      <w:r>
        <w:rPr>
          <w:rFonts w:ascii="Times New Roman" w:eastAsia="Times New Roman" w:hAnsi="Times New Roman" w:cs="Times New Roman"/>
        </w:rPr>
        <w:t xml:space="preserve"> of the </w:t>
      </w:r>
      <w:r>
        <w:rPr>
          <w:rFonts w:ascii="Times New Roman" w:eastAsia="Times New Roman" w:hAnsi="Times New Roman" w:cs="Times New Roman"/>
          <w:i/>
          <w:iCs/>
        </w:rPr>
        <w:t xml:space="preserve">erga omnes (partes) </w:t>
      </w:r>
      <w:r>
        <w:rPr>
          <w:rFonts w:ascii="Times New Roman" w:eastAsia="Times New Roman" w:hAnsi="Times New Roman" w:cs="Times New Roman"/>
        </w:rPr>
        <w:t>doctrine is that, without it, a State could evade accountability by breaching fundamental rules in a way that did not directly injure any particular State.</w:t>
      </w:r>
      <w:r>
        <w:rPr>
          <w:rStyle w:val="FootnoteReference"/>
          <w:rFonts w:ascii="Times New Roman" w:eastAsia="Times New Roman" w:hAnsi="Times New Roman" w:cs="Times New Roman"/>
        </w:rPr>
        <w:footnoteReference w:id="2"/>
      </w:r>
      <w:r>
        <w:rPr>
          <w:rFonts w:ascii="Times New Roman" w:eastAsia="Times New Roman" w:hAnsi="Times New Roman" w:cs="Times New Roman"/>
        </w:rPr>
        <w:t xml:space="preserve"> Requiring a special interest would prevent any State from making a claim regarding Remisia’s deprivation of nationality of the Sterren Forty before the Court, an acute concern here as the victims were solely Remisian nationals and are now stateless.</w:t>
      </w:r>
      <w:r>
        <w:rPr>
          <w:rStyle w:val="FootnoteReference"/>
          <w:rFonts w:ascii="Times New Roman" w:eastAsia="Times New Roman" w:hAnsi="Times New Roman" w:cs="Times New Roman"/>
        </w:rPr>
        <w:footnoteReference w:id="3"/>
      </w:r>
    </w:p>
    <w:p w14:paraId="2DD541C3" w14:textId="77777777" w:rsidR="00D50212" w:rsidRDefault="00D50212" w:rsidP="00D50212">
      <w:pPr>
        <w:pStyle w:val="Heading2"/>
      </w:pPr>
      <w:bookmarkStart w:id="6" w:name="_Toc155047648"/>
      <w:bookmarkStart w:id="7" w:name="_Toc155965811"/>
      <w:r>
        <w:lastRenderedPageBreak/>
        <w:t xml:space="preserve">Antrano has </w:t>
      </w:r>
      <w:r>
        <w:rPr>
          <w:i/>
          <w:iCs/>
        </w:rPr>
        <w:t xml:space="preserve">erga omnes partes </w:t>
      </w:r>
      <w:bookmarkEnd w:id="6"/>
      <w:r>
        <w:t>standing to launch this claim.</w:t>
      </w:r>
      <w:bookmarkEnd w:id="7"/>
    </w:p>
    <w:p w14:paraId="694898AC" w14:textId="77777777" w:rsidR="00D50212" w:rsidRPr="00C60736"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Antrano has standing because it invokes the responsibility of Remisia for violating its obligations </w:t>
      </w:r>
      <w:r>
        <w:rPr>
          <w:rFonts w:ascii="Times New Roman" w:hAnsi="Times New Roman" w:cs="Times New Roman"/>
          <w:i/>
          <w:iCs/>
        </w:rPr>
        <w:t xml:space="preserve">erga omnes partes </w:t>
      </w:r>
      <w:r>
        <w:rPr>
          <w:rFonts w:ascii="Times New Roman" w:hAnsi="Times New Roman" w:cs="Times New Roman"/>
        </w:rPr>
        <w:t xml:space="preserve">under Article 8 of the </w:t>
      </w:r>
      <w:r w:rsidRPr="005A09FA">
        <w:rPr>
          <w:rFonts w:ascii="Times New Roman" w:hAnsi="Times New Roman" w:cs="Times New Roman"/>
          <w:i/>
          <w:iCs/>
        </w:rPr>
        <w:t>CRS</w:t>
      </w:r>
      <w:r>
        <w:rPr>
          <w:rFonts w:ascii="Times New Roman" w:hAnsi="Times New Roman" w:cs="Times New Roman"/>
        </w:rPr>
        <w:t>, which generally prohibits rendering individuals stateless, and Article 9, which prohibits the discriminatory deprivation of nationality.</w:t>
      </w:r>
      <w:r>
        <w:rPr>
          <w:rStyle w:val="FootnoteReference"/>
          <w:rFonts w:ascii="Times New Roman" w:hAnsi="Times New Roman" w:cs="Times New Roman"/>
        </w:rPr>
        <w:footnoteReference w:id="4"/>
      </w:r>
    </w:p>
    <w:p w14:paraId="2115FF97" w14:textId="77777777" w:rsidR="00D50212" w:rsidRPr="00C60736"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This Court has recognized </w:t>
      </w:r>
      <w:r w:rsidRPr="00242952">
        <w:rPr>
          <w:rFonts w:ascii="Times New Roman" w:hAnsi="Times New Roman" w:cs="Times New Roman"/>
        </w:rPr>
        <w:t xml:space="preserve">the standing of </w:t>
      </w:r>
      <w:r>
        <w:rPr>
          <w:rFonts w:ascii="Times New Roman" w:hAnsi="Times New Roman" w:cs="Times New Roman"/>
        </w:rPr>
        <w:t>indirectly injured</w:t>
      </w:r>
      <w:r w:rsidRPr="00242952">
        <w:rPr>
          <w:rFonts w:ascii="Times New Roman" w:hAnsi="Times New Roman" w:cs="Times New Roman"/>
        </w:rPr>
        <w:t xml:space="preserve"> States to invoke State responsibility </w:t>
      </w:r>
      <w:r>
        <w:rPr>
          <w:rFonts w:ascii="Times New Roman" w:hAnsi="Times New Roman" w:cs="Times New Roman"/>
        </w:rPr>
        <w:t xml:space="preserve">for breaches </w:t>
      </w:r>
      <w:r w:rsidRPr="00242952">
        <w:rPr>
          <w:rFonts w:ascii="Times New Roman" w:hAnsi="Times New Roman" w:cs="Times New Roman"/>
        </w:rPr>
        <w:t xml:space="preserve">of </w:t>
      </w:r>
      <w:r>
        <w:rPr>
          <w:rFonts w:ascii="Times New Roman" w:hAnsi="Times New Roman" w:cs="Times New Roman"/>
        </w:rPr>
        <w:t xml:space="preserve">obligations </w:t>
      </w:r>
      <w:r w:rsidRPr="00242952">
        <w:rPr>
          <w:rFonts w:ascii="Times New Roman" w:hAnsi="Times New Roman" w:cs="Times New Roman"/>
          <w:i/>
          <w:iCs/>
        </w:rPr>
        <w:t>erga omnes partes</w:t>
      </w:r>
      <w:r>
        <w:rPr>
          <w:rFonts w:ascii="Times New Roman" w:hAnsi="Times New Roman" w:cs="Times New Roman"/>
        </w:rPr>
        <w:t>.</w:t>
      </w:r>
      <w:r>
        <w:rPr>
          <w:rStyle w:val="FootnoteReference"/>
          <w:rFonts w:ascii="Times New Roman" w:hAnsi="Times New Roman" w:cs="Times New Roman"/>
        </w:rPr>
        <w:footnoteReference w:id="5"/>
      </w:r>
      <w:r>
        <w:rPr>
          <w:rFonts w:ascii="Times New Roman" w:hAnsi="Times New Roman" w:cs="Times New Roman"/>
        </w:rPr>
        <w:t xml:space="preserve"> These are certain multilateral treaty </w:t>
      </w:r>
      <w:r w:rsidRPr="00315971">
        <w:rPr>
          <w:rFonts w:ascii="Times New Roman" w:hAnsi="Times New Roman" w:cs="Times New Roman"/>
        </w:rPr>
        <w:t>obligations</w:t>
      </w:r>
      <w:r>
        <w:rPr>
          <w:rFonts w:ascii="Times New Roman" w:hAnsi="Times New Roman" w:cs="Times New Roman"/>
        </w:rPr>
        <w:t xml:space="preserve"> established for the protection of a common interest </w:t>
      </w:r>
      <w:r w:rsidRPr="00D52D2B">
        <w:rPr>
          <w:rFonts w:ascii="Times New Roman" w:hAnsi="Times New Roman" w:cs="Times New Roman"/>
        </w:rPr>
        <w:t>owed towards a group of</w:t>
      </w:r>
      <w:r>
        <w:rPr>
          <w:rFonts w:ascii="Times New Roman" w:hAnsi="Times New Roman" w:cs="Times New Roman"/>
        </w:rPr>
        <w:t xml:space="preserve"> States parties</w:t>
      </w:r>
      <w:r w:rsidRPr="00D52D2B">
        <w:rPr>
          <w:rFonts w:ascii="Times New Roman" w:hAnsi="Times New Roman" w:cs="Times New Roman"/>
        </w:rPr>
        <w:t xml:space="preserve"> to the same treaty, </w:t>
      </w:r>
      <w:r>
        <w:rPr>
          <w:rFonts w:ascii="Times New Roman" w:hAnsi="Times New Roman" w:cs="Times New Roman"/>
        </w:rPr>
        <w:t xml:space="preserve">all of which have a legal interest </w:t>
      </w:r>
      <w:r w:rsidRPr="00D52D2B">
        <w:rPr>
          <w:rFonts w:ascii="Times New Roman" w:hAnsi="Times New Roman" w:cs="Times New Roman"/>
        </w:rPr>
        <w:t>in respecting the rules therein</w:t>
      </w:r>
      <w:r>
        <w:rPr>
          <w:rFonts w:ascii="Times New Roman" w:hAnsi="Times New Roman" w:cs="Times New Roman"/>
        </w:rPr>
        <w:t>.</w:t>
      </w:r>
      <w:r>
        <w:rPr>
          <w:rStyle w:val="FootnoteReference"/>
          <w:rFonts w:ascii="Times New Roman" w:hAnsi="Times New Roman" w:cs="Times New Roman"/>
        </w:rPr>
        <w:footnoteReference w:id="6"/>
      </w:r>
      <w:r>
        <w:rPr>
          <w:rFonts w:ascii="Times New Roman" w:hAnsi="Times New Roman" w:cs="Times New Roman"/>
        </w:rPr>
        <w:t xml:space="preserve"> </w:t>
      </w:r>
      <w:r w:rsidRPr="00C60736">
        <w:rPr>
          <w:rFonts w:ascii="Times New Roman" w:hAnsi="Times New Roman" w:cs="Times New Roman"/>
        </w:rPr>
        <w:t xml:space="preserve">Antrano and Remisia are both parties to the </w:t>
      </w:r>
      <w:r w:rsidRPr="00C60736">
        <w:rPr>
          <w:rFonts w:ascii="Times New Roman" w:hAnsi="Times New Roman" w:cs="Times New Roman"/>
          <w:i/>
          <w:iCs/>
        </w:rPr>
        <w:t>CRS</w:t>
      </w:r>
      <w:r w:rsidRPr="00C60736">
        <w:rPr>
          <w:rFonts w:ascii="Times New Roman" w:hAnsi="Times New Roman" w:cs="Times New Roman"/>
        </w:rPr>
        <w:t xml:space="preserve">, making Antrano part of the relevant </w:t>
      </w:r>
      <w:r w:rsidRPr="00C60736">
        <w:rPr>
          <w:rFonts w:ascii="Times New Roman" w:hAnsi="Times New Roman" w:cs="Times New Roman"/>
          <w:i/>
          <w:iCs/>
        </w:rPr>
        <w:t>omnes</w:t>
      </w:r>
      <w:r w:rsidRPr="00C60736">
        <w:rPr>
          <w:rFonts w:ascii="Times New Roman" w:hAnsi="Times New Roman" w:cs="Times New Roman"/>
        </w:rPr>
        <w:t>.</w:t>
      </w:r>
      <w:r>
        <w:rPr>
          <w:rStyle w:val="FootnoteReference"/>
          <w:rFonts w:ascii="Times New Roman" w:hAnsi="Times New Roman" w:cs="Times New Roman"/>
        </w:rPr>
        <w:footnoteReference w:id="7"/>
      </w:r>
    </w:p>
    <w:p w14:paraId="63FAF60E" w14:textId="77777777" w:rsidR="00D50212" w:rsidRPr="00B35D8D"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A treaty obligation is </w:t>
      </w:r>
      <w:r>
        <w:rPr>
          <w:rFonts w:ascii="Times New Roman" w:hAnsi="Times New Roman" w:cs="Times New Roman"/>
          <w:i/>
          <w:iCs/>
        </w:rPr>
        <w:t xml:space="preserve">erga omnes partes </w:t>
      </w:r>
      <w:r>
        <w:rPr>
          <w:rFonts w:ascii="Times New Roman" w:hAnsi="Times New Roman" w:cs="Times New Roman"/>
        </w:rPr>
        <w:t xml:space="preserve">if: (1) </w:t>
      </w:r>
      <w:r w:rsidRPr="00EF6A2B">
        <w:rPr>
          <w:rFonts w:ascii="Times New Roman" w:hAnsi="Times New Roman" w:cs="Times New Roman"/>
        </w:rPr>
        <w:t xml:space="preserve">the treaty </w:t>
      </w:r>
      <w:r>
        <w:rPr>
          <w:rFonts w:ascii="Times New Roman" w:hAnsi="Times New Roman" w:cs="Times New Roman"/>
        </w:rPr>
        <w:t xml:space="preserve">creates </w:t>
      </w:r>
      <w:r w:rsidRPr="00EF6A2B">
        <w:rPr>
          <w:rFonts w:ascii="Times New Roman" w:hAnsi="Times New Roman" w:cs="Times New Roman"/>
        </w:rPr>
        <w:t xml:space="preserve">an obligation that States </w:t>
      </w:r>
      <w:r>
        <w:rPr>
          <w:rFonts w:ascii="Times New Roman" w:hAnsi="Times New Roman" w:cs="Times New Roman"/>
        </w:rPr>
        <w:t>p</w:t>
      </w:r>
      <w:r w:rsidRPr="00EF6A2B">
        <w:rPr>
          <w:rFonts w:ascii="Times New Roman" w:hAnsi="Times New Roman" w:cs="Times New Roman"/>
        </w:rPr>
        <w:t>arties have a c</w:t>
      </w:r>
      <w:r>
        <w:rPr>
          <w:rFonts w:ascii="Times New Roman" w:hAnsi="Times New Roman" w:cs="Times New Roman"/>
        </w:rPr>
        <w:t>ommon</w:t>
      </w:r>
      <w:r w:rsidRPr="00EF6A2B">
        <w:rPr>
          <w:rFonts w:ascii="Times New Roman" w:hAnsi="Times New Roman" w:cs="Times New Roman"/>
        </w:rPr>
        <w:t xml:space="preserve"> interest in upholding</w:t>
      </w:r>
      <w:r>
        <w:rPr>
          <w:rFonts w:ascii="Times New Roman" w:hAnsi="Times New Roman" w:cs="Times New Roman"/>
        </w:rPr>
        <w:t xml:space="preserve">, and (2) </w:t>
      </w:r>
      <w:r w:rsidRPr="00EF6A2B">
        <w:rPr>
          <w:rFonts w:ascii="Times New Roman" w:hAnsi="Times New Roman" w:cs="Times New Roman"/>
        </w:rPr>
        <w:t>the provision</w:t>
      </w:r>
      <w:r>
        <w:rPr>
          <w:rFonts w:ascii="Times New Roman" w:hAnsi="Times New Roman" w:cs="Times New Roman"/>
        </w:rPr>
        <w:t>s</w:t>
      </w:r>
      <w:r w:rsidRPr="00EF6A2B">
        <w:rPr>
          <w:rFonts w:ascii="Times New Roman" w:hAnsi="Times New Roman" w:cs="Times New Roman"/>
        </w:rPr>
        <w:t xml:space="preserve"> invoked </w:t>
      </w:r>
      <w:r>
        <w:rPr>
          <w:rFonts w:ascii="Times New Roman" w:hAnsi="Times New Roman" w:cs="Times New Roman"/>
        </w:rPr>
        <w:t>are</w:t>
      </w:r>
      <w:r w:rsidRPr="00EF6A2B">
        <w:rPr>
          <w:rFonts w:ascii="Times New Roman" w:hAnsi="Times New Roman" w:cs="Times New Roman"/>
        </w:rPr>
        <w:t xml:space="preserve"> “relevant” to that co</w:t>
      </w:r>
      <w:r>
        <w:rPr>
          <w:rFonts w:ascii="Times New Roman" w:hAnsi="Times New Roman" w:cs="Times New Roman"/>
        </w:rPr>
        <w:t xml:space="preserve">mmon </w:t>
      </w:r>
      <w:r w:rsidRPr="00EF6A2B">
        <w:rPr>
          <w:rFonts w:ascii="Times New Roman" w:hAnsi="Times New Roman" w:cs="Times New Roman"/>
        </w:rPr>
        <w:t>interest</w:t>
      </w:r>
      <w:r>
        <w:rPr>
          <w:rFonts w:ascii="Times New Roman" w:hAnsi="Times New Roman" w:cs="Times New Roman"/>
        </w:rPr>
        <w:t>.</w:t>
      </w:r>
      <w:r>
        <w:rPr>
          <w:rStyle w:val="FootnoteReference"/>
          <w:rFonts w:ascii="Times New Roman" w:hAnsi="Times New Roman" w:cs="Times New Roman"/>
        </w:rPr>
        <w:footnoteReference w:id="8"/>
      </w:r>
      <w:r>
        <w:rPr>
          <w:rFonts w:ascii="Times New Roman" w:hAnsi="Times New Roman" w:cs="Times New Roman"/>
        </w:rPr>
        <w:t xml:space="preserve"> </w:t>
      </w:r>
      <w:r w:rsidRPr="00B35D8D">
        <w:rPr>
          <w:rFonts w:ascii="Times New Roman" w:hAnsi="Times New Roman" w:cs="Times New Roman"/>
        </w:rPr>
        <w:t xml:space="preserve">Both elements are satisfied because the </w:t>
      </w:r>
      <w:r w:rsidRPr="00B35D8D">
        <w:rPr>
          <w:rFonts w:ascii="Times New Roman" w:hAnsi="Times New Roman" w:cs="Times New Roman"/>
          <w:i/>
          <w:iCs/>
        </w:rPr>
        <w:t xml:space="preserve">CRS </w:t>
      </w:r>
      <w:r w:rsidRPr="00B35D8D">
        <w:rPr>
          <w:rFonts w:ascii="Times New Roman" w:hAnsi="Times New Roman" w:cs="Times New Roman"/>
        </w:rPr>
        <w:t xml:space="preserve">establishes an obligation to prevent and reduce statelessness, a commitment which the States parties have a common interest in upholding </w:t>
      </w:r>
      <w:r w:rsidRPr="00B35D8D">
        <w:rPr>
          <w:rFonts w:ascii="Times New Roman" w:hAnsi="Times New Roman" w:cs="Times New Roman"/>
          <w:b/>
          <w:bCs/>
        </w:rPr>
        <w:t>[</w:t>
      </w:r>
      <w:r>
        <w:rPr>
          <w:rFonts w:ascii="Times New Roman" w:hAnsi="Times New Roman" w:cs="Times New Roman"/>
          <w:b/>
          <w:bCs/>
        </w:rPr>
        <w:t>1</w:t>
      </w:r>
      <w:r w:rsidRPr="00B35D8D">
        <w:rPr>
          <w:rFonts w:ascii="Times New Roman" w:hAnsi="Times New Roman" w:cs="Times New Roman"/>
          <w:b/>
          <w:bCs/>
        </w:rPr>
        <w:t>]</w:t>
      </w:r>
      <w:r w:rsidRPr="00B35D8D">
        <w:rPr>
          <w:rFonts w:ascii="Times New Roman" w:hAnsi="Times New Roman" w:cs="Times New Roman"/>
        </w:rPr>
        <w:t xml:space="preserve">. Remisia’s obligations under Articles 8 </w:t>
      </w:r>
      <w:r w:rsidRPr="00B35D8D">
        <w:rPr>
          <w:rFonts w:ascii="Times New Roman" w:hAnsi="Times New Roman" w:cs="Times New Roman"/>
          <w:b/>
          <w:bCs/>
        </w:rPr>
        <w:t>[</w:t>
      </w:r>
      <w:r>
        <w:rPr>
          <w:rFonts w:ascii="Times New Roman" w:hAnsi="Times New Roman" w:cs="Times New Roman"/>
          <w:b/>
          <w:bCs/>
        </w:rPr>
        <w:t>2</w:t>
      </w:r>
      <w:r w:rsidRPr="00B35D8D">
        <w:rPr>
          <w:rFonts w:ascii="Times New Roman" w:hAnsi="Times New Roman" w:cs="Times New Roman"/>
          <w:b/>
          <w:bCs/>
        </w:rPr>
        <w:t>]</w:t>
      </w:r>
      <w:r w:rsidRPr="00B35D8D">
        <w:rPr>
          <w:rFonts w:ascii="Times New Roman" w:hAnsi="Times New Roman" w:cs="Times New Roman"/>
        </w:rPr>
        <w:t xml:space="preserve"> and 9 </w:t>
      </w:r>
      <w:r w:rsidRPr="00B35D8D">
        <w:rPr>
          <w:rFonts w:ascii="Times New Roman" w:hAnsi="Times New Roman" w:cs="Times New Roman"/>
          <w:b/>
          <w:bCs/>
        </w:rPr>
        <w:t>[</w:t>
      </w:r>
      <w:r>
        <w:rPr>
          <w:rFonts w:ascii="Times New Roman" w:hAnsi="Times New Roman" w:cs="Times New Roman"/>
          <w:b/>
          <w:bCs/>
        </w:rPr>
        <w:t>3</w:t>
      </w:r>
      <w:r w:rsidRPr="00B35D8D">
        <w:rPr>
          <w:rFonts w:ascii="Times New Roman" w:hAnsi="Times New Roman" w:cs="Times New Roman"/>
          <w:b/>
          <w:bCs/>
        </w:rPr>
        <w:t>]</w:t>
      </w:r>
      <w:r w:rsidRPr="00B35D8D">
        <w:rPr>
          <w:rFonts w:ascii="Times New Roman" w:hAnsi="Times New Roman" w:cs="Times New Roman"/>
        </w:rPr>
        <w:t xml:space="preserve"> of the </w:t>
      </w:r>
      <w:r w:rsidRPr="00B35D8D">
        <w:rPr>
          <w:rFonts w:ascii="Times New Roman" w:hAnsi="Times New Roman" w:cs="Times New Roman"/>
          <w:i/>
          <w:iCs/>
        </w:rPr>
        <w:t xml:space="preserve">CRS </w:t>
      </w:r>
      <w:r w:rsidRPr="00B35D8D">
        <w:rPr>
          <w:rFonts w:ascii="Times New Roman" w:hAnsi="Times New Roman" w:cs="Times New Roman"/>
        </w:rPr>
        <w:t>are relevant to that common interest</w:t>
      </w:r>
      <w:r>
        <w:rPr>
          <w:rFonts w:ascii="Times New Roman" w:hAnsi="Times New Roman" w:cs="Times New Roman"/>
        </w:rPr>
        <w:t xml:space="preserve"> and thus owed </w:t>
      </w:r>
      <w:r>
        <w:rPr>
          <w:rFonts w:ascii="Times New Roman" w:hAnsi="Times New Roman" w:cs="Times New Roman"/>
          <w:i/>
          <w:iCs/>
        </w:rPr>
        <w:t>erga omnes partes</w:t>
      </w:r>
      <w:r>
        <w:rPr>
          <w:rFonts w:ascii="Times New Roman" w:hAnsi="Times New Roman" w:cs="Times New Roman"/>
        </w:rPr>
        <w:t>.</w:t>
      </w:r>
    </w:p>
    <w:p w14:paraId="2DBE6BC0" w14:textId="77777777" w:rsidR="00D50212" w:rsidRPr="00AD3826" w:rsidRDefault="00D50212" w:rsidP="00D83BA1">
      <w:pPr>
        <w:pStyle w:val="Heading3"/>
      </w:pPr>
      <w:bookmarkStart w:id="8" w:name="_Toc155965812"/>
      <w:r>
        <w:t>States p</w:t>
      </w:r>
      <w:r w:rsidRPr="00AD3826">
        <w:t xml:space="preserve">arties to the </w:t>
      </w:r>
      <w:r w:rsidRPr="00211388">
        <w:rPr>
          <w:i/>
          <w:iCs/>
        </w:rPr>
        <w:t xml:space="preserve">CRS </w:t>
      </w:r>
      <w:r w:rsidRPr="00AD3826">
        <w:t>have a common interest in preventing statelessness.</w:t>
      </w:r>
      <w:bookmarkEnd w:id="8"/>
    </w:p>
    <w:p w14:paraId="7D387778" w14:textId="77777777" w:rsidR="00D50212" w:rsidRPr="001121B1" w:rsidRDefault="00D50212" w:rsidP="00D50212">
      <w:pPr>
        <w:pStyle w:val="BodyText"/>
        <w:numPr>
          <w:ilvl w:val="5"/>
          <w:numId w:val="2"/>
        </w:numPr>
        <w:spacing w:before="240" w:after="240" w:line="360" w:lineRule="auto"/>
        <w:jc w:val="both"/>
        <w:rPr>
          <w:rFonts w:ascii="Times New Roman" w:hAnsi="Times New Roman" w:cs="Times New Roman"/>
          <w:lang w:val="en-CA"/>
        </w:rPr>
      </w:pPr>
      <w:r w:rsidRPr="006850F8">
        <w:rPr>
          <w:rFonts w:ascii="Times New Roman" w:hAnsi="Times New Roman" w:cs="Times New Roman"/>
          <w:lang w:val="en-CA"/>
        </w:rPr>
        <w:t>T</w:t>
      </w:r>
      <w:r>
        <w:rPr>
          <w:rFonts w:ascii="Times New Roman" w:hAnsi="Times New Roman" w:cs="Times New Roman"/>
          <w:lang w:val="en-CA"/>
        </w:rPr>
        <w:t xml:space="preserve">aken together, the text and design of the </w:t>
      </w:r>
      <w:r>
        <w:rPr>
          <w:rFonts w:ascii="Times New Roman" w:hAnsi="Times New Roman" w:cs="Times New Roman"/>
          <w:i/>
          <w:iCs/>
          <w:lang w:val="en-CA"/>
        </w:rPr>
        <w:t xml:space="preserve">CRS </w:t>
      </w:r>
      <w:r>
        <w:rPr>
          <w:rFonts w:ascii="Times New Roman" w:hAnsi="Times New Roman" w:cs="Times New Roman"/>
          <w:lang w:val="en-CA"/>
        </w:rPr>
        <w:t xml:space="preserve">suggest States parties have a common interest in preventing statelessness and cannot do so effectively without a common interest in </w:t>
      </w:r>
      <w:r>
        <w:rPr>
          <w:rFonts w:ascii="Times New Roman" w:hAnsi="Times New Roman" w:cs="Times New Roman"/>
          <w:lang w:val="en-CA"/>
        </w:rPr>
        <w:lastRenderedPageBreak/>
        <w:t>compliance with the rules therein.</w:t>
      </w:r>
      <w:r>
        <w:rPr>
          <w:rStyle w:val="FootnoteReference"/>
          <w:rFonts w:ascii="Times New Roman" w:hAnsi="Times New Roman" w:cs="Times New Roman"/>
          <w:lang w:val="en-CA"/>
        </w:rPr>
        <w:footnoteReference w:id="9"/>
      </w:r>
      <w:r>
        <w:rPr>
          <w:rFonts w:ascii="Times New Roman" w:hAnsi="Times New Roman" w:cs="Times New Roman"/>
          <w:lang w:val="en-CA"/>
        </w:rPr>
        <w:t xml:space="preserve"> </w:t>
      </w:r>
      <w:r>
        <w:rPr>
          <w:rFonts w:ascii="Times New Roman" w:hAnsi="Times New Roman" w:cs="Times New Roman"/>
        </w:rPr>
        <w:t>Common interests “</w:t>
      </w:r>
      <w:r w:rsidRPr="00A17AA6">
        <w:rPr>
          <w:rFonts w:ascii="Times New Roman" w:hAnsi="Times New Roman" w:cs="Times New Roman"/>
        </w:rPr>
        <w:t>transcend</w:t>
      </w:r>
      <w:r>
        <w:rPr>
          <w:rFonts w:ascii="Times New Roman" w:hAnsi="Times New Roman" w:cs="Times New Roman"/>
        </w:rPr>
        <w:t>[]</w:t>
      </w:r>
      <w:r w:rsidRPr="00A17AA6">
        <w:rPr>
          <w:rFonts w:ascii="Times New Roman" w:hAnsi="Times New Roman" w:cs="Times New Roman"/>
        </w:rPr>
        <w:t xml:space="preserve"> the sphere of bilateral relations of the States </w:t>
      </w:r>
      <w:r>
        <w:rPr>
          <w:rFonts w:ascii="Times New Roman" w:hAnsi="Times New Roman" w:cs="Times New Roman"/>
        </w:rPr>
        <w:t>p</w:t>
      </w:r>
      <w:r w:rsidRPr="00A17AA6">
        <w:rPr>
          <w:rFonts w:ascii="Times New Roman" w:hAnsi="Times New Roman" w:cs="Times New Roman"/>
        </w:rPr>
        <w:t>arties</w:t>
      </w:r>
      <w:r>
        <w:rPr>
          <w:rFonts w:ascii="Times New Roman" w:hAnsi="Times New Roman" w:cs="Times New Roman"/>
        </w:rPr>
        <w:t>” and go “over and above the interests of the States concerned individually.”</w:t>
      </w:r>
      <w:r>
        <w:rPr>
          <w:rStyle w:val="FootnoteReference"/>
          <w:rFonts w:ascii="Times New Roman" w:hAnsi="Times New Roman" w:cs="Times New Roman"/>
        </w:rPr>
        <w:footnoteReference w:id="10"/>
      </w:r>
      <w:r>
        <w:rPr>
          <w:rFonts w:ascii="Times New Roman" w:hAnsi="Times New Roman" w:cs="Times New Roman"/>
        </w:rPr>
        <w:t xml:space="preserve"> </w:t>
      </w:r>
      <w:r w:rsidRPr="001121B1">
        <w:rPr>
          <w:rFonts w:ascii="Times New Roman" w:hAnsi="Times New Roman" w:cs="Times New Roman"/>
        </w:rPr>
        <w:t>Whether a common interest exists involves analyzing the object and purpose of the relevant treaty, which can be expressed through the treaty’s text and design.</w:t>
      </w:r>
      <w:r>
        <w:rPr>
          <w:rStyle w:val="FootnoteReference"/>
          <w:rFonts w:ascii="Times New Roman" w:hAnsi="Times New Roman" w:cs="Times New Roman"/>
        </w:rPr>
        <w:footnoteReference w:id="11"/>
      </w:r>
      <w:r w:rsidRPr="001121B1">
        <w:rPr>
          <w:rFonts w:ascii="Times New Roman" w:hAnsi="Times New Roman" w:cs="Times New Roman"/>
        </w:rPr>
        <w:t xml:space="preserve"> </w:t>
      </w:r>
    </w:p>
    <w:p w14:paraId="7A4C24CF" w14:textId="77777777" w:rsidR="00D50212" w:rsidRPr="001121B1" w:rsidRDefault="00D50212" w:rsidP="00D50212">
      <w:pPr>
        <w:pStyle w:val="BodyText"/>
        <w:numPr>
          <w:ilvl w:val="5"/>
          <w:numId w:val="2"/>
        </w:numPr>
        <w:spacing w:before="240" w:after="240" w:line="360" w:lineRule="auto"/>
        <w:jc w:val="both"/>
        <w:rPr>
          <w:rFonts w:ascii="Times New Roman" w:hAnsi="Times New Roman" w:cs="Times New Roman"/>
          <w:lang w:val="en-CA"/>
        </w:rPr>
      </w:pPr>
      <w:r>
        <w:rPr>
          <w:rFonts w:ascii="Times New Roman" w:hAnsi="Times New Roman" w:cs="Times New Roman"/>
          <w:lang w:val="en-CA"/>
        </w:rPr>
        <w:t>For instance, i</w:t>
      </w:r>
      <w:r w:rsidRPr="001121B1">
        <w:rPr>
          <w:rFonts w:ascii="Times New Roman" w:hAnsi="Times New Roman" w:cs="Times New Roman"/>
          <w:lang w:val="en-CA"/>
        </w:rPr>
        <w:t xml:space="preserve">n </w:t>
      </w:r>
      <w:r w:rsidRPr="001121B1">
        <w:rPr>
          <w:rFonts w:ascii="Times New Roman" w:hAnsi="Times New Roman" w:cs="Times New Roman"/>
          <w:i/>
          <w:iCs/>
          <w:lang w:val="en-CA"/>
        </w:rPr>
        <w:t>Belgium v. Senegal</w:t>
      </w:r>
      <w:r w:rsidRPr="001121B1">
        <w:rPr>
          <w:rFonts w:ascii="Times New Roman" w:hAnsi="Times New Roman" w:cs="Times New Roman"/>
          <w:lang w:val="en-CA"/>
        </w:rPr>
        <w:t xml:space="preserve">, this Court analyzed the preamble of the </w:t>
      </w:r>
      <w:r w:rsidRPr="001121B1">
        <w:rPr>
          <w:rFonts w:ascii="Times New Roman" w:hAnsi="Times New Roman" w:cs="Times New Roman"/>
          <w:i/>
          <w:iCs/>
          <w:lang w:val="en-CA"/>
        </w:rPr>
        <w:t xml:space="preserve">Convention against Torture </w:t>
      </w:r>
      <w:r w:rsidRPr="001121B1">
        <w:rPr>
          <w:rFonts w:ascii="Times New Roman" w:hAnsi="Times New Roman" w:cs="Times New Roman"/>
          <w:b/>
          <w:bCs/>
          <w:lang w:val="en-CA"/>
        </w:rPr>
        <w:t>(“CAT”)</w:t>
      </w:r>
      <w:r w:rsidRPr="001121B1">
        <w:rPr>
          <w:rFonts w:ascii="Times New Roman" w:hAnsi="Times New Roman" w:cs="Times New Roman"/>
          <w:lang w:val="en-CA"/>
        </w:rPr>
        <w:t xml:space="preserve"> to ascertain that its object and purpose is to “make more effective the struggle against torture... throughout the world.”</w:t>
      </w:r>
      <w:r>
        <w:rPr>
          <w:rStyle w:val="FootnoteReference"/>
          <w:rFonts w:ascii="Times New Roman" w:hAnsi="Times New Roman" w:cs="Times New Roman"/>
          <w:lang w:val="en-CA"/>
        </w:rPr>
        <w:footnoteReference w:id="12"/>
      </w:r>
      <w:r w:rsidRPr="001121B1">
        <w:rPr>
          <w:rFonts w:ascii="Times New Roman" w:hAnsi="Times New Roman" w:cs="Times New Roman"/>
          <w:lang w:val="en-CA"/>
        </w:rPr>
        <w:t xml:space="preserve"> From this purpose, this Court found that States parties to the CAT share a common interest in preventing torture and ensuring compliance with the “relevant obligations” outlined therein, meaning each party to the CAT can bring forth a claim regarding an alleged violation by another party.</w:t>
      </w:r>
      <w:r>
        <w:rPr>
          <w:rStyle w:val="FootnoteReference"/>
          <w:rFonts w:ascii="Times New Roman" w:hAnsi="Times New Roman" w:cs="Times New Roman"/>
          <w:lang w:val="en-CA"/>
        </w:rPr>
        <w:footnoteReference w:id="13"/>
      </w:r>
      <w:r w:rsidRPr="001121B1">
        <w:rPr>
          <w:rFonts w:ascii="Times New Roman" w:hAnsi="Times New Roman" w:cs="Times New Roman"/>
          <w:lang w:val="en-CA"/>
        </w:rPr>
        <w:t xml:space="preserve"> </w:t>
      </w:r>
    </w:p>
    <w:p w14:paraId="562D20E5" w14:textId="77777777" w:rsidR="00D50212" w:rsidRPr="00E946AD" w:rsidRDefault="00D50212" w:rsidP="00D50212">
      <w:pPr>
        <w:pStyle w:val="BodyText"/>
        <w:numPr>
          <w:ilvl w:val="5"/>
          <w:numId w:val="2"/>
        </w:numPr>
        <w:spacing w:before="240" w:after="240" w:line="360" w:lineRule="auto"/>
        <w:jc w:val="both"/>
        <w:rPr>
          <w:rFonts w:ascii="Times New Roman" w:hAnsi="Times New Roman" w:cs="Times New Roman"/>
          <w:lang w:val="en-CA"/>
        </w:rPr>
      </w:pPr>
      <w:r w:rsidRPr="00CD348A">
        <w:rPr>
          <w:rFonts w:ascii="Times New Roman" w:hAnsi="Times New Roman" w:cs="Times New Roman"/>
          <w:lang w:val="en-CA"/>
        </w:rPr>
        <w:t xml:space="preserve">Similarly, in </w:t>
      </w:r>
      <w:r w:rsidRPr="00CD348A">
        <w:rPr>
          <w:rFonts w:ascii="Times New Roman" w:hAnsi="Times New Roman" w:cs="Times New Roman"/>
          <w:i/>
          <w:iCs/>
          <w:lang w:val="en-CA"/>
        </w:rPr>
        <w:t>The Gambia v. Myanmar</w:t>
      </w:r>
      <w:r w:rsidRPr="00CD348A">
        <w:rPr>
          <w:rFonts w:ascii="Times New Roman" w:hAnsi="Times New Roman" w:cs="Times New Roman"/>
          <w:lang w:val="en-CA"/>
        </w:rPr>
        <w:t xml:space="preserve">, this Court affirmed that </w:t>
      </w:r>
      <w:r>
        <w:rPr>
          <w:rFonts w:ascii="Times New Roman" w:hAnsi="Times New Roman" w:cs="Times New Roman"/>
          <w:lang w:val="en-CA"/>
        </w:rPr>
        <w:t xml:space="preserve">the </w:t>
      </w:r>
      <w:r>
        <w:rPr>
          <w:rFonts w:ascii="Times New Roman" w:hAnsi="Times New Roman" w:cs="Times New Roman"/>
          <w:i/>
          <w:iCs/>
          <w:lang w:val="en-CA"/>
        </w:rPr>
        <w:t xml:space="preserve">Genocide Convention </w:t>
      </w:r>
      <w:r>
        <w:rPr>
          <w:rFonts w:ascii="Times New Roman" w:hAnsi="Times New Roman" w:cs="Times New Roman"/>
          <w:lang w:val="en-CA"/>
        </w:rPr>
        <w:t xml:space="preserve">was adopted for the humanitarian purpose of preventing genocide, and as such, </w:t>
      </w:r>
      <w:r w:rsidRPr="00E946AD">
        <w:rPr>
          <w:rFonts w:ascii="Times New Roman" w:hAnsi="Times New Roman" w:cs="Times New Roman"/>
          <w:lang w:val="en-CA"/>
        </w:rPr>
        <w:t xml:space="preserve">States parties to the </w:t>
      </w:r>
      <w:r w:rsidRPr="00E946AD">
        <w:rPr>
          <w:rFonts w:ascii="Times New Roman" w:hAnsi="Times New Roman" w:cs="Times New Roman"/>
          <w:i/>
          <w:iCs/>
          <w:lang w:val="en-CA"/>
        </w:rPr>
        <w:t>Genocide Convention</w:t>
      </w:r>
      <w:r w:rsidRPr="00E946AD">
        <w:rPr>
          <w:rFonts w:ascii="Times New Roman" w:hAnsi="Times New Roman" w:cs="Times New Roman"/>
          <w:lang w:val="en-CA"/>
        </w:rPr>
        <w:t xml:space="preserve"> have a common interest in preventing genocide </w:t>
      </w:r>
      <w:r>
        <w:rPr>
          <w:rFonts w:ascii="Times New Roman" w:hAnsi="Times New Roman" w:cs="Times New Roman"/>
          <w:lang w:val="en-CA"/>
        </w:rPr>
        <w:t>by</w:t>
      </w:r>
      <w:r w:rsidRPr="00E946AD">
        <w:rPr>
          <w:rFonts w:ascii="Times New Roman" w:hAnsi="Times New Roman" w:cs="Times New Roman"/>
          <w:lang w:val="en-CA"/>
        </w:rPr>
        <w:t xml:space="preserve"> committing themselves to the obligations therein.</w:t>
      </w:r>
      <w:r>
        <w:rPr>
          <w:rStyle w:val="FootnoteReference"/>
          <w:rFonts w:ascii="Times New Roman" w:hAnsi="Times New Roman" w:cs="Times New Roman"/>
          <w:lang w:val="en-CA"/>
        </w:rPr>
        <w:footnoteReference w:id="14"/>
      </w:r>
      <w:r w:rsidRPr="00E946AD">
        <w:rPr>
          <w:rFonts w:ascii="Times New Roman" w:hAnsi="Times New Roman" w:cs="Times New Roman"/>
          <w:lang w:val="en-CA"/>
        </w:rPr>
        <w:t xml:space="preserve"> </w:t>
      </w:r>
      <w:r>
        <w:rPr>
          <w:rFonts w:ascii="Times New Roman" w:hAnsi="Times New Roman" w:cs="Times New Roman"/>
          <w:lang w:val="en-CA"/>
        </w:rPr>
        <w:t>Motivated by these high ideals, t</w:t>
      </w:r>
      <w:r w:rsidRPr="00E946AD">
        <w:rPr>
          <w:rFonts w:ascii="Times New Roman" w:hAnsi="Times New Roman" w:cs="Times New Roman"/>
          <w:lang w:val="en-CA"/>
        </w:rPr>
        <w:t xml:space="preserve">he relevant obligations under the </w:t>
      </w:r>
      <w:r w:rsidRPr="00E946AD">
        <w:rPr>
          <w:rFonts w:ascii="Times New Roman" w:hAnsi="Times New Roman" w:cs="Times New Roman"/>
          <w:i/>
          <w:iCs/>
          <w:lang w:val="en-CA"/>
        </w:rPr>
        <w:t>Genocide Convention</w:t>
      </w:r>
      <w:r w:rsidRPr="00E946AD">
        <w:rPr>
          <w:rFonts w:ascii="Times New Roman" w:hAnsi="Times New Roman" w:cs="Times New Roman"/>
          <w:lang w:val="en-CA"/>
        </w:rPr>
        <w:t xml:space="preserve"> are </w:t>
      </w:r>
      <w:r>
        <w:rPr>
          <w:rFonts w:ascii="Times New Roman" w:hAnsi="Times New Roman" w:cs="Times New Roman"/>
          <w:lang w:val="en-CA"/>
        </w:rPr>
        <w:t xml:space="preserve">thus </w:t>
      </w:r>
      <w:r w:rsidRPr="00E946AD">
        <w:rPr>
          <w:rFonts w:ascii="Times New Roman" w:hAnsi="Times New Roman" w:cs="Times New Roman"/>
          <w:lang w:val="en-CA"/>
        </w:rPr>
        <w:t>owed</w:t>
      </w:r>
      <w:r w:rsidRPr="00E946AD">
        <w:rPr>
          <w:rFonts w:ascii="Times New Roman" w:hAnsi="Times New Roman" w:cs="Times New Roman"/>
          <w:i/>
          <w:iCs/>
          <w:lang w:val="en-CA"/>
        </w:rPr>
        <w:t xml:space="preserve"> </w:t>
      </w:r>
      <w:r w:rsidRPr="00E946AD">
        <w:rPr>
          <w:rFonts w:ascii="Times New Roman" w:hAnsi="Times New Roman" w:cs="Times New Roman"/>
          <w:lang w:val="en-CA"/>
        </w:rPr>
        <w:t>by any State party to all other</w:t>
      </w:r>
      <w:r>
        <w:rPr>
          <w:rFonts w:ascii="Times New Roman" w:hAnsi="Times New Roman" w:cs="Times New Roman"/>
          <w:lang w:val="en-CA"/>
        </w:rPr>
        <w:t xml:space="preserve"> </w:t>
      </w:r>
      <w:r w:rsidRPr="00E946AD">
        <w:rPr>
          <w:rFonts w:ascii="Times New Roman" w:hAnsi="Times New Roman" w:cs="Times New Roman"/>
          <w:lang w:val="en-CA"/>
        </w:rPr>
        <w:t>parties.</w:t>
      </w:r>
      <w:r>
        <w:rPr>
          <w:rStyle w:val="FootnoteReference"/>
          <w:rFonts w:ascii="Times New Roman" w:hAnsi="Times New Roman" w:cs="Times New Roman"/>
          <w:lang w:val="en-CA"/>
        </w:rPr>
        <w:footnoteReference w:id="15"/>
      </w:r>
    </w:p>
    <w:p w14:paraId="1C53C93C" w14:textId="77777777" w:rsidR="00D50212" w:rsidRDefault="00D50212" w:rsidP="00D50212">
      <w:pPr>
        <w:pStyle w:val="BodyText"/>
        <w:numPr>
          <w:ilvl w:val="5"/>
          <w:numId w:val="2"/>
        </w:numPr>
        <w:spacing w:before="240" w:after="240" w:line="360" w:lineRule="auto"/>
        <w:jc w:val="both"/>
        <w:rPr>
          <w:rFonts w:ascii="Times New Roman" w:hAnsi="Times New Roman" w:cs="Times New Roman"/>
          <w:lang w:val="en-CA"/>
        </w:rPr>
      </w:pPr>
      <w:r>
        <w:rPr>
          <w:rFonts w:ascii="Times New Roman" w:hAnsi="Times New Roman" w:cs="Times New Roman"/>
          <w:lang w:val="en-CA"/>
        </w:rPr>
        <w:t xml:space="preserve">Antrano’s claims are grounded in the </w:t>
      </w:r>
      <w:r>
        <w:rPr>
          <w:rFonts w:ascii="Times New Roman" w:hAnsi="Times New Roman" w:cs="Times New Roman"/>
          <w:i/>
          <w:iCs/>
          <w:lang w:val="en-CA"/>
        </w:rPr>
        <w:t xml:space="preserve">CRS </w:t>
      </w:r>
      <w:r>
        <w:rPr>
          <w:rFonts w:ascii="Times New Roman" w:hAnsi="Times New Roman" w:cs="Times New Roman"/>
          <w:lang w:val="en-CA"/>
        </w:rPr>
        <w:t xml:space="preserve">and pursue the common interest of preventing and reducing statelessness, which is precisely the type of common interest this Court found to form the basis of </w:t>
      </w:r>
      <w:r>
        <w:rPr>
          <w:rFonts w:ascii="Times New Roman" w:hAnsi="Times New Roman" w:cs="Times New Roman"/>
          <w:i/>
          <w:iCs/>
          <w:lang w:val="en-CA"/>
        </w:rPr>
        <w:t xml:space="preserve">erga omnes partes </w:t>
      </w:r>
      <w:r>
        <w:rPr>
          <w:rFonts w:ascii="Times New Roman" w:hAnsi="Times New Roman" w:cs="Times New Roman"/>
          <w:lang w:val="en-CA"/>
        </w:rPr>
        <w:t xml:space="preserve">standing in </w:t>
      </w:r>
      <w:r>
        <w:rPr>
          <w:rFonts w:ascii="Times New Roman" w:hAnsi="Times New Roman" w:cs="Times New Roman"/>
          <w:i/>
          <w:iCs/>
          <w:lang w:val="en-CA"/>
        </w:rPr>
        <w:t xml:space="preserve">Belgium v. Senegal </w:t>
      </w:r>
      <w:r>
        <w:rPr>
          <w:rFonts w:ascii="Times New Roman" w:hAnsi="Times New Roman" w:cs="Times New Roman"/>
          <w:lang w:val="en-CA"/>
        </w:rPr>
        <w:t xml:space="preserve">and </w:t>
      </w:r>
      <w:r>
        <w:rPr>
          <w:rFonts w:ascii="Times New Roman" w:hAnsi="Times New Roman" w:cs="Times New Roman"/>
          <w:i/>
          <w:iCs/>
          <w:lang w:val="en-CA"/>
        </w:rPr>
        <w:t>The Gambia v. Myanmar</w:t>
      </w:r>
      <w:r>
        <w:rPr>
          <w:rFonts w:ascii="Times New Roman" w:hAnsi="Times New Roman" w:cs="Times New Roman"/>
          <w:lang w:val="en-CA"/>
        </w:rPr>
        <w:t xml:space="preserve">. </w:t>
      </w:r>
      <w:r w:rsidRPr="00C119E4">
        <w:rPr>
          <w:rFonts w:ascii="Times New Roman" w:hAnsi="Times New Roman" w:cs="Times New Roman"/>
          <w:lang w:val="en-CA"/>
        </w:rPr>
        <w:t xml:space="preserve">This is </w:t>
      </w:r>
      <w:r>
        <w:rPr>
          <w:rFonts w:ascii="Times New Roman" w:hAnsi="Times New Roman" w:cs="Times New Roman"/>
        </w:rPr>
        <w:t>a common interest</w:t>
      </w:r>
      <w:r w:rsidRPr="00C119E4">
        <w:rPr>
          <w:rFonts w:ascii="Times New Roman" w:hAnsi="Times New Roman" w:cs="Times New Roman"/>
        </w:rPr>
        <w:t xml:space="preserve"> </w:t>
      </w:r>
      <w:r>
        <w:rPr>
          <w:rFonts w:ascii="Times New Roman" w:hAnsi="Times New Roman" w:cs="Times New Roman"/>
        </w:rPr>
        <w:t>that transcends bilateral relations</w:t>
      </w:r>
      <w:r w:rsidRPr="00C119E4">
        <w:rPr>
          <w:rFonts w:ascii="Times New Roman" w:hAnsi="Times New Roman" w:cs="Times New Roman"/>
          <w:lang w:val="en-CA"/>
        </w:rPr>
        <w:t>, as articulated in the preamble where the</w:t>
      </w:r>
      <w:r>
        <w:rPr>
          <w:rFonts w:ascii="Times New Roman" w:hAnsi="Times New Roman" w:cs="Times New Roman"/>
          <w:lang w:val="en-CA"/>
        </w:rPr>
        <w:t xml:space="preserve"> </w:t>
      </w:r>
      <w:r>
        <w:rPr>
          <w:rFonts w:ascii="Times New Roman" w:hAnsi="Times New Roman" w:cs="Times New Roman"/>
          <w:lang w:val="en-CA"/>
        </w:rPr>
        <w:lastRenderedPageBreak/>
        <w:t>States parties</w:t>
      </w:r>
      <w:r w:rsidRPr="00C119E4">
        <w:rPr>
          <w:rFonts w:ascii="Times New Roman" w:hAnsi="Times New Roman" w:cs="Times New Roman"/>
          <w:lang w:val="en-CA"/>
        </w:rPr>
        <w:t xml:space="preserve"> consider it “desirable to reduce statelessness by international agreement.”</w:t>
      </w:r>
      <w:r>
        <w:rPr>
          <w:rStyle w:val="FootnoteReference"/>
          <w:rFonts w:ascii="Times New Roman" w:hAnsi="Times New Roman" w:cs="Times New Roman"/>
          <w:lang w:val="en-CA"/>
        </w:rPr>
        <w:footnoteReference w:id="16"/>
      </w:r>
      <w:r w:rsidRPr="00C119E4">
        <w:rPr>
          <w:rFonts w:ascii="Times New Roman" w:hAnsi="Times New Roman" w:cs="Times New Roman"/>
          <w:lang w:val="en-CA"/>
        </w:rPr>
        <w:t xml:space="preserve"> </w:t>
      </w:r>
      <w:r>
        <w:rPr>
          <w:rFonts w:ascii="Times New Roman" w:hAnsi="Times New Roman" w:cs="Times New Roman"/>
          <w:lang w:val="en-CA"/>
        </w:rPr>
        <w:t xml:space="preserve">The obligations in the </w:t>
      </w:r>
      <w:r>
        <w:rPr>
          <w:rFonts w:ascii="Times New Roman" w:hAnsi="Times New Roman" w:cs="Times New Roman"/>
          <w:i/>
          <w:iCs/>
          <w:lang w:val="en-CA"/>
        </w:rPr>
        <w:t xml:space="preserve">CRS </w:t>
      </w:r>
      <w:r>
        <w:rPr>
          <w:rFonts w:ascii="Times New Roman" w:hAnsi="Times New Roman" w:cs="Times New Roman"/>
          <w:lang w:val="en-CA"/>
        </w:rPr>
        <w:t xml:space="preserve">also go </w:t>
      </w:r>
      <w:r>
        <w:rPr>
          <w:rFonts w:ascii="Times New Roman" w:hAnsi="Times New Roman" w:cs="Times New Roman"/>
        </w:rPr>
        <w:t>above the interests of the States concerned individually</w:t>
      </w:r>
      <w:r>
        <w:rPr>
          <w:rFonts w:ascii="Times New Roman" w:hAnsi="Times New Roman" w:cs="Times New Roman"/>
          <w:lang w:val="en-CA"/>
        </w:rPr>
        <w:t>, as t</w:t>
      </w:r>
      <w:r w:rsidRPr="00C119E4">
        <w:rPr>
          <w:rFonts w:ascii="Times New Roman" w:hAnsi="Times New Roman" w:cs="Times New Roman"/>
          <w:lang w:val="en-CA"/>
        </w:rPr>
        <w:t xml:space="preserve">he Introductory Note by the United Nations High Commissioner for Refugees </w:t>
      </w:r>
      <w:r w:rsidRPr="00C119E4">
        <w:rPr>
          <w:rFonts w:ascii="Times New Roman" w:hAnsi="Times New Roman" w:cs="Times New Roman"/>
          <w:b/>
          <w:bCs/>
          <w:lang w:val="en-CA"/>
        </w:rPr>
        <w:t>(“UNHCR”)</w:t>
      </w:r>
      <w:r w:rsidRPr="00C119E4">
        <w:rPr>
          <w:rFonts w:ascii="Times New Roman" w:hAnsi="Times New Roman" w:cs="Times New Roman"/>
          <w:lang w:val="en-CA"/>
        </w:rPr>
        <w:t xml:space="preserve"> explains that “[u]nderlying the [</w:t>
      </w:r>
      <w:r w:rsidRPr="00C119E4">
        <w:rPr>
          <w:rFonts w:ascii="Times New Roman" w:hAnsi="Times New Roman" w:cs="Times New Roman"/>
          <w:i/>
          <w:iCs/>
          <w:lang w:val="en-CA"/>
        </w:rPr>
        <w:t>CRS</w:t>
      </w:r>
      <w:r w:rsidRPr="00C119E4">
        <w:rPr>
          <w:rFonts w:ascii="Times New Roman" w:hAnsi="Times New Roman" w:cs="Times New Roman"/>
          <w:lang w:val="en-CA"/>
        </w:rPr>
        <w:t>] is the notion that while States maintain the right to elaborate the content of their nationality laws, they must do so in compliance with… the principle that statelessness should be avoided.”</w:t>
      </w:r>
      <w:r>
        <w:rPr>
          <w:rStyle w:val="FootnoteReference"/>
          <w:rFonts w:ascii="Times New Roman" w:hAnsi="Times New Roman" w:cs="Times New Roman"/>
          <w:lang w:val="en-CA"/>
        </w:rPr>
        <w:footnoteReference w:id="17"/>
      </w:r>
      <w:r>
        <w:rPr>
          <w:rFonts w:ascii="Times New Roman" w:hAnsi="Times New Roman" w:cs="Times New Roman"/>
          <w:lang w:val="en-CA"/>
        </w:rPr>
        <w:t xml:space="preserve"> Importantly, the </w:t>
      </w:r>
      <w:r>
        <w:rPr>
          <w:rFonts w:ascii="Times New Roman" w:hAnsi="Times New Roman" w:cs="Times New Roman"/>
          <w:i/>
          <w:iCs/>
          <w:lang w:val="en-CA"/>
        </w:rPr>
        <w:t xml:space="preserve">CRS </w:t>
      </w:r>
      <w:r>
        <w:rPr>
          <w:rFonts w:ascii="Times New Roman" w:hAnsi="Times New Roman" w:cs="Times New Roman"/>
          <w:lang w:val="en-CA"/>
        </w:rPr>
        <w:t>extends beyond individual State interests because the primary victims of statelessness are nationals of the State responsible for rendering them stateless, as opposed to nationals of other States.</w:t>
      </w:r>
      <w:r>
        <w:rPr>
          <w:rStyle w:val="FootnoteReference"/>
          <w:rFonts w:ascii="Times New Roman" w:hAnsi="Times New Roman" w:cs="Times New Roman"/>
          <w:lang w:val="en-CA"/>
        </w:rPr>
        <w:footnoteReference w:id="18"/>
      </w:r>
    </w:p>
    <w:p w14:paraId="555BC6AE" w14:textId="77777777" w:rsidR="00D50212" w:rsidRDefault="00D50212" w:rsidP="00D50212">
      <w:pPr>
        <w:pStyle w:val="BodyText"/>
        <w:numPr>
          <w:ilvl w:val="5"/>
          <w:numId w:val="2"/>
        </w:numPr>
        <w:spacing w:before="240" w:after="240" w:line="360" w:lineRule="auto"/>
        <w:jc w:val="both"/>
        <w:rPr>
          <w:rFonts w:ascii="Times New Roman" w:hAnsi="Times New Roman" w:cs="Times New Roman"/>
          <w:lang w:val="en-CA"/>
        </w:rPr>
      </w:pPr>
      <w:r>
        <w:rPr>
          <w:rFonts w:ascii="Times New Roman" w:hAnsi="Times New Roman" w:cs="Times New Roman"/>
          <w:lang w:val="en-CA"/>
        </w:rPr>
        <w:t xml:space="preserve">In line with the high ideals it was inspired by, the </w:t>
      </w:r>
      <w:r w:rsidRPr="00C119E4">
        <w:rPr>
          <w:rFonts w:ascii="Times New Roman" w:hAnsi="Times New Roman" w:cs="Times New Roman"/>
          <w:i/>
          <w:iCs/>
          <w:lang w:val="en-CA"/>
        </w:rPr>
        <w:t xml:space="preserve">CRS </w:t>
      </w:r>
      <w:r>
        <w:rPr>
          <w:rFonts w:ascii="Times New Roman" w:hAnsi="Times New Roman" w:cs="Times New Roman"/>
          <w:lang w:val="en-CA"/>
        </w:rPr>
        <w:t>sets common rules related to</w:t>
      </w:r>
      <w:r w:rsidRPr="00C119E4">
        <w:rPr>
          <w:rFonts w:ascii="Times New Roman" w:hAnsi="Times New Roman" w:cs="Times New Roman"/>
          <w:lang w:val="en-CA"/>
        </w:rPr>
        <w:t xml:space="preserve"> acquisition, renunciation, loss, and deprivation of nationality intended to prevent </w:t>
      </w:r>
      <w:r>
        <w:rPr>
          <w:rFonts w:ascii="Times New Roman" w:hAnsi="Times New Roman" w:cs="Times New Roman"/>
          <w:lang w:val="en-CA"/>
        </w:rPr>
        <w:t xml:space="preserve">and reduce </w:t>
      </w:r>
      <w:r w:rsidRPr="00C119E4">
        <w:rPr>
          <w:rFonts w:ascii="Times New Roman" w:hAnsi="Times New Roman" w:cs="Times New Roman"/>
          <w:lang w:val="en-CA"/>
        </w:rPr>
        <w:t>statelessness</w:t>
      </w:r>
      <w:r>
        <w:rPr>
          <w:rFonts w:ascii="Times New Roman" w:hAnsi="Times New Roman" w:cs="Times New Roman"/>
          <w:lang w:val="en-CA"/>
        </w:rPr>
        <w:t xml:space="preserve">. </w:t>
      </w:r>
      <w:r>
        <w:rPr>
          <w:rFonts w:ascii="Times New Roman" w:eastAsia="Times New Roman" w:hAnsi="Times New Roman" w:cs="Times New Roman"/>
          <w:color w:val="000000"/>
        </w:rPr>
        <w:t xml:space="preserve">The obligations within the </w:t>
      </w:r>
      <w:r>
        <w:rPr>
          <w:rFonts w:ascii="Times New Roman" w:eastAsia="Times New Roman" w:hAnsi="Times New Roman" w:cs="Times New Roman"/>
          <w:i/>
          <w:color w:val="000000"/>
        </w:rPr>
        <w:t xml:space="preserve">CRS </w:t>
      </w:r>
      <w:r>
        <w:rPr>
          <w:rFonts w:ascii="Times New Roman" w:eastAsia="Times New Roman" w:hAnsi="Times New Roman" w:cs="Times New Roman"/>
          <w:color w:val="000000"/>
        </w:rPr>
        <w:t xml:space="preserve">are like those in the </w:t>
      </w:r>
      <w:r>
        <w:rPr>
          <w:rFonts w:ascii="Times New Roman" w:eastAsia="Times New Roman" w:hAnsi="Times New Roman" w:cs="Times New Roman"/>
          <w:i/>
          <w:color w:val="000000"/>
        </w:rPr>
        <w:t xml:space="preserve">CAT </w:t>
      </w:r>
      <w:r>
        <w:rPr>
          <w:rFonts w:ascii="Times New Roman" w:eastAsia="Times New Roman" w:hAnsi="Times New Roman" w:cs="Times New Roman"/>
          <w:color w:val="000000"/>
        </w:rPr>
        <w:t xml:space="preserve">or the </w:t>
      </w:r>
      <w:r>
        <w:rPr>
          <w:rFonts w:ascii="Times New Roman" w:eastAsia="Times New Roman" w:hAnsi="Times New Roman" w:cs="Times New Roman"/>
          <w:i/>
          <w:color w:val="000000"/>
        </w:rPr>
        <w:t>Genocide Convention</w:t>
      </w:r>
      <w:r>
        <w:rPr>
          <w:rFonts w:ascii="Times New Roman" w:eastAsia="Times New Roman" w:hAnsi="Times New Roman" w:cs="Times New Roman"/>
          <w:color w:val="000000"/>
        </w:rPr>
        <w:t xml:space="preserve">, in which this Court observed that “[i]n such a convention the contracting States do not have any interests of their own; they merely have, one and all, a common interest, namely, the accomplishment of those high purposes which are the </w:t>
      </w:r>
      <w:r w:rsidRPr="004A1E2A">
        <w:rPr>
          <w:rFonts w:ascii="Times New Roman" w:eastAsia="Times New Roman" w:hAnsi="Times New Roman" w:cs="Times New Roman"/>
          <w:i/>
          <w:iCs/>
          <w:color w:val="000000"/>
        </w:rPr>
        <w:t>raison d’être</w:t>
      </w:r>
      <w:r>
        <w:rPr>
          <w:rFonts w:ascii="Times New Roman" w:eastAsia="Times New Roman" w:hAnsi="Times New Roman" w:cs="Times New Roman"/>
          <w:color w:val="000000"/>
        </w:rPr>
        <w:t xml:space="preserve"> of the Convention.”</w:t>
      </w:r>
      <w:r>
        <w:rPr>
          <w:rFonts w:ascii="Times New Roman" w:eastAsia="Times New Roman" w:hAnsi="Times New Roman" w:cs="Times New Roman"/>
          <w:color w:val="000000"/>
          <w:vertAlign w:val="superscript"/>
        </w:rPr>
        <w:footnoteReference w:id="19"/>
      </w:r>
    </w:p>
    <w:p w14:paraId="3CE1F0C8" w14:textId="77777777" w:rsidR="00D50212" w:rsidRPr="00AD3826" w:rsidRDefault="00D50212" w:rsidP="00D83BA1">
      <w:pPr>
        <w:pStyle w:val="Heading3"/>
      </w:pPr>
      <w:bookmarkStart w:id="9" w:name="_Toc155965813"/>
      <w:r w:rsidRPr="00AD3826">
        <w:t xml:space="preserve">Article 8 of the </w:t>
      </w:r>
      <w:r w:rsidRPr="00D52849">
        <w:rPr>
          <w:i/>
          <w:iCs/>
        </w:rPr>
        <w:t>CRS</w:t>
      </w:r>
      <w:r w:rsidRPr="00AD3826">
        <w:t xml:space="preserve"> is an </w:t>
      </w:r>
      <w:r w:rsidRPr="00211388">
        <w:rPr>
          <w:i/>
          <w:iCs/>
        </w:rPr>
        <w:t>erga omnes partes</w:t>
      </w:r>
      <w:r w:rsidRPr="00AD3826">
        <w:t xml:space="preserve"> obligation.</w:t>
      </w:r>
      <w:bookmarkEnd w:id="9"/>
    </w:p>
    <w:p w14:paraId="42DEEDE4" w14:textId="77777777" w:rsidR="00D50212" w:rsidRPr="00CB61A5"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Article 8(1) of the </w:t>
      </w:r>
      <w:r>
        <w:rPr>
          <w:rFonts w:ascii="Times New Roman" w:hAnsi="Times New Roman" w:cs="Times New Roman"/>
          <w:i/>
          <w:iCs/>
        </w:rPr>
        <w:t xml:space="preserve">CRS </w:t>
      </w:r>
      <w:r>
        <w:rPr>
          <w:rFonts w:ascii="Times New Roman" w:hAnsi="Times New Roman" w:cs="Times New Roman"/>
        </w:rPr>
        <w:t xml:space="preserve">prohibits the </w:t>
      </w:r>
      <w:r w:rsidRPr="008E4F8D">
        <w:rPr>
          <w:rFonts w:ascii="Times New Roman" w:hAnsi="Times New Roman" w:cs="Times New Roman"/>
        </w:rPr>
        <w:t>depriv</w:t>
      </w:r>
      <w:r>
        <w:rPr>
          <w:rFonts w:ascii="Times New Roman" w:hAnsi="Times New Roman" w:cs="Times New Roman"/>
        </w:rPr>
        <w:t>ation</w:t>
      </w:r>
      <w:r w:rsidRPr="008E4F8D">
        <w:rPr>
          <w:rFonts w:ascii="Times New Roman" w:hAnsi="Times New Roman" w:cs="Times New Roman"/>
        </w:rPr>
        <w:t xml:space="preserve"> </w:t>
      </w:r>
      <w:r>
        <w:rPr>
          <w:rFonts w:ascii="Times New Roman" w:hAnsi="Times New Roman" w:cs="Times New Roman"/>
        </w:rPr>
        <w:t xml:space="preserve">of </w:t>
      </w:r>
      <w:r w:rsidRPr="008E4F8D">
        <w:rPr>
          <w:rFonts w:ascii="Times New Roman" w:hAnsi="Times New Roman" w:cs="Times New Roman"/>
        </w:rPr>
        <w:t xml:space="preserve">nationality </w:t>
      </w:r>
      <w:r>
        <w:rPr>
          <w:rFonts w:ascii="Times New Roman" w:hAnsi="Times New Roman" w:cs="Times New Roman"/>
        </w:rPr>
        <w:t>if it would result in statelessness</w:t>
      </w:r>
      <w:r w:rsidRPr="008E4F8D">
        <w:rPr>
          <w:rFonts w:ascii="Times New Roman" w:hAnsi="Times New Roman" w:cs="Times New Roman"/>
        </w:rPr>
        <w:t>.</w:t>
      </w:r>
      <w:r>
        <w:rPr>
          <w:rStyle w:val="FootnoteReference"/>
          <w:rFonts w:ascii="Times New Roman" w:hAnsi="Times New Roman" w:cs="Times New Roman"/>
        </w:rPr>
        <w:footnoteReference w:id="20"/>
      </w:r>
      <w:r>
        <w:rPr>
          <w:rFonts w:ascii="Times New Roman" w:hAnsi="Times New Roman" w:cs="Times New Roman"/>
        </w:rPr>
        <w:t xml:space="preserve"> This provision governs unless one of the</w:t>
      </w:r>
      <w:r w:rsidRPr="008E4F8D">
        <w:rPr>
          <w:rFonts w:ascii="Times New Roman" w:hAnsi="Times New Roman" w:cs="Times New Roman"/>
        </w:rPr>
        <w:t xml:space="preserve"> </w:t>
      </w:r>
      <w:r>
        <w:rPr>
          <w:rFonts w:ascii="Times New Roman" w:hAnsi="Times New Roman" w:cs="Times New Roman"/>
        </w:rPr>
        <w:t xml:space="preserve">narrow </w:t>
      </w:r>
      <w:r w:rsidRPr="008E4F8D">
        <w:rPr>
          <w:rFonts w:ascii="Times New Roman" w:hAnsi="Times New Roman" w:cs="Times New Roman"/>
        </w:rPr>
        <w:t>exceptions set out in Articles 8(2) or 8(3) applies.</w:t>
      </w:r>
      <w:r>
        <w:rPr>
          <w:rStyle w:val="FootnoteReference"/>
          <w:rFonts w:ascii="Times New Roman" w:hAnsi="Times New Roman" w:cs="Times New Roman"/>
        </w:rPr>
        <w:footnoteReference w:id="21"/>
      </w:r>
      <w:r>
        <w:rPr>
          <w:rFonts w:ascii="Times New Roman" w:hAnsi="Times New Roman" w:cs="Times New Roman"/>
        </w:rPr>
        <w:t xml:space="preserve"> Since Article 8 establishes a general prohibition on rendering individuals stateless, it is relevant to the common interest in preventing and reducing statelessness and is thus an </w:t>
      </w:r>
      <w:r>
        <w:rPr>
          <w:rFonts w:ascii="Times New Roman" w:hAnsi="Times New Roman" w:cs="Times New Roman"/>
          <w:i/>
          <w:iCs/>
        </w:rPr>
        <w:t xml:space="preserve">erga omnes partes </w:t>
      </w:r>
      <w:r>
        <w:rPr>
          <w:rFonts w:ascii="Times New Roman" w:hAnsi="Times New Roman" w:cs="Times New Roman"/>
        </w:rPr>
        <w:t>obligation.</w:t>
      </w:r>
    </w:p>
    <w:p w14:paraId="7D59175F" w14:textId="77777777" w:rsidR="00D50212" w:rsidRPr="00211388"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That Article 8(3) permits States to submit a declaration retaining the right to withdraw nationality in exceptional circumstances does not take away from the high ideals that motivate </w:t>
      </w:r>
      <w:r>
        <w:rPr>
          <w:rFonts w:ascii="Times New Roman" w:hAnsi="Times New Roman" w:cs="Times New Roman"/>
        </w:rPr>
        <w:lastRenderedPageBreak/>
        <w:t>Article 8(1).</w:t>
      </w:r>
      <w:r w:rsidRPr="00752009">
        <w:rPr>
          <w:rFonts w:ascii="Times New Roman" w:hAnsi="Times New Roman" w:cs="Times New Roman"/>
        </w:rPr>
        <w:t xml:space="preserve"> On the contrary, the</w:t>
      </w:r>
      <w:r>
        <w:rPr>
          <w:rFonts w:ascii="Times New Roman" w:hAnsi="Times New Roman" w:cs="Times New Roman"/>
        </w:rPr>
        <w:t xml:space="preserve"> carefully circumscribed nature of these exceptions </w:t>
      </w:r>
      <w:r w:rsidRPr="00752009">
        <w:rPr>
          <w:rFonts w:ascii="Times New Roman" w:hAnsi="Times New Roman" w:cs="Times New Roman"/>
        </w:rPr>
        <w:t xml:space="preserve">should be seen as supplementary to, not diminishing of, States </w:t>
      </w:r>
      <w:r>
        <w:rPr>
          <w:rFonts w:ascii="Times New Roman" w:hAnsi="Times New Roman" w:cs="Times New Roman"/>
        </w:rPr>
        <w:t>p</w:t>
      </w:r>
      <w:r w:rsidRPr="00752009">
        <w:rPr>
          <w:rFonts w:ascii="Times New Roman" w:hAnsi="Times New Roman" w:cs="Times New Roman"/>
        </w:rPr>
        <w:t>arties’ interest in each other</w:t>
      </w:r>
      <w:r>
        <w:rPr>
          <w:rFonts w:ascii="Times New Roman" w:hAnsi="Times New Roman" w:cs="Times New Roman"/>
        </w:rPr>
        <w:t>’s</w:t>
      </w:r>
      <w:r w:rsidRPr="00752009">
        <w:rPr>
          <w:rFonts w:ascii="Times New Roman" w:hAnsi="Times New Roman" w:cs="Times New Roman"/>
        </w:rPr>
        <w:t xml:space="preserve"> </w:t>
      </w:r>
      <w:r>
        <w:rPr>
          <w:rFonts w:ascii="Times New Roman" w:hAnsi="Times New Roman" w:cs="Times New Roman"/>
        </w:rPr>
        <w:t>compliance</w:t>
      </w:r>
      <w:r w:rsidRPr="00752009">
        <w:rPr>
          <w:rFonts w:ascii="Times New Roman" w:hAnsi="Times New Roman" w:cs="Times New Roman"/>
        </w:rPr>
        <w:t>.</w:t>
      </w:r>
      <w:r>
        <w:rPr>
          <w:rStyle w:val="FootnoteReference"/>
          <w:rFonts w:ascii="Times New Roman" w:hAnsi="Times New Roman" w:cs="Times New Roman"/>
        </w:rPr>
        <w:footnoteReference w:id="22"/>
      </w:r>
      <w:r w:rsidRPr="00752009">
        <w:rPr>
          <w:rFonts w:ascii="Times New Roman" w:hAnsi="Times New Roman" w:cs="Times New Roman"/>
        </w:rPr>
        <w:t xml:space="preserve"> </w:t>
      </w:r>
      <w:r>
        <w:rPr>
          <w:rFonts w:ascii="Times New Roman" w:hAnsi="Times New Roman" w:cs="Times New Roman"/>
        </w:rPr>
        <w:t xml:space="preserve">Antrano is entitled to verify whether Remisia’s declaration and the actions purportedly undertaken under that declaration comply with the strict limits of the </w:t>
      </w:r>
      <w:r>
        <w:rPr>
          <w:rFonts w:ascii="Times New Roman" w:hAnsi="Times New Roman" w:cs="Times New Roman"/>
          <w:i/>
          <w:iCs/>
        </w:rPr>
        <w:t xml:space="preserve">CRS </w:t>
      </w:r>
      <w:r>
        <w:rPr>
          <w:rFonts w:ascii="Times New Roman" w:hAnsi="Times New Roman" w:cs="Times New Roman"/>
        </w:rPr>
        <w:t xml:space="preserve">and its </w:t>
      </w:r>
      <w:r>
        <w:rPr>
          <w:rFonts w:ascii="Times New Roman" w:hAnsi="Times New Roman" w:cs="Times New Roman"/>
          <w:i/>
          <w:iCs/>
        </w:rPr>
        <w:t xml:space="preserve">erga omnes partes </w:t>
      </w:r>
      <w:r>
        <w:rPr>
          <w:rFonts w:ascii="Times New Roman" w:hAnsi="Times New Roman" w:cs="Times New Roman"/>
        </w:rPr>
        <w:t>character,</w:t>
      </w:r>
      <w:r>
        <w:rPr>
          <w:rStyle w:val="FootnoteReference"/>
          <w:rFonts w:ascii="Times New Roman" w:hAnsi="Times New Roman" w:cs="Times New Roman"/>
        </w:rPr>
        <w:footnoteReference w:id="23"/>
      </w:r>
      <w:r>
        <w:rPr>
          <w:rFonts w:ascii="Times New Roman" w:hAnsi="Times New Roman" w:cs="Times New Roman"/>
        </w:rPr>
        <w:t xml:space="preserve"> especially since reservations are prohibited under Article 8.</w:t>
      </w:r>
      <w:r>
        <w:rPr>
          <w:rStyle w:val="FootnoteReference"/>
          <w:rFonts w:ascii="Times New Roman" w:hAnsi="Times New Roman" w:cs="Times New Roman"/>
        </w:rPr>
        <w:footnoteReference w:id="24"/>
      </w:r>
      <w:r>
        <w:rPr>
          <w:rFonts w:ascii="Times New Roman" w:hAnsi="Times New Roman" w:cs="Times New Roman"/>
        </w:rPr>
        <w:t xml:space="preserve"> </w:t>
      </w:r>
    </w:p>
    <w:p w14:paraId="5DE285A8" w14:textId="77777777" w:rsidR="00D50212" w:rsidRPr="00AD3826" w:rsidRDefault="00D50212" w:rsidP="00D83BA1">
      <w:pPr>
        <w:pStyle w:val="Heading3"/>
      </w:pPr>
      <w:bookmarkStart w:id="10" w:name="_Toc155965814"/>
      <w:r w:rsidRPr="00AD3826">
        <w:t xml:space="preserve">Article 9 of the </w:t>
      </w:r>
      <w:r w:rsidRPr="00D52849">
        <w:rPr>
          <w:i/>
          <w:iCs/>
        </w:rPr>
        <w:t>CRS</w:t>
      </w:r>
      <w:r w:rsidRPr="00AD3826">
        <w:t xml:space="preserve"> is an </w:t>
      </w:r>
      <w:r w:rsidRPr="00D52849">
        <w:rPr>
          <w:i/>
          <w:iCs/>
        </w:rPr>
        <w:t>erga omnes partes</w:t>
      </w:r>
      <w:r w:rsidRPr="00AD3826">
        <w:t xml:space="preserve"> obligation.</w:t>
      </w:r>
      <w:bookmarkEnd w:id="10"/>
    </w:p>
    <w:p w14:paraId="562E5852" w14:textId="77777777" w:rsidR="00D50212" w:rsidRPr="00EA7396"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Article 9 of the </w:t>
      </w:r>
      <w:r>
        <w:rPr>
          <w:rFonts w:ascii="Times New Roman" w:hAnsi="Times New Roman" w:cs="Times New Roman"/>
          <w:i/>
          <w:iCs/>
        </w:rPr>
        <w:t>CRS</w:t>
      </w:r>
      <w:r w:rsidRPr="007E0357">
        <w:rPr>
          <w:rFonts w:ascii="Times New Roman" w:hAnsi="Times New Roman" w:cs="Times New Roman"/>
        </w:rPr>
        <w:t xml:space="preserve"> </w:t>
      </w:r>
      <w:r>
        <w:rPr>
          <w:rFonts w:ascii="Times New Roman" w:hAnsi="Times New Roman" w:cs="Times New Roman"/>
        </w:rPr>
        <w:t>prohibits</w:t>
      </w:r>
      <w:r w:rsidRPr="007E0357">
        <w:rPr>
          <w:rFonts w:ascii="Times New Roman" w:hAnsi="Times New Roman" w:cs="Times New Roman"/>
        </w:rPr>
        <w:t xml:space="preserve"> depriv</w:t>
      </w:r>
      <w:r>
        <w:rPr>
          <w:rFonts w:ascii="Times New Roman" w:hAnsi="Times New Roman" w:cs="Times New Roman"/>
        </w:rPr>
        <w:t xml:space="preserve">ation of nationality based </w:t>
      </w:r>
      <w:r w:rsidRPr="007E0357">
        <w:rPr>
          <w:rFonts w:ascii="Times New Roman" w:hAnsi="Times New Roman" w:cs="Times New Roman"/>
        </w:rPr>
        <w:t>on racial, ethnic, religious or political grounds.</w:t>
      </w:r>
      <w:r>
        <w:rPr>
          <w:rStyle w:val="FootnoteReference"/>
          <w:rFonts w:ascii="Times New Roman" w:hAnsi="Times New Roman" w:cs="Times New Roman"/>
        </w:rPr>
        <w:footnoteReference w:id="25"/>
      </w:r>
      <w:r>
        <w:rPr>
          <w:rFonts w:ascii="Times New Roman" w:hAnsi="Times New Roman" w:cs="Times New Roman"/>
        </w:rPr>
        <w:t xml:space="preserve"> Although Article 9 applies irrespective of whether statelessness would result, the UNHCR notes it is highly relevant to situations where</w:t>
      </w:r>
      <w:r w:rsidRPr="007E0357">
        <w:rPr>
          <w:rFonts w:ascii="Times New Roman" w:hAnsi="Times New Roman" w:cs="Times New Roman"/>
        </w:rPr>
        <w:t xml:space="preserve"> a </w:t>
      </w:r>
      <w:r>
        <w:rPr>
          <w:rFonts w:ascii="Times New Roman" w:hAnsi="Times New Roman" w:cs="Times New Roman"/>
        </w:rPr>
        <w:t>State party</w:t>
      </w:r>
      <w:r w:rsidRPr="007E0357">
        <w:rPr>
          <w:rFonts w:ascii="Times New Roman" w:hAnsi="Times New Roman" w:cs="Times New Roman"/>
        </w:rPr>
        <w:t xml:space="preserve"> </w:t>
      </w:r>
      <w:r>
        <w:rPr>
          <w:rFonts w:ascii="Times New Roman" w:hAnsi="Times New Roman" w:cs="Times New Roman"/>
        </w:rPr>
        <w:t>relies on</w:t>
      </w:r>
      <w:r w:rsidRPr="007E0357">
        <w:rPr>
          <w:rFonts w:ascii="Times New Roman" w:hAnsi="Times New Roman" w:cs="Times New Roman"/>
        </w:rPr>
        <w:t xml:space="preserve"> individual’s political beliefs as a basis for deprivation of nationality </w:t>
      </w:r>
      <w:r>
        <w:rPr>
          <w:rFonts w:ascii="Times New Roman" w:hAnsi="Times New Roman" w:cs="Times New Roman"/>
        </w:rPr>
        <w:t xml:space="preserve">resulting in statelessness </w:t>
      </w:r>
      <w:r w:rsidRPr="007E0357">
        <w:rPr>
          <w:rFonts w:ascii="Times New Roman" w:hAnsi="Times New Roman" w:cs="Times New Roman"/>
        </w:rPr>
        <w:t>under Article 8(3)</w:t>
      </w:r>
      <w:r>
        <w:rPr>
          <w:rFonts w:ascii="Times New Roman" w:hAnsi="Times New Roman" w:cs="Times New Roman"/>
        </w:rPr>
        <w:t>.</w:t>
      </w:r>
      <w:r>
        <w:rPr>
          <w:rStyle w:val="FootnoteReference"/>
          <w:rFonts w:ascii="Times New Roman" w:hAnsi="Times New Roman" w:cs="Times New Roman"/>
        </w:rPr>
        <w:footnoteReference w:id="26"/>
      </w:r>
      <w:r>
        <w:rPr>
          <w:rFonts w:ascii="Times New Roman" w:hAnsi="Times New Roman" w:cs="Times New Roman"/>
        </w:rPr>
        <w:t xml:space="preserve"> In addition, the discriminatory deprivation of nationality, including on political grounds, is one of the root causes of statelessness globally.</w:t>
      </w:r>
      <w:r>
        <w:rPr>
          <w:rStyle w:val="FootnoteReference"/>
          <w:rFonts w:ascii="Times New Roman" w:hAnsi="Times New Roman" w:cs="Times New Roman"/>
        </w:rPr>
        <w:footnoteReference w:id="27"/>
      </w:r>
      <w:r>
        <w:rPr>
          <w:rFonts w:ascii="Times New Roman" w:hAnsi="Times New Roman" w:cs="Times New Roman"/>
        </w:rPr>
        <w:t xml:space="preserve"> Accordingly, the rule under Article 9 is relevant to the common interest in preventing statelessness and is thus an </w:t>
      </w:r>
      <w:r>
        <w:rPr>
          <w:rFonts w:ascii="Times New Roman" w:hAnsi="Times New Roman" w:cs="Times New Roman"/>
          <w:i/>
          <w:iCs/>
        </w:rPr>
        <w:t xml:space="preserve">erga omnes partes </w:t>
      </w:r>
      <w:r>
        <w:rPr>
          <w:rFonts w:ascii="Times New Roman" w:hAnsi="Times New Roman" w:cs="Times New Roman"/>
        </w:rPr>
        <w:t>obligation.</w:t>
      </w:r>
    </w:p>
    <w:p w14:paraId="4AFF16E8" w14:textId="77777777" w:rsidR="00D50212" w:rsidRPr="00FE49E0" w:rsidRDefault="00D50212" w:rsidP="00D50212">
      <w:pPr>
        <w:pStyle w:val="Heading2"/>
      </w:pPr>
      <w:bookmarkStart w:id="11" w:name="_Toc155047651"/>
      <w:bookmarkStart w:id="12" w:name="_Toc155965815"/>
      <w:r w:rsidRPr="00FE49E0">
        <w:t xml:space="preserve">Antrano has </w:t>
      </w:r>
      <w:r w:rsidRPr="00C5617A">
        <w:rPr>
          <w:i/>
          <w:iCs/>
        </w:rPr>
        <w:t>erga omnes</w:t>
      </w:r>
      <w:r>
        <w:t xml:space="preserve"> standing to launch this claim.</w:t>
      </w:r>
      <w:bookmarkEnd w:id="11"/>
      <w:bookmarkEnd w:id="12"/>
    </w:p>
    <w:p w14:paraId="371EA94F" w14:textId="77777777" w:rsidR="00D50212" w:rsidRPr="00AD3826"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All States have</w:t>
      </w:r>
      <w:r w:rsidRPr="00242952">
        <w:rPr>
          <w:rFonts w:ascii="Times New Roman" w:hAnsi="Times New Roman" w:cs="Times New Roman"/>
        </w:rPr>
        <w:t xml:space="preserve"> standing to invoke </w:t>
      </w:r>
      <w:r>
        <w:rPr>
          <w:rFonts w:ascii="Times New Roman" w:hAnsi="Times New Roman" w:cs="Times New Roman"/>
        </w:rPr>
        <w:t xml:space="preserve">the responsibility of another State for breaches </w:t>
      </w:r>
      <w:r w:rsidRPr="00242952">
        <w:rPr>
          <w:rFonts w:ascii="Times New Roman" w:hAnsi="Times New Roman" w:cs="Times New Roman"/>
        </w:rPr>
        <w:t>of obligations</w:t>
      </w:r>
      <w:r>
        <w:rPr>
          <w:rFonts w:ascii="Times New Roman" w:hAnsi="Times New Roman" w:cs="Times New Roman"/>
        </w:rPr>
        <w:t xml:space="preserve"> </w:t>
      </w:r>
      <w:r>
        <w:rPr>
          <w:rFonts w:ascii="Times New Roman" w:hAnsi="Times New Roman" w:cs="Times New Roman"/>
          <w:i/>
          <w:iCs/>
        </w:rPr>
        <w:t>erga omnes</w:t>
      </w:r>
      <w:r>
        <w:rPr>
          <w:rFonts w:ascii="Times New Roman" w:hAnsi="Times New Roman" w:cs="Times New Roman"/>
        </w:rPr>
        <w:t>.</w:t>
      </w:r>
      <w:r>
        <w:rPr>
          <w:rStyle w:val="FootnoteReference"/>
          <w:rFonts w:ascii="Times New Roman" w:hAnsi="Times New Roman" w:cs="Times New Roman"/>
        </w:rPr>
        <w:footnoteReference w:id="28"/>
      </w:r>
      <w:r>
        <w:rPr>
          <w:rFonts w:ascii="Times New Roman" w:hAnsi="Times New Roman" w:cs="Times New Roman"/>
        </w:rPr>
        <w:t xml:space="preserve"> In </w:t>
      </w:r>
      <w:r>
        <w:rPr>
          <w:rFonts w:ascii="Times New Roman" w:hAnsi="Times New Roman" w:cs="Times New Roman"/>
          <w:i/>
          <w:iCs/>
        </w:rPr>
        <w:t>Barcelona Traction</w:t>
      </w:r>
      <w:r>
        <w:rPr>
          <w:rFonts w:ascii="Times New Roman" w:hAnsi="Times New Roman" w:cs="Times New Roman"/>
        </w:rPr>
        <w:t xml:space="preserve">, this Court distinguished between obligations </w:t>
      </w:r>
      <w:r>
        <w:rPr>
          <w:rFonts w:ascii="Times New Roman" w:hAnsi="Times New Roman" w:cs="Times New Roman"/>
        </w:rPr>
        <w:lastRenderedPageBreak/>
        <w:t>owed to particulate States and those owed “towards the international community as a whole.”</w:t>
      </w:r>
      <w:r>
        <w:rPr>
          <w:rStyle w:val="FootnoteReference"/>
          <w:rFonts w:ascii="Times New Roman" w:hAnsi="Times New Roman" w:cs="Times New Roman"/>
        </w:rPr>
        <w:footnoteReference w:id="29"/>
      </w:r>
      <w:r>
        <w:rPr>
          <w:rFonts w:ascii="Times New Roman" w:hAnsi="Times New Roman" w:cs="Times New Roman"/>
        </w:rPr>
        <w:t xml:space="preserve"> Regarding the latter, this Court stated that “[i]n view of the importance of the rights involved, all States can be held to have a legal interest in their protection; they are obligations </w:t>
      </w:r>
      <w:r>
        <w:rPr>
          <w:rFonts w:ascii="Times New Roman" w:hAnsi="Times New Roman" w:cs="Times New Roman"/>
          <w:i/>
          <w:iCs/>
        </w:rPr>
        <w:t>erga omnes</w:t>
      </w:r>
      <w:r>
        <w:rPr>
          <w:rFonts w:ascii="Times New Roman" w:hAnsi="Times New Roman" w:cs="Times New Roman"/>
        </w:rPr>
        <w:t>.”</w:t>
      </w:r>
      <w:r>
        <w:rPr>
          <w:rStyle w:val="FootnoteReference"/>
          <w:rFonts w:ascii="Times New Roman" w:hAnsi="Times New Roman" w:cs="Times New Roman"/>
        </w:rPr>
        <w:footnoteReference w:id="30"/>
      </w:r>
    </w:p>
    <w:p w14:paraId="2E520C2C" w14:textId="77777777" w:rsidR="00D50212" w:rsidRPr="00732ED3"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O</w:t>
      </w:r>
      <w:r w:rsidRPr="00D00AAD">
        <w:rPr>
          <w:rFonts w:ascii="Times New Roman" w:hAnsi="Times New Roman" w:cs="Times New Roman"/>
        </w:rPr>
        <w:t xml:space="preserve">bligations </w:t>
      </w:r>
      <w:r w:rsidRPr="00D00AAD">
        <w:rPr>
          <w:rFonts w:ascii="Times New Roman" w:hAnsi="Times New Roman" w:cs="Times New Roman"/>
          <w:i/>
          <w:iCs/>
        </w:rPr>
        <w:t>erga omnes</w:t>
      </w:r>
      <w:r w:rsidRPr="00D00AAD">
        <w:rPr>
          <w:rFonts w:ascii="Times New Roman" w:hAnsi="Times New Roman" w:cs="Times New Roman"/>
        </w:rPr>
        <w:t xml:space="preserve"> </w:t>
      </w:r>
      <w:r>
        <w:rPr>
          <w:rFonts w:ascii="Times New Roman" w:hAnsi="Times New Roman" w:cs="Times New Roman"/>
        </w:rPr>
        <w:t>generally (1) emerge from customary international law and (2) are of fundamental importance of the international community</w:t>
      </w:r>
      <w:r w:rsidRPr="00D00AAD">
        <w:rPr>
          <w:rFonts w:ascii="Times New Roman" w:hAnsi="Times New Roman" w:cs="Times New Roman"/>
        </w:rPr>
        <w:t>.</w:t>
      </w:r>
      <w:r>
        <w:rPr>
          <w:rStyle w:val="FootnoteReference"/>
          <w:rFonts w:ascii="Times New Roman" w:hAnsi="Times New Roman" w:cs="Times New Roman"/>
        </w:rPr>
        <w:footnoteReference w:id="31"/>
      </w:r>
      <w:r w:rsidRPr="00D00AAD">
        <w:rPr>
          <w:rFonts w:ascii="Times New Roman" w:hAnsi="Times New Roman" w:cs="Times New Roman"/>
        </w:rPr>
        <w:t xml:space="preserve"> According to this Court, obligations </w:t>
      </w:r>
      <w:r w:rsidRPr="00D00AAD">
        <w:rPr>
          <w:rFonts w:ascii="Times New Roman" w:hAnsi="Times New Roman" w:cs="Times New Roman"/>
          <w:i/>
          <w:iCs/>
        </w:rPr>
        <w:t xml:space="preserve">erga omnes </w:t>
      </w:r>
      <w:r w:rsidRPr="00D00AAD">
        <w:rPr>
          <w:rFonts w:ascii="Times New Roman" w:hAnsi="Times New Roman" w:cs="Times New Roman"/>
        </w:rPr>
        <w:t>include “the principles and rules concerning the basic rights of the human person.”</w:t>
      </w:r>
      <w:r>
        <w:rPr>
          <w:rStyle w:val="FootnoteReference"/>
          <w:rFonts w:ascii="Times New Roman" w:hAnsi="Times New Roman" w:cs="Times New Roman"/>
        </w:rPr>
        <w:footnoteReference w:id="32"/>
      </w:r>
    </w:p>
    <w:p w14:paraId="1CA9D0F9" w14:textId="77777777" w:rsidR="00D50212" w:rsidRPr="00732ED3"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There is no judicial or scholarly consensus which dictates that obligations </w:t>
      </w:r>
      <w:r>
        <w:rPr>
          <w:rFonts w:ascii="Times New Roman" w:hAnsi="Times New Roman" w:cs="Times New Roman"/>
          <w:i/>
          <w:iCs/>
        </w:rPr>
        <w:t xml:space="preserve">erga omnes </w:t>
      </w:r>
      <w:r>
        <w:rPr>
          <w:rFonts w:ascii="Times New Roman" w:hAnsi="Times New Roman" w:cs="Times New Roman"/>
        </w:rPr>
        <w:t xml:space="preserve">must be </w:t>
      </w:r>
      <w:r>
        <w:rPr>
          <w:rFonts w:ascii="Times New Roman" w:hAnsi="Times New Roman" w:cs="Times New Roman"/>
          <w:i/>
          <w:iCs/>
        </w:rPr>
        <w:t>jus cogens</w:t>
      </w:r>
      <w:r>
        <w:rPr>
          <w:rFonts w:ascii="Times New Roman" w:hAnsi="Times New Roman" w:cs="Times New Roman"/>
        </w:rPr>
        <w:t>. Rather, the two are distinct categories.</w:t>
      </w:r>
      <w:r>
        <w:rPr>
          <w:rStyle w:val="FootnoteReference"/>
          <w:rFonts w:ascii="Times New Roman" w:hAnsi="Times New Roman" w:cs="Times New Roman"/>
        </w:rPr>
        <w:footnoteReference w:id="33"/>
      </w:r>
      <w:r>
        <w:rPr>
          <w:rFonts w:ascii="Times New Roman" w:hAnsi="Times New Roman" w:cs="Times New Roman"/>
        </w:rPr>
        <w:t xml:space="preserve"> For example, the obligation to protect the marine environment is considered </w:t>
      </w:r>
      <w:r>
        <w:rPr>
          <w:rFonts w:ascii="Times New Roman" w:hAnsi="Times New Roman" w:cs="Times New Roman"/>
          <w:i/>
          <w:iCs/>
        </w:rPr>
        <w:t xml:space="preserve">erga omnes </w:t>
      </w:r>
      <w:r>
        <w:rPr>
          <w:rFonts w:ascii="Times New Roman" w:hAnsi="Times New Roman" w:cs="Times New Roman"/>
        </w:rPr>
        <w:t xml:space="preserve">but not a </w:t>
      </w:r>
      <w:r>
        <w:rPr>
          <w:rFonts w:ascii="Times New Roman" w:hAnsi="Times New Roman" w:cs="Times New Roman"/>
          <w:i/>
          <w:iCs/>
        </w:rPr>
        <w:t>jus cogens</w:t>
      </w:r>
      <w:r>
        <w:rPr>
          <w:rFonts w:ascii="Times New Roman" w:hAnsi="Times New Roman" w:cs="Times New Roman"/>
        </w:rPr>
        <w:t>.</w:t>
      </w:r>
      <w:r>
        <w:rPr>
          <w:rStyle w:val="FootnoteReference"/>
          <w:rFonts w:ascii="Times New Roman" w:hAnsi="Times New Roman" w:cs="Times New Roman"/>
        </w:rPr>
        <w:footnoteReference w:id="34"/>
      </w:r>
    </w:p>
    <w:p w14:paraId="39C2A3E5" w14:textId="77777777" w:rsidR="00D50212" w:rsidRPr="00AD3826" w:rsidRDefault="00D50212" w:rsidP="00D83BA1">
      <w:pPr>
        <w:pStyle w:val="Heading3"/>
      </w:pPr>
      <w:bookmarkStart w:id="13" w:name="_Toc155965816"/>
      <w:r>
        <w:t xml:space="preserve">The right to a nationality and the prohibition of arbitrary deprivation of nationality are obligations </w:t>
      </w:r>
      <w:r w:rsidRPr="001E552E">
        <w:rPr>
          <w:i/>
          <w:iCs/>
        </w:rPr>
        <w:t>erga omnes</w:t>
      </w:r>
      <w:r>
        <w:t>.</w:t>
      </w:r>
      <w:bookmarkEnd w:id="13"/>
    </w:p>
    <w:p w14:paraId="7B164DF2" w14:textId="77777777" w:rsidR="00D50212" w:rsidRPr="002B2FA2" w:rsidRDefault="00D50212" w:rsidP="00D50212">
      <w:pPr>
        <w:pStyle w:val="BodyText"/>
        <w:numPr>
          <w:ilvl w:val="5"/>
          <w:numId w:val="2"/>
        </w:numPr>
        <w:spacing w:before="240" w:after="240" w:line="360" w:lineRule="auto"/>
        <w:jc w:val="both"/>
        <w:rPr>
          <w:rFonts w:ascii="Times New Roman" w:hAnsi="Times New Roman" w:cs="Times New Roman"/>
          <w:strike/>
        </w:rPr>
      </w:pPr>
      <w:r w:rsidRPr="00CD7C88">
        <w:rPr>
          <w:rFonts w:ascii="Times New Roman" w:hAnsi="Times New Roman" w:cs="Times New Roman"/>
        </w:rPr>
        <w:t>Antrano</w:t>
      </w:r>
      <w:r>
        <w:rPr>
          <w:rFonts w:ascii="Times New Roman" w:hAnsi="Times New Roman" w:cs="Times New Roman"/>
        </w:rPr>
        <w:t xml:space="preserve"> has standing because it invokes the responsibility of Remisia for violating its obligations </w:t>
      </w:r>
      <w:r>
        <w:rPr>
          <w:rFonts w:ascii="Times New Roman" w:hAnsi="Times New Roman" w:cs="Times New Roman"/>
          <w:i/>
          <w:iCs/>
        </w:rPr>
        <w:t xml:space="preserve">erga omnes </w:t>
      </w:r>
      <w:r>
        <w:rPr>
          <w:rFonts w:ascii="Times New Roman" w:hAnsi="Times New Roman" w:cs="Times New Roman"/>
        </w:rPr>
        <w:t xml:space="preserve">to respect the right to a nationality and prevent the prohibition of arbitrary deprivation of nationality. These are obligations </w:t>
      </w:r>
      <w:r>
        <w:rPr>
          <w:rFonts w:ascii="Times New Roman" w:hAnsi="Times New Roman" w:cs="Times New Roman"/>
          <w:i/>
          <w:iCs/>
        </w:rPr>
        <w:t xml:space="preserve">erga omnes </w:t>
      </w:r>
      <w:r>
        <w:rPr>
          <w:rFonts w:ascii="Times New Roman" w:hAnsi="Times New Roman" w:cs="Times New Roman"/>
        </w:rPr>
        <w:t xml:space="preserve">because they are customary international law norms </w:t>
      </w:r>
      <w:r>
        <w:rPr>
          <w:rFonts w:ascii="Times New Roman" w:hAnsi="Times New Roman" w:cs="Times New Roman"/>
          <w:b/>
          <w:bCs/>
        </w:rPr>
        <w:t xml:space="preserve">[i] </w:t>
      </w:r>
      <w:r>
        <w:rPr>
          <w:rFonts w:ascii="Times New Roman" w:hAnsi="Times New Roman" w:cs="Times New Roman"/>
        </w:rPr>
        <w:t>and constitute</w:t>
      </w:r>
      <w:r w:rsidRPr="005D50A5">
        <w:rPr>
          <w:rFonts w:ascii="Times New Roman" w:hAnsi="Times New Roman" w:cs="Times New Roman"/>
        </w:rPr>
        <w:t xml:space="preserve"> a basic right of the human person</w:t>
      </w:r>
      <w:r>
        <w:rPr>
          <w:rFonts w:ascii="Times New Roman" w:hAnsi="Times New Roman" w:cs="Times New Roman"/>
        </w:rPr>
        <w:t xml:space="preserve"> </w:t>
      </w:r>
      <w:r>
        <w:rPr>
          <w:rFonts w:ascii="Times New Roman" w:hAnsi="Times New Roman" w:cs="Times New Roman"/>
          <w:b/>
          <w:bCs/>
        </w:rPr>
        <w:t>[ii]</w:t>
      </w:r>
      <w:r>
        <w:rPr>
          <w:rFonts w:ascii="Times New Roman" w:hAnsi="Times New Roman" w:cs="Times New Roman"/>
        </w:rPr>
        <w:t>.</w:t>
      </w:r>
    </w:p>
    <w:p w14:paraId="21B9413D" w14:textId="6B60359F" w:rsidR="00D50212" w:rsidRPr="004D398C" w:rsidRDefault="00D50212" w:rsidP="004D398C">
      <w:pPr>
        <w:pStyle w:val="Heading4"/>
      </w:pPr>
      <w:bookmarkStart w:id="14" w:name="_Toc155047652"/>
      <w:r w:rsidRPr="004D398C">
        <w:lastRenderedPageBreak/>
        <w:t xml:space="preserve">The right to a nationality and the prohibition of arbitrary deprivation of nationality are </w:t>
      </w:r>
      <w:bookmarkEnd w:id="14"/>
      <w:r w:rsidRPr="004D398C">
        <w:t>customary international law norms.</w:t>
      </w:r>
    </w:p>
    <w:p w14:paraId="5B089275" w14:textId="77777777" w:rsidR="00D50212" w:rsidRPr="00FF2BB5"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The right to a nationality, and its corollary, the prohibition of arbitrary deprivation of nationality, are in customary international law. The Universal Declaration of Human Rights is the cornerstone source for these norms, with Article 15 guaranteeing the right to a nationality and prohibiting arbitrary deprivation of nationality.</w:t>
      </w:r>
      <w:r>
        <w:rPr>
          <w:rStyle w:val="FootnoteReference"/>
          <w:rFonts w:ascii="Times New Roman" w:eastAsia="Times New Roman" w:hAnsi="Times New Roman" w:cs="Times New Roman"/>
        </w:rPr>
        <w:footnoteReference w:id="35"/>
      </w:r>
      <w:r>
        <w:rPr>
          <w:rFonts w:ascii="Times New Roman" w:eastAsia="Times New Roman" w:hAnsi="Times New Roman" w:cs="Times New Roman"/>
        </w:rPr>
        <w:t xml:space="preserve"> These norms have been explicitly or implicitly incorporated into various United Nations</w:t>
      </w:r>
      <w:r>
        <w:rPr>
          <w:rStyle w:val="FootnoteReference"/>
          <w:rFonts w:ascii="Times New Roman" w:eastAsia="Times New Roman" w:hAnsi="Times New Roman" w:cs="Times New Roman"/>
        </w:rPr>
        <w:footnoteReference w:id="36"/>
      </w:r>
      <w:r>
        <w:rPr>
          <w:rFonts w:ascii="Times New Roman" w:eastAsia="Times New Roman" w:hAnsi="Times New Roman" w:cs="Times New Roman"/>
        </w:rPr>
        <w:t xml:space="preserve"> </w:t>
      </w:r>
      <w:r>
        <w:rPr>
          <w:rFonts w:ascii="Times New Roman" w:eastAsia="Times New Roman" w:hAnsi="Times New Roman" w:cs="Times New Roman"/>
          <w:b/>
          <w:bCs/>
        </w:rPr>
        <w:t>(“UN”)</w:t>
      </w:r>
      <w:r>
        <w:rPr>
          <w:rFonts w:ascii="Times New Roman" w:eastAsia="Times New Roman" w:hAnsi="Times New Roman" w:cs="Times New Roman"/>
        </w:rPr>
        <w:t xml:space="preserve"> and regional</w:t>
      </w:r>
      <w:r>
        <w:rPr>
          <w:rStyle w:val="FootnoteReference"/>
          <w:rFonts w:ascii="Times New Roman" w:eastAsia="Times New Roman" w:hAnsi="Times New Roman" w:cs="Times New Roman"/>
        </w:rPr>
        <w:footnoteReference w:id="37"/>
      </w:r>
      <w:r>
        <w:rPr>
          <w:rFonts w:ascii="Times New Roman" w:eastAsia="Times New Roman" w:hAnsi="Times New Roman" w:cs="Times New Roman"/>
        </w:rPr>
        <w:t xml:space="preserve"> human rights treaties. In addition, the fundamental importance of the right to a nationality has been echoed by UN General Assembly Resolutions,</w:t>
      </w:r>
      <w:r>
        <w:rPr>
          <w:rStyle w:val="FootnoteReference"/>
          <w:rFonts w:ascii="Times New Roman" w:eastAsia="Times New Roman" w:hAnsi="Times New Roman" w:cs="Times New Roman"/>
        </w:rPr>
        <w:footnoteReference w:id="38"/>
      </w:r>
      <w:r>
        <w:rPr>
          <w:rFonts w:ascii="Times New Roman" w:eastAsia="Times New Roman" w:hAnsi="Times New Roman" w:cs="Times New Roman"/>
        </w:rPr>
        <w:t xml:space="preserve"> resolutions of the Human Rights Council and its predecessor,</w:t>
      </w:r>
      <w:r>
        <w:rPr>
          <w:rStyle w:val="FootnoteReference"/>
          <w:rFonts w:ascii="Times New Roman" w:eastAsia="Times New Roman" w:hAnsi="Times New Roman" w:cs="Times New Roman"/>
        </w:rPr>
        <w:footnoteReference w:id="39"/>
      </w:r>
      <w:r>
        <w:rPr>
          <w:rFonts w:ascii="Times New Roman" w:eastAsia="Times New Roman" w:hAnsi="Times New Roman" w:cs="Times New Roman"/>
        </w:rPr>
        <w:t xml:space="preserve"> general comments from treaty bodies,</w:t>
      </w:r>
      <w:r>
        <w:rPr>
          <w:rStyle w:val="FootnoteReference"/>
          <w:rFonts w:ascii="Times New Roman" w:eastAsia="Times New Roman" w:hAnsi="Times New Roman" w:cs="Times New Roman"/>
        </w:rPr>
        <w:footnoteReference w:id="40"/>
      </w:r>
      <w:r>
        <w:rPr>
          <w:rFonts w:ascii="Times New Roman" w:eastAsia="Times New Roman" w:hAnsi="Times New Roman" w:cs="Times New Roman"/>
        </w:rPr>
        <w:t xml:space="preserve"> UN Secretary-General reports,</w:t>
      </w:r>
      <w:r>
        <w:rPr>
          <w:rStyle w:val="FootnoteReference"/>
          <w:rFonts w:ascii="Times New Roman" w:eastAsia="Times New Roman" w:hAnsi="Times New Roman" w:cs="Times New Roman"/>
        </w:rPr>
        <w:footnoteReference w:id="41"/>
      </w:r>
      <w:r>
        <w:rPr>
          <w:rFonts w:ascii="Times New Roman" w:eastAsia="Times New Roman" w:hAnsi="Times New Roman" w:cs="Times New Roman"/>
        </w:rPr>
        <w:t xml:space="preserve"> and UNHCR Executive Committee conclusions.</w:t>
      </w:r>
      <w:r>
        <w:rPr>
          <w:rStyle w:val="FootnoteReference"/>
          <w:rFonts w:ascii="Times New Roman" w:eastAsia="Times New Roman" w:hAnsi="Times New Roman" w:cs="Times New Roman"/>
        </w:rPr>
        <w:footnoteReference w:id="42"/>
      </w:r>
      <w:r>
        <w:rPr>
          <w:rFonts w:ascii="Times New Roman" w:eastAsia="Times New Roman" w:hAnsi="Times New Roman" w:cs="Times New Roman"/>
        </w:rPr>
        <w:t xml:space="preserve"> </w:t>
      </w:r>
    </w:p>
    <w:p w14:paraId="72E76F6A" w14:textId="77777777" w:rsidR="00D50212" w:rsidRPr="00D24DCB"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lastRenderedPageBreak/>
        <w:t xml:space="preserve">The convergence of (1) State practice and (2) </w:t>
      </w:r>
      <w:r>
        <w:rPr>
          <w:rFonts w:ascii="Times New Roman" w:eastAsia="Times New Roman" w:hAnsi="Times New Roman" w:cs="Times New Roman"/>
          <w:i/>
          <w:iCs/>
        </w:rPr>
        <w:t>opinio juris</w:t>
      </w:r>
      <w:r>
        <w:rPr>
          <w:rFonts w:ascii="Times New Roman" w:eastAsia="Times New Roman" w:hAnsi="Times New Roman" w:cs="Times New Roman"/>
        </w:rPr>
        <w:t>, shown through such widespread treaty ratification and adoption by consensus of many international resolutions on nationality, demonstrates the crystallization of the right to a nationality and the prohibition of arbitrary deprivation of nationality as customary international law norms.</w:t>
      </w:r>
      <w:r>
        <w:rPr>
          <w:rStyle w:val="FootnoteReference"/>
          <w:rFonts w:ascii="Times New Roman" w:eastAsia="Times New Roman" w:hAnsi="Times New Roman" w:cs="Times New Roman"/>
        </w:rPr>
        <w:footnoteReference w:id="43"/>
      </w:r>
      <w:r>
        <w:rPr>
          <w:rFonts w:ascii="Times New Roman" w:eastAsia="Times New Roman" w:hAnsi="Times New Roman" w:cs="Times New Roman"/>
        </w:rPr>
        <w:t xml:space="preserve"> The customary nature of these norms is supported by eminent legal scholars,</w:t>
      </w:r>
      <w:r>
        <w:rPr>
          <w:rStyle w:val="FootnoteReference"/>
          <w:rFonts w:ascii="Times New Roman" w:eastAsia="Times New Roman" w:hAnsi="Times New Roman" w:cs="Times New Roman"/>
        </w:rPr>
        <w:footnoteReference w:id="44"/>
      </w:r>
      <w:r>
        <w:rPr>
          <w:rFonts w:ascii="Times New Roman" w:eastAsia="Times New Roman" w:hAnsi="Times New Roman" w:cs="Times New Roman"/>
        </w:rPr>
        <w:t xml:space="preserve"> Special Rapporteurs,</w:t>
      </w:r>
      <w:r>
        <w:rPr>
          <w:rStyle w:val="FootnoteReference"/>
          <w:rFonts w:ascii="Times New Roman" w:eastAsia="Times New Roman" w:hAnsi="Times New Roman" w:cs="Times New Roman"/>
        </w:rPr>
        <w:footnoteReference w:id="45"/>
      </w:r>
      <w:r>
        <w:rPr>
          <w:rFonts w:ascii="Times New Roman" w:eastAsia="Times New Roman" w:hAnsi="Times New Roman" w:cs="Times New Roman"/>
        </w:rPr>
        <w:t xml:space="preserve"> and various judicial decisions,</w:t>
      </w:r>
      <w:r>
        <w:rPr>
          <w:rStyle w:val="FootnoteReference"/>
          <w:rFonts w:ascii="Times New Roman" w:eastAsia="Times New Roman" w:hAnsi="Times New Roman" w:cs="Times New Roman"/>
        </w:rPr>
        <w:footnoteReference w:id="46"/>
      </w:r>
      <w:r>
        <w:rPr>
          <w:rFonts w:ascii="Times New Roman" w:eastAsia="Times New Roman" w:hAnsi="Times New Roman" w:cs="Times New Roman"/>
        </w:rPr>
        <w:t xml:space="preserve"> including those rendered by this Court.</w:t>
      </w:r>
      <w:r>
        <w:rPr>
          <w:rStyle w:val="FootnoteReference"/>
          <w:rFonts w:ascii="Times New Roman" w:eastAsia="Times New Roman" w:hAnsi="Times New Roman" w:cs="Times New Roman"/>
        </w:rPr>
        <w:footnoteReference w:id="47"/>
      </w:r>
    </w:p>
    <w:p w14:paraId="33AA1857" w14:textId="77777777" w:rsidR="00D50212" w:rsidRPr="004D398C" w:rsidRDefault="00D50212" w:rsidP="004D398C">
      <w:pPr>
        <w:pStyle w:val="Heading4"/>
      </w:pPr>
      <w:r w:rsidRPr="004D398C">
        <w:t>The right to a nationality and the prohibition of arbitrary deprivation of nationality are rules concerning the basic rights of the human person.</w:t>
      </w:r>
    </w:p>
    <w:p w14:paraId="1F748B90" w14:textId="77777777" w:rsidR="00D50212" w:rsidRPr="00B678CC"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The right to a nationality is a basic right of the human person; it is the “right to have rights.”</w:t>
      </w:r>
      <w:r>
        <w:rPr>
          <w:rStyle w:val="FootnoteReference"/>
          <w:rFonts w:ascii="Times New Roman" w:eastAsia="Times New Roman" w:hAnsi="Times New Roman" w:cs="Times New Roman"/>
        </w:rPr>
        <w:footnoteReference w:id="48"/>
      </w:r>
      <w:r>
        <w:rPr>
          <w:rFonts w:ascii="Times New Roman" w:eastAsia="Times New Roman" w:hAnsi="Times New Roman" w:cs="Times New Roman"/>
        </w:rPr>
        <w:t xml:space="preserve"> It serves the legal link between the individual and the State,</w:t>
      </w:r>
      <w:r>
        <w:rPr>
          <w:rStyle w:val="FootnoteReference"/>
          <w:rFonts w:ascii="Times New Roman" w:eastAsia="Times New Roman" w:hAnsi="Times New Roman" w:cs="Times New Roman"/>
        </w:rPr>
        <w:footnoteReference w:id="49"/>
      </w:r>
      <w:r>
        <w:rPr>
          <w:rFonts w:ascii="Times New Roman" w:eastAsia="Times New Roman" w:hAnsi="Times New Roman" w:cs="Times New Roman"/>
        </w:rPr>
        <w:t xml:space="preserve"> and since traditionally only States were subjects of international law, nationality also serves as “the link between the individual </w:t>
      </w:r>
      <w:r>
        <w:rPr>
          <w:rFonts w:ascii="Times New Roman" w:eastAsia="Times New Roman" w:hAnsi="Times New Roman" w:cs="Times New Roman"/>
        </w:rPr>
        <w:lastRenderedPageBreak/>
        <w:t>and the law of nations.”</w:t>
      </w:r>
      <w:r>
        <w:rPr>
          <w:rStyle w:val="FootnoteReference"/>
          <w:rFonts w:ascii="Times New Roman" w:eastAsia="Times New Roman" w:hAnsi="Times New Roman" w:cs="Times New Roman"/>
        </w:rPr>
        <w:footnoteReference w:id="50"/>
      </w:r>
      <w:r>
        <w:rPr>
          <w:rFonts w:ascii="Times New Roman" w:eastAsia="Times New Roman" w:hAnsi="Times New Roman" w:cs="Times New Roman"/>
        </w:rPr>
        <w:t xml:space="preserve"> Being without a nationality has long signified falling between the cracks of the international legal system, making the right to a nationality an indispensable right.</w:t>
      </w:r>
      <w:r>
        <w:rPr>
          <w:rStyle w:val="FootnoteReference"/>
          <w:rFonts w:ascii="Times New Roman" w:eastAsia="Times New Roman" w:hAnsi="Times New Roman" w:cs="Times New Roman"/>
        </w:rPr>
        <w:footnoteReference w:id="51"/>
      </w:r>
    </w:p>
    <w:p w14:paraId="551AD181" w14:textId="77777777" w:rsidR="00D50212" w:rsidRPr="00B678CC"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Statelessness is a violation of the right to a nationality, </w:t>
      </w:r>
      <w:r w:rsidRPr="00A31B13">
        <w:rPr>
          <w:rFonts w:ascii="Times New Roman" w:eastAsia="Times New Roman" w:hAnsi="Times New Roman" w:cs="Times New Roman"/>
        </w:rPr>
        <w:t xml:space="preserve">leading to </w:t>
      </w:r>
      <w:r>
        <w:rPr>
          <w:rFonts w:ascii="Times New Roman" w:eastAsia="Times New Roman" w:hAnsi="Times New Roman" w:cs="Times New Roman"/>
        </w:rPr>
        <w:t xml:space="preserve">serious </w:t>
      </w:r>
      <w:r w:rsidRPr="00A31B13">
        <w:rPr>
          <w:rFonts w:ascii="Times New Roman" w:eastAsia="Times New Roman" w:hAnsi="Times New Roman" w:cs="Times New Roman"/>
        </w:rPr>
        <w:t xml:space="preserve">impediments in enjoying a socio-political life, securing employment, accessing healthcare and education, facing restrictions on freedom of movement, </w:t>
      </w:r>
      <w:r>
        <w:rPr>
          <w:rFonts w:ascii="Times New Roman" w:eastAsia="Times New Roman" w:hAnsi="Times New Roman" w:cs="Times New Roman"/>
        </w:rPr>
        <w:t xml:space="preserve">and </w:t>
      </w:r>
      <w:r w:rsidRPr="00A31B13">
        <w:rPr>
          <w:rFonts w:ascii="Times New Roman" w:eastAsia="Times New Roman" w:hAnsi="Times New Roman" w:cs="Times New Roman"/>
        </w:rPr>
        <w:t>experiencing a lack of state protection</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52"/>
      </w:r>
      <w:r>
        <w:rPr>
          <w:rFonts w:ascii="Times New Roman" w:eastAsia="Times New Roman" w:hAnsi="Times New Roman" w:cs="Times New Roman"/>
        </w:rPr>
        <w:t xml:space="preserve"> </w:t>
      </w:r>
      <w:r w:rsidRPr="00B678CC">
        <w:rPr>
          <w:rFonts w:ascii="Times New Roman" w:eastAsia="Times New Roman" w:hAnsi="Times New Roman" w:cs="Times New Roman"/>
        </w:rPr>
        <w:t xml:space="preserve">The violation of the right to a nationality can </w:t>
      </w:r>
      <w:r>
        <w:rPr>
          <w:rFonts w:ascii="Times New Roman" w:eastAsia="Times New Roman" w:hAnsi="Times New Roman" w:cs="Times New Roman"/>
        </w:rPr>
        <w:t>also threaten</w:t>
      </w:r>
      <w:r w:rsidRPr="00B678CC">
        <w:rPr>
          <w:rFonts w:ascii="Times New Roman" w:eastAsia="Times New Roman" w:hAnsi="Times New Roman" w:cs="Times New Roman"/>
        </w:rPr>
        <w:t xml:space="preserve"> the maintenance of international peace and security, </w:t>
      </w:r>
      <w:r>
        <w:rPr>
          <w:rFonts w:ascii="Times New Roman" w:eastAsia="Times New Roman" w:hAnsi="Times New Roman" w:cs="Times New Roman"/>
        </w:rPr>
        <w:t>especially</w:t>
      </w:r>
      <w:r w:rsidRPr="00B678CC">
        <w:rPr>
          <w:rFonts w:ascii="Times New Roman" w:eastAsia="Times New Roman" w:hAnsi="Times New Roman" w:cs="Times New Roman"/>
        </w:rPr>
        <w:t xml:space="preserve"> in cases of statelessness</w:t>
      </w:r>
      <w:r>
        <w:rPr>
          <w:rFonts w:ascii="Times New Roman" w:eastAsia="Times New Roman" w:hAnsi="Times New Roman" w:cs="Times New Roman"/>
        </w:rPr>
        <w:t xml:space="preserve"> involving forced displacement or persecution</w:t>
      </w:r>
      <w:r w:rsidRPr="00B678CC">
        <w:rPr>
          <w:rFonts w:ascii="Times New Roman" w:eastAsia="Times New Roman" w:hAnsi="Times New Roman" w:cs="Times New Roman"/>
        </w:rPr>
        <w:t>, making it a fundamental concern to the international community.</w:t>
      </w:r>
      <w:r>
        <w:rPr>
          <w:rStyle w:val="FootnoteReference"/>
          <w:rFonts w:ascii="Times New Roman" w:eastAsia="Times New Roman" w:hAnsi="Times New Roman" w:cs="Times New Roman"/>
        </w:rPr>
        <w:footnoteReference w:id="53"/>
      </w:r>
    </w:p>
    <w:p w14:paraId="00E41291" w14:textId="77777777" w:rsidR="00D50212" w:rsidRPr="00C44EF8"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Because of the importance of the right to a nationality and the prohibition of arbitrary deprivation of nationality, Antrano has a legal interest in their protection and has </w:t>
      </w:r>
      <w:r>
        <w:rPr>
          <w:rFonts w:ascii="Times New Roman" w:hAnsi="Times New Roman" w:cs="Times New Roman"/>
          <w:i/>
          <w:iCs/>
        </w:rPr>
        <w:t xml:space="preserve">erga omnes </w:t>
      </w:r>
      <w:r>
        <w:rPr>
          <w:rFonts w:ascii="Times New Roman" w:hAnsi="Times New Roman" w:cs="Times New Roman"/>
        </w:rPr>
        <w:t>standing to launch this claim.</w:t>
      </w:r>
    </w:p>
    <w:p w14:paraId="48A8E9D7" w14:textId="77777777" w:rsidR="00D50212" w:rsidRPr="00834536" w:rsidRDefault="00D50212" w:rsidP="00D50212">
      <w:pPr>
        <w:pStyle w:val="Heading1"/>
      </w:pPr>
      <w:bookmarkStart w:id="15" w:name="_Toc155965817"/>
      <w:r>
        <w:t>Remisia violated international law by depriving the Sterren Forty of their nationality and rendering them stateless.</w:t>
      </w:r>
      <w:bookmarkEnd w:id="15"/>
    </w:p>
    <w:p w14:paraId="131FBA8C" w14:textId="77777777" w:rsidR="00D50212" w:rsidRPr="00834536"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In depriving the Sterren Forty of their nationality and rendering them stateless, Remisia violated its treaty obligations under the </w:t>
      </w:r>
      <w:r>
        <w:rPr>
          <w:rFonts w:ascii="Times New Roman" w:eastAsia="Times New Roman" w:hAnsi="Times New Roman" w:cs="Times New Roman"/>
          <w:i/>
          <w:iCs/>
        </w:rPr>
        <w:t>CRS</w:t>
      </w:r>
      <w:r>
        <w:rPr>
          <w:rFonts w:ascii="Times New Roman" w:eastAsia="Times New Roman" w:hAnsi="Times New Roman" w:cs="Times New Roman"/>
        </w:rPr>
        <w:t xml:space="preserve"> </w:t>
      </w:r>
      <w:r>
        <w:rPr>
          <w:rFonts w:ascii="Times New Roman" w:eastAsia="Times New Roman" w:hAnsi="Times New Roman" w:cs="Times New Roman"/>
          <w:b/>
          <w:bCs/>
        </w:rPr>
        <w:t>[A]</w:t>
      </w:r>
      <w:r>
        <w:rPr>
          <w:rFonts w:ascii="Times New Roman" w:eastAsia="Times New Roman" w:hAnsi="Times New Roman" w:cs="Times New Roman"/>
        </w:rPr>
        <w:t xml:space="preserve"> and the customary international prohibition of arbitrary deprivation of nationality </w:t>
      </w:r>
      <w:r>
        <w:rPr>
          <w:rFonts w:ascii="Times New Roman" w:eastAsia="Times New Roman" w:hAnsi="Times New Roman" w:cs="Times New Roman"/>
          <w:b/>
          <w:bCs/>
        </w:rPr>
        <w:t>[B]</w:t>
      </w:r>
      <w:r>
        <w:rPr>
          <w:rFonts w:ascii="Times New Roman" w:eastAsia="Times New Roman" w:hAnsi="Times New Roman" w:cs="Times New Roman"/>
        </w:rPr>
        <w:t>.</w:t>
      </w:r>
    </w:p>
    <w:p w14:paraId="434438D8" w14:textId="77777777" w:rsidR="00D50212" w:rsidRDefault="00D50212" w:rsidP="00D50212">
      <w:pPr>
        <w:pStyle w:val="Heading2"/>
      </w:pPr>
      <w:bookmarkStart w:id="16" w:name="_Toc155965818"/>
      <w:r w:rsidRPr="00AD3826">
        <w:t xml:space="preserve">Remisia violated </w:t>
      </w:r>
      <w:r>
        <w:t xml:space="preserve">its obligations under </w:t>
      </w:r>
      <w:r w:rsidRPr="00AD3826">
        <w:t xml:space="preserve">the </w:t>
      </w:r>
      <w:r w:rsidRPr="00281E1A">
        <w:rPr>
          <w:i/>
          <w:iCs/>
        </w:rPr>
        <w:t>CRS</w:t>
      </w:r>
      <w:r w:rsidRPr="00AD3826">
        <w:t>.</w:t>
      </w:r>
      <w:bookmarkEnd w:id="16"/>
    </w:p>
    <w:p w14:paraId="2B4581D9" w14:textId="77777777" w:rsidR="00D50212" w:rsidRPr="00834536"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Remisia violated Article 8(1) of the </w:t>
      </w:r>
      <w:r>
        <w:rPr>
          <w:rFonts w:ascii="Times New Roman" w:eastAsia="Times New Roman" w:hAnsi="Times New Roman" w:cs="Times New Roman"/>
          <w:i/>
          <w:iCs/>
        </w:rPr>
        <w:t>CRS</w:t>
      </w:r>
      <w:r>
        <w:rPr>
          <w:rFonts w:ascii="Times New Roman" w:eastAsia="Times New Roman" w:hAnsi="Times New Roman" w:cs="Times New Roman"/>
        </w:rPr>
        <w:t xml:space="preserve"> </w:t>
      </w:r>
      <w:r>
        <w:rPr>
          <w:rFonts w:ascii="Times New Roman" w:eastAsia="Times New Roman" w:hAnsi="Times New Roman" w:cs="Times New Roman"/>
          <w:b/>
          <w:bCs/>
        </w:rPr>
        <w:t>[1]</w:t>
      </w:r>
      <w:r>
        <w:rPr>
          <w:rFonts w:ascii="Times New Roman" w:eastAsia="Times New Roman" w:hAnsi="Times New Roman" w:cs="Times New Roman"/>
        </w:rPr>
        <w:t xml:space="preserve">. Should Remisia’s declaration be considered valid, Remisia still violated Article 9 of the </w:t>
      </w:r>
      <w:r>
        <w:rPr>
          <w:rFonts w:ascii="Times New Roman" w:eastAsia="Times New Roman" w:hAnsi="Times New Roman" w:cs="Times New Roman"/>
          <w:i/>
          <w:iCs/>
        </w:rPr>
        <w:t>CRS</w:t>
      </w:r>
      <w:r>
        <w:rPr>
          <w:rFonts w:ascii="Times New Roman" w:eastAsia="Times New Roman" w:hAnsi="Times New Roman" w:cs="Times New Roman"/>
        </w:rPr>
        <w:t xml:space="preserve"> </w:t>
      </w:r>
      <w:r>
        <w:rPr>
          <w:rFonts w:ascii="Times New Roman" w:eastAsia="Times New Roman" w:hAnsi="Times New Roman" w:cs="Times New Roman"/>
          <w:b/>
          <w:bCs/>
        </w:rPr>
        <w:t>[2]</w:t>
      </w:r>
      <w:r>
        <w:rPr>
          <w:rFonts w:ascii="Times New Roman" w:eastAsia="Times New Roman" w:hAnsi="Times New Roman" w:cs="Times New Roman"/>
        </w:rPr>
        <w:t>.</w:t>
      </w:r>
    </w:p>
    <w:p w14:paraId="24933155" w14:textId="77777777" w:rsidR="00D50212" w:rsidRPr="00AD3826" w:rsidRDefault="00D50212" w:rsidP="00D83BA1">
      <w:pPr>
        <w:pStyle w:val="Heading3"/>
      </w:pPr>
      <w:bookmarkStart w:id="17" w:name="_Toc155965819"/>
      <w:r w:rsidRPr="00AD3826">
        <w:lastRenderedPageBreak/>
        <w:t>Remisia violated Article 8</w:t>
      </w:r>
      <w:r>
        <w:t>(1)</w:t>
      </w:r>
      <w:r w:rsidRPr="00AD3826">
        <w:t xml:space="preserve"> of the </w:t>
      </w:r>
      <w:r>
        <w:rPr>
          <w:i/>
          <w:iCs/>
        </w:rPr>
        <w:t>CRS</w:t>
      </w:r>
      <w:r w:rsidRPr="00AD3826">
        <w:t>.</w:t>
      </w:r>
      <w:bookmarkEnd w:id="17"/>
    </w:p>
    <w:p w14:paraId="3DD85901" w14:textId="77777777" w:rsidR="00D50212" w:rsidRPr="00861A28"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Remisia violated Article 8(1) of the </w:t>
      </w:r>
      <w:r>
        <w:rPr>
          <w:rFonts w:ascii="Times New Roman" w:eastAsia="Times New Roman" w:hAnsi="Times New Roman" w:cs="Times New Roman"/>
          <w:i/>
          <w:iCs/>
        </w:rPr>
        <w:t>CRS</w:t>
      </w:r>
      <w:r>
        <w:rPr>
          <w:rFonts w:ascii="Times New Roman" w:eastAsia="Times New Roman" w:hAnsi="Times New Roman" w:cs="Times New Roman"/>
        </w:rPr>
        <w:t xml:space="preserve"> </w:t>
      </w:r>
      <w:r>
        <w:rPr>
          <w:rFonts w:ascii="Times New Roman" w:eastAsia="Times New Roman" w:hAnsi="Times New Roman" w:cs="Times New Roman"/>
          <w:b/>
          <w:bCs/>
        </w:rPr>
        <w:t>[i]</w:t>
      </w:r>
      <w:r>
        <w:rPr>
          <w:rFonts w:ascii="Times New Roman" w:eastAsia="Times New Roman" w:hAnsi="Times New Roman" w:cs="Times New Roman"/>
        </w:rPr>
        <w:t xml:space="preserve">. Remisia’s declaration under Article 8(3) does not excuse this violation </w:t>
      </w:r>
      <w:r>
        <w:rPr>
          <w:rFonts w:ascii="Times New Roman" w:eastAsia="Times New Roman" w:hAnsi="Times New Roman" w:cs="Times New Roman"/>
          <w:b/>
          <w:bCs/>
        </w:rPr>
        <w:t xml:space="preserve">[ii]. </w:t>
      </w:r>
      <w:r>
        <w:rPr>
          <w:rFonts w:ascii="Times New Roman" w:eastAsia="Times New Roman" w:hAnsi="Times New Roman" w:cs="Times New Roman"/>
        </w:rPr>
        <w:t xml:space="preserve">Should Remisia’s declaration be considered a reservation, it is impermissible </w:t>
      </w:r>
      <w:r>
        <w:rPr>
          <w:rFonts w:ascii="Times New Roman" w:eastAsia="Times New Roman" w:hAnsi="Times New Roman" w:cs="Times New Roman"/>
          <w:b/>
          <w:bCs/>
        </w:rPr>
        <w:t xml:space="preserve">[ii] </w:t>
      </w:r>
      <w:r>
        <w:rPr>
          <w:rFonts w:ascii="Times New Roman" w:eastAsia="Times New Roman" w:hAnsi="Times New Roman" w:cs="Times New Roman"/>
        </w:rPr>
        <w:t xml:space="preserve">and Remisia remains party to the </w:t>
      </w:r>
      <w:r>
        <w:rPr>
          <w:rFonts w:ascii="Times New Roman" w:eastAsia="Times New Roman" w:hAnsi="Times New Roman" w:cs="Times New Roman"/>
          <w:i/>
          <w:iCs/>
        </w:rPr>
        <w:t xml:space="preserve">CRS </w:t>
      </w:r>
      <w:r>
        <w:rPr>
          <w:rFonts w:ascii="Times New Roman" w:eastAsia="Times New Roman" w:hAnsi="Times New Roman" w:cs="Times New Roman"/>
        </w:rPr>
        <w:t xml:space="preserve">without the reservation </w:t>
      </w:r>
      <w:r>
        <w:rPr>
          <w:rFonts w:ascii="Times New Roman" w:eastAsia="Times New Roman" w:hAnsi="Times New Roman" w:cs="Times New Roman"/>
          <w:b/>
          <w:bCs/>
        </w:rPr>
        <w:t>[iii]</w:t>
      </w:r>
      <w:r>
        <w:rPr>
          <w:rFonts w:ascii="Times New Roman" w:eastAsia="Times New Roman" w:hAnsi="Times New Roman" w:cs="Times New Roman"/>
        </w:rPr>
        <w:t>.</w:t>
      </w:r>
    </w:p>
    <w:p w14:paraId="2FDB4E03" w14:textId="77777777" w:rsidR="00D50212" w:rsidRPr="004D398C" w:rsidRDefault="00D50212" w:rsidP="004D398C">
      <w:pPr>
        <w:pStyle w:val="Heading4"/>
        <w:numPr>
          <w:ilvl w:val="0"/>
          <w:numId w:val="20"/>
        </w:numPr>
      </w:pPr>
      <w:r w:rsidRPr="004D398C">
        <w:t>Remisia violated Article 8(1) of the CRS.</w:t>
      </w:r>
    </w:p>
    <w:p w14:paraId="0B4C89FB" w14:textId="77777777" w:rsidR="00D50212" w:rsidRPr="0027690A"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Article 8(1) of the </w:t>
      </w:r>
      <w:r>
        <w:rPr>
          <w:rFonts w:ascii="Times New Roman" w:eastAsia="Times New Roman" w:hAnsi="Times New Roman" w:cs="Times New Roman"/>
          <w:i/>
          <w:iCs/>
        </w:rPr>
        <w:t xml:space="preserve">CRS </w:t>
      </w:r>
      <w:r>
        <w:rPr>
          <w:rFonts w:ascii="Times New Roman" w:eastAsia="Times New Roman" w:hAnsi="Times New Roman" w:cs="Times New Roman"/>
        </w:rPr>
        <w:t>prohibits depriving individuals of their nationality if doing so renders them stateless.</w:t>
      </w:r>
      <w:r>
        <w:rPr>
          <w:rStyle w:val="FootnoteReference"/>
          <w:rFonts w:ascii="Times New Roman" w:eastAsia="Times New Roman" w:hAnsi="Times New Roman" w:cs="Times New Roman"/>
        </w:rPr>
        <w:footnoteReference w:id="54"/>
      </w:r>
      <w:r>
        <w:rPr>
          <w:rFonts w:ascii="Times New Roman" w:eastAsia="Times New Roman" w:hAnsi="Times New Roman" w:cs="Times New Roman"/>
        </w:rPr>
        <w:t xml:space="preserve"> Remisia breached that provision because its deprivation of the Sterren Forty’s nationality rendered them stateless.</w:t>
      </w:r>
      <w:r>
        <w:rPr>
          <w:rStyle w:val="FootnoteReference"/>
          <w:rFonts w:ascii="Times New Roman" w:eastAsia="Times New Roman" w:hAnsi="Times New Roman" w:cs="Times New Roman"/>
        </w:rPr>
        <w:footnoteReference w:id="55"/>
      </w:r>
    </w:p>
    <w:p w14:paraId="12562134" w14:textId="77777777" w:rsidR="00D50212" w:rsidRPr="004D398C" w:rsidRDefault="00D50212" w:rsidP="004D398C">
      <w:pPr>
        <w:pStyle w:val="Heading4"/>
      </w:pPr>
      <w:r w:rsidRPr="004D398C">
        <w:t>Remisia’s declaration does not excuse its violation of Article 8(1).</w:t>
      </w:r>
    </w:p>
    <w:p w14:paraId="0D447227" w14:textId="77777777" w:rsidR="00D50212" w:rsidRPr="00CF15E6"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Remisia’s declaration does not excuse its violation of Article 8(1) because it does not modify the legal effect of the </w:t>
      </w:r>
      <w:r>
        <w:rPr>
          <w:rFonts w:ascii="Times New Roman" w:eastAsia="Times New Roman" w:hAnsi="Times New Roman" w:cs="Times New Roman"/>
          <w:i/>
          <w:iCs/>
        </w:rPr>
        <w:t>CRS</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56"/>
      </w:r>
      <w:r>
        <w:rPr>
          <w:rFonts w:ascii="Times New Roman" w:eastAsia="Times New Roman" w:hAnsi="Times New Roman" w:cs="Times New Roman"/>
        </w:rPr>
        <w:t xml:space="preserve"> Remisia is simply purporting to interpret the </w:t>
      </w:r>
      <w:r>
        <w:rPr>
          <w:rFonts w:ascii="Times New Roman" w:eastAsia="Times New Roman" w:hAnsi="Times New Roman" w:cs="Times New Roman"/>
          <w:i/>
          <w:iCs/>
        </w:rPr>
        <w:t xml:space="preserve">CRS </w:t>
      </w:r>
      <w:r>
        <w:rPr>
          <w:rFonts w:ascii="Times New Roman" w:eastAsia="Times New Roman" w:hAnsi="Times New Roman" w:cs="Times New Roman"/>
        </w:rPr>
        <w:t xml:space="preserve">through its declaration; it is </w:t>
      </w:r>
      <w:r w:rsidRPr="008D3153">
        <w:rPr>
          <w:rFonts w:ascii="Times New Roman" w:eastAsia="Times New Roman" w:hAnsi="Times New Roman" w:cs="Times New Roman"/>
        </w:rPr>
        <w:t xml:space="preserve">asserting its belief that </w:t>
      </w:r>
      <w:r>
        <w:rPr>
          <w:rFonts w:ascii="Times New Roman" w:eastAsia="Times New Roman" w:hAnsi="Times New Roman" w:cs="Times New Roman"/>
        </w:rPr>
        <w:t>the DCA</w:t>
      </w:r>
      <w:r w:rsidRPr="008D3153">
        <w:rPr>
          <w:rFonts w:ascii="Times New Roman" w:eastAsia="Times New Roman" w:hAnsi="Times New Roman" w:cs="Times New Roman"/>
        </w:rPr>
        <w:t xml:space="preserve"> </w:t>
      </w:r>
      <w:r>
        <w:rPr>
          <w:rFonts w:ascii="Times New Roman" w:eastAsia="Times New Roman" w:hAnsi="Times New Roman" w:cs="Times New Roman"/>
        </w:rPr>
        <w:t>complies with Article 8(3).</w:t>
      </w:r>
      <w:r>
        <w:rPr>
          <w:rStyle w:val="FootnoteReference"/>
          <w:rFonts w:ascii="Times New Roman" w:eastAsia="Times New Roman" w:hAnsi="Times New Roman" w:cs="Times New Roman"/>
        </w:rPr>
        <w:footnoteReference w:id="57"/>
      </w:r>
    </w:p>
    <w:p w14:paraId="15DC06BB" w14:textId="77777777" w:rsidR="00D50212" w:rsidRPr="002B2FA2"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In any event, Remisia’s actions against the Sterren Forty do not comply with Article 8(3)(a)(ii) of the </w:t>
      </w:r>
      <w:r>
        <w:rPr>
          <w:rFonts w:ascii="Times New Roman" w:eastAsia="Times New Roman" w:hAnsi="Times New Roman" w:cs="Times New Roman"/>
          <w:i/>
          <w:iCs/>
        </w:rPr>
        <w:t>CRS</w:t>
      </w:r>
      <w:r>
        <w:rPr>
          <w:rFonts w:ascii="Times New Roman" w:eastAsia="Times New Roman" w:hAnsi="Times New Roman" w:cs="Times New Roman"/>
        </w:rPr>
        <w:t>, which allows deprivation of nationality leading to statelessness based on conduct “seriously prejudicial” to the “vital interests” of the State.</w:t>
      </w:r>
      <w:r>
        <w:rPr>
          <w:rStyle w:val="FootnoteReference"/>
          <w:rFonts w:ascii="Times New Roman" w:eastAsia="Times New Roman" w:hAnsi="Times New Roman" w:cs="Times New Roman"/>
        </w:rPr>
        <w:footnoteReference w:id="58"/>
      </w:r>
      <w:r>
        <w:rPr>
          <w:rFonts w:ascii="Times New Roman" w:eastAsia="Times New Roman" w:hAnsi="Times New Roman" w:cs="Times New Roman"/>
        </w:rPr>
        <w:t xml:space="preserve"> This exception establishes a high threshold: (1) there must be clear evidence of intent to act inconsistently with their duty of loyalty to the State as a whole, not just a specific government or part of the State, and (2) conduct must threaten the fundamental foundation and organization of the State rather than mere criminal conduct.</w:t>
      </w:r>
      <w:r>
        <w:rPr>
          <w:rStyle w:val="FootnoteReference"/>
          <w:rFonts w:ascii="Times New Roman" w:eastAsia="Times New Roman" w:hAnsi="Times New Roman" w:cs="Times New Roman"/>
        </w:rPr>
        <w:footnoteReference w:id="59"/>
      </w:r>
      <w:r>
        <w:rPr>
          <w:rFonts w:ascii="Times New Roman" w:eastAsia="Times New Roman" w:hAnsi="Times New Roman" w:cs="Times New Roman"/>
        </w:rPr>
        <w:t xml:space="preserve"> </w:t>
      </w:r>
      <w:r w:rsidRPr="002B2FA2">
        <w:rPr>
          <w:rFonts w:ascii="Times New Roman" w:eastAsia="Times New Roman" w:hAnsi="Times New Roman" w:cs="Times New Roman"/>
        </w:rPr>
        <w:t>The conduct of the Sterren Forty d</w:t>
      </w:r>
      <w:r>
        <w:rPr>
          <w:rFonts w:ascii="Times New Roman" w:eastAsia="Times New Roman" w:hAnsi="Times New Roman" w:cs="Times New Roman"/>
        </w:rPr>
        <w:t>id</w:t>
      </w:r>
      <w:r w:rsidRPr="002B2FA2">
        <w:rPr>
          <w:rFonts w:ascii="Times New Roman" w:eastAsia="Times New Roman" w:hAnsi="Times New Roman" w:cs="Times New Roman"/>
        </w:rPr>
        <w:t xml:space="preserve"> not meet this threshold. </w:t>
      </w:r>
    </w:p>
    <w:p w14:paraId="34FAEF21" w14:textId="77777777" w:rsidR="00D50212" w:rsidRPr="002B2FA2" w:rsidRDefault="00D50212" w:rsidP="00D50212">
      <w:pPr>
        <w:pStyle w:val="BodyText"/>
        <w:numPr>
          <w:ilvl w:val="5"/>
          <w:numId w:val="2"/>
        </w:numPr>
        <w:spacing w:before="240" w:after="240" w:line="360" w:lineRule="auto"/>
        <w:jc w:val="both"/>
        <w:rPr>
          <w:rFonts w:ascii="Times New Roman" w:hAnsi="Times New Roman" w:cs="Times New Roman"/>
          <w:strike/>
        </w:rPr>
      </w:pPr>
      <w:r w:rsidRPr="002B2FA2">
        <w:rPr>
          <w:rFonts w:ascii="Times New Roman" w:eastAsia="Times New Roman" w:hAnsi="Times New Roman" w:cs="Times New Roman"/>
        </w:rPr>
        <w:lastRenderedPageBreak/>
        <w:t xml:space="preserve">First, the Sterren Forty’s actions reflected policy disagreements with the </w:t>
      </w:r>
      <w:r>
        <w:rPr>
          <w:rFonts w:ascii="Times New Roman" w:eastAsia="Times New Roman" w:hAnsi="Times New Roman" w:cs="Times New Roman"/>
        </w:rPr>
        <w:t>government’s</w:t>
      </w:r>
      <w:r w:rsidRPr="002B2FA2">
        <w:rPr>
          <w:rFonts w:ascii="Times New Roman" w:eastAsia="Times New Roman" w:hAnsi="Times New Roman" w:cs="Times New Roman"/>
        </w:rPr>
        <w:t xml:space="preserve"> economic and environmental policies, not disloyalty to the State itself.</w:t>
      </w:r>
      <w:r>
        <w:rPr>
          <w:rStyle w:val="FootnoteReference"/>
          <w:rFonts w:ascii="Times New Roman" w:eastAsia="Times New Roman" w:hAnsi="Times New Roman" w:cs="Times New Roman"/>
        </w:rPr>
        <w:footnoteReference w:id="60"/>
      </w:r>
      <w:r w:rsidRPr="002B2FA2">
        <w:rPr>
          <w:rFonts w:ascii="Times New Roman" w:eastAsia="Times New Roman" w:hAnsi="Times New Roman" w:cs="Times New Roman"/>
        </w:rPr>
        <w:t xml:space="preserve"> </w:t>
      </w:r>
      <w:r>
        <w:rPr>
          <w:rFonts w:ascii="Times New Roman" w:eastAsia="Times New Roman" w:hAnsi="Times New Roman" w:cs="Times New Roman"/>
        </w:rPr>
        <w:t>T</w:t>
      </w:r>
      <w:r w:rsidRPr="002B2FA2">
        <w:rPr>
          <w:rFonts w:ascii="Times New Roman" w:eastAsia="Times New Roman" w:hAnsi="Times New Roman" w:cs="Times New Roman"/>
        </w:rPr>
        <w:t>o the extent they peacefully advocated for a change in the form of government, this does not equate to disloyalty to the State.</w:t>
      </w:r>
      <w:r>
        <w:rPr>
          <w:rStyle w:val="FootnoteReference"/>
          <w:rFonts w:ascii="Times New Roman" w:eastAsia="Times New Roman" w:hAnsi="Times New Roman" w:cs="Times New Roman"/>
        </w:rPr>
        <w:footnoteReference w:id="61"/>
      </w:r>
      <w:r w:rsidRPr="002B2FA2">
        <w:rPr>
          <w:rFonts w:ascii="Times New Roman" w:eastAsia="Times New Roman" w:hAnsi="Times New Roman" w:cs="Times New Roman"/>
        </w:rPr>
        <w:t xml:space="preserve"> In a constitutional monarchy, which Remisia has been since 1923,</w:t>
      </w:r>
      <w:r>
        <w:rPr>
          <w:rStyle w:val="FootnoteReference"/>
          <w:rFonts w:ascii="Times New Roman" w:eastAsia="Times New Roman" w:hAnsi="Times New Roman" w:cs="Times New Roman"/>
        </w:rPr>
        <w:footnoteReference w:id="62"/>
      </w:r>
      <w:r w:rsidRPr="002B2FA2">
        <w:rPr>
          <w:rFonts w:ascii="Times New Roman" w:eastAsia="Times New Roman" w:hAnsi="Times New Roman" w:cs="Times New Roman"/>
        </w:rPr>
        <w:t xml:space="preserve"> the monarch is just one component of the broader State.</w:t>
      </w:r>
      <w:r>
        <w:rPr>
          <w:rStyle w:val="FootnoteReference"/>
          <w:rFonts w:ascii="Times New Roman" w:eastAsia="Times New Roman" w:hAnsi="Times New Roman" w:cs="Times New Roman"/>
        </w:rPr>
        <w:footnoteReference w:id="63"/>
      </w:r>
      <w:r w:rsidRPr="002B2FA2">
        <w:rPr>
          <w:rFonts w:ascii="Times New Roman" w:eastAsia="Times New Roman" w:hAnsi="Times New Roman" w:cs="Times New Roman"/>
        </w:rPr>
        <w:t xml:space="preserve"> </w:t>
      </w:r>
    </w:p>
    <w:p w14:paraId="19B48B80" w14:textId="77777777" w:rsidR="00D50212" w:rsidRPr="008D3153" w:rsidRDefault="00D50212" w:rsidP="00D50212">
      <w:pPr>
        <w:pStyle w:val="BodyText"/>
        <w:numPr>
          <w:ilvl w:val="5"/>
          <w:numId w:val="2"/>
        </w:numPr>
        <w:spacing w:before="240" w:after="240" w:line="360" w:lineRule="auto"/>
        <w:jc w:val="both"/>
        <w:rPr>
          <w:rFonts w:ascii="Times New Roman" w:hAnsi="Times New Roman" w:cs="Times New Roman"/>
          <w:strike/>
        </w:rPr>
      </w:pPr>
      <w:r w:rsidRPr="002B2FA2">
        <w:rPr>
          <w:rFonts w:ascii="Times New Roman" w:eastAsia="Times New Roman" w:hAnsi="Times New Roman" w:cs="Times New Roman"/>
        </w:rPr>
        <w:t>Second, the Sterren Forty engaged in peaceful protests as opposed to the narrow spectrum of crimes – espionage, treason, and certain terrorist acts – which are considered fundamentally detrimental to the State’s vital interests.</w:t>
      </w:r>
      <w:r>
        <w:rPr>
          <w:rStyle w:val="FootnoteReference"/>
          <w:rFonts w:ascii="Times New Roman" w:eastAsia="Times New Roman" w:hAnsi="Times New Roman" w:cs="Times New Roman"/>
        </w:rPr>
        <w:footnoteReference w:id="64"/>
      </w:r>
      <w:r w:rsidRPr="002B2FA2">
        <w:rPr>
          <w:rFonts w:ascii="Times New Roman" w:eastAsia="Times New Roman" w:hAnsi="Times New Roman" w:cs="Times New Roman"/>
        </w:rPr>
        <w:t xml:space="preserve"> “Vital interests” is a higher standard than “national interests” and denotes protecting interests such as external security, not economic development.</w:t>
      </w:r>
      <w:r>
        <w:rPr>
          <w:rStyle w:val="FootnoteReference"/>
          <w:rFonts w:ascii="Times New Roman" w:eastAsia="Times New Roman" w:hAnsi="Times New Roman" w:cs="Times New Roman"/>
        </w:rPr>
        <w:footnoteReference w:id="65"/>
      </w:r>
    </w:p>
    <w:p w14:paraId="3E585E0E" w14:textId="77777777" w:rsidR="00D50212" w:rsidRPr="008D3153" w:rsidRDefault="00D50212" w:rsidP="004D398C">
      <w:pPr>
        <w:pStyle w:val="Heading4"/>
      </w:pPr>
      <w:r w:rsidRPr="005A6B05">
        <w:t xml:space="preserve">Remisia’s </w:t>
      </w:r>
      <w:r>
        <w:t>purported reservation to the CRS is impermissible.</w:t>
      </w:r>
    </w:p>
    <w:p w14:paraId="5F1D0D89" w14:textId="77777777" w:rsidR="00D50212" w:rsidRPr="00333232"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Should Remisia’s declaration be considered a reservation, it is impermissible because it is contrary to the object and purpose of the </w:t>
      </w:r>
      <w:r>
        <w:rPr>
          <w:rFonts w:ascii="Times New Roman" w:eastAsia="Times New Roman" w:hAnsi="Times New Roman" w:cs="Times New Roman"/>
          <w:i/>
          <w:iCs/>
        </w:rPr>
        <w:t xml:space="preserve">CRS </w:t>
      </w:r>
      <w:r>
        <w:rPr>
          <w:rFonts w:ascii="Times New Roman" w:eastAsia="Times New Roman" w:hAnsi="Times New Roman" w:cs="Times New Roman"/>
        </w:rPr>
        <w:t>to prevent and reduce statelessness.</w:t>
      </w:r>
      <w:r>
        <w:rPr>
          <w:rStyle w:val="FootnoteReference"/>
          <w:rFonts w:ascii="Times New Roman" w:eastAsia="Times New Roman" w:hAnsi="Times New Roman" w:cs="Times New Roman"/>
        </w:rPr>
        <w:footnoteReference w:id="66"/>
      </w:r>
      <w:r>
        <w:rPr>
          <w:rFonts w:ascii="Times New Roman" w:eastAsia="Times New Roman" w:hAnsi="Times New Roman" w:cs="Times New Roman"/>
        </w:rPr>
        <w:t xml:space="preserve"> In particular, Remisia’s purported reservation seeks to limit its obligation to not deprive individuals of their nationality if doing so would render them stateless to an extent not covered by the narrow exceptions under Article 8(3), as shown by the analysis above. The provisions in the DCA have a lower threshold for deprivation of nationality compared to the core obligations in the </w:t>
      </w:r>
      <w:r w:rsidRPr="004E35BE">
        <w:rPr>
          <w:rFonts w:ascii="Times New Roman" w:eastAsia="Times New Roman" w:hAnsi="Times New Roman" w:cs="Times New Roman"/>
          <w:i/>
          <w:iCs/>
        </w:rPr>
        <w:t>CRS</w:t>
      </w:r>
      <w:r>
        <w:rPr>
          <w:rFonts w:ascii="Times New Roman" w:eastAsia="Times New Roman" w:hAnsi="Times New Roman" w:cs="Times New Roman"/>
        </w:rPr>
        <w:t xml:space="preserve">, and as such, Remisia’s purported reservation is incompatible with the object and purpose of the </w:t>
      </w:r>
      <w:r>
        <w:rPr>
          <w:rFonts w:ascii="Times New Roman" w:eastAsia="Times New Roman" w:hAnsi="Times New Roman" w:cs="Times New Roman"/>
          <w:i/>
          <w:iCs/>
        </w:rPr>
        <w:t>CRS</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67"/>
      </w:r>
      <w:r>
        <w:rPr>
          <w:rFonts w:ascii="Times New Roman" w:eastAsia="Times New Roman" w:hAnsi="Times New Roman" w:cs="Times New Roman"/>
        </w:rPr>
        <w:t xml:space="preserve"> </w:t>
      </w:r>
      <w:r w:rsidRPr="004E35BE">
        <w:rPr>
          <w:rFonts w:ascii="Times New Roman" w:eastAsia="Times New Roman" w:hAnsi="Times New Roman" w:cs="Times New Roman"/>
        </w:rPr>
        <w:t>As</w:t>
      </w:r>
      <w:r w:rsidRPr="00333232">
        <w:rPr>
          <w:rFonts w:ascii="Times New Roman" w:eastAsia="Times New Roman" w:hAnsi="Times New Roman" w:cs="Times New Roman"/>
        </w:rPr>
        <w:t xml:space="preserve"> an impermissible </w:t>
      </w:r>
      <w:r>
        <w:rPr>
          <w:rFonts w:ascii="Times New Roman" w:eastAsia="Times New Roman" w:hAnsi="Times New Roman" w:cs="Times New Roman"/>
        </w:rPr>
        <w:t xml:space="preserve">reservation, </w:t>
      </w:r>
      <w:r w:rsidRPr="00333232">
        <w:rPr>
          <w:rFonts w:ascii="Times New Roman" w:eastAsia="Times New Roman" w:hAnsi="Times New Roman" w:cs="Times New Roman"/>
        </w:rPr>
        <w:t xml:space="preserve">Remisia’s </w:t>
      </w:r>
      <w:r>
        <w:rPr>
          <w:rFonts w:ascii="Times New Roman" w:eastAsia="Times New Roman" w:hAnsi="Times New Roman" w:cs="Times New Roman"/>
        </w:rPr>
        <w:t xml:space="preserve">reservation </w:t>
      </w:r>
      <w:r w:rsidRPr="00333232">
        <w:rPr>
          <w:rFonts w:ascii="Times New Roman" w:eastAsia="Times New Roman" w:hAnsi="Times New Roman" w:cs="Times New Roman"/>
        </w:rPr>
        <w:t xml:space="preserve">is </w:t>
      </w:r>
      <w:r>
        <w:rPr>
          <w:rFonts w:ascii="Times New Roman" w:eastAsia="Times New Roman" w:hAnsi="Times New Roman" w:cs="Times New Roman"/>
        </w:rPr>
        <w:t xml:space="preserve">null and </w:t>
      </w:r>
      <w:r w:rsidRPr="00333232">
        <w:rPr>
          <w:rFonts w:ascii="Times New Roman" w:eastAsia="Times New Roman" w:hAnsi="Times New Roman" w:cs="Times New Roman"/>
        </w:rPr>
        <w:t>voi</w:t>
      </w:r>
      <w:r>
        <w:rPr>
          <w:rFonts w:ascii="Times New Roman" w:eastAsia="Times New Roman" w:hAnsi="Times New Roman" w:cs="Times New Roman"/>
        </w:rPr>
        <w:t>d</w:t>
      </w:r>
      <w:r w:rsidRPr="00333232">
        <w:rPr>
          <w:rFonts w:ascii="Times New Roman" w:eastAsia="Times New Roman" w:hAnsi="Times New Roman" w:cs="Times New Roman"/>
        </w:rPr>
        <w:t>.</w:t>
      </w:r>
      <w:r>
        <w:rPr>
          <w:rStyle w:val="FootnoteReference"/>
          <w:rFonts w:ascii="Times New Roman" w:eastAsia="Times New Roman" w:hAnsi="Times New Roman" w:cs="Times New Roman"/>
        </w:rPr>
        <w:footnoteReference w:id="68"/>
      </w:r>
    </w:p>
    <w:p w14:paraId="789D216D" w14:textId="77777777" w:rsidR="00D50212" w:rsidRPr="00BD32F3" w:rsidRDefault="00D50212" w:rsidP="004D398C">
      <w:pPr>
        <w:pStyle w:val="Heading4"/>
      </w:pPr>
      <w:r>
        <w:lastRenderedPageBreak/>
        <w:t>Remisia remains bound by the CRS without the benefit of its reservation.</w:t>
      </w:r>
    </w:p>
    <w:p w14:paraId="3F183893" w14:textId="77777777" w:rsidR="00D50212" w:rsidRPr="000D6554"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In accordance with the severability principle, Remisia is bound by </w:t>
      </w:r>
      <w:r>
        <w:rPr>
          <w:rFonts w:ascii="Times New Roman" w:eastAsia="Times New Roman" w:hAnsi="Times New Roman" w:cs="Times New Roman"/>
          <w:i/>
          <w:iCs/>
        </w:rPr>
        <w:t xml:space="preserve">CRS </w:t>
      </w:r>
      <w:r>
        <w:rPr>
          <w:rFonts w:ascii="Times New Roman" w:eastAsia="Times New Roman" w:hAnsi="Times New Roman" w:cs="Times New Roman"/>
        </w:rPr>
        <w:t>without the benefit of its impermissible reservation. Endorsed by the Human Rights Committee and regional courts, this principle dictates that</w:t>
      </w:r>
      <w:r w:rsidRPr="008424C7">
        <w:rPr>
          <w:rFonts w:ascii="Times New Roman" w:eastAsia="Times New Roman" w:hAnsi="Times New Roman" w:cs="Times New Roman"/>
        </w:rPr>
        <w:t xml:space="preserve"> the </w:t>
      </w:r>
      <w:r>
        <w:rPr>
          <w:rFonts w:ascii="Times New Roman" w:eastAsia="Times New Roman" w:hAnsi="Times New Roman" w:cs="Times New Roman"/>
        </w:rPr>
        <w:t>“</w:t>
      </w:r>
      <w:r w:rsidRPr="008424C7">
        <w:rPr>
          <w:rFonts w:ascii="Times New Roman" w:eastAsia="Times New Roman" w:hAnsi="Times New Roman" w:cs="Times New Roman"/>
        </w:rPr>
        <w:t>normal consequence</w:t>
      </w:r>
      <w:r>
        <w:rPr>
          <w:rFonts w:ascii="Times New Roman" w:eastAsia="Times New Roman" w:hAnsi="Times New Roman" w:cs="Times New Roman"/>
        </w:rPr>
        <w:t>”</w:t>
      </w:r>
      <w:r w:rsidRPr="008424C7">
        <w:rPr>
          <w:rFonts w:ascii="Times New Roman" w:eastAsia="Times New Roman" w:hAnsi="Times New Roman" w:cs="Times New Roman"/>
        </w:rPr>
        <w:t xml:space="preserve"> of an i</w:t>
      </w:r>
      <w:r>
        <w:rPr>
          <w:rFonts w:ascii="Times New Roman" w:eastAsia="Times New Roman" w:hAnsi="Times New Roman" w:cs="Times New Roman"/>
        </w:rPr>
        <w:t>mpermissible</w:t>
      </w:r>
      <w:r w:rsidRPr="008424C7">
        <w:rPr>
          <w:rFonts w:ascii="Times New Roman" w:eastAsia="Times New Roman" w:hAnsi="Times New Roman" w:cs="Times New Roman"/>
        </w:rPr>
        <w:t xml:space="preserve"> reservation is the entry into force of a treaty for the reserving </w:t>
      </w:r>
      <w:r>
        <w:rPr>
          <w:rFonts w:ascii="Times New Roman" w:eastAsia="Times New Roman" w:hAnsi="Times New Roman" w:cs="Times New Roman"/>
        </w:rPr>
        <w:t>S</w:t>
      </w:r>
      <w:r w:rsidRPr="008424C7">
        <w:rPr>
          <w:rFonts w:ascii="Times New Roman" w:eastAsia="Times New Roman" w:hAnsi="Times New Roman" w:cs="Times New Roman"/>
        </w:rPr>
        <w:t>tate without the benefit of the reservation</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69"/>
      </w:r>
      <w:r>
        <w:rPr>
          <w:rFonts w:ascii="Times New Roman" w:eastAsia="Times New Roman" w:hAnsi="Times New Roman" w:cs="Times New Roman"/>
        </w:rPr>
        <w:t xml:space="preserve"> Remisia cannot </w:t>
      </w:r>
      <w:r w:rsidRPr="00543B75">
        <w:rPr>
          <w:rFonts w:ascii="Times New Roman" w:eastAsia="Times New Roman" w:hAnsi="Times New Roman" w:cs="Times New Roman"/>
        </w:rPr>
        <w:t xml:space="preserve">incontrovertibly </w:t>
      </w:r>
      <w:r>
        <w:rPr>
          <w:rFonts w:ascii="Times New Roman" w:eastAsia="Times New Roman" w:hAnsi="Times New Roman" w:cs="Times New Roman"/>
        </w:rPr>
        <w:t xml:space="preserve">rebut the presumption of severability due to the wording of its reservation, its subsequent conduct, and the special character of the </w:t>
      </w:r>
      <w:r>
        <w:rPr>
          <w:rFonts w:ascii="Times New Roman" w:eastAsia="Times New Roman" w:hAnsi="Times New Roman" w:cs="Times New Roman"/>
          <w:i/>
          <w:iCs/>
        </w:rPr>
        <w:t>CRS</w:t>
      </w:r>
      <w:r>
        <w:rPr>
          <w:rFonts w:ascii="Times New Roman" w:eastAsia="Times New Roman" w:hAnsi="Times New Roman" w:cs="Times New Roman"/>
        </w:rPr>
        <w:t>.</w:t>
      </w:r>
    </w:p>
    <w:p w14:paraId="1F3F417C" w14:textId="77777777" w:rsidR="00D50212" w:rsidRPr="00DD7FF2"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First, Remisia’s reservation is worded as a “simple” declaration which must be distinguished from “conditional” declarations.</w:t>
      </w:r>
      <w:r>
        <w:rPr>
          <w:rStyle w:val="FootnoteReference"/>
          <w:rFonts w:ascii="Times New Roman" w:eastAsia="Times New Roman" w:hAnsi="Times New Roman" w:cs="Times New Roman"/>
        </w:rPr>
        <w:footnoteReference w:id="70"/>
      </w:r>
      <w:r>
        <w:rPr>
          <w:rFonts w:ascii="Times New Roman" w:eastAsia="Times New Roman" w:hAnsi="Times New Roman" w:cs="Times New Roman"/>
        </w:rPr>
        <w:t xml:space="preserve"> When Remisia ratified the </w:t>
      </w:r>
      <w:r w:rsidRPr="00895CA1">
        <w:rPr>
          <w:rFonts w:ascii="Times New Roman" w:eastAsia="Times New Roman" w:hAnsi="Times New Roman" w:cs="Times New Roman"/>
          <w:i/>
          <w:iCs/>
        </w:rPr>
        <w:t>CRS</w:t>
      </w:r>
      <w:r>
        <w:rPr>
          <w:rFonts w:ascii="Times New Roman" w:eastAsia="Times New Roman" w:hAnsi="Times New Roman" w:cs="Times New Roman"/>
        </w:rPr>
        <w:t xml:space="preserve">, </w:t>
      </w:r>
      <w:r w:rsidRPr="00895CA1">
        <w:rPr>
          <w:rFonts w:ascii="Times New Roman" w:eastAsia="Times New Roman" w:hAnsi="Times New Roman" w:cs="Times New Roman"/>
        </w:rPr>
        <w:t>it</w:t>
      </w:r>
      <w:r>
        <w:rPr>
          <w:rFonts w:ascii="Times New Roman" w:eastAsia="Times New Roman" w:hAnsi="Times New Roman" w:cs="Times New Roman"/>
        </w:rPr>
        <w:t xml:space="preserve"> did not qualify its declaration as a condition for its participation in the treaty.</w:t>
      </w:r>
      <w:r>
        <w:rPr>
          <w:rStyle w:val="FootnoteReference"/>
          <w:rFonts w:ascii="Times New Roman" w:eastAsia="Times New Roman" w:hAnsi="Times New Roman" w:cs="Times New Roman"/>
        </w:rPr>
        <w:footnoteReference w:id="71"/>
      </w:r>
      <w:r>
        <w:rPr>
          <w:rFonts w:ascii="Times New Roman" w:eastAsia="Times New Roman" w:hAnsi="Times New Roman" w:cs="Times New Roman"/>
        </w:rPr>
        <w:t xml:space="preserve"> </w:t>
      </w:r>
    </w:p>
    <w:p w14:paraId="58C002F8" w14:textId="77777777" w:rsidR="00D50212" w:rsidRPr="00625150"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Second, shortly after Remisia ratified the </w:t>
      </w:r>
      <w:r>
        <w:rPr>
          <w:rFonts w:ascii="Times New Roman" w:eastAsia="Times New Roman" w:hAnsi="Times New Roman" w:cs="Times New Roman"/>
          <w:i/>
          <w:iCs/>
        </w:rPr>
        <w:t xml:space="preserve">CRS </w:t>
      </w:r>
      <w:r>
        <w:rPr>
          <w:rFonts w:ascii="Times New Roman" w:eastAsia="Times New Roman" w:hAnsi="Times New Roman" w:cs="Times New Roman"/>
        </w:rPr>
        <w:t>in 1967, four States including Antrano objected to Remisia’s declaration, contending that it was an impermissible reservation.</w:t>
      </w:r>
      <w:r>
        <w:rPr>
          <w:rStyle w:val="FootnoteReference"/>
          <w:rFonts w:ascii="Times New Roman" w:eastAsia="Times New Roman" w:hAnsi="Times New Roman" w:cs="Times New Roman"/>
        </w:rPr>
        <w:footnoteReference w:id="72"/>
      </w:r>
      <w:r>
        <w:rPr>
          <w:rFonts w:ascii="Times New Roman" w:eastAsia="Times New Roman" w:hAnsi="Times New Roman" w:cs="Times New Roman"/>
        </w:rPr>
        <w:t xml:space="preserve"> Remisia has been aware of the potential impermissibility of its declaration for many decades and </w:t>
      </w:r>
      <w:r>
        <w:rPr>
          <w:rFonts w:ascii="Times New Roman" w:eastAsia="Times New Roman" w:hAnsi="Times New Roman" w:cs="Times New Roman"/>
          <w:lang w:val="en-CA"/>
        </w:rPr>
        <w:t xml:space="preserve">has signalled no intention </w:t>
      </w:r>
      <w:r w:rsidRPr="00BA49F7">
        <w:rPr>
          <w:rFonts w:ascii="Times New Roman" w:eastAsia="Times New Roman" w:hAnsi="Times New Roman" w:cs="Times New Roman"/>
          <w:lang w:val="en-CA"/>
        </w:rPr>
        <w:t xml:space="preserve">to </w:t>
      </w:r>
      <w:r>
        <w:rPr>
          <w:rFonts w:ascii="Times New Roman" w:eastAsia="Times New Roman" w:hAnsi="Times New Roman" w:cs="Times New Roman"/>
          <w:lang w:val="en-CA"/>
        </w:rPr>
        <w:t xml:space="preserve">not </w:t>
      </w:r>
      <w:r w:rsidRPr="00BA49F7">
        <w:rPr>
          <w:rFonts w:ascii="Times New Roman" w:eastAsia="Times New Roman" w:hAnsi="Times New Roman" w:cs="Times New Roman"/>
          <w:lang w:val="en-CA"/>
        </w:rPr>
        <w:t xml:space="preserve">be bound by the </w:t>
      </w:r>
      <w:r w:rsidRPr="00BA49F7">
        <w:rPr>
          <w:rFonts w:ascii="Times New Roman" w:eastAsia="Times New Roman" w:hAnsi="Times New Roman" w:cs="Times New Roman"/>
          <w:i/>
          <w:iCs/>
          <w:lang w:val="en-CA"/>
        </w:rPr>
        <w:t xml:space="preserve">CRS </w:t>
      </w:r>
      <w:r w:rsidRPr="00BA49F7">
        <w:rPr>
          <w:rFonts w:ascii="Times New Roman" w:eastAsia="Times New Roman" w:hAnsi="Times New Roman" w:cs="Times New Roman"/>
          <w:lang w:val="en-CA"/>
        </w:rPr>
        <w:t xml:space="preserve">until now. </w:t>
      </w:r>
      <w:r>
        <w:rPr>
          <w:rFonts w:ascii="Times New Roman" w:eastAsia="Times New Roman" w:hAnsi="Times New Roman" w:cs="Times New Roman"/>
          <w:color w:val="000000"/>
        </w:rPr>
        <w:t xml:space="preserve">Antrano’s objection also did not state an intention to preclude the entry into force of the </w:t>
      </w:r>
      <w:r>
        <w:rPr>
          <w:rFonts w:ascii="Times New Roman" w:eastAsia="Times New Roman" w:hAnsi="Times New Roman" w:cs="Times New Roman"/>
          <w:i/>
          <w:color w:val="000000"/>
        </w:rPr>
        <w:t xml:space="preserve">CRS </w:t>
      </w:r>
      <w:r>
        <w:rPr>
          <w:rFonts w:ascii="Times New Roman" w:eastAsia="Times New Roman" w:hAnsi="Times New Roman" w:cs="Times New Roman"/>
          <w:color w:val="000000"/>
        </w:rPr>
        <w:t>between Antrano and Remisia</w:t>
      </w:r>
      <w:r>
        <w:rPr>
          <w:rFonts w:ascii="Times New Roman" w:eastAsia="Times New Roman" w:hAnsi="Times New Roman" w:cs="Times New Roman"/>
          <w:lang w:val="en-CA"/>
        </w:rPr>
        <w:t>.</w:t>
      </w:r>
      <w:r>
        <w:rPr>
          <w:rStyle w:val="FootnoteReference"/>
          <w:rFonts w:ascii="Times New Roman" w:eastAsia="Times New Roman" w:hAnsi="Times New Roman" w:cs="Times New Roman"/>
          <w:lang w:val="en-CA"/>
        </w:rPr>
        <w:footnoteReference w:id="73"/>
      </w:r>
      <w:r>
        <w:rPr>
          <w:rFonts w:ascii="Times New Roman" w:eastAsia="Times New Roman" w:hAnsi="Times New Roman" w:cs="Times New Roman"/>
          <w:lang w:val="en-CA"/>
        </w:rPr>
        <w:t xml:space="preserve"> </w:t>
      </w:r>
      <w:r w:rsidRPr="00BA49F7">
        <w:rPr>
          <w:rFonts w:ascii="Times New Roman" w:eastAsia="Times New Roman" w:hAnsi="Times New Roman" w:cs="Times New Roman"/>
          <w:lang w:val="en-CA"/>
        </w:rPr>
        <w:t xml:space="preserve">As it did for the reserving State in </w:t>
      </w:r>
      <w:r w:rsidRPr="00BA49F7">
        <w:rPr>
          <w:rFonts w:ascii="Times New Roman" w:eastAsia="Times New Roman" w:hAnsi="Times New Roman" w:cs="Times New Roman"/>
          <w:i/>
          <w:iCs/>
          <w:lang w:val="en-CA"/>
        </w:rPr>
        <w:t>Loizidou v. Turkey</w:t>
      </w:r>
      <w:r w:rsidRPr="00BA49F7">
        <w:rPr>
          <w:rFonts w:ascii="Times New Roman" w:eastAsia="Times New Roman" w:hAnsi="Times New Roman" w:cs="Times New Roman"/>
          <w:lang w:val="en-CA"/>
        </w:rPr>
        <w:t xml:space="preserve">, this </w:t>
      </w:r>
      <w:r>
        <w:rPr>
          <w:rFonts w:ascii="Times New Roman" w:eastAsia="Times New Roman" w:hAnsi="Times New Roman" w:cs="Times New Roman"/>
          <w:lang w:val="en-CA"/>
        </w:rPr>
        <w:t xml:space="preserve">awareness </w:t>
      </w:r>
      <w:r w:rsidRPr="00BA49F7">
        <w:rPr>
          <w:rFonts w:ascii="Times New Roman" w:eastAsia="Times New Roman" w:hAnsi="Times New Roman" w:cs="Times New Roman"/>
          <w:lang w:val="en-CA"/>
        </w:rPr>
        <w:t>suggests a willingness on Remisia’s part to assume the risk that its declaration could be</w:t>
      </w:r>
      <w:r>
        <w:rPr>
          <w:rFonts w:ascii="Times New Roman" w:eastAsia="Times New Roman" w:hAnsi="Times New Roman" w:cs="Times New Roman"/>
          <w:lang w:val="en-CA"/>
        </w:rPr>
        <w:t xml:space="preserve"> deemed </w:t>
      </w:r>
      <w:r w:rsidRPr="00BA49F7">
        <w:rPr>
          <w:rFonts w:ascii="Times New Roman" w:eastAsia="Times New Roman" w:hAnsi="Times New Roman" w:cs="Times New Roman"/>
          <w:lang w:val="en-CA"/>
        </w:rPr>
        <w:t>impermissible without affecting the entry into force of the treaty</w:t>
      </w:r>
      <w:r>
        <w:rPr>
          <w:rFonts w:ascii="Times New Roman" w:eastAsia="Times New Roman" w:hAnsi="Times New Roman" w:cs="Times New Roman"/>
          <w:lang w:val="en-CA"/>
        </w:rPr>
        <w:t>.</w:t>
      </w:r>
      <w:r>
        <w:rPr>
          <w:rStyle w:val="FootnoteReference"/>
          <w:rFonts w:ascii="Times New Roman" w:eastAsia="Times New Roman" w:hAnsi="Times New Roman" w:cs="Times New Roman"/>
          <w:lang w:val="en-CA"/>
        </w:rPr>
        <w:footnoteReference w:id="74"/>
      </w:r>
    </w:p>
    <w:p w14:paraId="593EC486" w14:textId="77777777" w:rsidR="00D50212" w:rsidRPr="00196EF1"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lang w:val="en-CA"/>
        </w:rPr>
        <w:lastRenderedPageBreak/>
        <w:t>Third, as is common for courts analyzing the consequences of an impermissible reservation, this Court should bear in mind the special character of the treaty at issue.</w:t>
      </w:r>
      <w:r>
        <w:rPr>
          <w:rStyle w:val="FootnoteReference"/>
          <w:rFonts w:ascii="Times New Roman" w:eastAsia="Times New Roman" w:hAnsi="Times New Roman" w:cs="Times New Roman"/>
          <w:lang w:val="en-CA"/>
        </w:rPr>
        <w:footnoteReference w:id="75"/>
      </w:r>
      <w:r>
        <w:rPr>
          <w:rFonts w:ascii="Times New Roman" w:eastAsia="Times New Roman" w:hAnsi="Times New Roman" w:cs="Times New Roman"/>
          <w:lang w:val="en-CA"/>
        </w:rPr>
        <w:t xml:space="preserve"> As submitted in Section I.C of these pleadings, the States parties to the </w:t>
      </w:r>
      <w:r>
        <w:rPr>
          <w:rFonts w:ascii="Times New Roman" w:eastAsia="Times New Roman" w:hAnsi="Times New Roman" w:cs="Times New Roman"/>
          <w:i/>
          <w:iCs/>
          <w:lang w:val="en-CA"/>
        </w:rPr>
        <w:t>CRS</w:t>
      </w:r>
      <w:r>
        <w:rPr>
          <w:rFonts w:ascii="Times New Roman" w:eastAsia="Times New Roman" w:hAnsi="Times New Roman" w:cs="Times New Roman"/>
          <w:lang w:val="en-CA"/>
        </w:rPr>
        <w:t xml:space="preserve"> </w:t>
      </w:r>
      <w:r>
        <w:rPr>
          <w:rFonts w:ascii="Times New Roman" w:hAnsi="Times New Roman" w:cs="Times New Roman"/>
          <w:lang w:val="en-CA"/>
        </w:rPr>
        <w:t>share a common interest in preventing statelessness and ensuring compliance with the rules therein.</w:t>
      </w:r>
      <w:r>
        <w:rPr>
          <w:rStyle w:val="FootnoteReference"/>
          <w:rFonts w:ascii="Times New Roman" w:hAnsi="Times New Roman" w:cs="Times New Roman"/>
          <w:lang w:val="en-CA"/>
        </w:rPr>
        <w:footnoteReference w:id="76"/>
      </w:r>
      <w:r>
        <w:rPr>
          <w:rFonts w:ascii="Times New Roman" w:hAnsi="Times New Roman" w:cs="Times New Roman"/>
          <w:lang w:val="en-CA"/>
        </w:rPr>
        <w:t xml:space="preserve"> If this Court concluded that Remisia’s impermissible reservation nullifies their instrument of ratification, this would also exempt Remisia from its </w:t>
      </w:r>
      <w:r>
        <w:rPr>
          <w:rFonts w:ascii="Times New Roman" w:hAnsi="Times New Roman" w:cs="Times New Roman"/>
          <w:i/>
          <w:iCs/>
          <w:lang w:val="en-CA"/>
        </w:rPr>
        <w:t xml:space="preserve">erga omnes partes </w:t>
      </w:r>
      <w:r>
        <w:rPr>
          <w:rFonts w:ascii="Times New Roman" w:hAnsi="Times New Roman" w:cs="Times New Roman"/>
          <w:lang w:val="en-CA"/>
        </w:rPr>
        <w:t xml:space="preserve">obligations normally unaffected by its declaration, including those under Article 9. This would elevate the impermissible reservation and Remisia’s Constitution into the primary reference points for the Court, reducing the </w:t>
      </w:r>
      <w:r>
        <w:rPr>
          <w:rFonts w:ascii="Times New Roman" w:hAnsi="Times New Roman" w:cs="Times New Roman"/>
          <w:i/>
          <w:iCs/>
          <w:lang w:val="en-CA"/>
        </w:rPr>
        <w:t xml:space="preserve">CRS </w:t>
      </w:r>
      <w:r>
        <w:rPr>
          <w:rFonts w:ascii="Times New Roman" w:hAnsi="Times New Roman" w:cs="Times New Roman"/>
          <w:lang w:val="en-CA"/>
        </w:rPr>
        <w:t>into a subsidiary parameter.</w:t>
      </w:r>
      <w:r>
        <w:rPr>
          <w:rStyle w:val="FootnoteReference"/>
          <w:rFonts w:ascii="Times New Roman" w:hAnsi="Times New Roman" w:cs="Times New Roman"/>
          <w:lang w:val="en-CA"/>
        </w:rPr>
        <w:footnoteReference w:id="77"/>
      </w:r>
      <w:r>
        <w:rPr>
          <w:rFonts w:ascii="Times New Roman" w:hAnsi="Times New Roman" w:cs="Times New Roman"/>
          <w:lang w:val="en-CA"/>
        </w:rPr>
        <w:t xml:space="preserve"> Such a shift risks fragmenting the international legal order for preventing statelessness and undermines the </w:t>
      </w:r>
      <w:r>
        <w:rPr>
          <w:rFonts w:ascii="Times New Roman" w:hAnsi="Times New Roman" w:cs="Times New Roman"/>
          <w:i/>
          <w:iCs/>
          <w:lang w:val="en-CA"/>
        </w:rPr>
        <w:t xml:space="preserve">erga omnes partes </w:t>
      </w:r>
      <w:r>
        <w:rPr>
          <w:rFonts w:ascii="Times New Roman" w:hAnsi="Times New Roman" w:cs="Times New Roman"/>
          <w:lang w:val="en-CA"/>
        </w:rPr>
        <w:t xml:space="preserve">doctrine. </w:t>
      </w:r>
    </w:p>
    <w:p w14:paraId="5806401D" w14:textId="77777777" w:rsidR="00D50212" w:rsidRPr="001C38A6"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lang w:val="en-CA"/>
        </w:rPr>
        <w:t xml:space="preserve">Because Remisia cannot </w:t>
      </w:r>
      <w:r w:rsidRPr="00543B75">
        <w:rPr>
          <w:rFonts w:ascii="Times New Roman" w:eastAsia="Times New Roman" w:hAnsi="Times New Roman" w:cs="Times New Roman"/>
        </w:rPr>
        <w:t xml:space="preserve">incontrovertibly </w:t>
      </w:r>
      <w:r>
        <w:rPr>
          <w:rFonts w:ascii="Times New Roman" w:eastAsia="Times New Roman" w:hAnsi="Times New Roman" w:cs="Times New Roman"/>
        </w:rPr>
        <w:t xml:space="preserve">rebut the presumption of severability, the </w:t>
      </w:r>
      <w:r>
        <w:rPr>
          <w:rFonts w:ascii="Times New Roman" w:eastAsia="Times New Roman" w:hAnsi="Times New Roman" w:cs="Times New Roman"/>
          <w:i/>
          <w:iCs/>
        </w:rPr>
        <w:t xml:space="preserve">CRS </w:t>
      </w:r>
      <w:r>
        <w:rPr>
          <w:rFonts w:ascii="Times New Roman" w:eastAsia="Times New Roman" w:hAnsi="Times New Roman" w:cs="Times New Roman"/>
        </w:rPr>
        <w:t>remains operative between Antrano and Remisia and Remisia’s reservation is invalid.</w:t>
      </w:r>
      <w:r>
        <w:rPr>
          <w:rStyle w:val="FootnoteReference"/>
          <w:rFonts w:ascii="Times New Roman" w:eastAsia="Times New Roman" w:hAnsi="Times New Roman" w:cs="Times New Roman"/>
        </w:rPr>
        <w:footnoteReference w:id="78"/>
      </w:r>
    </w:p>
    <w:p w14:paraId="02D686E9" w14:textId="77777777" w:rsidR="00D50212" w:rsidRDefault="00D50212" w:rsidP="00D83BA1">
      <w:pPr>
        <w:pStyle w:val="Heading3"/>
      </w:pPr>
      <w:bookmarkStart w:id="18" w:name="_Toc155965820"/>
      <w:r w:rsidRPr="00F13761">
        <w:t>Remisia violated Article 9 of the CRS.</w:t>
      </w:r>
      <w:bookmarkEnd w:id="18"/>
    </w:p>
    <w:p w14:paraId="7B023B1C" w14:textId="77777777" w:rsidR="00D50212" w:rsidRPr="009B5EC1"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Irrespective of Remisia’s declaration, Remisia breached Article 9 of the </w:t>
      </w:r>
      <w:r w:rsidRPr="00585383">
        <w:rPr>
          <w:rFonts w:ascii="Times New Roman" w:eastAsia="Times New Roman" w:hAnsi="Times New Roman" w:cs="Times New Roman"/>
          <w:i/>
          <w:iCs/>
        </w:rPr>
        <w:t>CRS</w:t>
      </w:r>
      <w:r>
        <w:rPr>
          <w:rFonts w:ascii="Times New Roman" w:eastAsia="Times New Roman" w:hAnsi="Times New Roman" w:cs="Times New Roman"/>
        </w:rPr>
        <w:t xml:space="preserve"> which prohibits deprivation of nationality on political grounds.</w:t>
      </w:r>
      <w:r>
        <w:rPr>
          <w:rStyle w:val="FootnoteReference"/>
          <w:rFonts w:ascii="Times New Roman" w:eastAsia="Times New Roman" w:hAnsi="Times New Roman" w:cs="Times New Roman"/>
        </w:rPr>
        <w:footnoteReference w:id="79"/>
      </w:r>
      <w:r>
        <w:rPr>
          <w:rFonts w:ascii="Times New Roman" w:eastAsia="Times New Roman" w:hAnsi="Times New Roman" w:cs="Times New Roman"/>
        </w:rPr>
        <w:t xml:space="preserve"> Under this provision, nationality cannot be revoked to </w:t>
      </w:r>
      <w:r w:rsidRPr="009B5EC1">
        <w:rPr>
          <w:rFonts w:ascii="Times New Roman" w:eastAsia="Times New Roman" w:hAnsi="Times New Roman" w:cs="Times New Roman"/>
        </w:rPr>
        <w:t xml:space="preserve">delegitimize </w:t>
      </w:r>
      <w:r>
        <w:rPr>
          <w:rFonts w:ascii="Times New Roman" w:eastAsia="Times New Roman" w:hAnsi="Times New Roman" w:cs="Times New Roman"/>
        </w:rPr>
        <w:t>political opinions different from those held by the government or in response to conduct consistent with an individual’s rights to freedom of expression and assembly.</w:t>
      </w:r>
      <w:r>
        <w:rPr>
          <w:rStyle w:val="FootnoteReference"/>
          <w:rFonts w:ascii="Times New Roman" w:eastAsia="Times New Roman" w:hAnsi="Times New Roman" w:cs="Times New Roman"/>
        </w:rPr>
        <w:footnoteReference w:id="80"/>
      </w:r>
    </w:p>
    <w:p w14:paraId="1FA2904C" w14:textId="77777777" w:rsidR="00D50212" w:rsidRPr="00F00C31"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Remisia violated both of these rules. First, Remisia targeted the Sterren Forty for featuring prominently in the protests and expressing disagreement with the government’s economic and environmental policies.</w:t>
      </w:r>
      <w:r>
        <w:rPr>
          <w:rStyle w:val="FootnoteReference"/>
          <w:rFonts w:ascii="Times New Roman" w:eastAsia="Times New Roman" w:hAnsi="Times New Roman" w:cs="Times New Roman"/>
        </w:rPr>
        <w:footnoteReference w:id="81"/>
      </w:r>
      <w:r>
        <w:rPr>
          <w:rFonts w:ascii="Times New Roman" w:eastAsia="Times New Roman" w:hAnsi="Times New Roman" w:cs="Times New Roman"/>
        </w:rPr>
        <w:t xml:space="preserve"> Hundreds of protestors who expressed the same political opinions as the Sterren Forty had their charges dropped after signing an apology, demonstrating how Remisia </w:t>
      </w:r>
      <w:r>
        <w:rPr>
          <w:rFonts w:ascii="Times New Roman" w:eastAsia="Times New Roman" w:hAnsi="Times New Roman" w:cs="Times New Roman"/>
        </w:rPr>
        <w:lastRenderedPageBreak/>
        <w:t>selectively employed the DCA and its citizenship-stripping powers to d</w:t>
      </w:r>
      <w:r w:rsidRPr="009B5EC1">
        <w:rPr>
          <w:rFonts w:ascii="Times New Roman" w:eastAsia="Times New Roman" w:hAnsi="Times New Roman" w:cs="Times New Roman"/>
        </w:rPr>
        <w:t>elegitimize</w:t>
      </w:r>
      <w:r>
        <w:rPr>
          <w:rFonts w:ascii="Times New Roman" w:eastAsia="Times New Roman" w:hAnsi="Times New Roman" w:cs="Times New Roman"/>
        </w:rPr>
        <w:t xml:space="preserve"> protesters who refused to change their political opinions.</w:t>
      </w:r>
      <w:r>
        <w:rPr>
          <w:rStyle w:val="FootnoteReference"/>
          <w:rFonts w:ascii="Times New Roman" w:eastAsia="Times New Roman" w:hAnsi="Times New Roman" w:cs="Times New Roman"/>
        </w:rPr>
        <w:footnoteReference w:id="82"/>
      </w:r>
      <w:r>
        <w:rPr>
          <w:rFonts w:ascii="Times New Roman" w:eastAsia="Times New Roman" w:hAnsi="Times New Roman" w:cs="Times New Roman"/>
        </w:rPr>
        <w:t xml:space="preserve"> Second, the actions of the Sterren Forty were in exercise of their rights to freedom of expression, constituting a form of political discourse,</w:t>
      </w:r>
      <w:r>
        <w:rPr>
          <w:rStyle w:val="FootnoteReference"/>
          <w:rFonts w:ascii="Times New Roman" w:eastAsia="Times New Roman" w:hAnsi="Times New Roman" w:cs="Times New Roman"/>
        </w:rPr>
        <w:footnoteReference w:id="83"/>
      </w:r>
      <w:r>
        <w:rPr>
          <w:rFonts w:ascii="Times New Roman" w:eastAsia="Times New Roman" w:hAnsi="Times New Roman" w:cs="Times New Roman"/>
        </w:rPr>
        <w:t xml:space="preserve"> and freedom of assembly, constituting peaceful protests.</w:t>
      </w:r>
      <w:r>
        <w:rPr>
          <w:rStyle w:val="FootnoteReference"/>
          <w:rFonts w:ascii="Times New Roman" w:eastAsia="Times New Roman" w:hAnsi="Times New Roman" w:cs="Times New Roman"/>
        </w:rPr>
        <w:footnoteReference w:id="84"/>
      </w:r>
      <w:r>
        <w:rPr>
          <w:rFonts w:ascii="Times New Roman" w:eastAsia="Times New Roman" w:hAnsi="Times New Roman" w:cs="Times New Roman"/>
        </w:rPr>
        <w:t xml:space="preserve"> Remisia deprived the Sterren Forty of their nationality on political grounds in response to them exercising these rights.</w:t>
      </w:r>
      <w:r>
        <w:rPr>
          <w:rStyle w:val="FootnoteReference"/>
          <w:rFonts w:ascii="Times New Roman" w:eastAsia="Times New Roman" w:hAnsi="Times New Roman" w:cs="Times New Roman"/>
        </w:rPr>
        <w:footnoteReference w:id="85"/>
      </w:r>
    </w:p>
    <w:p w14:paraId="3A866609" w14:textId="77777777" w:rsidR="00D50212" w:rsidRDefault="00D50212" w:rsidP="00D50212">
      <w:pPr>
        <w:pStyle w:val="Heading2"/>
      </w:pPr>
      <w:bookmarkStart w:id="19" w:name="_Toc155965821"/>
      <w:r>
        <w:t>Remisia violated the prohibition of arbitrary deprivation of nationality.</w:t>
      </w:r>
      <w:bookmarkEnd w:id="19"/>
    </w:p>
    <w:p w14:paraId="51054A79" w14:textId="77777777" w:rsidR="00D50212" w:rsidRPr="00960CAF"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As submitted in Section I.B of these pleadings, the prohibition of arbitrary deprivation of nationality is customary international law.</w:t>
      </w:r>
      <w:r>
        <w:rPr>
          <w:rStyle w:val="FootnoteReference"/>
          <w:rFonts w:ascii="Times New Roman" w:eastAsia="Times New Roman" w:hAnsi="Times New Roman" w:cs="Times New Roman"/>
        </w:rPr>
        <w:footnoteReference w:id="86"/>
      </w:r>
      <w:r>
        <w:rPr>
          <w:rFonts w:ascii="Times New Roman" w:eastAsia="Times New Roman" w:hAnsi="Times New Roman" w:cs="Times New Roman"/>
        </w:rPr>
        <w:t xml:space="preserve"> Remisia is bound by this norm </w:t>
      </w:r>
      <w:r>
        <w:rPr>
          <w:rFonts w:ascii="Times New Roman" w:eastAsia="Times New Roman" w:hAnsi="Times New Roman" w:cs="Times New Roman"/>
          <w:b/>
          <w:bCs/>
        </w:rPr>
        <w:t>[1]</w:t>
      </w:r>
      <w:r>
        <w:rPr>
          <w:rFonts w:ascii="Times New Roman" w:eastAsia="Times New Roman" w:hAnsi="Times New Roman" w:cs="Times New Roman"/>
        </w:rPr>
        <w:t xml:space="preserve"> and violated it in depriving the Sterren Forty of their nationality </w:t>
      </w:r>
      <w:r>
        <w:rPr>
          <w:rFonts w:ascii="Times New Roman" w:eastAsia="Times New Roman" w:hAnsi="Times New Roman" w:cs="Times New Roman"/>
          <w:b/>
          <w:bCs/>
        </w:rPr>
        <w:t>[2]</w:t>
      </w:r>
      <w:r>
        <w:rPr>
          <w:rFonts w:ascii="Times New Roman" w:eastAsia="Times New Roman" w:hAnsi="Times New Roman" w:cs="Times New Roman"/>
        </w:rPr>
        <w:t>.</w:t>
      </w:r>
    </w:p>
    <w:p w14:paraId="5306F0AD" w14:textId="77777777" w:rsidR="00D50212" w:rsidRDefault="00D50212" w:rsidP="00D83BA1">
      <w:pPr>
        <w:pStyle w:val="Heading3"/>
      </w:pPr>
      <w:bookmarkStart w:id="20" w:name="_Toc155965822"/>
      <w:r>
        <w:t>Remisia is bound by the prohibition of arbitrary deprivation of nationality.</w:t>
      </w:r>
      <w:bookmarkEnd w:id="20"/>
    </w:p>
    <w:p w14:paraId="4C4C0C31" w14:textId="77777777" w:rsidR="00D50212" w:rsidRPr="00B34E60"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Remisia’s declaration to the </w:t>
      </w:r>
      <w:r>
        <w:rPr>
          <w:rFonts w:ascii="Times New Roman" w:eastAsia="Times New Roman" w:hAnsi="Times New Roman" w:cs="Times New Roman"/>
          <w:i/>
          <w:iCs/>
        </w:rPr>
        <w:t xml:space="preserve">CRS </w:t>
      </w:r>
      <w:r>
        <w:rPr>
          <w:rFonts w:ascii="Times New Roman" w:eastAsia="Times New Roman" w:hAnsi="Times New Roman" w:cs="Times New Roman"/>
        </w:rPr>
        <w:t>does not impact its obligations under customary international law,</w:t>
      </w:r>
      <w:r>
        <w:rPr>
          <w:rStyle w:val="FootnoteReference"/>
          <w:rFonts w:ascii="Times New Roman" w:eastAsia="Times New Roman" w:hAnsi="Times New Roman" w:cs="Times New Roman"/>
        </w:rPr>
        <w:footnoteReference w:id="87"/>
      </w:r>
      <w:r>
        <w:rPr>
          <w:rFonts w:ascii="Times New Roman" w:eastAsia="Times New Roman" w:hAnsi="Times New Roman" w:cs="Times New Roman"/>
        </w:rPr>
        <w:t xml:space="preserve"> and Remisia is not a persistent objector to the customary international norm prohibiting arbitrary deprivation of nationality because it has not withdrawn the nationality of its citizens each time the DCA was invoked over several decades.</w:t>
      </w:r>
      <w:r>
        <w:rPr>
          <w:rStyle w:val="FootnoteReference"/>
          <w:rFonts w:ascii="Times New Roman" w:eastAsia="Times New Roman" w:hAnsi="Times New Roman" w:cs="Times New Roman"/>
        </w:rPr>
        <w:footnoteReference w:id="88"/>
      </w:r>
    </w:p>
    <w:p w14:paraId="1C7C8A7F" w14:textId="77777777" w:rsidR="00D50212" w:rsidRPr="006D4F67" w:rsidRDefault="00D50212" w:rsidP="00D83BA1">
      <w:pPr>
        <w:pStyle w:val="Heading3"/>
      </w:pPr>
      <w:bookmarkStart w:id="21" w:name="_Toc155965823"/>
      <w:r>
        <w:t>Remisia violated the prohibition of arbitrary deprivation of nationality.</w:t>
      </w:r>
      <w:bookmarkEnd w:id="21"/>
    </w:p>
    <w:p w14:paraId="70D9E3AE" w14:textId="77777777" w:rsidR="00D50212" w:rsidRPr="00833797"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 xml:space="preserve">Remisia violated the customary international prohibition of arbitrary deprivation of nationality because its actions against the Sterren Forty </w:t>
      </w:r>
      <w:r w:rsidRPr="00833797">
        <w:rPr>
          <w:rFonts w:ascii="Times New Roman" w:eastAsia="Times New Roman" w:hAnsi="Times New Roman" w:cs="Times New Roman"/>
        </w:rPr>
        <w:t xml:space="preserve">did not have a clear basis in law </w:t>
      </w:r>
      <w:r w:rsidRPr="00833797">
        <w:rPr>
          <w:rFonts w:ascii="Times New Roman" w:eastAsia="Times New Roman" w:hAnsi="Times New Roman" w:cs="Times New Roman"/>
          <w:b/>
          <w:bCs/>
        </w:rPr>
        <w:t>[i]</w:t>
      </w:r>
      <w:r w:rsidRPr="00833797">
        <w:rPr>
          <w:rFonts w:ascii="Times New Roman" w:eastAsia="Times New Roman" w:hAnsi="Times New Roman" w:cs="Times New Roman"/>
        </w:rPr>
        <w:t xml:space="preserve">, did not serve a legitimate purpose </w:t>
      </w:r>
      <w:r w:rsidRPr="00833797">
        <w:rPr>
          <w:rFonts w:ascii="Times New Roman" w:eastAsia="Times New Roman" w:hAnsi="Times New Roman" w:cs="Times New Roman"/>
          <w:b/>
          <w:bCs/>
        </w:rPr>
        <w:t>[ii]</w:t>
      </w:r>
      <w:r w:rsidRPr="00833797">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833797">
        <w:rPr>
          <w:rFonts w:ascii="Times New Roman" w:eastAsia="Times New Roman" w:hAnsi="Times New Roman" w:cs="Times New Roman"/>
        </w:rPr>
        <w:t>w</w:t>
      </w:r>
      <w:r>
        <w:rPr>
          <w:rFonts w:ascii="Times New Roman" w:eastAsia="Times New Roman" w:hAnsi="Times New Roman" w:cs="Times New Roman"/>
        </w:rPr>
        <w:t xml:space="preserve">ere not </w:t>
      </w:r>
      <w:r w:rsidRPr="00833797">
        <w:rPr>
          <w:rFonts w:ascii="Times New Roman" w:eastAsia="Times New Roman" w:hAnsi="Times New Roman" w:cs="Times New Roman"/>
        </w:rPr>
        <w:t xml:space="preserve">proportionate </w:t>
      </w:r>
      <w:r w:rsidRPr="00833797">
        <w:rPr>
          <w:rFonts w:ascii="Times New Roman" w:eastAsia="Times New Roman" w:hAnsi="Times New Roman" w:cs="Times New Roman"/>
          <w:b/>
          <w:bCs/>
        </w:rPr>
        <w:t>[ii</w:t>
      </w:r>
      <w:r>
        <w:rPr>
          <w:rFonts w:ascii="Times New Roman" w:eastAsia="Times New Roman" w:hAnsi="Times New Roman" w:cs="Times New Roman"/>
          <w:b/>
          <w:bCs/>
        </w:rPr>
        <w:t>i]</w:t>
      </w:r>
      <w:r w:rsidRPr="00833797">
        <w:rPr>
          <w:rFonts w:ascii="Times New Roman" w:eastAsia="Times New Roman" w:hAnsi="Times New Roman" w:cs="Times New Roman"/>
        </w:rPr>
        <w:t>.</w:t>
      </w:r>
      <w:r>
        <w:rPr>
          <w:rStyle w:val="FootnoteReference"/>
          <w:rFonts w:ascii="Times New Roman" w:eastAsia="Times New Roman" w:hAnsi="Times New Roman" w:cs="Times New Roman"/>
        </w:rPr>
        <w:footnoteReference w:id="89"/>
      </w:r>
      <w:r w:rsidRPr="00833797">
        <w:rPr>
          <w:rFonts w:ascii="Times New Roman" w:eastAsia="Times New Roman" w:hAnsi="Times New Roman" w:cs="Times New Roman"/>
        </w:rPr>
        <w:t xml:space="preserve"> </w:t>
      </w:r>
    </w:p>
    <w:p w14:paraId="7200773B" w14:textId="77777777" w:rsidR="00D50212" w:rsidRPr="00EE3DAA" w:rsidRDefault="00D50212" w:rsidP="004D398C">
      <w:pPr>
        <w:pStyle w:val="Heading4"/>
        <w:numPr>
          <w:ilvl w:val="0"/>
          <w:numId w:val="0"/>
        </w:numPr>
        <w:ind w:left="1287"/>
        <w:rPr>
          <w:rFonts w:eastAsiaTheme="minorHAnsi"/>
        </w:rPr>
      </w:pPr>
      <w:r w:rsidRPr="00EE3DAA">
        <w:rPr>
          <w:rFonts w:eastAsiaTheme="minorHAnsi"/>
        </w:rPr>
        <w:lastRenderedPageBreak/>
        <w:t xml:space="preserve">Remisia’s actions </w:t>
      </w:r>
      <w:r>
        <w:rPr>
          <w:rFonts w:eastAsiaTheme="minorHAnsi"/>
        </w:rPr>
        <w:t>did not have a clear basis in law</w:t>
      </w:r>
      <w:r>
        <w:rPr>
          <w:rFonts w:eastAsiaTheme="minorHAnsi"/>
          <w:iCs/>
        </w:rPr>
        <w:t>.</w:t>
      </w:r>
    </w:p>
    <w:p w14:paraId="16EAF75D" w14:textId="77777777" w:rsidR="00D50212" w:rsidRPr="00B11C73"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Deprivation of nationality must be established by law and be predictable.</w:t>
      </w:r>
      <w:r>
        <w:rPr>
          <w:rStyle w:val="FootnoteReference"/>
          <w:rFonts w:ascii="Times New Roman" w:eastAsia="Times New Roman" w:hAnsi="Times New Roman" w:cs="Times New Roman"/>
        </w:rPr>
        <w:footnoteReference w:id="90"/>
      </w:r>
      <w:r>
        <w:rPr>
          <w:rFonts w:ascii="Times New Roman" w:eastAsia="Times New Roman" w:hAnsi="Times New Roman" w:cs="Times New Roman"/>
        </w:rPr>
        <w:t xml:space="preserve"> Although the DCA authorizes the withdrawal of nationality, it employs wide-ranging terms such as “defame” and “insult” without defined criteria.</w:t>
      </w:r>
      <w:r>
        <w:rPr>
          <w:rStyle w:val="FootnoteReference"/>
          <w:rFonts w:ascii="Times New Roman" w:eastAsia="Times New Roman" w:hAnsi="Times New Roman" w:cs="Times New Roman"/>
        </w:rPr>
        <w:footnoteReference w:id="91"/>
      </w:r>
      <w:r>
        <w:rPr>
          <w:rFonts w:ascii="Times New Roman" w:eastAsia="Times New Roman" w:hAnsi="Times New Roman" w:cs="Times New Roman"/>
        </w:rPr>
        <w:t xml:space="preserve"> The DCA is not sufficiently precise to enable citizens to reasonably foresee the consequences of actions that could lead to withdrawal of nationality.</w:t>
      </w:r>
      <w:r>
        <w:rPr>
          <w:rStyle w:val="FootnoteReference"/>
          <w:rFonts w:ascii="Times New Roman" w:eastAsia="Times New Roman" w:hAnsi="Times New Roman" w:cs="Times New Roman"/>
        </w:rPr>
        <w:footnoteReference w:id="92"/>
      </w:r>
    </w:p>
    <w:p w14:paraId="4F207809" w14:textId="77777777" w:rsidR="00D50212" w:rsidRPr="004D398C" w:rsidRDefault="00D50212" w:rsidP="004D398C">
      <w:pPr>
        <w:pStyle w:val="Heading4"/>
        <w:numPr>
          <w:ilvl w:val="0"/>
          <w:numId w:val="21"/>
        </w:numPr>
        <w:rPr>
          <w:rFonts w:eastAsiaTheme="minorHAnsi"/>
        </w:rPr>
      </w:pPr>
      <w:r w:rsidRPr="004D398C">
        <w:rPr>
          <w:rFonts w:eastAsiaTheme="minorHAnsi"/>
        </w:rPr>
        <w:t>Remisia’s actions had no legitimate purpose.</w:t>
      </w:r>
    </w:p>
    <w:p w14:paraId="2BA9D586" w14:textId="77777777" w:rsidR="00D50212" w:rsidRPr="00B11C73"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Remisia’s actions had no legitimate purpose because, as submitted in Section II.A of these pleadings, it deprived the Sterren Forty of their nationality on political grounds.</w:t>
      </w:r>
      <w:r>
        <w:rPr>
          <w:rStyle w:val="FootnoteReference"/>
          <w:rFonts w:ascii="Times New Roman" w:eastAsia="Times New Roman" w:hAnsi="Times New Roman" w:cs="Times New Roman"/>
        </w:rPr>
        <w:footnoteReference w:id="93"/>
      </w:r>
      <w:r>
        <w:rPr>
          <w:rFonts w:ascii="Times New Roman" w:eastAsia="Times New Roman" w:hAnsi="Times New Roman" w:cs="Times New Roman"/>
        </w:rPr>
        <w:t xml:space="preserve"> They were not convicted for blocking infrastructure or economic projects, but to stifle their political opinions.</w:t>
      </w:r>
      <w:r>
        <w:rPr>
          <w:rStyle w:val="FootnoteReference"/>
          <w:rFonts w:ascii="Times New Roman" w:eastAsia="Times New Roman" w:hAnsi="Times New Roman" w:cs="Times New Roman"/>
        </w:rPr>
        <w:footnoteReference w:id="94"/>
      </w:r>
    </w:p>
    <w:p w14:paraId="2D7150DE" w14:textId="77777777" w:rsidR="00D50212" w:rsidRDefault="00D50212" w:rsidP="004D398C">
      <w:pPr>
        <w:pStyle w:val="Heading4"/>
        <w:rPr>
          <w:rFonts w:eastAsiaTheme="minorHAnsi"/>
        </w:rPr>
      </w:pPr>
      <w:r w:rsidRPr="00B11C73">
        <w:rPr>
          <w:rFonts w:eastAsiaTheme="minorHAnsi"/>
        </w:rPr>
        <w:t xml:space="preserve">Remisia’s actions were </w:t>
      </w:r>
      <w:r>
        <w:rPr>
          <w:rFonts w:eastAsiaTheme="minorHAnsi"/>
        </w:rPr>
        <w:t>not proportionate.</w:t>
      </w:r>
    </w:p>
    <w:p w14:paraId="6F3830A8" w14:textId="77777777" w:rsidR="00D50212" w:rsidRPr="00D50212" w:rsidRDefault="00D50212" w:rsidP="00D50212">
      <w:pPr>
        <w:pStyle w:val="BodyText"/>
        <w:numPr>
          <w:ilvl w:val="5"/>
          <w:numId w:val="2"/>
        </w:numPr>
        <w:spacing w:before="240" w:after="240" w:line="360" w:lineRule="auto"/>
        <w:jc w:val="both"/>
        <w:rPr>
          <w:rFonts w:ascii="Times New Roman" w:hAnsi="Times New Roman" w:cs="Times New Roman"/>
          <w:strike/>
        </w:rPr>
      </w:pPr>
      <w:r>
        <w:rPr>
          <w:rFonts w:ascii="Times New Roman" w:eastAsia="Times New Roman" w:hAnsi="Times New Roman" w:cs="Times New Roman"/>
        </w:rPr>
        <w:t>Since deprivation of nationality destroys a fundamental right, it is presumptively disproportionate absent exceptionally strong countervailing State interests.</w:t>
      </w:r>
      <w:r>
        <w:rPr>
          <w:rStyle w:val="FootnoteReference"/>
          <w:rFonts w:ascii="Times New Roman" w:eastAsia="Times New Roman" w:hAnsi="Times New Roman" w:cs="Times New Roman"/>
        </w:rPr>
        <w:footnoteReference w:id="95"/>
      </w:r>
      <w:r>
        <w:rPr>
          <w:rFonts w:ascii="Times New Roman" w:eastAsia="Times New Roman" w:hAnsi="Times New Roman" w:cs="Times New Roman"/>
        </w:rPr>
        <w:t xml:space="preserve"> </w:t>
      </w:r>
      <w:r w:rsidRPr="00F75FCF">
        <w:rPr>
          <w:rFonts w:ascii="Times New Roman" w:eastAsia="Times New Roman" w:hAnsi="Times New Roman" w:cs="Times New Roman"/>
        </w:rPr>
        <w:t xml:space="preserve">The consequences of any </w:t>
      </w:r>
      <w:r>
        <w:rPr>
          <w:rFonts w:ascii="Times New Roman" w:eastAsia="Times New Roman" w:hAnsi="Times New Roman" w:cs="Times New Roman"/>
        </w:rPr>
        <w:t xml:space="preserve">deprivation </w:t>
      </w:r>
      <w:r w:rsidRPr="00F75FCF">
        <w:rPr>
          <w:rFonts w:ascii="Times New Roman" w:eastAsia="Times New Roman" w:hAnsi="Times New Roman" w:cs="Times New Roman"/>
        </w:rPr>
        <w:t xml:space="preserve">of nationality must be weighed against the gravity of the offence for which </w:t>
      </w:r>
      <w:r>
        <w:rPr>
          <w:rFonts w:ascii="Times New Roman" w:eastAsia="Times New Roman" w:hAnsi="Times New Roman" w:cs="Times New Roman"/>
        </w:rPr>
        <w:t xml:space="preserve">withdrawing </w:t>
      </w:r>
      <w:r w:rsidRPr="00F75FCF">
        <w:rPr>
          <w:rFonts w:ascii="Times New Roman" w:eastAsia="Times New Roman" w:hAnsi="Times New Roman" w:cs="Times New Roman"/>
        </w:rPr>
        <w:t>nationality is prescribed</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96"/>
      </w:r>
      <w:r>
        <w:rPr>
          <w:rFonts w:ascii="Times New Roman" w:eastAsia="Times New Roman" w:hAnsi="Times New Roman" w:cs="Times New Roman"/>
        </w:rPr>
        <w:t xml:space="preserve"> In this case, the severity of the punishment imposed on the Sterren Forty – five-year imprisonment sentences coupled with deprivation of nationality and expulsion post-custodial term – far exceeds the appropriate sentence for minor offences that harmed no one.</w:t>
      </w:r>
      <w:r>
        <w:rPr>
          <w:rStyle w:val="FootnoteReference"/>
          <w:rFonts w:ascii="Times New Roman" w:eastAsia="Times New Roman" w:hAnsi="Times New Roman" w:cs="Times New Roman"/>
        </w:rPr>
        <w:footnoteReference w:id="97"/>
      </w:r>
      <w:r>
        <w:rPr>
          <w:rFonts w:ascii="Times New Roman" w:eastAsia="Times New Roman" w:hAnsi="Times New Roman" w:cs="Times New Roman"/>
        </w:rPr>
        <w:t xml:space="preserve"> </w:t>
      </w:r>
      <w:r w:rsidRPr="00F75FCF">
        <w:rPr>
          <w:rFonts w:ascii="Times New Roman" w:eastAsia="Times New Roman" w:hAnsi="Times New Roman" w:cs="Times New Roman"/>
        </w:rPr>
        <w:t xml:space="preserve">Most protesters convicted under the DCA for comparable actions received </w:t>
      </w:r>
      <w:r w:rsidRPr="00F75FCF">
        <w:rPr>
          <w:rFonts w:ascii="Times New Roman" w:eastAsia="Times New Roman" w:hAnsi="Times New Roman" w:cs="Times New Roman"/>
        </w:rPr>
        <w:lastRenderedPageBreak/>
        <w:t xml:space="preserve">sentences ranging from one to three years, demonstrating that Remisia could </w:t>
      </w:r>
      <w:r>
        <w:rPr>
          <w:rFonts w:ascii="Times New Roman" w:eastAsia="Times New Roman" w:hAnsi="Times New Roman" w:cs="Times New Roman"/>
        </w:rPr>
        <w:t xml:space="preserve">have achieved its goals </w:t>
      </w:r>
      <w:r w:rsidRPr="00F75FCF">
        <w:rPr>
          <w:rFonts w:ascii="Times New Roman" w:eastAsia="Times New Roman" w:hAnsi="Times New Roman" w:cs="Times New Roman"/>
        </w:rPr>
        <w:t xml:space="preserve">without resorting to the </w:t>
      </w:r>
      <w:r>
        <w:rPr>
          <w:rFonts w:ascii="Times New Roman" w:eastAsia="Times New Roman" w:hAnsi="Times New Roman" w:cs="Times New Roman"/>
        </w:rPr>
        <w:t xml:space="preserve">clearly disproportionate </w:t>
      </w:r>
      <w:r w:rsidRPr="00F75FCF">
        <w:rPr>
          <w:rFonts w:ascii="Times New Roman" w:eastAsia="Times New Roman" w:hAnsi="Times New Roman" w:cs="Times New Roman"/>
        </w:rPr>
        <w:t xml:space="preserve">step of </w:t>
      </w:r>
      <w:r>
        <w:rPr>
          <w:rFonts w:ascii="Times New Roman" w:eastAsia="Times New Roman" w:hAnsi="Times New Roman" w:cs="Times New Roman"/>
        </w:rPr>
        <w:t>withdrawing nationality.</w:t>
      </w:r>
      <w:r>
        <w:rPr>
          <w:rStyle w:val="FootnoteReference"/>
          <w:rFonts w:ascii="Times New Roman" w:eastAsia="Times New Roman" w:hAnsi="Times New Roman" w:cs="Times New Roman"/>
        </w:rPr>
        <w:footnoteReference w:id="98"/>
      </w:r>
    </w:p>
    <w:p w14:paraId="40609B71" w14:textId="6D487C23" w:rsidR="00D50212" w:rsidRPr="00D50212" w:rsidRDefault="00D50212" w:rsidP="00D50212">
      <w:pPr>
        <w:pStyle w:val="Heading1"/>
      </w:pPr>
      <w:bookmarkStart w:id="22" w:name="_Toc155965824"/>
      <w:r w:rsidRPr="00D50212">
        <w:t>Antrano did not violate international law when it refused to provide Remisia consular access to Ms. Saki Shaw during her time as a prisoner in Antrano.</w:t>
      </w:r>
      <w:bookmarkEnd w:id="22"/>
      <w:r w:rsidRPr="00D50212">
        <w:t xml:space="preserve"> </w:t>
      </w:r>
    </w:p>
    <w:p w14:paraId="519BED3E" w14:textId="35BD34CD" w:rsidR="00D50212" w:rsidRDefault="00D50212" w:rsidP="00D50212">
      <w:pPr>
        <w:pStyle w:val="BodyText"/>
        <w:numPr>
          <w:ilvl w:val="5"/>
          <w:numId w:val="2"/>
        </w:numPr>
        <w:spacing w:before="240" w:after="240" w:line="360" w:lineRule="auto"/>
        <w:jc w:val="both"/>
        <w:rPr>
          <w:rFonts w:ascii="Times New Roman" w:eastAsia="Times New Roman" w:hAnsi="Times New Roman" w:cs="Times New Roman"/>
          <w:lang w:val="en"/>
        </w:rPr>
      </w:pPr>
      <w:r w:rsidRPr="00762E2E">
        <w:rPr>
          <w:rFonts w:ascii="Times New Roman" w:eastAsia="Times New Roman" w:hAnsi="Times New Roman" w:cs="Times New Roman"/>
          <w:lang w:val="en"/>
        </w:rPr>
        <w:t>Remisia was not entitled to exercise consular protection of Ms. Saki Shaw because Remisia’s naturalization of Shaw does not impose binding obligations on Antrano, and Shaw lacks a genuine connection to Remisia</w:t>
      </w:r>
      <w:r w:rsidRPr="00762E2E">
        <w:rPr>
          <w:rFonts w:ascii="Times New Roman" w:eastAsia="Times New Roman" w:hAnsi="Times New Roman" w:cs="Times New Roman"/>
          <w:b/>
          <w:lang w:val="en"/>
        </w:rPr>
        <w:t xml:space="preserve"> [</w:t>
      </w:r>
      <w:r>
        <w:rPr>
          <w:rFonts w:ascii="Times New Roman" w:eastAsia="Times New Roman" w:hAnsi="Times New Roman" w:cs="Times New Roman"/>
          <w:b/>
          <w:bCs/>
          <w:lang w:val="en"/>
        </w:rPr>
        <w:t>A</w:t>
      </w:r>
      <w:r w:rsidRPr="00762E2E">
        <w:rPr>
          <w:rFonts w:ascii="Times New Roman" w:eastAsia="Times New Roman" w:hAnsi="Times New Roman" w:cs="Times New Roman"/>
          <w:b/>
          <w:lang w:val="en"/>
        </w:rPr>
        <w:t>]</w:t>
      </w:r>
      <w:r w:rsidRPr="00762E2E">
        <w:rPr>
          <w:rFonts w:ascii="Times New Roman" w:eastAsia="Times New Roman" w:hAnsi="Times New Roman" w:cs="Times New Roman"/>
          <w:lang w:val="en"/>
        </w:rPr>
        <w:t>. Further, Remisia’s claim is inadmissible because Shaw failed to exhaust the local remedies available in Antrano to establish her right to consular protection by Remisia</w:t>
      </w:r>
      <w:r>
        <w:rPr>
          <w:rFonts w:ascii="Times New Roman" w:eastAsia="Times New Roman" w:hAnsi="Times New Roman" w:cs="Times New Roman"/>
          <w:lang w:val="en"/>
        </w:rPr>
        <w:t xml:space="preserve"> </w:t>
      </w:r>
      <w:r w:rsidRPr="00762E2E">
        <w:rPr>
          <w:rFonts w:ascii="Times New Roman" w:eastAsia="Times New Roman" w:hAnsi="Times New Roman" w:cs="Times New Roman"/>
          <w:b/>
          <w:lang w:val="en"/>
        </w:rPr>
        <w:t>[</w:t>
      </w:r>
      <w:r>
        <w:rPr>
          <w:rFonts w:ascii="Times New Roman" w:eastAsia="Times New Roman" w:hAnsi="Times New Roman" w:cs="Times New Roman"/>
          <w:b/>
          <w:bCs/>
          <w:lang w:val="en"/>
        </w:rPr>
        <w:t>B</w:t>
      </w:r>
      <w:r w:rsidRPr="00762E2E">
        <w:rPr>
          <w:rFonts w:ascii="Times New Roman" w:eastAsia="Times New Roman" w:hAnsi="Times New Roman" w:cs="Times New Roman"/>
          <w:b/>
          <w:lang w:val="en"/>
        </w:rPr>
        <w:t>]</w:t>
      </w:r>
      <w:r w:rsidRPr="00762E2E">
        <w:rPr>
          <w:rFonts w:ascii="Times New Roman" w:eastAsia="Times New Roman" w:hAnsi="Times New Roman" w:cs="Times New Roman"/>
          <w:lang w:val="en"/>
        </w:rPr>
        <w:t xml:space="preserve">. Regardless, Antrano met its obligations under Article 36.1(b) ‘without delay’ and did not violate Article 36.1(a) and (c) of the </w:t>
      </w:r>
      <w:r w:rsidR="004524FC">
        <w:rPr>
          <w:rFonts w:ascii="Times New Roman" w:eastAsia="Times New Roman" w:hAnsi="Times New Roman" w:cs="Times New Roman"/>
          <w:i/>
          <w:lang w:val="en"/>
        </w:rPr>
        <w:t>VCCR</w:t>
      </w:r>
      <w:r w:rsidRPr="00762E2E">
        <w:rPr>
          <w:rFonts w:ascii="Times New Roman" w:eastAsia="Times New Roman" w:hAnsi="Times New Roman" w:cs="Times New Roman"/>
          <w:lang w:val="en"/>
        </w:rPr>
        <w:t xml:space="preserve"> </w:t>
      </w:r>
      <w:r>
        <w:rPr>
          <w:rFonts w:ascii="Times New Roman" w:eastAsia="Times New Roman" w:hAnsi="Times New Roman" w:cs="Times New Roman"/>
          <w:b/>
          <w:lang w:val="en"/>
        </w:rPr>
        <w:t>[C]</w:t>
      </w:r>
      <w:r w:rsidRPr="00762E2E">
        <w:rPr>
          <w:rFonts w:ascii="Times New Roman" w:eastAsia="Times New Roman" w:hAnsi="Times New Roman" w:cs="Times New Roman"/>
          <w:lang w:val="en"/>
        </w:rPr>
        <w:t>.</w:t>
      </w:r>
    </w:p>
    <w:p w14:paraId="65146CD8" w14:textId="6A9BFBC5" w:rsidR="00421F67" w:rsidRPr="00421F67" w:rsidRDefault="00D50212" w:rsidP="00421F67">
      <w:pPr>
        <w:pStyle w:val="Heading2"/>
      </w:pPr>
      <w:bookmarkStart w:id="23" w:name="_Toc155965825"/>
      <w:r w:rsidRPr="00421F67">
        <w:t>Remisia was not entitled to exercise consular protection over Shaw.</w:t>
      </w:r>
      <w:bookmarkEnd w:id="23"/>
    </w:p>
    <w:p w14:paraId="02CFB95D" w14:textId="422A1FD8" w:rsidR="00421F67" w:rsidRPr="00421F67" w:rsidRDefault="00D50212" w:rsidP="00421F67">
      <w:pPr>
        <w:pStyle w:val="BodyText"/>
        <w:numPr>
          <w:ilvl w:val="5"/>
          <w:numId w:val="2"/>
        </w:numPr>
        <w:spacing w:before="240" w:after="240" w:line="360" w:lineRule="auto"/>
        <w:jc w:val="both"/>
        <w:rPr>
          <w:rFonts w:ascii="Times New Roman" w:hAnsi="Times New Roman" w:cs="Times New Roman"/>
          <w:b/>
          <w:lang w:val="en"/>
        </w:rPr>
      </w:pPr>
      <w:r w:rsidRPr="00421F67">
        <w:rPr>
          <w:rFonts w:ascii="Times New Roman" w:eastAsia="Times New Roman" w:hAnsi="Times New Roman" w:cs="Times New Roman"/>
          <w:lang w:val="en"/>
        </w:rPr>
        <w:t>Under</w:t>
      </w:r>
      <w:r w:rsidRPr="00421F67">
        <w:rPr>
          <w:rFonts w:ascii="Times New Roman" w:hAnsi="Times New Roman" w:cs="Times New Roman"/>
          <w:lang w:val="en"/>
        </w:rPr>
        <w:t xml:space="preserve"> the </w:t>
      </w:r>
      <w:r w:rsidR="00303A4E" w:rsidRPr="00421F67">
        <w:rPr>
          <w:rFonts w:ascii="Times New Roman" w:hAnsi="Times New Roman" w:cs="Times New Roman"/>
          <w:bCs/>
          <w:i/>
          <w:iCs/>
          <w:lang w:val="en"/>
        </w:rPr>
        <w:t>VCCR</w:t>
      </w:r>
      <w:r w:rsidRPr="00421F67">
        <w:rPr>
          <w:rFonts w:ascii="Times New Roman" w:hAnsi="Times New Roman" w:cs="Times New Roman"/>
          <w:lang w:val="en"/>
        </w:rPr>
        <w:t>, a state can only provide consular assistance to their own nationals.</w:t>
      </w:r>
      <w:r w:rsidRPr="00421F67">
        <w:rPr>
          <w:rFonts w:ascii="Times New Roman" w:hAnsi="Times New Roman" w:cs="Times New Roman"/>
          <w:vertAlign w:val="superscript"/>
          <w:lang w:val="en"/>
        </w:rPr>
        <w:footnoteReference w:id="99"/>
      </w:r>
      <w:r w:rsidRPr="00421F67">
        <w:rPr>
          <w:rFonts w:ascii="Times New Roman" w:hAnsi="Times New Roman" w:cs="Times New Roman"/>
          <w:lang w:val="en"/>
        </w:rPr>
        <w:t xml:space="preserve"> As the ICJ held in </w:t>
      </w:r>
      <w:r w:rsidRPr="00421F67">
        <w:rPr>
          <w:rFonts w:ascii="Times New Roman" w:hAnsi="Times New Roman" w:cs="Times New Roman"/>
          <w:i/>
          <w:lang w:val="en"/>
        </w:rPr>
        <w:t xml:space="preserve">Nottebohm, </w:t>
      </w:r>
      <w:r w:rsidRPr="00421F67">
        <w:rPr>
          <w:rFonts w:ascii="Times New Roman" w:hAnsi="Times New Roman" w:cs="Times New Roman"/>
          <w:lang w:val="en"/>
        </w:rPr>
        <w:t>nationality must be determined under international law as Remisian legislation cannot unilaterally impose obligations on Antrano.</w:t>
      </w:r>
      <w:r w:rsidRPr="00421F67">
        <w:rPr>
          <w:rFonts w:ascii="Times New Roman" w:hAnsi="Times New Roman" w:cs="Times New Roman"/>
          <w:vertAlign w:val="superscript"/>
          <w:lang w:val="en"/>
        </w:rPr>
        <w:footnoteReference w:id="100"/>
      </w:r>
      <w:r w:rsidRPr="00421F67">
        <w:rPr>
          <w:rFonts w:ascii="Times New Roman" w:hAnsi="Times New Roman" w:cs="Times New Roman"/>
          <w:lang w:val="en"/>
        </w:rPr>
        <w:t xml:space="preserve"> The absence of an effective tie of nationality can authorize Antrano to deny the legitimacy of diplomatic protection.</w:t>
      </w:r>
      <w:r w:rsidRPr="00421F67">
        <w:rPr>
          <w:rFonts w:ascii="Times New Roman" w:hAnsi="Times New Roman" w:cs="Times New Roman"/>
          <w:vertAlign w:val="superscript"/>
          <w:lang w:val="en"/>
        </w:rPr>
        <w:footnoteReference w:id="101"/>
      </w:r>
    </w:p>
    <w:p w14:paraId="2BDA55B1" w14:textId="0D2941D8" w:rsidR="00D50212" w:rsidRPr="00421F67" w:rsidRDefault="00D50212" w:rsidP="00421F67">
      <w:pPr>
        <w:pStyle w:val="BodyText"/>
        <w:numPr>
          <w:ilvl w:val="5"/>
          <w:numId w:val="2"/>
        </w:numPr>
        <w:spacing w:before="240" w:after="240" w:line="360" w:lineRule="auto"/>
        <w:jc w:val="both"/>
        <w:rPr>
          <w:rFonts w:ascii="Times New Roman" w:hAnsi="Times New Roman" w:cs="Times New Roman"/>
          <w:lang w:val="en"/>
        </w:rPr>
      </w:pPr>
      <w:r w:rsidRPr="00421F67">
        <w:rPr>
          <w:rFonts w:ascii="Times New Roman" w:hAnsi="Times New Roman" w:cs="Times New Roman"/>
          <w:lang w:val="en"/>
        </w:rPr>
        <w:t>Remisia was not entitled to exercise consular protection over Shaw in Antrano, as Shaw is not a national of Remisia under international law.</w:t>
      </w:r>
      <w:r w:rsidRPr="00421F67">
        <w:rPr>
          <w:rFonts w:ascii="Times New Roman" w:hAnsi="Times New Roman" w:cs="Times New Roman"/>
          <w:vertAlign w:val="superscript"/>
          <w:lang w:val="en"/>
        </w:rPr>
        <w:footnoteReference w:id="102"/>
      </w:r>
      <w:r w:rsidRPr="00421F67">
        <w:rPr>
          <w:rFonts w:ascii="Times New Roman" w:hAnsi="Times New Roman" w:cs="Times New Roman"/>
          <w:lang w:val="en"/>
        </w:rPr>
        <w:t xml:space="preserve"> Since Shaw’s naturalization was conferred in ‘exceptional circumstances of speed and accommodation,’ the effective nationality test in </w:t>
      </w:r>
      <w:r w:rsidRPr="00421F67">
        <w:rPr>
          <w:rFonts w:ascii="Times New Roman" w:hAnsi="Times New Roman" w:cs="Times New Roman"/>
          <w:i/>
          <w:lang w:val="en"/>
        </w:rPr>
        <w:t xml:space="preserve">Nottebohm </w:t>
      </w:r>
      <w:r w:rsidRPr="00421F67">
        <w:rPr>
          <w:rFonts w:ascii="Times New Roman" w:hAnsi="Times New Roman" w:cs="Times New Roman"/>
          <w:lang w:val="en"/>
        </w:rPr>
        <w:t xml:space="preserve">applies [1]. Shaw’s connection to Remisia was extremely tenuous. Her NIP application </w:t>
      </w:r>
      <w:r w:rsidRPr="00421F67">
        <w:rPr>
          <w:rFonts w:ascii="Times New Roman" w:hAnsi="Times New Roman" w:cs="Times New Roman"/>
          <w:lang w:val="en"/>
        </w:rPr>
        <w:lastRenderedPageBreak/>
        <w:t>and personal details failed to reveal any authentic ties to Remisia, before and after her naturalization [2].</w:t>
      </w:r>
      <w:r w:rsidRPr="00421F67">
        <w:rPr>
          <w:rFonts w:ascii="Times New Roman" w:hAnsi="Times New Roman" w:cs="Times New Roman"/>
          <w:vertAlign w:val="superscript"/>
          <w:lang w:val="en"/>
        </w:rPr>
        <w:footnoteReference w:id="103"/>
      </w:r>
      <w:r w:rsidRPr="00421F67">
        <w:rPr>
          <w:rFonts w:ascii="Times New Roman" w:hAnsi="Times New Roman" w:cs="Times New Roman"/>
          <w:lang w:val="en"/>
        </w:rPr>
        <w:t xml:space="preserve"> Furthermore, Antrano was not estopped from denying Shaw’s Remisian citizenship [3]. </w:t>
      </w:r>
    </w:p>
    <w:p w14:paraId="42261F0D" w14:textId="1C29D226" w:rsidR="00D50212" w:rsidRPr="00D50212" w:rsidRDefault="00D50212" w:rsidP="00D83BA1">
      <w:pPr>
        <w:pStyle w:val="Heading3"/>
      </w:pPr>
      <w:bookmarkStart w:id="24" w:name="_Toc155965826"/>
      <w:r>
        <w:t xml:space="preserve">The effective nationality test in </w:t>
      </w:r>
      <w:r>
        <w:rPr>
          <w:i/>
          <w:iCs/>
        </w:rPr>
        <w:t xml:space="preserve">Nottebohm </w:t>
      </w:r>
      <w:r>
        <w:t>applies.</w:t>
      </w:r>
      <w:bookmarkEnd w:id="24"/>
    </w:p>
    <w:p w14:paraId="1F65A2C0" w14:textId="1689F620" w:rsidR="00D50212" w:rsidRPr="00F71190" w:rsidRDefault="00D50212" w:rsidP="00D50212">
      <w:pPr>
        <w:pStyle w:val="BodyText"/>
        <w:numPr>
          <w:ilvl w:val="5"/>
          <w:numId w:val="2"/>
        </w:numPr>
        <w:spacing w:before="240" w:after="240" w:line="360" w:lineRule="auto"/>
        <w:jc w:val="both"/>
        <w:rPr>
          <w:rFonts w:ascii="Times New Roman" w:eastAsia="Times New Roman" w:hAnsi="Times New Roman" w:cs="Times New Roman"/>
          <w:lang w:val="en"/>
        </w:rPr>
      </w:pPr>
      <w:r w:rsidRPr="00F71190">
        <w:rPr>
          <w:rFonts w:ascii="Times New Roman" w:eastAsia="Times New Roman" w:hAnsi="Times New Roman" w:cs="Times New Roman"/>
          <w:lang w:val="en"/>
        </w:rPr>
        <w:t xml:space="preserve">This Court in </w:t>
      </w:r>
      <w:r w:rsidRPr="00F71190">
        <w:rPr>
          <w:rFonts w:ascii="Times New Roman" w:eastAsia="Times New Roman" w:hAnsi="Times New Roman" w:cs="Times New Roman"/>
          <w:i/>
          <w:lang w:val="en"/>
        </w:rPr>
        <w:t xml:space="preserve">Nottebohm </w:t>
      </w:r>
      <w:r w:rsidRPr="00F71190">
        <w:rPr>
          <w:rFonts w:ascii="Times New Roman" w:eastAsia="Times New Roman" w:hAnsi="Times New Roman" w:cs="Times New Roman"/>
          <w:lang w:val="en"/>
        </w:rPr>
        <w:t>held that</w:t>
      </w:r>
      <w:r w:rsidRPr="00F71190">
        <w:rPr>
          <w:rFonts w:ascii="Times New Roman" w:eastAsia="Times New Roman" w:hAnsi="Times New Roman" w:cs="Times New Roman"/>
          <w:i/>
          <w:lang w:val="en"/>
        </w:rPr>
        <w:t xml:space="preserve"> </w:t>
      </w:r>
      <w:r w:rsidRPr="00F71190">
        <w:rPr>
          <w:rFonts w:ascii="Times New Roman" w:eastAsia="Times New Roman" w:hAnsi="Times New Roman" w:cs="Times New Roman"/>
          <w:lang w:val="en"/>
        </w:rPr>
        <w:t>naturalization may not establish diplomatic protection if it is ‘not based on any real prior connection’ and if it did not ‘alter the manner of life of the person upon whom it was conferred.’</w:t>
      </w:r>
      <w:r w:rsidRPr="00F71190">
        <w:rPr>
          <w:rFonts w:ascii="Times New Roman" w:eastAsia="Times New Roman" w:hAnsi="Times New Roman" w:cs="Times New Roman"/>
          <w:vertAlign w:val="superscript"/>
          <w:lang w:val="en"/>
        </w:rPr>
        <w:footnoteReference w:id="104"/>
      </w:r>
      <w:r w:rsidRPr="00F71190">
        <w:rPr>
          <w:rFonts w:ascii="Times New Roman" w:eastAsia="Times New Roman" w:hAnsi="Times New Roman" w:cs="Times New Roman"/>
          <w:lang w:val="en"/>
        </w:rPr>
        <w:t xml:space="preserve"> Courts assess the individual’s habitual residence, the centre of their interests, family ties and participation in public life in making this determination.</w:t>
      </w:r>
      <w:r w:rsidRPr="00F71190">
        <w:rPr>
          <w:rFonts w:ascii="Times New Roman" w:eastAsia="Times New Roman" w:hAnsi="Times New Roman" w:cs="Times New Roman"/>
          <w:vertAlign w:val="superscript"/>
          <w:lang w:val="en"/>
        </w:rPr>
        <w:footnoteReference w:id="105"/>
      </w:r>
    </w:p>
    <w:p w14:paraId="192155A0" w14:textId="77777777" w:rsidR="00D50212" w:rsidRPr="00F71190" w:rsidRDefault="00D50212" w:rsidP="00D50212">
      <w:pPr>
        <w:pStyle w:val="BodyText"/>
        <w:numPr>
          <w:ilvl w:val="5"/>
          <w:numId w:val="2"/>
        </w:numPr>
        <w:spacing w:before="240" w:after="240" w:line="360" w:lineRule="auto"/>
        <w:jc w:val="both"/>
        <w:rPr>
          <w:rFonts w:ascii="Times New Roman" w:eastAsia="Times New Roman" w:hAnsi="Times New Roman" w:cs="Times New Roman"/>
          <w:lang w:val="en"/>
        </w:rPr>
      </w:pPr>
      <w:r w:rsidRPr="00F71190">
        <w:rPr>
          <w:rFonts w:ascii="Times New Roman" w:eastAsia="Times New Roman" w:hAnsi="Times New Roman" w:cs="Times New Roman"/>
          <w:lang w:val="en"/>
        </w:rPr>
        <w:t>Effective nationality is a binding requirement for countries claiming diplomatic protection over an individual.</w:t>
      </w:r>
      <w:r w:rsidRPr="00F71190">
        <w:rPr>
          <w:rFonts w:ascii="Times New Roman" w:eastAsia="Times New Roman" w:hAnsi="Times New Roman" w:cs="Times New Roman"/>
          <w:vertAlign w:val="superscript"/>
          <w:lang w:val="en"/>
        </w:rPr>
        <w:footnoteReference w:id="106"/>
      </w:r>
      <w:r w:rsidRPr="00F71190">
        <w:rPr>
          <w:rFonts w:ascii="Times New Roman" w:eastAsia="Times New Roman" w:hAnsi="Times New Roman" w:cs="Times New Roman"/>
          <w:lang w:val="en"/>
        </w:rPr>
        <w:t xml:space="preserve"> The International Centre for Settlement of Investment Disputes (“ICSID”) noted that the absence of effective nationality would authorize a state to deny the legitimacy of diplomatic protection.</w:t>
      </w:r>
      <w:r w:rsidRPr="00F71190">
        <w:rPr>
          <w:rFonts w:ascii="Times New Roman" w:eastAsia="Times New Roman" w:hAnsi="Times New Roman" w:cs="Times New Roman"/>
          <w:vertAlign w:val="superscript"/>
          <w:lang w:val="en"/>
        </w:rPr>
        <w:footnoteReference w:id="107"/>
      </w:r>
      <w:r w:rsidRPr="00F71190">
        <w:rPr>
          <w:rFonts w:ascii="Times New Roman" w:eastAsia="Times New Roman" w:hAnsi="Times New Roman" w:cs="Times New Roman"/>
          <w:lang w:val="en"/>
        </w:rPr>
        <w:t xml:space="preserve"> The International Institute of Law resolved that nationality conferred in the absence of “any link of attachment” is </w:t>
      </w:r>
      <w:r w:rsidRPr="00F71190">
        <w:rPr>
          <w:rFonts w:ascii="Times New Roman" w:eastAsia="Times New Roman" w:hAnsi="Times New Roman" w:cs="Times New Roman"/>
          <w:i/>
          <w:lang w:val="en"/>
        </w:rPr>
        <w:t xml:space="preserve">prima facie </w:t>
      </w:r>
      <w:r w:rsidRPr="00F71190">
        <w:rPr>
          <w:rFonts w:ascii="Times New Roman" w:eastAsia="Times New Roman" w:hAnsi="Times New Roman" w:cs="Times New Roman"/>
          <w:lang w:val="en"/>
        </w:rPr>
        <w:t>conferred in bad faith and, therefore, may not be recognized for the purpose of diplomatic protection.</w:t>
      </w:r>
      <w:r w:rsidRPr="00F71190">
        <w:rPr>
          <w:rFonts w:ascii="Times New Roman" w:eastAsia="Times New Roman" w:hAnsi="Times New Roman" w:cs="Times New Roman"/>
          <w:vertAlign w:val="superscript"/>
          <w:lang w:val="en"/>
        </w:rPr>
        <w:footnoteReference w:id="108"/>
      </w:r>
      <w:r w:rsidRPr="00F71190">
        <w:rPr>
          <w:rFonts w:ascii="Times New Roman" w:eastAsia="Times New Roman" w:hAnsi="Times New Roman" w:cs="Times New Roman"/>
          <w:lang w:val="en"/>
        </w:rPr>
        <w:t xml:space="preserve"> </w:t>
      </w:r>
    </w:p>
    <w:p w14:paraId="2EDEA59B" w14:textId="77777777" w:rsidR="00D50212" w:rsidRDefault="00D50212" w:rsidP="00D50212">
      <w:pPr>
        <w:pStyle w:val="BodyText"/>
        <w:numPr>
          <w:ilvl w:val="5"/>
          <w:numId w:val="2"/>
        </w:numPr>
        <w:spacing w:before="240" w:after="240" w:line="360" w:lineRule="auto"/>
        <w:jc w:val="both"/>
        <w:rPr>
          <w:rFonts w:ascii="Times New Roman" w:eastAsia="Times New Roman" w:hAnsi="Times New Roman" w:cs="Times New Roman"/>
          <w:lang w:val="en"/>
        </w:rPr>
      </w:pPr>
      <w:r w:rsidRPr="00F71190">
        <w:rPr>
          <w:rFonts w:ascii="Times New Roman" w:eastAsia="Times New Roman" w:hAnsi="Times New Roman" w:cs="Times New Roman"/>
          <w:lang w:val="en"/>
        </w:rPr>
        <w:t xml:space="preserve">The ICSID maintains that </w:t>
      </w:r>
      <w:r w:rsidRPr="00F71190">
        <w:rPr>
          <w:rFonts w:ascii="Times New Roman" w:eastAsia="Times New Roman" w:hAnsi="Times New Roman" w:cs="Times New Roman"/>
          <w:i/>
          <w:lang w:val="en"/>
        </w:rPr>
        <w:t>Nottebohm</w:t>
      </w:r>
      <w:r w:rsidRPr="00F71190">
        <w:rPr>
          <w:rFonts w:ascii="Times New Roman" w:eastAsia="Times New Roman" w:hAnsi="Times New Roman" w:cs="Times New Roman"/>
          <w:lang w:val="en"/>
        </w:rPr>
        <w:t xml:space="preserve">’s effective nationality test may apply to ‘nationalities of convenience’ conferred in ‘circumstances of exceptional speed and accommodation, such as Shaw’s, whose citizenship was purchased and motivated by the promise of gaining access to </w:t>
      </w:r>
      <w:r w:rsidRPr="00F71190">
        <w:rPr>
          <w:rFonts w:ascii="Times New Roman" w:eastAsia="Times New Roman" w:hAnsi="Times New Roman" w:cs="Times New Roman"/>
          <w:lang w:val="en"/>
        </w:rPr>
        <w:lastRenderedPageBreak/>
        <w:t>international fora.</w:t>
      </w:r>
      <w:r w:rsidRPr="00F71190">
        <w:rPr>
          <w:rFonts w:ascii="Times New Roman" w:eastAsia="Times New Roman" w:hAnsi="Times New Roman" w:cs="Times New Roman"/>
          <w:vertAlign w:val="superscript"/>
          <w:lang w:val="en"/>
        </w:rPr>
        <w:footnoteReference w:id="109"/>
      </w:r>
      <w:r w:rsidRPr="00F71190">
        <w:rPr>
          <w:rFonts w:ascii="Times New Roman" w:eastAsia="Times New Roman" w:hAnsi="Times New Roman" w:cs="Times New Roman"/>
          <w:lang w:val="en"/>
        </w:rPr>
        <w:t xml:space="preserve"> The NIP provided Shaw access to visa-free travel and consular assistance in over a hundred countries shortly after she fled her home state due to legal complications.</w:t>
      </w:r>
      <w:r w:rsidRPr="00F71190">
        <w:rPr>
          <w:rFonts w:ascii="Times New Roman" w:eastAsia="Times New Roman" w:hAnsi="Times New Roman" w:cs="Times New Roman"/>
          <w:vertAlign w:val="superscript"/>
          <w:lang w:val="en"/>
        </w:rPr>
        <w:footnoteReference w:id="110"/>
      </w:r>
      <w:r w:rsidRPr="00F71190">
        <w:rPr>
          <w:rFonts w:ascii="Times New Roman" w:eastAsia="Times New Roman" w:hAnsi="Times New Roman" w:cs="Times New Roman"/>
          <w:lang w:val="en"/>
        </w:rPr>
        <w:t xml:space="preserve"> Additionally, Shaw's approval for naturalization was guaranteed once she transferred €500,000 to the National Infrastructure Development Fund, as agreed with the Remisian government.</w:t>
      </w:r>
      <w:r w:rsidRPr="00F71190">
        <w:rPr>
          <w:rFonts w:ascii="Times New Roman" w:eastAsia="Times New Roman" w:hAnsi="Times New Roman" w:cs="Times New Roman"/>
          <w:vertAlign w:val="superscript"/>
          <w:lang w:val="en"/>
        </w:rPr>
        <w:footnoteReference w:id="111"/>
      </w:r>
      <w:r w:rsidRPr="00F71190">
        <w:rPr>
          <w:rFonts w:ascii="Times New Roman" w:eastAsia="Times New Roman" w:hAnsi="Times New Roman" w:cs="Times New Roman"/>
          <w:lang w:val="en"/>
        </w:rPr>
        <w:t xml:space="preserve">  </w:t>
      </w:r>
    </w:p>
    <w:p w14:paraId="5E28897C" w14:textId="27179AC7" w:rsidR="00D50212" w:rsidRDefault="00D50212" w:rsidP="00D83BA1">
      <w:pPr>
        <w:pStyle w:val="Heading3"/>
      </w:pPr>
      <w:bookmarkStart w:id="25" w:name="_Toc155965827"/>
      <w:r w:rsidRPr="00D50212">
        <w:t>Shaw was not a Remisian national under international law.</w:t>
      </w:r>
      <w:bookmarkEnd w:id="25"/>
    </w:p>
    <w:p w14:paraId="4C32492E" w14:textId="48384CA1" w:rsidR="00D50212" w:rsidRPr="00DF2ADC" w:rsidRDefault="00D50212" w:rsidP="00D50212">
      <w:pPr>
        <w:pStyle w:val="BodyText"/>
        <w:numPr>
          <w:ilvl w:val="5"/>
          <w:numId w:val="2"/>
        </w:numPr>
        <w:spacing w:before="240" w:after="240" w:line="360" w:lineRule="auto"/>
        <w:jc w:val="both"/>
        <w:rPr>
          <w:rFonts w:ascii="Times New Roman" w:eastAsia="Times New Roman" w:hAnsi="Times New Roman" w:cs="Times New Roman"/>
          <w:lang w:val="en"/>
        </w:rPr>
      </w:pPr>
      <w:r>
        <w:rPr>
          <w:rFonts w:ascii="Times New Roman" w:eastAsia="Times New Roman" w:hAnsi="Times New Roman" w:cs="Times New Roman"/>
          <w:lang w:val="en"/>
        </w:rPr>
        <w:t>S</w:t>
      </w:r>
      <w:r w:rsidRPr="00DF2ADC">
        <w:rPr>
          <w:rFonts w:ascii="Times New Roman" w:eastAsia="Times New Roman" w:hAnsi="Times New Roman" w:cs="Times New Roman"/>
          <w:lang w:val="en"/>
        </w:rPr>
        <w:t>haw lacked an effective link and cannot be considered a Remisian national under international law. Purchased citizenship under the NIP does not indicate an effective link. Individually, Shaw had no ‘real prior connection’ to Remisia, and her naturalization did not alter her manner of life.</w:t>
      </w:r>
      <w:r w:rsidRPr="00DF2ADC">
        <w:rPr>
          <w:rFonts w:ascii="Times New Roman" w:eastAsia="Times New Roman" w:hAnsi="Times New Roman" w:cs="Times New Roman"/>
          <w:vertAlign w:val="superscript"/>
          <w:lang w:val="en"/>
        </w:rPr>
        <w:footnoteReference w:id="112"/>
      </w:r>
      <w:r w:rsidRPr="00DF2ADC">
        <w:rPr>
          <w:rFonts w:ascii="Times New Roman" w:eastAsia="Times New Roman" w:hAnsi="Times New Roman" w:cs="Times New Roman"/>
          <w:lang w:val="en"/>
        </w:rPr>
        <w:t xml:space="preserve"> Further, the commercial activities of Lithos Limited cannot be attributed to Shaw personally, nor do they indicate any exceptional connection to Remisia.</w:t>
      </w:r>
    </w:p>
    <w:p w14:paraId="402E3A1C" w14:textId="75A26428" w:rsidR="00D50212" w:rsidRPr="00EF6D4D" w:rsidRDefault="00D50212" w:rsidP="00EF6D4D">
      <w:pPr>
        <w:pStyle w:val="BodyText"/>
        <w:numPr>
          <w:ilvl w:val="5"/>
          <w:numId w:val="2"/>
        </w:numPr>
        <w:spacing w:before="240" w:after="240" w:line="360" w:lineRule="auto"/>
        <w:jc w:val="both"/>
        <w:rPr>
          <w:rFonts w:ascii="Times New Roman" w:eastAsia="Times New Roman" w:hAnsi="Times New Roman" w:cs="Times New Roman"/>
          <w:lang w:val="en"/>
        </w:rPr>
      </w:pPr>
      <w:r w:rsidRPr="00DF2ADC">
        <w:rPr>
          <w:rFonts w:ascii="Times New Roman" w:eastAsia="Times New Roman" w:hAnsi="Times New Roman" w:cs="Times New Roman"/>
          <w:lang w:val="en"/>
        </w:rPr>
        <w:t xml:space="preserve">First, naturalization under the NIP does not meet the effective nationality test. </w:t>
      </w:r>
      <w:r w:rsidR="00EF6D4D" w:rsidRPr="00DF2ADC">
        <w:rPr>
          <w:rFonts w:ascii="Times New Roman" w:eastAsia="Times New Roman" w:hAnsi="Times New Roman" w:cs="Times New Roman"/>
          <w:lang w:val="en"/>
        </w:rPr>
        <w:t>State practice demonstrates that countries may decline to recognize purchased citizenship. Only thirteen states operate citizenship-for-purchase programs, while the European Union, France, Germany, Italy, the United Kingdom, Canada, and the United States have taken steps to restrict other countries' sale of citizenship.</w:t>
      </w:r>
      <w:r w:rsidR="00EF6D4D" w:rsidRPr="00DF2ADC">
        <w:rPr>
          <w:rFonts w:ascii="Times New Roman" w:eastAsia="Times New Roman" w:hAnsi="Times New Roman" w:cs="Times New Roman"/>
          <w:vertAlign w:val="superscript"/>
          <w:lang w:val="en"/>
        </w:rPr>
        <w:footnoteReference w:id="113"/>
      </w:r>
      <w:r w:rsidR="00EF6D4D">
        <w:rPr>
          <w:rFonts w:ascii="Times New Roman" w:eastAsia="Times New Roman" w:hAnsi="Times New Roman" w:cs="Times New Roman"/>
          <w:lang w:val="en"/>
        </w:rPr>
        <w:t xml:space="preserve"> </w:t>
      </w:r>
      <w:r w:rsidRPr="00EF6D4D">
        <w:rPr>
          <w:rFonts w:ascii="Times New Roman" w:eastAsia="Times New Roman" w:hAnsi="Times New Roman" w:cs="Times New Roman"/>
          <w:lang w:val="en"/>
        </w:rPr>
        <w:t>Shaw purchased her citizenship for €500,000 and qualified without any consideration of “real and lasting ties” with Remisia.</w:t>
      </w:r>
      <w:r w:rsidRPr="00DF2ADC">
        <w:rPr>
          <w:rFonts w:ascii="Times New Roman" w:eastAsia="Times New Roman" w:hAnsi="Times New Roman" w:cs="Times New Roman"/>
          <w:vertAlign w:val="superscript"/>
          <w:lang w:val="en"/>
        </w:rPr>
        <w:footnoteReference w:id="114"/>
      </w:r>
    </w:p>
    <w:p w14:paraId="4291915C" w14:textId="77777777" w:rsidR="00D50212" w:rsidRPr="00DF2ADC" w:rsidRDefault="00D50212" w:rsidP="00D50212">
      <w:pPr>
        <w:pStyle w:val="BodyText"/>
        <w:numPr>
          <w:ilvl w:val="5"/>
          <w:numId w:val="2"/>
        </w:numPr>
        <w:spacing w:before="240" w:after="240" w:line="360" w:lineRule="auto"/>
        <w:jc w:val="both"/>
        <w:rPr>
          <w:rFonts w:ascii="Times New Roman" w:eastAsia="Times New Roman" w:hAnsi="Times New Roman" w:cs="Times New Roman"/>
          <w:lang w:val="en"/>
        </w:rPr>
      </w:pPr>
      <w:r w:rsidRPr="00DF2ADC">
        <w:rPr>
          <w:rFonts w:ascii="Times New Roman" w:eastAsia="Times New Roman" w:hAnsi="Times New Roman" w:cs="Times New Roman"/>
          <w:lang w:val="en"/>
        </w:rPr>
        <w:lastRenderedPageBreak/>
        <w:t>Second, Shaw lacked a ‘real prior connection’ to Remisia, and her naturalization did not alter her manner of life.</w:t>
      </w:r>
      <w:r w:rsidRPr="00DF2ADC">
        <w:rPr>
          <w:rFonts w:ascii="Times New Roman" w:eastAsia="Times New Roman" w:hAnsi="Times New Roman" w:cs="Times New Roman"/>
          <w:vertAlign w:val="superscript"/>
          <w:lang w:val="en"/>
        </w:rPr>
        <w:footnoteReference w:id="115"/>
      </w:r>
      <w:r w:rsidRPr="00DF2ADC">
        <w:rPr>
          <w:rFonts w:ascii="Times New Roman" w:eastAsia="Times New Roman" w:hAnsi="Times New Roman" w:cs="Times New Roman"/>
          <w:lang w:val="en"/>
        </w:rPr>
        <w:t xml:space="preserve"> Shaw’s Remisian citizenship was</w:t>
      </w:r>
      <w:r w:rsidRPr="00DF2ADC">
        <w:rPr>
          <w:rFonts w:ascii="Times New Roman" w:eastAsia="Times New Roman" w:hAnsi="Times New Roman" w:cs="Times New Roman"/>
          <w:i/>
          <w:lang w:val="en"/>
        </w:rPr>
        <w:t xml:space="preserve"> </w:t>
      </w:r>
      <w:r w:rsidRPr="00DF2ADC">
        <w:rPr>
          <w:rFonts w:ascii="Times New Roman" w:eastAsia="Times New Roman" w:hAnsi="Times New Roman" w:cs="Times New Roman"/>
          <w:lang w:val="en"/>
        </w:rPr>
        <w:t>used to avoid legal complications in her home country of Molvania.</w:t>
      </w:r>
      <w:r w:rsidRPr="00DF2ADC">
        <w:rPr>
          <w:rFonts w:ascii="Times New Roman" w:eastAsia="Times New Roman" w:hAnsi="Times New Roman" w:cs="Times New Roman"/>
          <w:vertAlign w:val="superscript"/>
          <w:lang w:val="en"/>
        </w:rPr>
        <w:footnoteReference w:id="116"/>
      </w:r>
      <w:r w:rsidRPr="00DF2ADC">
        <w:rPr>
          <w:rFonts w:ascii="Times New Roman" w:eastAsia="Times New Roman" w:hAnsi="Times New Roman" w:cs="Times New Roman"/>
          <w:lang w:val="en"/>
        </w:rPr>
        <w:t xml:space="preserve"> She had little personal connection to Remisia, lived outside of the country and was naturalized a decade after her last visit to Remisia.</w:t>
      </w:r>
      <w:r w:rsidRPr="00DF2ADC">
        <w:rPr>
          <w:rFonts w:ascii="Times New Roman" w:eastAsia="Times New Roman" w:hAnsi="Times New Roman" w:cs="Times New Roman"/>
          <w:vertAlign w:val="superscript"/>
          <w:lang w:val="en"/>
        </w:rPr>
        <w:footnoteReference w:id="117"/>
      </w:r>
      <w:r w:rsidRPr="00DF2ADC">
        <w:rPr>
          <w:rFonts w:ascii="Times New Roman" w:eastAsia="Times New Roman" w:hAnsi="Times New Roman" w:cs="Times New Roman"/>
          <w:lang w:val="en"/>
        </w:rPr>
        <w:t xml:space="preserve"> After naturalization, Shaw’s relationship with Remisia remained unchanged. She did not travel to or show any intention of settling in Remisia.</w:t>
      </w:r>
      <w:r w:rsidRPr="00DF2ADC">
        <w:rPr>
          <w:rFonts w:ascii="Times New Roman" w:eastAsia="Times New Roman" w:hAnsi="Times New Roman" w:cs="Times New Roman"/>
          <w:vertAlign w:val="superscript"/>
          <w:lang w:val="en"/>
        </w:rPr>
        <w:footnoteReference w:id="118"/>
      </w:r>
      <w:r w:rsidRPr="00DF2ADC">
        <w:rPr>
          <w:rFonts w:ascii="Times New Roman" w:eastAsia="Times New Roman" w:hAnsi="Times New Roman" w:cs="Times New Roman"/>
          <w:lang w:val="en"/>
        </w:rPr>
        <w:t xml:space="preserve"> </w:t>
      </w:r>
    </w:p>
    <w:p w14:paraId="549BAEF7" w14:textId="00EBD414" w:rsidR="00D50212" w:rsidRPr="00EF6D4D" w:rsidRDefault="00D50212" w:rsidP="0066481E">
      <w:pPr>
        <w:pStyle w:val="BodyText"/>
        <w:numPr>
          <w:ilvl w:val="5"/>
          <w:numId w:val="2"/>
        </w:numPr>
        <w:spacing w:before="240" w:after="240" w:line="360" w:lineRule="auto"/>
        <w:jc w:val="both"/>
        <w:rPr>
          <w:rFonts w:ascii="Times New Roman" w:eastAsia="Times New Roman" w:hAnsi="Times New Roman" w:cs="Times New Roman"/>
          <w:lang w:val="en"/>
        </w:rPr>
      </w:pPr>
      <w:r w:rsidRPr="00DF2ADC">
        <w:rPr>
          <w:rFonts w:ascii="Times New Roman" w:eastAsia="Times New Roman" w:hAnsi="Times New Roman" w:cs="Times New Roman"/>
          <w:lang w:val="en"/>
        </w:rPr>
        <w:t>Third, Lithos business activities do not show a link between Shaw and Remisia. As a separate legal entity, decisions made by Shaw as the head of Lithos are solely attributable to the corporation.</w:t>
      </w:r>
      <w:r w:rsidRPr="00DF2ADC">
        <w:rPr>
          <w:rFonts w:ascii="Times New Roman" w:eastAsia="Times New Roman" w:hAnsi="Times New Roman" w:cs="Times New Roman"/>
          <w:vertAlign w:val="superscript"/>
          <w:lang w:val="en"/>
        </w:rPr>
        <w:footnoteReference w:id="119"/>
      </w:r>
      <w:r w:rsidRPr="00DF2ADC">
        <w:rPr>
          <w:rFonts w:ascii="Times New Roman" w:eastAsia="Times New Roman" w:hAnsi="Times New Roman" w:cs="Times New Roman"/>
          <w:lang w:val="en"/>
        </w:rPr>
        <w:t xml:space="preserve"> Corporations are determinant legal personalities which override the continuing autonomy of their shareholders and employees.</w:t>
      </w:r>
      <w:r w:rsidRPr="00DF2ADC">
        <w:rPr>
          <w:rFonts w:ascii="Times New Roman" w:eastAsia="Times New Roman" w:hAnsi="Times New Roman" w:cs="Times New Roman"/>
          <w:vertAlign w:val="superscript"/>
          <w:lang w:val="en"/>
        </w:rPr>
        <w:footnoteReference w:id="120"/>
      </w:r>
      <w:r w:rsidRPr="00DF2ADC">
        <w:rPr>
          <w:rFonts w:ascii="Times New Roman" w:eastAsia="Times New Roman" w:hAnsi="Times New Roman" w:cs="Times New Roman"/>
          <w:lang w:val="en"/>
        </w:rPr>
        <w:t xml:space="preserve"> Nor did Lithos hold the power of attorney to affect Shaw’s legal interests in Remisia.</w:t>
      </w:r>
      <w:r w:rsidRPr="00DF2ADC">
        <w:rPr>
          <w:rFonts w:ascii="Times New Roman" w:eastAsia="Times New Roman" w:hAnsi="Times New Roman" w:cs="Times New Roman"/>
          <w:vertAlign w:val="superscript"/>
          <w:lang w:val="en"/>
        </w:rPr>
        <w:footnoteReference w:id="121"/>
      </w:r>
      <w:r w:rsidRPr="00DF2ADC">
        <w:rPr>
          <w:rFonts w:ascii="Times New Roman" w:eastAsia="Times New Roman" w:hAnsi="Times New Roman" w:cs="Times New Roman"/>
          <w:lang w:val="en"/>
        </w:rPr>
        <w:t xml:space="preserve"> Remisia’s evaluation of Shaw’s application confirms that corporate actions are irrelevant to Shaw’s qualification for the NIP and referenced only her personal contributions, not those of Lithos.</w:t>
      </w:r>
      <w:r w:rsidRPr="00DF2ADC">
        <w:rPr>
          <w:rFonts w:ascii="Times New Roman" w:eastAsia="Times New Roman" w:hAnsi="Times New Roman" w:cs="Times New Roman"/>
          <w:vertAlign w:val="superscript"/>
          <w:lang w:val="en"/>
        </w:rPr>
        <w:footnoteReference w:id="122"/>
      </w:r>
      <w:r w:rsidR="00EF6D4D">
        <w:rPr>
          <w:rFonts w:ascii="Times New Roman" w:eastAsia="Times New Roman" w:hAnsi="Times New Roman" w:cs="Times New Roman"/>
          <w:lang w:val="en"/>
        </w:rPr>
        <w:t xml:space="preserve"> </w:t>
      </w:r>
      <w:r w:rsidRPr="00EF6D4D">
        <w:rPr>
          <w:rFonts w:ascii="Times New Roman" w:eastAsia="Times New Roman" w:hAnsi="Times New Roman" w:cs="Times New Roman"/>
          <w:lang w:val="en"/>
        </w:rPr>
        <w:t>Even if Lithos’ national ties can serve as a proxy for Shaw’s, the corporation lacks any exceptional tie to Remisia. Lithos operates globally, with various headquarters in other countries.</w:t>
      </w:r>
      <w:r w:rsidRPr="00DF2ADC">
        <w:rPr>
          <w:rFonts w:ascii="Times New Roman" w:eastAsia="Times New Roman" w:hAnsi="Times New Roman" w:cs="Times New Roman"/>
          <w:vertAlign w:val="superscript"/>
          <w:lang w:val="en"/>
        </w:rPr>
        <w:footnoteReference w:id="123"/>
      </w:r>
    </w:p>
    <w:p w14:paraId="191B1551" w14:textId="7064E4EA" w:rsidR="00D50212" w:rsidRDefault="00D50212" w:rsidP="00D83BA1">
      <w:pPr>
        <w:pStyle w:val="Heading3"/>
      </w:pPr>
      <w:bookmarkStart w:id="26" w:name="_Toc155965828"/>
      <w:r>
        <w:t>Antrano is not estopped from denying Shaw’s Remisian nationality.</w:t>
      </w:r>
      <w:bookmarkEnd w:id="26"/>
    </w:p>
    <w:p w14:paraId="525EDD42" w14:textId="45B3E232" w:rsidR="00D50212" w:rsidRDefault="00D50212" w:rsidP="0066481E">
      <w:pPr>
        <w:pStyle w:val="BodyText"/>
        <w:numPr>
          <w:ilvl w:val="5"/>
          <w:numId w:val="2"/>
        </w:numPr>
        <w:spacing w:before="240" w:after="240" w:line="360" w:lineRule="auto"/>
        <w:jc w:val="both"/>
        <w:rPr>
          <w:rFonts w:ascii="Times New Roman" w:eastAsia="Times New Roman" w:hAnsi="Times New Roman" w:cs="Times New Roman"/>
          <w:lang w:val="en"/>
        </w:rPr>
      </w:pPr>
      <w:r w:rsidRPr="007A61C2">
        <w:rPr>
          <w:rFonts w:ascii="Times New Roman" w:eastAsia="Times New Roman" w:hAnsi="Times New Roman" w:cs="Times New Roman"/>
          <w:lang w:val="en"/>
        </w:rPr>
        <w:t xml:space="preserve">Antrano never recognized Remisia’s title to exercise protection over Shaw. In </w:t>
      </w:r>
      <w:r w:rsidRPr="007A61C2">
        <w:rPr>
          <w:rFonts w:ascii="Times New Roman" w:eastAsia="Times New Roman" w:hAnsi="Times New Roman" w:cs="Times New Roman"/>
          <w:i/>
          <w:lang w:val="en"/>
        </w:rPr>
        <w:t xml:space="preserve">Nottebohm, </w:t>
      </w:r>
      <w:r w:rsidRPr="007A61C2">
        <w:rPr>
          <w:rFonts w:ascii="Times New Roman" w:eastAsia="Times New Roman" w:hAnsi="Times New Roman" w:cs="Times New Roman"/>
          <w:lang w:val="en"/>
        </w:rPr>
        <w:t xml:space="preserve">this Court affirmed that validating a passport upon entry is distinct from recognizing that the </w:t>
      </w:r>
      <w:r w:rsidRPr="007A61C2">
        <w:rPr>
          <w:rFonts w:ascii="Times New Roman" w:eastAsia="Times New Roman" w:hAnsi="Times New Roman" w:cs="Times New Roman"/>
          <w:lang w:val="en"/>
        </w:rPr>
        <w:lastRenderedPageBreak/>
        <w:t>citizenship presented conferred any title to the exercise of protection.</w:t>
      </w:r>
      <w:r w:rsidRPr="007A61C2">
        <w:rPr>
          <w:rFonts w:ascii="Times New Roman" w:eastAsia="Times New Roman" w:hAnsi="Times New Roman" w:cs="Times New Roman"/>
          <w:vertAlign w:val="superscript"/>
          <w:lang w:val="en"/>
        </w:rPr>
        <w:footnoteReference w:id="124"/>
      </w:r>
      <w:r w:rsidRPr="007A61C2">
        <w:rPr>
          <w:rFonts w:ascii="Times New Roman" w:eastAsia="Times New Roman" w:hAnsi="Times New Roman" w:cs="Times New Roman"/>
          <w:lang w:val="en"/>
        </w:rPr>
        <w:t xml:space="preserve"> Border officials are not responsible for determining whether assertions of nationality are valid in international law.</w:t>
      </w:r>
      <w:r w:rsidRPr="007A61C2">
        <w:rPr>
          <w:rFonts w:ascii="Times New Roman" w:eastAsia="Times New Roman" w:hAnsi="Times New Roman" w:cs="Times New Roman"/>
          <w:vertAlign w:val="superscript"/>
          <w:lang w:val="en"/>
        </w:rPr>
        <w:footnoteReference w:id="125"/>
      </w:r>
    </w:p>
    <w:p w14:paraId="6058F6EB" w14:textId="3AF2BDE6" w:rsidR="00D50212" w:rsidRPr="00D50212" w:rsidRDefault="00D50212" w:rsidP="0066481E">
      <w:pPr>
        <w:pStyle w:val="Heading2"/>
        <w:jc w:val="both"/>
      </w:pPr>
      <w:bookmarkStart w:id="27" w:name="_Toc155965829"/>
      <w:r>
        <w:lastRenderedPageBreak/>
        <w:t>Shaw did not exhaust local remedies.</w:t>
      </w:r>
      <w:bookmarkEnd w:id="27"/>
      <w:r w:rsidRPr="007A61C2">
        <w:t xml:space="preserve"> </w:t>
      </w:r>
    </w:p>
    <w:p w14:paraId="2950B4CD" w14:textId="7F0650CF" w:rsidR="00D50212" w:rsidRPr="004D398C" w:rsidRDefault="004524FC" w:rsidP="0066481E">
      <w:pPr>
        <w:pStyle w:val="Heading4"/>
        <w:numPr>
          <w:ilvl w:val="5"/>
          <w:numId w:val="2"/>
        </w:numPr>
        <w:spacing w:line="360" w:lineRule="auto"/>
        <w:jc w:val="both"/>
        <w:rPr>
          <w:i w:val="0"/>
          <w:iCs/>
        </w:rPr>
      </w:pPr>
      <w:r>
        <w:rPr>
          <w:i w:val="0"/>
          <w:iCs/>
        </w:rPr>
        <w:t>Local</w:t>
      </w:r>
      <w:r w:rsidRPr="004D398C">
        <w:rPr>
          <w:i w:val="0"/>
          <w:iCs/>
        </w:rPr>
        <w:t xml:space="preserve"> remedies must be exhausted where the primary injury does not directly impact the claimant state.</w:t>
      </w:r>
      <w:r w:rsidRPr="004D398C">
        <w:rPr>
          <w:i w:val="0"/>
          <w:iCs/>
          <w:vertAlign w:val="superscript"/>
        </w:rPr>
        <w:footnoteReference w:id="126"/>
      </w:r>
      <w:r w:rsidRPr="004D398C">
        <w:rPr>
          <w:i w:val="0"/>
          <w:iCs/>
        </w:rPr>
        <w:t xml:space="preserve"> </w:t>
      </w:r>
    </w:p>
    <w:p w14:paraId="057597B1" w14:textId="439CB870" w:rsidR="00EF6D4D" w:rsidRPr="004D398C" w:rsidRDefault="00D50212" w:rsidP="0066481E">
      <w:pPr>
        <w:pStyle w:val="Heading4"/>
        <w:numPr>
          <w:ilvl w:val="5"/>
          <w:numId w:val="2"/>
        </w:numPr>
        <w:spacing w:line="360" w:lineRule="auto"/>
        <w:jc w:val="both"/>
        <w:rPr>
          <w:i w:val="0"/>
          <w:iCs/>
        </w:rPr>
      </w:pPr>
      <w:r w:rsidRPr="004D398C">
        <w:rPr>
          <w:i w:val="0"/>
          <w:iCs/>
        </w:rPr>
        <w:t xml:space="preserve">The </w:t>
      </w:r>
      <w:r w:rsidRPr="004D398C">
        <w:t xml:space="preserve">Avena </w:t>
      </w:r>
      <w:r w:rsidRPr="004D398C">
        <w:rPr>
          <w:i w:val="0"/>
          <w:iCs/>
        </w:rPr>
        <w:t>exception to this rule does not apply because Remisia’s claim is not one of ‘interdependence.’</w:t>
      </w:r>
      <w:r w:rsidRPr="004D398C">
        <w:rPr>
          <w:i w:val="0"/>
          <w:iCs/>
          <w:vertAlign w:val="superscript"/>
        </w:rPr>
        <w:footnoteReference w:id="127"/>
      </w:r>
      <w:r w:rsidRPr="004D398C">
        <w:rPr>
          <w:i w:val="0"/>
          <w:iCs/>
        </w:rPr>
        <w:t xml:space="preserve"> It is a ‘mixed’ claim with a direct alleged injury – the denial of Remisia’s consular access to Shaw – that is dependent on the indirect and preponderant alleged injury – non-recognition of Shaw’s nationality in Antrano.</w:t>
      </w:r>
      <w:r w:rsidRPr="004D398C">
        <w:rPr>
          <w:i w:val="0"/>
          <w:iCs/>
          <w:vertAlign w:val="superscript"/>
        </w:rPr>
        <w:footnoteReference w:id="128"/>
      </w:r>
      <w:r w:rsidRPr="004D398C">
        <w:rPr>
          <w:i w:val="0"/>
          <w:iCs/>
        </w:rPr>
        <w:t xml:space="preserve"> </w:t>
      </w:r>
      <w:r w:rsidRPr="00171F9A">
        <w:t>Avena</w:t>
      </w:r>
      <w:r w:rsidRPr="004D398C">
        <w:rPr>
          <w:i w:val="0"/>
          <w:iCs/>
        </w:rPr>
        <w:t xml:space="preserve"> considered the obligation of consular notice, which may be owed independently to the state and a purported national, prior to confirmation of the latter’s nationality.</w:t>
      </w:r>
      <w:r w:rsidRPr="004D398C">
        <w:rPr>
          <w:i w:val="0"/>
          <w:iCs/>
          <w:vertAlign w:val="superscript"/>
        </w:rPr>
        <w:footnoteReference w:id="129"/>
      </w:r>
      <w:r w:rsidRPr="004D398C">
        <w:rPr>
          <w:i w:val="0"/>
          <w:iCs/>
        </w:rPr>
        <w:t xml:space="preserve"> However, the duty to provide consular access is only owed to nationals. Remisia’s rights are not interdependent but sequential to the validity of Shaw’s nationality in Antrano.</w:t>
      </w:r>
      <w:r w:rsidRPr="004D398C">
        <w:rPr>
          <w:i w:val="0"/>
          <w:iCs/>
          <w:vertAlign w:val="superscript"/>
        </w:rPr>
        <w:footnoteReference w:id="130"/>
      </w:r>
      <w:r w:rsidRPr="004D398C">
        <w:rPr>
          <w:i w:val="0"/>
          <w:iCs/>
        </w:rPr>
        <w:t xml:space="preserve"> Further, non-recognition cannot be a direct injury to Remisia as Antrano is under no obligation to recognize the effects of Remisia’s citizenship-for-sale.</w:t>
      </w:r>
      <w:r w:rsidRPr="004D398C">
        <w:rPr>
          <w:i w:val="0"/>
          <w:iCs/>
          <w:vertAlign w:val="superscript"/>
        </w:rPr>
        <w:footnoteReference w:id="131"/>
      </w:r>
      <w:r w:rsidR="004524FC" w:rsidRPr="004524FC">
        <w:rPr>
          <w:i w:val="0"/>
          <w:iCs/>
        </w:rPr>
        <w:t xml:space="preserve"> </w:t>
      </w:r>
      <w:r w:rsidR="004524FC">
        <w:rPr>
          <w:i w:val="0"/>
          <w:iCs/>
        </w:rPr>
        <w:t xml:space="preserve">Thus, </w:t>
      </w:r>
      <w:r w:rsidR="004524FC" w:rsidRPr="004D398C">
        <w:rPr>
          <w:i w:val="0"/>
          <w:iCs/>
        </w:rPr>
        <w:t>Remisia’s claim is barred because Shaw did not exhaust local remedies in Antrano.</w:t>
      </w:r>
      <w:r w:rsidR="004524FC" w:rsidRPr="004D398C">
        <w:rPr>
          <w:i w:val="0"/>
          <w:iCs/>
          <w:vertAlign w:val="superscript"/>
        </w:rPr>
        <w:footnoteReference w:id="132"/>
      </w:r>
    </w:p>
    <w:p w14:paraId="57D4C27D" w14:textId="77777777" w:rsidR="00D50212" w:rsidRDefault="00D50212" w:rsidP="0066481E">
      <w:pPr>
        <w:pStyle w:val="Heading2"/>
        <w:jc w:val="both"/>
      </w:pPr>
      <w:bookmarkStart w:id="28" w:name="_Toc155965830"/>
      <w:r w:rsidRPr="00D50212">
        <w:t>If Remisia was entitled to exercise consular protection over Shaw, Antrano’s actions complied with international law.</w:t>
      </w:r>
      <w:bookmarkEnd w:id="28"/>
    </w:p>
    <w:p w14:paraId="41075F76" w14:textId="089BD269" w:rsidR="00EF6D4D" w:rsidRPr="00421F67" w:rsidRDefault="00D50212" w:rsidP="00421F67">
      <w:pPr>
        <w:pStyle w:val="Heading4"/>
        <w:numPr>
          <w:ilvl w:val="5"/>
          <w:numId w:val="2"/>
        </w:numPr>
        <w:spacing w:line="360" w:lineRule="auto"/>
        <w:jc w:val="both"/>
        <w:rPr>
          <w:i w:val="0"/>
          <w:iCs/>
          <w:lang w:val="en"/>
        </w:rPr>
      </w:pPr>
      <w:r w:rsidRPr="00421F67">
        <w:rPr>
          <w:i w:val="0"/>
          <w:iCs/>
        </w:rPr>
        <w:t>If</w:t>
      </w:r>
      <w:r w:rsidRPr="00421F67">
        <w:rPr>
          <w:i w:val="0"/>
          <w:iCs/>
          <w:lang w:val="en"/>
        </w:rPr>
        <w:t xml:space="preserve"> Remisia was entitled to exercise consular protection over Shaw, Antrano met its obligations under Article 36 of the </w:t>
      </w:r>
      <w:r w:rsidR="00421F67">
        <w:rPr>
          <w:bCs/>
          <w:lang w:val="en"/>
        </w:rPr>
        <w:t>VCCR</w:t>
      </w:r>
      <w:r w:rsidRPr="00421F67">
        <w:rPr>
          <w:b/>
          <w:i w:val="0"/>
          <w:iCs/>
          <w:lang w:val="en"/>
        </w:rPr>
        <w:t>.</w:t>
      </w:r>
      <w:r w:rsidRPr="00421F67">
        <w:rPr>
          <w:i w:val="0"/>
          <w:iCs/>
          <w:lang w:val="en"/>
        </w:rPr>
        <w:t xml:space="preserve"> Antrano met any relevant obligations to be fulfilled ‘without delay’ under sub-paragraph 1(b) to inform Shaw of her rights under the </w:t>
      </w:r>
      <w:r w:rsidR="00421F67" w:rsidRPr="00421F67">
        <w:rPr>
          <w:lang w:val="en"/>
        </w:rPr>
        <w:t>VCCR</w:t>
      </w:r>
      <w:r w:rsidRPr="00421F67">
        <w:rPr>
          <w:i w:val="0"/>
          <w:iCs/>
          <w:lang w:val="en"/>
        </w:rPr>
        <w:t xml:space="preserve"> and to provide consular notice to Remisia</w:t>
      </w:r>
      <w:r w:rsidRPr="00421F67">
        <w:rPr>
          <w:b/>
          <w:i w:val="0"/>
          <w:iCs/>
          <w:lang w:val="en"/>
        </w:rPr>
        <w:t xml:space="preserve"> </w:t>
      </w:r>
      <w:r w:rsidRPr="00421F67">
        <w:rPr>
          <w:i w:val="0"/>
          <w:iCs/>
          <w:lang w:val="en"/>
        </w:rPr>
        <w:t>[1].</w:t>
      </w:r>
      <w:r w:rsidRPr="00421F67">
        <w:rPr>
          <w:i w:val="0"/>
          <w:iCs/>
          <w:vertAlign w:val="superscript"/>
          <w:lang w:val="en"/>
        </w:rPr>
        <w:footnoteReference w:id="133"/>
      </w:r>
      <w:r w:rsidRPr="00421F67">
        <w:rPr>
          <w:i w:val="0"/>
          <w:iCs/>
          <w:lang w:val="en"/>
        </w:rPr>
        <w:t xml:space="preserve">  Antrano did not violate any obligations under Article 36 sub-paragraphs 1(a) and 1(c), respectively, to provide Remisia with freedom of communication and visitation with its nationals in custody</w:t>
      </w:r>
      <w:r w:rsidRPr="00421F67">
        <w:rPr>
          <w:b/>
          <w:i w:val="0"/>
          <w:iCs/>
          <w:lang w:val="en"/>
        </w:rPr>
        <w:t xml:space="preserve"> </w:t>
      </w:r>
      <w:r w:rsidRPr="00421F67">
        <w:rPr>
          <w:i w:val="0"/>
          <w:iCs/>
          <w:lang w:val="en"/>
        </w:rPr>
        <w:t>[2].</w:t>
      </w:r>
      <w:r w:rsidRPr="00421F67">
        <w:rPr>
          <w:i w:val="0"/>
          <w:iCs/>
          <w:vertAlign w:val="superscript"/>
          <w:lang w:val="en"/>
        </w:rPr>
        <w:footnoteReference w:id="134"/>
      </w:r>
      <w:r w:rsidRPr="00421F67">
        <w:rPr>
          <w:i w:val="0"/>
          <w:iCs/>
          <w:lang w:val="en"/>
        </w:rPr>
        <w:t xml:space="preserve"> </w:t>
      </w:r>
    </w:p>
    <w:p w14:paraId="44C47A5A" w14:textId="4A93BD7E" w:rsidR="00EF6D4D" w:rsidRPr="00EF6D4D" w:rsidRDefault="00EF6D4D" w:rsidP="00D83BA1">
      <w:pPr>
        <w:pStyle w:val="Heading3"/>
      </w:pPr>
      <w:bookmarkStart w:id="29" w:name="_Toc155965831"/>
      <w:r>
        <w:t>If applicable, Antrano did not violate its obligations under Article 36, subparagraphs 1(A) and (C).</w:t>
      </w:r>
      <w:bookmarkEnd w:id="29"/>
    </w:p>
    <w:p w14:paraId="6DFDF8A5" w14:textId="3E80C066" w:rsidR="00EF6D4D" w:rsidRPr="00435FC5" w:rsidRDefault="00EF6D4D" w:rsidP="0066481E">
      <w:pPr>
        <w:pStyle w:val="Heading4"/>
        <w:numPr>
          <w:ilvl w:val="5"/>
          <w:numId w:val="2"/>
        </w:numPr>
        <w:spacing w:line="360" w:lineRule="auto"/>
        <w:jc w:val="both"/>
        <w:rPr>
          <w:i w:val="0"/>
          <w:iCs/>
        </w:rPr>
      </w:pPr>
      <w:r w:rsidRPr="00435FC5">
        <w:rPr>
          <w:i w:val="0"/>
          <w:iCs/>
        </w:rPr>
        <w:t>Antrano met any obligation it assumed to, ‘without delay’ (1) inform Shaw of her rights under Article 36 and (2) provide consular notice to Remisia of Shaw’s detainment.</w:t>
      </w:r>
      <w:r w:rsidRPr="00435FC5">
        <w:rPr>
          <w:i w:val="0"/>
          <w:iCs/>
          <w:vertAlign w:val="superscript"/>
        </w:rPr>
        <w:footnoteReference w:id="135"/>
      </w:r>
      <w:r w:rsidRPr="00435FC5">
        <w:rPr>
          <w:i w:val="0"/>
          <w:iCs/>
        </w:rPr>
        <w:t xml:space="preserve"> These duties are relevant prior to confirmation of the nationality of a detainee and are preliminary steps to facilitate the rights to consular communication and visitation.</w:t>
      </w:r>
      <w:r w:rsidRPr="00435FC5">
        <w:rPr>
          <w:i w:val="0"/>
          <w:iCs/>
          <w:vertAlign w:val="superscript"/>
        </w:rPr>
        <w:footnoteReference w:id="136"/>
      </w:r>
      <w:r w:rsidRPr="00435FC5">
        <w:rPr>
          <w:i w:val="0"/>
          <w:iCs/>
        </w:rPr>
        <w:t xml:space="preserve">   </w:t>
      </w:r>
    </w:p>
    <w:p w14:paraId="31249FF6" w14:textId="620747A4" w:rsidR="00EF6D4D" w:rsidRPr="00435FC5" w:rsidRDefault="00EF6D4D" w:rsidP="0066481E">
      <w:pPr>
        <w:pStyle w:val="Heading4"/>
        <w:numPr>
          <w:ilvl w:val="5"/>
          <w:numId w:val="2"/>
        </w:numPr>
        <w:spacing w:line="360" w:lineRule="auto"/>
        <w:jc w:val="both"/>
        <w:rPr>
          <w:i w:val="0"/>
          <w:iCs/>
        </w:rPr>
      </w:pPr>
      <w:r w:rsidRPr="00435FC5">
        <w:rPr>
          <w:i w:val="0"/>
          <w:iCs/>
        </w:rPr>
        <w:lastRenderedPageBreak/>
        <w:t xml:space="preserve">Upon her arrest, Antrano fulfilled its duty to inform Shaw of her </w:t>
      </w:r>
      <w:r w:rsidR="00303A4E">
        <w:t>VCCR</w:t>
      </w:r>
      <w:r w:rsidRPr="00435FC5">
        <w:rPr>
          <w:i w:val="0"/>
          <w:iCs/>
        </w:rPr>
        <w:t xml:space="preserve"> rights.</w:t>
      </w:r>
      <w:r w:rsidRPr="00435FC5">
        <w:rPr>
          <w:i w:val="0"/>
          <w:iCs/>
          <w:vertAlign w:val="superscript"/>
        </w:rPr>
        <w:footnoteReference w:id="137"/>
      </w:r>
      <w:r w:rsidRPr="00435FC5">
        <w:rPr>
          <w:i w:val="0"/>
          <w:iCs/>
        </w:rPr>
        <w:t xml:space="preserve"> </w:t>
      </w:r>
      <w:r w:rsidR="004524FC">
        <w:rPr>
          <w:i w:val="0"/>
          <w:iCs/>
        </w:rPr>
        <w:t>A</w:t>
      </w:r>
      <w:r w:rsidRPr="00435FC5">
        <w:rPr>
          <w:i w:val="0"/>
          <w:iCs/>
        </w:rPr>
        <w:t xml:space="preserve">s this Court held in </w:t>
      </w:r>
      <w:r w:rsidRPr="004524FC">
        <w:t>Avena</w:t>
      </w:r>
      <w:r w:rsidRPr="00435FC5">
        <w:rPr>
          <w:i w:val="0"/>
          <w:iCs/>
        </w:rPr>
        <w:t>, ‘without delay’ is not understood as ‘immediately upon arrest and before interrogation.’</w:t>
      </w:r>
      <w:r w:rsidRPr="00435FC5">
        <w:rPr>
          <w:i w:val="0"/>
          <w:iCs/>
          <w:vertAlign w:val="superscript"/>
        </w:rPr>
        <w:footnoteReference w:id="138"/>
      </w:r>
      <w:r w:rsidRPr="00435FC5">
        <w:rPr>
          <w:i w:val="0"/>
          <w:iCs/>
        </w:rPr>
        <w:t xml:space="preserve"> Instead, these obligations are only triggered when there are grounds to believe that the person in custody is probably a foreign national.</w:t>
      </w:r>
      <w:r w:rsidRPr="00435FC5">
        <w:rPr>
          <w:i w:val="0"/>
          <w:iCs/>
          <w:vertAlign w:val="superscript"/>
        </w:rPr>
        <w:footnoteReference w:id="139"/>
      </w:r>
      <w:r w:rsidRPr="00435FC5">
        <w:rPr>
          <w:i w:val="0"/>
          <w:iCs/>
        </w:rPr>
        <w:t xml:space="preserve"> Where the declarations of nationality by the person in custody are in dispute, diplomatic correspondence may be evidence that the detained is ‘probably’ a foreign national.</w:t>
      </w:r>
      <w:r w:rsidRPr="00435FC5">
        <w:rPr>
          <w:i w:val="0"/>
          <w:iCs/>
          <w:vertAlign w:val="superscript"/>
        </w:rPr>
        <w:footnoteReference w:id="140"/>
      </w:r>
      <w:r w:rsidRPr="00435FC5">
        <w:rPr>
          <w:i w:val="0"/>
          <w:iCs/>
        </w:rPr>
        <w:t xml:space="preserve"> While in “obvious” cases, 48 hours may constitute delay,</w:t>
      </w:r>
      <w:r w:rsidRPr="00435FC5">
        <w:rPr>
          <w:i w:val="0"/>
          <w:iCs/>
          <w:vertAlign w:val="superscript"/>
        </w:rPr>
        <w:footnoteReference w:id="141"/>
      </w:r>
      <w:r w:rsidRPr="00435FC5">
        <w:rPr>
          <w:i w:val="0"/>
          <w:iCs/>
        </w:rPr>
        <w:t xml:space="preserve"> in “less obvious” cases, consular notice may be provided five days after arrest.</w:t>
      </w:r>
      <w:r w:rsidRPr="00435FC5">
        <w:rPr>
          <w:i w:val="0"/>
          <w:iCs/>
          <w:vertAlign w:val="superscript"/>
        </w:rPr>
        <w:footnoteReference w:id="142"/>
      </w:r>
      <w:r w:rsidRPr="00435FC5">
        <w:rPr>
          <w:i w:val="0"/>
          <w:iCs/>
        </w:rPr>
        <w:t xml:space="preserve"> </w:t>
      </w:r>
    </w:p>
    <w:p w14:paraId="4939F784" w14:textId="77777777" w:rsidR="00EF6D4D" w:rsidRPr="00435FC5" w:rsidRDefault="00EF6D4D" w:rsidP="0066481E">
      <w:pPr>
        <w:pStyle w:val="Heading4"/>
        <w:numPr>
          <w:ilvl w:val="5"/>
          <w:numId w:val="2"/>
        </w:numPr>
        <w:spacing w:line="360" w:lineRule="auto"/>
        <w:jc w:val="both"/>
        <w:rPr>
          <w:i w:val="0"/>
          <w:iCs/>
        </w:rPr>
      </w:pPr>
      <w:r w:rsidRPr="00435FC5">
        <w:rPr>
          <w:i w:val="0"/>
          <w:iCs/>
        </w:rPr>
        <w:t>Antrano complied with both ‘without delay’ standards in providing consular notice to Remisia. When Shaw entered Antrano, she had no valid documentation connecting her to Remisia, nor was there any evidence of personal ties to the state, such as a residence or family ties.</w:t>
      </w:r>
      <w:r w:rsidRPr="00435FC5">
        <w:rPr>
          <w:i w:val="0"/>
          <w:iCs/>
          <w:vertAlign w:val="superscript"/>
        </w:rPr>
        <w:footnoteReference w:id="143"/>
      </w:r>
      <w:r w:rsidRPr="00435FC5">
        <w:rPr>
          <w:i w:val="0"/>
          <w:iCs/>
        </w:rPr>
        <w:t xml:space="preserve"> Under Antranan law, the passports she carried pointed solely to her status as a Molvanian citizen.</w:t>
      </w:r>
      <w:r w:rsidRPr="00435FC5">
        <w:rPr>
          <w:i w:val="0"/>
          <w:iCs/>
          <w:vertAlign w:val="superscript"/>
        </w:rPr>
        <w:footnoteReference w:id="144"/>
      </w:r>
      <w:r w:rsidRPr="00435FC5">
        <w:rPr>
          <w:i w:val="0"/>
          <w:iCs/>
        </w:rPr>
        <w:t xml:space="preserve"> Accordingly, the Molvanian consulate was notified of her custody.</w:t>
      </w:r>
      <w:r w:rsidRPr="00435FC5">
        <w:rPr>
          <w:i w:val="0"/>
          <w:iCs/>
          <w:vertAlign w:val="superscript"/>
        </w:rPr>
        <w:footnoteReference w:id="145"/>
      </w:r>
      <w:r w:rsidRPr="00435FC5">
        <w:rPr>
          <w:i w:val="0"/>
          <w:iCs/>
        </w:rPr>
        <w:t xml:space="preserve"> Shaw’s connection to Remisia was not obvious until its ambassador claimed the right to exercise consular protection two days after her arrest.</w:t>
      </w:r>
      <w:r w:rsidRPr="00435FC5">
        <w:rPr>
          <w:i w:val="0"/>
          <w:iCs/>
          <w:vertAlign w:val="superscript"/>
        </w:rPr>
        <w:footnoteReference w:id="146"/>
      </w:r>
      <w:r w:rsidRPr="00435FC5">
        <w:rPr>
          <w:i w:val="0"/>
          <w:iCs/>
        </w:rPr>
        <w:t xml:space="preserve"> At that time, Antrano satisfied its duty to provide consular notice by informing Remisia that it had “notified the Molvanian Consulate of Ms. Shaw’s arrest” and forwarding relevant written communication.</w:t>
      </w:r>
      <w:r w:rsidRPr="00435FC5">
        <w:rPr>
          <w:i w:val="0"/>
          <w:iCs/>
          <w:vertAlign w:val="superscript"/>
        </w:rPr>
        <w:footnoteReference w:id="147"/>
      </w:r>
      <w:r w:rsidRPr="00435FC5">
        <w:rPr>
          <w:i w:val="0"/>
          <w:iCs/>
        </w:rPr>
        <w:t xml:space="preserve"> The form of consular notice provided is immaterial since the communication was sufficient to facilitate the exercise of Remisia’s rights under Article 36.</w:t>
      </w:r>
      <w:r w:rsidRPr="00435FC5">
        <w:rPr>
          <w:i w:val="0"/>
          <w:iCs/>
          <w:vertAlign w:val="superscript"/>
        </w:rPr>
        <w:footnoteReference w:id="148"/>
      </w:r>
      <w:r w:rsidRPr="00435FC5">
        <w:rPr>
          <w:i w:val="0"/>
          <w:iCs/>
        </w:rPr>
        <w:t xml:space="preserve">  </w:t>
      </w:r>
    </w:p>
    <w:p w14:paraId="743EC7C2" w14:textId="77777777" w:rsidR="009B33B4" w:rsidRDefault="009B33B4" w:rsidP="009B33B4">
      <w:pPr>
        <w:pStyle w:val="Heading5"/>
        <w:numPr>
          <w:ilvl w:val="0"/>
          <w:numId w:val="0"/>
        </w:numPr>
        <w:ind w:left="1684" w:hanging="720"/>
        <w:rPr>
          <w:lang w:val="en"/>
        </w:rPr>
      </w:pPr>
    </w:p>
    <w:p w14:paraId="4D5C8476" w14:textId="77777777" w:rsidR="009B33B4" w:rsidRPr="009B33B4" w:rsidRDefault="009B33B4" w:rsidP="009B33B4">
      <w:pPr>
        <w:pStyle w:val="BodyText"/>
        <w:rPr>
          <w:lang w:val="en"/>
        </w:rPr>
      </w:pPr>
    </w:p>
    <w:p w14:paraId="4AD75554" w14:textId="77777777" w:rsidR="00EF6D4D" w:rsidRPr="00520735" w:rsidRDefault="00EF6D4D" w:rsidP="00D83BA1">
      <w:pPr>
        <w:pStyle w:val="Heading3"/>
      </w:pPr>
      <w:bookmarkStart w:id="30" w:name="_Toc155965832"/>
      <w:r w:rsidRPr="00520735">
        <w:lastRenderedPageBreak/>
        <w:t>If applicable, Antrano did not violate its obligations under Article 36, subparagraphs 1(A) and (C).</w:t>
      </w:r>
      <w:bookmarkEnd w:id="30"/>
      <w:r w:rsidRPr="00520735">
        <w:t xml:space="preserve"> </w:t>
      </w:r>
    </w:p>
    <w:p w14:paraId="14C4317E" w14:textId="2AEE1124" w:rsidR="009B33B4" w:rsidRPr="00435FC5" w:rsidRDefault="00EF6D4D" w:rsidP="00435FC5">
      <w:pPr>
        <w:pStyle w:val="Heading4"/>
        <w:numPr>
          <w:ilvl w:val="5"/>
          <w:numId w:val="2"/>
        </w:numPr>
        <w:spacing w:line="360" w:lineRule="auto"/>
        <w:jc w:val="both"/>
        <w:rPr>
          <w:i w:val="0"/>
          <w:iCs/>
        </w:rPr>
      </w:pPr>
      <w:r w:rsidRPr="00435FC5">
        <w:rPr>
          <w:i w:val="0"/>
          <w:iCs/>
        </w:rPr>
        <w:t>Antrano complied with its obligations to allow Remisia free communication and visitation of its nationals in custody.</w:t>
      </w:r>
      <w:r w:rsidR="004524FC">
        <w:rPr>
          <w:rStyle w:val="FootnoteReference"/>
          <w:i w:val="0"/>
          <w:iCs/>
        </w:rPr>
        <w:footnoteReference w:id="149"/>
      </w:r>
      <w:r w:rsidRPr="00435FC5">
        <w:rPr>
          <w:i w:val="0"/>
          <w:iCs/>
        </w:rPr>
        <w:t xml:space="preserve"> Antranan laws may regulate consular access unless their application nullifies Remisia’s rights under Article 36.</w:t>
      </w:r>
      <w:r w:rsidRPr="00435FC5">
        <w:rPr>
          <w:i w:val="0"/>
          <w:iCs/>
          <w:vertAlign w:val="superscript"/>
        </w:rPr>
        <w:footnoteReference w:id="150"/>
      </w:r>
      <w:r w:rsidRPr="00435FC5">
        <w:rPr>
          <w:i w:val="0"/>
          <w:iCs/>
        </w:rPr>
        <w:t xml:space="preserve"> This is a high standard, and the burden of proof falls on Remisia to establish this violation in “well-founded fact and law.”</w:t>
      </w:r>
      <w:r w:rsidRPr="00435FC5">
        <w:rPr>
          <w:i w:val="0"/>
          <w:iCs/>
          <w:vertAlign w:val="superscript"/>
        </w:rPr>
        <w:footnoteReference w:id="151"/>
      </w:r>
    </w:p>
    <w:p w14:paraId="23E6581E" w14:textId="3C46D31F" w:rsidR="009B33B4" w:rsidRPr="00421F67" w:rsidRDefault="004524FC" w:rsidP="00421F67">
      <w:pPr>
        <w:pStyle w:val="Heading4"/>
        <w:numPr>
          <w:ilvl w:val="5"/>
          <w:numId w:val="2"/>
        </w:numPr>
        <w:spacing w:line="360" w:lineRule="auto"/>
        <w:jc w:val="both"/>
        <w:rPr>
          <w:i w:val="0"/>
          <w:iCs/>
          <w:lang w:val="en"/>
        </w:rPr>
      </w:pPr>
      <w:r w:rsidRPr="00421F67">
        <w:rPr>
          <w:i w:val="0"/>
          <w:iCs/>
        </w:rPr>
        <w:t>Remisia was empowered to exercise its consular rights through Molvania.</w:t>
      </w:r>
      <w:r w:rsidRPr="00421F67">
        <w:rPr>
          <w:i w:val="0"/>
          <w:iCs/>
          <w:vertAlign w:val="superscript"/>
          <w:lang w:val="en"/>
        </w:rPr>
        <w:footnoteReference w:id="152"/>
      </w:r>
      <w:r w:rsidRPr="00421F67">
        <w:rPr>
          <w:i w:val="0"/>
          <w:iCs/>
          <w:lang w:val="en"/>
        </w:rPr>
        <w:t xml:space="preserve"> International law permits states to jointly exercise diplomatic protection in respect of a dual national.</w:t>
      </w:r>
      <w:r w:rsidRPr="00421F67">
        <w:rPr>
          <w:i w:val="0"/>
          <w:iCs/>
          <w:vertAlign w:val="superscript"/>
          <w:lang w:val="en"/>
        </w:rPr>
        <w:footnoteReference w:id="153"/>
      </w:r>
      <w:r w:rsidRPr="00421F67">
        <w:rPr>
          <w:i w:val="0"/>
          <w:iCs/>
          <w:lang w:val="en"/>
        </w:rPr>
        <w:t xml:space="preserve"> Since Remisia never attempted to exercise consular access or communication in coordination with Molvania, it cannot provide conclusive evidence that its rights were nullified.</w:t>
      </w:r>
      <w:r w:rsidRPr="00421F67">
        <w:rPr>
          <w:i w:val="0"/>
          <w:iCs/>
          <w:vertAlign w:val="superscript"/>
          <w:lang w:val="en"/>
        </w:rPr>
        <w:footnoteReference w:id="154"/>
      </w:r>
      <w:r w:rsidRPr="00421F67">
        <w:rPr>
          <w:i w:val="0"/>
          <w:iCs/>
          <w:lang w:val="en"/>
        </w:rPr>
        <w:t xml:space="preserve">  </w:t>
      </w:r>
    </w:p>
    <w:p w14:paraId="4562A088" w14:textId="77777777" w:rsidR="009B33B4" w:rsidRPr="0066481E" w:rsidRDefault="009B33B4" w:rsidP="009B33B4">
      <w:pPr>
        <w:pStyle w:val="ListParagraph"/>
        <w:numPr>
          <w:ilvl w:val="5"/>
          <w:numId w:val="2"/>
        </w:numPr>
        <w:spacing w:line="360" w:lineRule="auto"/>
        <w:jc w:val="both"/>
        <w:rPr>
          <w:rFonts w:ascii="Times New Roman" w:hAnsi="Times New Roman" w:cs="Times New Roman"/>
          <w:i/>
          <w:lang w:val="en"/>
        </w:rPr>
      </w:pPr>
      <w:r>
        <w:rPr>
          <w:rFonts w:ascii="Times New Roman" w:hAnsi="Times New Roman" w:cs="Times New Roman"/>
        </w:rPr>
        <w:t xml:space="preserve">Even </w:t>
      </w:r>
      <w:r w:rsidRPr="00145B84">
        <w:rPr>
          <w:rFonts w:ascii="Times New Roman" w:hAnsi="Times New Roman" w:cs="Times New Roman"/>
        </w:rPr>
        <w:t>if Antrano’s offer to coordinate through Molvania was insufficient, Remisia cannot prove Antrano failed to provide consular access in a timely manner. Antrano is obligated to exercise due diligence by identifying a detainee’s nationality in accordance with its own internal laws.</w:t>
      </w:r>
      <w:r w:rsidRPr="00603E43">
        <w:rPr>
          <w:rFonts w:ascii="Times New Roman" w:hAnsi="Times New Roman" w:cs="Times New Roman"/>
          <w:vertAlign w:val="superscript"/>
          <w:lang w:val="en"/>
        </w:rPr>
        <w:footnoteReference w:id="155"/>
      </w:r>
      <w:r w:rsidRPr="00145B84">
        <w:rPr>
          <w:rFonts w:ascii="Times New Roman" w:hAnsi="Times New Roman" w:cs="Times New Roman"/>
          <w:lang w:val="en"/>
        </w:rPr>
        <w:t xml:space="preserve"> While ascertaining Shaw’s nationality, Antrano provided Remisia with consular notice in </w:t>
      </w:r>
      <w:r w:rsidRPr="00145B84">
        <w:rPr>
          <w:rFonts w:ascii="Times New Roman" w:hAnsi="Times New Roman" w:cs="Times New Roman"/>
          <w:lang w:val="en"/>
        </w:rPr>
        <w:lastRenderedPageBreak/>
        <w:t>good faith compliance with Article 36.</w:t>
      </w:r>
      <w:r w:rsidRPr="00603E43">
        <w:rPr>
          <w:rFonts w:ascii="Times New Roman" w:hAnsi="Times New Roman" w:cs="Times New Roman"/>
          <w:vertAlign w:val="superscript"/>
          <w:lang w:val="en"/>
        </w:rPr>
        <w:footnoteReference w:id="156"/>
      </w:r>
      <w:r w:rsidRPr="00145B84">
        <w:rPr>
          <w:rFonts w:ascii="Times New Roman" w:hAnsi="Times New Roman" w:cs="Times New Roman"/>
          <w:lang w:val="en"/>
        </w:rPr>
        <w:t xml:space="preserve"> During Shaw’s detention, Antrano could not confirm her Remisian nationality and, consequently, could not legally provide Remisia with access.</w:t>
      </w:r>
      <w:r w:rsidRPr="00603E43">
        <w:rPr>
          <w:rFonts w:ascii="Times New Roman" w:hAnsi="Times New Roman" w:cs="Times New Roman"/>
          <w:vertAlign w:val="superscript"/>
          <w:lang w:val="en"/>
        </w:rPr>
        <w:footnoteReference w:id="157"/>
      </w:r>
      <w:r w:rsidRPr="00145B84">
        <w:rPr>
          <w:rFonts w:ascii="Times New Roman" w:hAnsi="Times New Roman" w:cs="Times New Roman"/>
          <w:lang w:val="en"/>
        </w:rPr>
        <w:t xml:space="preserve"> </w:t>
      </w:r>
    </w:p>
    <w:p w14:paraId="1727986E" w14:textId="77777777" w:rsidR="0066481E" w:rsidRPr="00145B84" w:rsidRDefault="0066481E" w:rsidP="0066481E">
      <w:pPr>
        <w:pStyle w:val="ListParagraph"/>
        <w:spacing w:line="360" w:lineRule="auto"/>
        <w:ind w:left="0"/>
        <w:jc w:val="both"/>
        <w:rPr>
          <w:rFonts w:ascii="Times New Roman" w:hAnsi="Times New Roman" w:cs="Times New Roman"/>
          <w:i/>
          <w:lang w:val="en"/>
        </w:rPr>
      </w:pPr>
    </w:p>
    <w:p w14:paraId="1E1EEB7F" w14:textId="77777777" w:rsidR="009B33B4" w:rsidRDefault="009B33B4" w:rsidP="009B33B4">
      <w:pPr>
        <w:pStyle w:val="Heading1"/>
      </w:pPr>
      <w:bookmarkStart w:id="31" w:name="_Toc155965833"/>
      <w:r w:rsidRPr="009B33B4">
        <w:t>Remisia violated international law by denying Dr. Tulous Malex entry to Remisia as required by Security Council Resolution 99997.</w:t>
      </w:r>
      <w:bookmarkEnd w:id="31"/>
    </w:p>
    <w:p w14:paraId="4E868E76" w14:textId="5E384CC3" w:rsidR="004D398C" w:rsidRPr="00421F67" w:rsidRDefault="009B33B4" w:rsidP="00421F67">
      <w:pPr>
        <w:pStyle w:val="Heading4"/>
        <w:numPr>
          <w:ilvl w:val="5"/>
          <w:numId w:val="2"/>
        </w:numPr>
        <w:spacing w:line="360" w:lineRule="auto"/>
        <w:jc w:val="both"/>
        <w:rPr>
          <w:i w:val="0"/>
          <w:iCs/>
          <w:lang w:val="en"/>
        </w:rPr>
      </w:pPr>
      <w:r w:rsidRPr="00421F67">
        <w:rPr>
          <w:i w:val="0"/>
          <w:iCs/>
          <w:lang w:val="en"/>
        </w:rPr>
        <w:t xml:space="preserve">Dr. Malex was empowered by Security Council Resolution 99997 to travel to Remisia to establish the </w:t>
      </w:r>
      <w:r w:rsidR="00421F67" w:rsidRPr="00421F67">
        <w:rPr>
          <w:i w:val="0"/>
          <w:iCs/>
          <w:lang w:val="en"/>
        </w:rPr>
        <w:t>UNIMR</w:t>
      </w:r>
      <w:r w:rsidRPr="00421F67">
        <w:rPr>
          <w:i w:val="0"/>
          <w:iCs/>
          <w:lang w:val="en"/>
        </w:rPr>
        <w:t>.</w:t>
      </w:r>
      <w:r w:rsidRPr="00421F67">
        <w:rPr>
          <w:i w:val="0"/>
          <w:iCs/>
          <w:vertAlign w:val="superscript"/>
          <w:lang w:val="en"/>
        </w:rPr>
        <w:footnoteReference w:id="158"/>
      </w:r>
      <w:r w:rsidRPr="00421F67">
        <w:rPr>
          <w:i w:val="0"/>
          <w:iCs/>
          <w:lang w:val="en"/>
        </w:rPr>
        <w:t xml:space="preserve"> Remisia violated international law by denying Malex entry to Remisia. </w:t>
      </w:r>
    </w:p>
    <w:p w14:paraId="18158DD3" w14:textId="6A694FDC" w:rsidR="004524FC" w:rsidRPr="00421F67" w:rsidRDefault="004D398C" w:rsidP="00421F67">
      <w:pPr>
        <w:pStyle w:val="Heading4"/>
        <w:numPr>
          <w:ilvl w:val="5"/>
          <w:numId w:val="2"/>
        </w:numPr>
        <w:spacing w:line="360" w:lineRule="auto"/>
        <w:jc w:val="both"/>
        <w:rPr>
          <w:i w:val="0"/>
          <w:iCs/>
          <w:lang w:val="en"/>
        </w:rPr>
      </w:pPr>
      <w:r w:rsidRPr="00421F67">
        <w:rPr>
          <w:i w:val="0"/>
          <w:iCs/>
          <w:lang w:val="en"/>
        </w:rPr>
        <w:t xml:space="preserve">Resolution </w:t>
      </w:r>
      <w:r w:rsidR="009B33B4" w:rsidRPr="00421F67">
        <w:rPr>
          <w:i w:val="0"/>
          <w:iCs/>
          <w:lang w:val="en"/>
        </w:rPr>
        <w:t xml:space="preserve">99997 imposed legal obligations on Remisia to, inter alia, grant entry to the civilian experts and necessary support staff of the UNIMR, including Malex </w:t>
      </w:r>
      <w:r w:rsidR="00F858CC">
        <w:rPr>
          <w:b/>
          <w:bCs/>
          <w:i w:val="0"/>
          <w:iCs/>
          <w:lang w:val="en"/>
        </w:rPr>
        <w:t>[A]</w:t>
      </w:r>
      <w:r w:rsidR="009B33B4" w:rsidRPr="00421F67">
        <w:rPr>
          <w:i w:val="0"/>
          <w:iCs/>
          <w:lang w:val="en"/>
        </w:rPr>
        <w:t xml:space="preserve">. Remisia violated these obligations by refusing to grant Malex an entry visa </w:t>
      </w:r>
      <w:r w:rsidR="009B33B4" w:rsidRPr="00F858CC">
        <w:rPr>
          <w:b/>
          <w:bCs/>
          <w:i w:val="0"/>
          <w:iCs/>
          <w:lang w:val="en"/>
        </w:rPr>
        <w:t>[B]</w:t>
      </w:r>
      <w:r w:rsidR="009B33B4" w:rsidRPr="00421F67">
        <w:rPr>
          <w:i w:val="0"/>
          <w:iCs/>
          <w:lang w:val="en"/>
        </w:rPr>
        <w:t xml:space="preserve"> and cannot defend its actions as a legal countermeasure </w:t>
      </w:r>
      <w:r w:rsidR="009B33B4" w:rsidRPr="00F858CC">
        <w:rPr>
          <w:b/>
          <w:bCs/>
          <w:i w:val="0"/>
          <w:iCs/>
          <w:lang w:val="en"/>
        </w:rPr>
        <w:t>[C]</w:t>
      </w:r>
      <w:r w:rsidR="00F858CC">
        <w:rPr>
          <w:i w:val="0"/>
          <w:iCs/>
          <w:lang w:val="en"/>
        </w:rPr>
        <w:t>.</w:t>
      </w:r>
    </w:p>
    <w:p w14:paraId="1F7CCCA2" w14:textId="03C76714" w:rsidR="009B33B4" w:rsidRPr="00421F67" w:rsidRDefault="004524FC" w:rsidP="00421F67">
      <w:pPr>
        <w:pStyle w:val="Heading4"/>
        <w:numPr>
          <w:ilvl w:val="5"/>
          <w:numId w:val="2"/>
        </w:numPr>
        <w:spacing w:line="360" w:lineRule="auto"/>
        <w:jc w:val="both"/>
        <w:rPr>
          <w:i w:val="0"/>
          <w:iCs/>
          <w:lang w:val="en"/>
        </w:rPr>
      </w:pPr>
      <w:r w:rsidRPr="00421F67">
        <w:rPr>
          <w:i w:val="0"/>
          <w:iCs/>
          <w:lang w:val="en"/>
        </w:rPr>
        <w:t xml:space="preserve">This </w:t>
      </w:r>
      <w:r w:rsidR="009B33B4" w:rsidRPr="00421F67">
        <w:rPr>
          <w:i w:val="0"/>
          <w:iCs/>
          <w:lang w:val="en"/>
        </w:rPr>
        <w:t xml:space="preserve">Court cannot judicially review the UNSC’s invocation of Article 34 </w:t>
      </w:r>
      <w:r w:rsidR="004D398C" w:rsidRPr="00F858CC">
        <w:rPr>
          <w:b/>
          <w:bCs/>
          <w:i w:val="0"/>
          <w:iCs/>
          <w:lang w:val="en"/>
        </w:rPr>
        <w:t>[</w:t>
      </w:r>
      <w:r w:rsidR="009B33B4" w:rsidRPr="00F858CC">
        <w:rPr>
          <w:b/>
          <w:bCs/>
          <w:i w:val="0"/>
          <w:iCs/>
          <w:lang w:val="en"/>
        </w:rPr>
        <w:t>D]</w:t>
      </w:r>
      <w:r w:rsidR="00F858CC">
        <w:rPr>
          <w:i w:val="0"/>
          <w:iCs/>
          <w:lang w:val="en"/>
        </w:rPr>
        <w:t>.</w:t>
      </w:r>
      <w:r w:rsidR="009B33B4" w:rsidRPr="00421F67">
        <w:rPr>
          <w:i w:val="0"/>
          <w:iCs/>
          <w:lang w:val="en"/>
        </w:rPr>
        <w:t xml:space="preserve"> In any </w:t>
      </w:r>
      <w:r w:rsidR="004D398C" w:rsidRPr="00421F67">
        <w:rPr>
          <w:i w:val="0"/>
          <w:iCs/>
          <w:lang w:val="en"/>
        </w:rPr>
        <w:t>event</w:t>
      </w:r>
      <w:r w:rsidR="009B33B4" w:rsidRPr="00421F67">
        <w:rPr>
          <w:i w:val="0"/>
          <w:iCs/>
          <w:lang w:val="en"/>
        </w:rPr>
        <w:t xml:space="preserve">, </w:t>
      </w:r>
      <w:r w:rsidR="004D398C" w:rsidRPr="00421F67">
        <w:rPr>
          <w:i w:val="0"/>
          <w:iCs/>
          <w:lang w:val="en"/>
        </w:rPr>
        <w:t xml:space="preserve">Resolution </w:t>
      </w:r>
      <w:r w:rsidR="009B33B4" w:rsidRPr="00421F67">
        <w:rPr>
          <w:i w:val="0"/>
          <w:iCs/>
          <w:lang w:val="en"/>
        </w:rPr>
        <w:t xml:space="preserve">99997 was validly enacted under Article 34 in </w:t>
      </w:r>
      <w:r w:rsidR="004D398C" w:rsidRPr="00421F67">
        <w:rPr>
          <w:i w:val="0"/>
          <w:iCs/>
          <w:lang w:val="en"/>
        </w:rPr>
        <w:t xml:space="preserve">line </w:t>
      </w:r>
      <w:r w:rsidR="009B33B4" w:rsidRPr="00421F67">
        <w:rPr>
          <w:i w:val="0"/>
          <w:iCs/>
          <w:lang w:val="en"/>
        </w:rPr>
        <w:t xml:space="preserve">with the </w:t>
      </w:r>
      <w:r w:rsidR="00E43480" w:rsidRPr="00421F67">
        <w:rPr>
          <w:i w:val="0"/>
          <w:iCs/>
          <w:lang w:val="en"/>
        </w:rPr>
        <w:t>UN Charter</w:t>
      </w:r>
      <w:r w:rsidR="009B33B4" w:rsidRPr="00421F67">
        <w:rPr>
          <w:i w:val="0"/>
          <w:iCs/>
          <w:lang w:val="en"/>
        </w:rPr>
        <w:t xml:space="preserve"> </w:t>
      </w:r>
      <w:r w:rsidR="00F858CC">
        <w:rPr>
          <w:b/>
          <w:bCs/>
          <w:i w:val="0"/>
          <w:iCs/>
          <w:lang w:val="en"/>
        </w:rPr>
        <w:t>[E]</w:t>
      </w:r>
      <w:r w:rsidR="00F858CC">
        <w:rPr>
          <w:i w:val="0"/>
          <w:iCs/>
          <w:lang w:val="en"/>
        </w:rPr>
        <w:t>.</w:t>
      </w:r>
    </w:p>
    <w:p w14:paraId="54F2413D" w14:textId="48C03040" w:rsidR="004D398C" w:rsidRDefault="004D398C" w:rsidP="004D398C">
      <w:pPr>
        <w:pStyle w:val="Heading2"/>
      </w:pPr>
      <w:bookmarkStart w:id="32" w:name="_Toc155965834"/>
      <w:r w:rsidRPr="00C96429">
        <w:t>Resolution 99997 imposed legal obligations on Remisia to grant entry to Malex</w:t>
      </w:r>
      <w:r>
        <w:t>.</w:t>
      </w:r>
      <w:bookmarkEnd w:id="32"/>
    </w:p>
    <w:p w14:paraId="54005B80" w14:textId="253FE50F" w:rsidR="004D398C" w:rsidRPr="00857789" w:rsidRDefault="004D398C" w:rsidP="00857789">
      <w:pPr>
        <w:pStyle w:val="ListParagraph"/>
        <w:numPr>
          <w:ilvl w:val="5"/>
          <w:numId w:val="2"/>
        </w:numPr>
        <w:spacing w:line="360" w:lineRule="auto"/>
        <w:jc w:val="both"/>
        <w:rPr>
          <w:rFonts w:ascii="Times New Roman" w:hAnsi="Times New Roman" w:cs="Times New Roman"/>
          <w:bCs/>
          <w:lang w:val="en"/>
        </w:rPr>
      </w:pPr>
      <w:r w:rsidRPr="5A33B9EC">
        <w:rPr>
          <w:rFonts w:ascii="Times New Roman" w:hAnsi="Times New Roman" w:cs="Times New Roman"/>
          <w:lang w:val="en"/>
        </w:rPr>
        <w:t xml:space="preserve">The UNSC’s decision to establish the UNIMR is a mandatory provision which, per Article 25 of the </w:t>
      </w:r>
      <w:r w:rsidR="00E43480">
        <w:rPr>
          <w:rFonts w:ascii="Times New Roman" w:hAnsi="Times New Roman" w:cs="Times New Roman"/>
          <w:i/>
          <w:iCs/>
          <w:lang w:val="en"/>
        </w:rPr>
        <w:t>UN Charter</w:t>
      </w:r>
      <w:r w:rsidR="00E43480">
        <w:rPr>
          <w:rFonts w:ascii="Times New Roman" w:hAnsi="Times New Roman" w:cs="Times New Roman"/>
          <w:lang w:val="en"/>
        </w:rPr>
        <w:t>,</w:t>
      </w:r>
      <w:r w:rsidRPr="5A33B9EC">
        <w:rPr>
          <w:rFonts w:ascii="Times New Roman" w:hAnsi="Times New Roman" w:cs="Times New Roman"/>
          <w:lang w:val="en"/>
        </w:rPr>
        <w:t xml:space="preserve"> imposes the obligation on Remisia to grant entry to Malex.</w:t>
      </w:r>
      <w:r w:rsidRPr="5A33B9EC">
        <w:rPr>
          <w:rFonts w:ascii="Times New Roman" w:hAnsi="Times New Roman" w:cs="Times New Roman"/>
          <w:vertAlign w:val="superscript"/>
          <w:lang w:val="en"/>
        </w:rPr>
        <w:footnoteReference w:id="159"/>
      </w:r>
      <w:r w:rsidRPr="5A33B9EC">
        <w:rPr>
          <w:rFonts w:ascii="Times New Roman" w:hAnsi="Times New Roman" w:cs="Times New Roman"/>
          <w:lang w:val="en"/>
        </w:rPr>
        <w:t xml:space="preserve"> Article 25 requires UN members to carry out the decisions of the Council, even if those decisions do not concern enforcement action under Chapter VII of the</w:t>
      </w:r>
      <w:r w:rsidR="00E43480">
        <w:rPr>
          <w:rFonts w:ascii="Times New Roman" w:hAnsi="Times New Roman" w:cs="Times New Roman"/>
          <w:lang w:val="en"/>
        </w:rPr>
        <w:t xml:space="preserve"> </w:t>
      </w:r>
      <w:r w:rsidR="00E43480">
        <w:rPr>
          <w:rFonts w:ascii="Times New Roman" w:hAnsi="Times New Roman" w:cs="Times New Roman"/>
          <w:i/>
          <w:iCs/>
          <w:lang w:val="en"/>
        </w:rPr>
        <w:t>Charter</w:t>
      </w:r>
      <w:r w:rsidRPr="5A33B9EC">
        <w:rPr>
          <w:rFonts w:ascii="Times New Roman" w:hAnsi="Times New Roman" w:cs="Times New Roman"/>
          <w:lang w:val="en"/>
        </w:rPr>
        <w:t>.</w:t>
      </w:r>
      <w:r w:rsidRPr="5A33B9EC">
        <w:rPr>
          <w:rFonts w:ascii="Times New Roman" w:hAnsi="Times New Roman" w:cs="Times New Roman"/>
          <w:vertAlign w:val="superscript"/>
          <w:lang w:val="en"/>
        </w:rPr>
        <w:footnoteReference w:id="160"/>
      </w:r>
      <w:r w:rsidRPr="5A33B9EC">
        <w:rPr>
          <w:rFonts w:ascii="Times New Roman" w:hAnsi="Times New Roman" w:cs="Times New Roman"/>
          <w:lang w:val="en"/>
        </w:rPr>
        <w:t xml:space="preserve"> Council decisions are presumptively binding unless they take the clear form of ‘recommendations.’</w:t>
      </w:r>
      <w:r w:rsidRPr="5A33B9EC">
        <w:rPr>
          <w:rFonts w:ascii="Times New Roman" w:hAnsi="Times New Roman" w:cs="Times New Roman"/>
          <w:vertAlign w:val="superscript"/>
          <w:lang w:val="en"/>
        </w:rPr>
        <w:footnoteReference w:id="161"/>
      </w:r>
      <w:r w:rsidRPr="5A33B9EC">
        <w:rPr>
          <w:rFonts w:ascii="Times New Roman" w:hAnsi="Times New Roman" w:cs="Times New Roman"/>
          <w:lang w:val="en"/>
        </w:rPr>
        <w:t xml:space="preserve"> In </w:t>
      </w:r>
      <w:r w:rsidRPr="5A33B9EC">
        <w:rPr>
          <w:rFonts w:ascii="Times New Roman" w:hAnsi="Times New Roman" w:cs="Times New Roman"/>
          <w:i/>
          <w:iCs/>
          <w:lang w:val="en"/>
        </w:rPr>
        <w:t>Namibia</w:t>
      </w:r>
      <w:r w:rsidRPr="5A33B9EC">
        <w:rPr>
          <w:rFonts w:ascii="Times New Roman" w:hAnsi="Times New Roman" w:cs="Times New Roman"/>
          <w:lang w:val="en"/>
        </w:rPr>
        <w:t xml:space="preserve">, this </w:t>
      </w:r>
      <w:r w:rsidRPr="5A33B9EC">
        <w:rPr>
          <w:rFonts w:ascii="Times New Roman" w:hAnsi="Times New Roman" w:cs="Times New Roman"/>
          <w:lang w:val="en"/>
        </w:rPr>
        <w:lastRenderedPageBreak/>
        <w:t xml:space="preserve">Court </w:t>
      </w:r>
      <w:r w:rsidR="00DC158F">
        <w:rPr>
          <w:rFonts w:ascii="Times New Roman" w:hAnsi="Times New Roman" w:cs="Times New Roman"/>
          <w:lang w:val="en"/>
        </w:rPr>
        <w:t>held that</w:t>
      </w:r>
      <w:r w:rsidRPr="5A33B9EC">
        <w:rPr>
          <w:rFonts w:ascii="Times New Roman" w:hAnsi="Times New Roman" w:cs="Times New Roman"/>
          <w:lang w:val="en"/>
        </w:rPr>
        <w:t xml:space="preserve"> Council decisions are interpreted based on text, </w:t>
      </w:r>
      <w:r w:rsidR="00E43480">
        <w:rPr>
          <w:rFonts w:ascii="Times New Roman" w:hAnsi="Times New Roman" w:cs="Times New Roman"/>
          <w:i/>
          <w:iCs/>
          <w:lang w:val="en"/>
        </w:rPr>
        <w:t>Charter</w:t>
      </w:r>
      <w:r w:rsidRPr="5A33B9EC">
        <w:rPr>
          <w:rFonts w:ascii="Times New Roman" w:hAnsi="Times New Roman" w:cs="Times New Roman"/>
          <w:lang w:val="en"/>
        </w:rPr>
        <w:t xml:space="preserve"> provisions invoked, and relevant circumstances.</w:t>
      </w:r>
      <w:r w:rsidRPr="5A33B9EC">
        <w:rPr>
          <w:rFonts w:ascii="Times New Roman" w:hAnsi="Times New Roman" w:cs="Times New Roman"/>
          <w:vertAlign w:val="superscript"/>
          <w:lang w:val="en"/>
        </w:rPr>
        <w:footnoteReference w:id="162"/>
      </w:r>
      <w:r w:rsidRPr="5A33B9EC">
        <w:rPr>
          <w:rFonts w:ascii="Times New Roman" w:hAnsi="Times New Roman" w:cs="Times New Roman"/>
          <w:lang w:val="en"/>
        </w:rPr>
        <w:t xml:space="preserve"> The text of </w:t>
      </w:r>
      <w:r>
        <w:rPr>
          <w:rFonts w:ascii="Times New Roman" w:hAnsi="Times New Roman" w:cs="Times New Roman"/>
          <w:lang w:val="en"/>
        </w:rPr>
        <w:t xml:space="preserve">Resolution </w:t>
      </w:r>
      <w:r w:rsidRPr="5A33B9EC">
        <w:rPr>
          <w:rFonts w:ascii="Times New Roman" w:hAnsi="Times New Roman" w:cs="Times New Roman"/>
          <w:lang w:val="en"/>
        </w:rPr>
        <w:t xml:space="preserve">99997 </w:t>
      </w:r>
      <w:r>
        <w:rPr>
          <w:rFonts w:ascii="Times New Roman" w:hAnsi="Times New Roman" w:cs="Times New Roman"/>
          <w:b/>
          <w:bCs/>
          <w:lang w:val="en"/>
        </w:rPr>
        <w:t>[1]</w:t>
      </w:r>
      <w:r w:rsidRPr="5A33B9EC">
        <w:rPr>
          <w:rFonts w:ascii="Times New Roman" w:hAnsi="Times New Roman" w:cs="Times New Roman"/>
          <w:lang w:val="en"/>
        </w:rPr>
        <w:t xml:space="preserve">, the invocation of Article 34 </w:t>
      </w:r>
      <w:r>
        <w:rPr>
          <w:rFonts w:ascii="Times New Roman" w:hAnsi="Times New Roman" w:cs="Times New Roman"/>
          <w:b/>
          <w:bCs/>
          <w:lang w:val="en"/>
        </w:rPr>
        <w:t>[2]</w:t>
      </w:r>
      <w:r w:rsidRPr="5A33B9EC">
        <w:rPr>
          <w:rFonts w:ascii="Times New Roman" w:hAnsi="Times New Roman" w:cs="Times New Roman"/>
          <w:lang w:val="en"/>
        </w:rPr>
        <w:t xml:space="preserve">, and the circumstances around its adoption </w:t>
      </w:r>
      <w:r>
        <w:rPr>
          <w:rFonts w:ascii="Times New Roman" w:hAnsi="Times New Roman" w:cs="Times New Roman"/>
          <w:b/>
          <w:bCs/>
          <w:lang w:val="en"/>
        </w:rPr>
        <w:t>[3]</w:t>
      </w:r>
      <w:r w:rsidRPr="5A33B9EC">
        <w:rPr>
          <w:rFonts w:ascii="Times New Roman" w:hAnsi="Times New Roman" w:cs="Times New Roman"/>
          <w:lang w:val="en"/>
        </w:rPr>
        <w:t xml:space="preserve"> clarify that Remisia was under a binding obligation to grant Malex entry</w:t>
      </w:r>
      <w:r>
        <w:rPr>
          <w:rFonts w:ascii="Times New Roman" w:hAnsi="Times New Roman" w:cs="Times New Roman"/>
          <w:lang w:val="en"/>
        </w:rPr>
        <w:t>.</w:t>
      </w:r>
    </w:p>
    <w:p w14:paraId="740EC80B" w14:textId="77777777" w:rsidR="00857789" w:rsidRPr="00857789" w:rsidRDefault="00857789" w:rsidP="00857789">
      <w:pPr>
        <w:pStyle w:val="ListParagraph"/>
        <w:spacing w:line="360" w:lineRule="auto"/>
        <w:ind w:left="0"/>
        <w:jc w:val="both"/>
        <w:rPr>
          <w:rFonts w:ascii="Times New Roman" w:hAnsi="Times New Roman" w:cs="Times New Roman"/>
          <w:bCs/>
          <w:lang w:val="en"/>
        </w:rPr>
      </w:pPr>
    </w:p>
    <w:p w14:paraId="71395793" w14:textId="357287B4" w:rsidR="00857789" w:rsidRPr="00D83BA1" w:rsidRDefault="004D398C" w:rsidP="00D83BA1">
      <w:pPr>
        <w:pStyle w:val="Heading3"/>
      </w:pPr>
      <w:bookmarkStart w:id="33" w:name="_Toc155965835"/>
      <w:r w:rsidRPr="00D83BA1">
        <w:lastRenderedPageBreak/>
        <w:t xml:space="preserve">The terms of Resolution 99997 </w:t>
      </w:r>
      <w:r w:rsidR="00E23B63" w:rsidRPr="00D83BA1">
        <w:t>c</w:t>
      </w:r>
      <w:r w:rsidRPr="00D83BA1">
        <w:t xml:space="preserve">onfirm a </w:t>
      </w:r>
      <w:r w:rsidR="00E23B63" w:rsidRPr="00D83BA1">
        <w:t>b</w:t>
      </w:r>
      <w:r w:rsidRPr="00D83BA1">
        <w:t xml:space="preserve">inding </w:t>
      </w:r>
      <w:r w:rsidR="00E23B63" w:rsidRPr="00D83BA1">
        <w:t>ob</w:t>
      </w:r>
      <w:r w:rsidRPr="00D83BA1">
        <w:t xml:space="preserve">ligation to </w:t>
      </w:r>
      <w:r w:rsidR="00E23B63" w:rsidRPr="00D83BA1">
        <w:t>grant entry.</w:t>
      </w:r>
      <w:bookmarkEnd w:id="33"/>
    </w:p>
    <w:p w14:paraId="70CD0C62" w14:textId="46945613" w:rsidR="00421F67" w:rsidRPr="00421F67" w:rsidRDefault="00857789" w:rsidP="00421F67">
      <w:pPr>
        <w:pStyle w:val="Heading4"/>
        <w:numPr>
          <w:ilvl w:val="5"/>
          <w:numId w:val="2"/>
        </w:numPr>
        <w:spacing w:line="360" w:lineRule="auto"/>
        <w:jc w:val="both"/>
        <w:rPr>
          <w:i w:val="0"/>
          <w:iCs/>
        </w:rPr>
      </w:pPr>
      <w:r w:rsidRPr="00435FC5">
        <w:rPr>
          <w:i w:val="0"/>
          <w:iCs/>
        </w:rPr>
        <w:t>A</w:t>
      </w:r>
      <w:r>
        <w:rPr>
          <w:i w:val="0"/>
          <w:iCs/>
        </w:rPr>
        <w:t xml:space="preserve">rticle 1 of </w:t>
      </w:r>
      <w:r w:rsidR="004524FC">
        <w:rPr>
          <w:i w:val="0"/>
          <w:iCs/>
        </w:rPr>
        <w:t xml:space="preserve">Resolution </w:t>
      </w:r>
      <w:r>
        <w:rPr>
          <w:i w:val="0"/>
          <w:iCs/>
        </w:rPr>
        <w:t xml:space="preserve">99997 states that the Council </w:t>
      </w:r>
      <w:r w:rsidRPr="00857789">
        <w:rPr>
          <w:i w:val="0"/>
          <w:iCs/>
          <w:lang w:val="en"/>
        </w:rPr>
        <w:t>“[d]ecides to establish… the UN Inspection Mission to Remisia.”</w:t>
      </w:r>
      <w:r w:rsidRPr="00857789">
        <w:rPr>
          <w:i w:val="0"/>
          <w:iCs/>
          <w:vertAlign w:val="superscript"/>
          <w:lang w:val="en"/>
        </w:rPr>
        <w:footnoteReference w:id="163"/>
      </w:r>
      <w:r w:rsidRPr="00857789">
        <w:rPr>
          <w:i w:val="0"/>
          <w:iCs/>
          <w:lang w:val="en"/>
        </w:rPr>
        <w:t xml:space="preserve"> The use of the word ‘decides’ indicates that the provision is mandatory, and, in accordance with the common</w:t>
      </w:r>
      <w:r w:rsidR="00171F9A">
        <w:rPr>
          <w:i w:val="0"/>
          <w:iCs/>
          <w:lang w:val="en"/>
        </w:rPr>
        <w:t xml:space="preserve"> </w:t>
      </w:r>
      <w:r w:rsidRPr="00857789">
        <w:rPr>
          <w:i w:val="0"/>
          <w:iCs/>
          <w:lang w:val="en"/>
        </w:rPr>
        <w:t>sense interpretation of the text</w:t>
      </w:r>
      <w:r>
        <w:rPr>
          <w:i w:val="0"/>
          <w:iCs/>
          <w:lang w:val="en"/>
        </w:rPr>
        <w:t xml:space="preserve"> </w:t>
      </w:r>
      <w:r w:rsidRPr="00857789">
        <w:rPr>
          <w:i w:val="0"/>
          <w:iCs/>
          <w:lang w:val="en"/>
        </w:rPr>
        <w:t>‘to Remisia’ indicates the location where the UNIMR will operate</w:t>
      </w:r>
      <w:r>
        <w:rPr>
          <w:i w:val="0"/>
          <w:iCs/>
          <w:lang w:val="en"/>
        </w:rPr>
        <w:t>.</w:t>
      </w:r>
      <w:r>
        <w:rPr>
          <w:rStyle w:val="FootnoteReference"/>
          <w:i w:val="0"/>
          <w:iCs/>
          <w:lang w:val="en"/>
        </w:rPr>
        <w:footnoteReference w:id="164"/>
      </w:r>
    </w:p>
    <w:p w14:paraId="466D7524" w14:textId="3B741EC4" w:rsidR="00857789" w:rsidRPr="00421F67" w:rsidRDefault="00857789" w:rsidP="00421F67">
      <w:pPr>
        <w:pStyle w:val="Heading4"/>
        <w:numPr>
          <w:ilvl w:val="5"/>
          <w:numId w:val="2"/>
        </w:numPr>
        <w:spacing w:line="360" w:lineRule="auto"/>
        <w:jc w:val="both"/>
        <w:rPr>
          <w:i w:val="0"/>
        </w:rPr>
      </w:pPr>
      <w:r w:rsidRPr="00421F67">
        <w:rPr>
          <w:bCs/>
          <w:i w:val="0"/>
          <w:lang w:val="en"/>
        </w:rPr>
        <w:t>Entry into Remisia is a constitutive component of the establishment of the UNIMR, as described in Article 1. Since it is not considered by subsequent Articles in the resolution, it must be included in the binding decision to establish the UNIMR for Article 1 to have any effect.</w:t>
      </w:r>
      <w:r w:rsidRPr="00421F67">
        <w:rPr>
          <w:i w:val="0"/>
          <w:vertAlign w:val="superscript"/>
        </w:rPr>
        <w:footnoteReference w:id="165"/>
      </w:r>
      <w:r w:rsidRPr="00421F67">
        <w:rPr>
          <w:bCs/>
          <w:i w:val="0"/>
          <w:lang w:val="en"/>
        </w:rPr>
        <w:t xml:space="preserve"> Article 2, which ‘[c]alls upon’ Remisia to cooperate with the Mission once established, does not contemplate entry into the country. Neither does Article 3, which refers UN personnel to observe municipal laws within the countries in which they are operating.</w:t>
      </w:r>
      <w:r w:rsidRPr="00421F67">
        <w:rPr>
          <w:i w:val="0"/>
          <w:vertAlign w:val="superscript"/>
        </w:rPr>
        <w:footnoteReference w:id="166"/>
      </w:r>
    </w:p>
    <w:p w14:paraId="4963BBB9" w14:textId="404CE9ED" w:rsidR="00857789" w:rsidRPr="00857789" w:rsidRDefault="00857789" w:rsidP="00D83BA1">
      <w:pPr>
        <w:pStyle w:val="Heading3"/>
      </w:pPr>
      <w:bookmarkStart w:id="34" w:name="_Toc155965836"/>
      <w:r>
        <w:t>Decisions under Article 34 are binding under Article 25.</w:t>
      </w:r>
      <w:bookmarkEnd w:id="34"/>
    </w:p>
    <w:p w14:paraId="3C726C9C" w14:textId="18A9DE94" w:rsidR="00857789" w:rsidRPr="00857789" w:rsidRDefault="00857789" w:rsidP="00857789">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rPr>
        <w:t xml:space="preserve">Remisia is </w:t>
      </w:r>
      <w:r w:rsidRPr="5A33B9EC">
        <w:rPr>
          <w:rFonts w:ascii="Times New Roman" w:hAnsi="Times New Roman" w:cs="Times New Roman"/>
          <w:lang w:val="en"/>
        </w:rPr>
        <w:t>obligated under Article 25 ‘to accept and carry out’ the decision to launch an Inspection Mission to Remisia under Article 34.</w:t>
      </w:r>
      <w:r w:rsidRPr="5A33B9EC">
        <w:rPr>
          <w:rFonts w:ascii="Times New Roman" w:hAnsi="Times New Roman" w:cs="Times New Roman"/>
          <w:vertAlign w:val="superscript"/>
          <w:lang w:val="en"/>
        </w:rPr>
        <w:footnoteReference w:id="167"/>
      </w:r>
      <w:r w:rsidRPr="5A33B9EC">
        <w:rPr>
          <w:rFonts w:ascii="Times New Roman" w:hAnsi="Times New Roman" w:cs="Times New Roman"/>
          <w:lang w:val="en"/>
        </w:rPr>
        <w:t xml:space="preserve"> The reference to this provision supports the conclusion that Remisia was obligated to permit Malex’s entry</w:t>
      </w:r>
      <w:r>
        <w:rPr>
          <w:rFonts w:ascii="Times New Roman" w:hAnsi="Times New Roman" w:cs="Times New Roman"/>
          <w:lang w:val="en"/>
        </w:rPr>
        <w:t>.</w:t>
      </w:r>
    </w:p>
    <w:p w14:paraId="61A3E0F1" w14:textId="020B69D9" w:rsidR="00857789" w:rsidRPr="00857789" w:rsidRDefault="00857789" w:rsidP="00857789">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Under Article 34, the UNSC can dispatch a commission of inquiry for on-the-spot assessments with greater authority than subsequent articles of Chapter VI, which authorize “recommendation[s]” for state compliance.</w:t>
      </w:r>
      <w:r w:rsidRPr="5A33B9EC">
        <w:rPr>
          <w:rFonts w:ascii="Times New Roman" w:hAnsi="Times New Roman" w:cs="Times New Roman"/>
          <w:vertAlign w:val="superscript"/>
          <w:lang w:val="en"/>
        </w:rPr>
        <w:footnoteReference w:id="168"/>
      </w:r>
      <w:r w:rsidRPr="5A33B9EC">
        <w:rPr>
          <w:rFonts w:ascii="Times New Roman" w:hAnsi="Times New Roman" w:cs="Times New Roman"/>
          <w:lang w:val="en"/>
        </w:rPr>
        <w:t xml:space="preserve"> Decisions under Article 34 are also binding per the </w:t>
      </w:r>
      <w:r w:rsidR="00E43480">
        <w:rPr>
          <w:rFonts w:ascii="Times New Roman" w:hAnsi="Times New Roman" w:cs="Times New Roman"/>
          <w:i/>
          <w:iCs/>
          <w:lang w:val="en"/>
        </w:rPr>
        <w:t xml:space="preserve">Charter </w:t>
      </w:r>
      <w:r w:rsidRPr="5A33B9EC">
        <w:rPr>
          <w:rFonts w:ascii="Times New Roman" w:hAnsi="Times New Roman" w:cs="Times New Roman"/>
          <w:lang w:val="en"/>
        </w:rPr>
        <w:t xml:space="preserve">principle to ‘give every assistance to the United Nations in any action it takes in </w:t>
      </w:r>
      <w:r w:rsidRPr="5A33B9EC">
        <w:rPr>
          <w:rFonts w:ascii="Times New Roman" w:hAnsi="Times New Roman" w:cs="Times New Roman"/>
          <w:lang w:val="en"/>
        </w:rPr>
        <w:lastRenderedPageBreak/>
        <w:t xml:space="preserve">accordance with the present </w:t>
      </w:r>
      <w:r w:rsidR="00E43480">
        <w:rPr>
          <w:rFonts w:ascii="Times New Roman" w:hAnsi="Times New Roman" w:cs="Times New Roman"/>
          <w:i/>
          <w:iCs/>
          <w:lang w:val="en"/>
        </w:rPr>
        <w:t>Charter</w:t>
      </w:r>
      <w:r w:rsidRPr="5A33B9EC">
        <w:rPr>
          <w:rFonts w:ascii="Times New Roman" w:hAnsi="Times New Roman" w:cs="Times New Roman"/>
          <w:lang w:val="en"/>
        </w:rPr>
        <w:t>.’</w:t>
      </w:r>
      <w:r w:rsidRPr="5A33B9EC">
        <w:rPr>
          <w:rFonts w:ascii="Times New Roman" w:hAnsi="Times New Roman" w:cs="Times New Roman"/>
          <w:vertAlign w:val="superscript"/>
          <w:lang w:val="en"/>
        </w:rPr>
        <w:footnoteReference w:id="169"/>
      </w:r>
      <w:r w:rsidRPr="5A33B9EC">
        <w:rPr>
          <w:rFonts w:ascii="Times New Roman" w:hAnsi="Times New Roman" w:cs="Times New Roman"/>
          <w:lang w:val="en"/>
        </w:rPr>
        <w:t xml:space="preserve"> Further, the decision to investigate must be taken in accordance with the voting procedure set out in Article 27(3), which applies only to substantive decisions of the UNSC.</w:t>
      </w:r>
      <w:r w:rsidRPr="5A33B9EC">
        <w:rPr>
          <w:rFonts w:ascii="Times New Roman" w:hAnsi="Times New Roman" w:cs="Times New Roman"/>
          <w:vertAlign w:val="superscript"/>
          <w:lang w:val="en"/>
        </w:rPr>
        <w:footnoteReference w:id="170"/>
      </w:r>
    </w:p>
    <w:p w14:paraId="4CD76016" w14:textId="25136D97" w:rsidR="00857789" w:rsidRPr="00857789" w:rsidRDefault="00857789" w:rsidP="00857789">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Highly qualified publicists and UNSC practice confirm that Remisia cannot prevent the execution of the SC’s investigative powers, which are necessary for the Council to discharge its mandate to maintain international peace and security.</w:t>
      </w:r>
      <w:r w:rsidRPr="5A33B9EC">
        <w:rPr>
          <w:rFonts w:ascii="Times New Roman" w:hAnsi="Times New Roman" w:cs="Times New Roman"/>
          <w:vertAlign w:val="superscript"/>
          <w:lang w:val="en"/>
        </w:rPr>
        <w:footnoteReference w:id="171"/>
      </w:r>
      <w:r w:rsidRPr="5A33B9EC">
        <w:rPr>
          <w:rFonts w:ascii="Times New Roman" w:hAnsi="Times New Roman" w:cs="Times New Roman"/>
          <w:lang w:val="en"/>
        </w:rPr>
        <w:t xml:space="preserve"> Article 34 is a preliminary measure which provides the UNSC with the information necessary to determine its functions as the UN organ primarily responsible for the maintenance of international peace and security.</w:t>
      </w:r>
      <w:r w:rsidRPr="5A33B9EC">
        <w:rPr>
          <w:rFonts w:ascii="Times New Roman" w:hAnsi="Times New Roman" w:cs="Times New Roman"/>
          <w:vertAlign w:val="superscript"/>
          <w:lang w:val="en"/>
        </w:rPr>
        <w:footnoteReference w:id="172"/>
      </w:r>
      <w:r w:rsidRPr="5A33B9EC">
        <w:rPr>
          <w:rFonts w:ascii="Times New Roman" w:hAnsi="Times New Roman" w:cs="Times New Roman"/>
          <w:lang w:val="en"/>
        </w:rPr>
        <w:t xml:space="preserve"> The Council has the right to investigate “regardless of whether or not the State investigated approves or likes it” since the entry of investigators is an essential precondition for the effective discharge by the UNSC of its functions.</w:t>
      </w:r>
      <w:r w:rsidRPr="5A33B9EC">
        <w:rPr>
          <w:rFonts w:ascii="Times New Roman" w:hAnsi="Times New Roman" w:cs="Times New Roman"/>
          <w:vertAlign w:val="superscript"/>
          <w:lang w:val="en"/>
        </w:rPr>
        <w:footnoteReference w:id="173"/>
      </w:r>
    </w:p>
    <w:p w14:paraId="7D933B7A" w14:textId="748598B7" w:rsidR="00857789" w:rsidRDefault="00857789" w:rsidP="00857789">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 xml:space="preserve">The </w:t>
      </w:r>
      <w:r w:rsidR="00DC158F">
        <w:rPr>
          <w:rFonts w:ascii="Times New Roman" w:hAnsi="Times New Roman" w:cs="Times New Roman"/>
          <w:i/>
          <w:iCs/>
          <w:lang w:val="en"/>
        </w:rPr>
        <w:t xml:space="preserve">Charter </w:t>
      </w:r>
      <w:r w:rsidR="00DC158F">
        <w:rPr>
          <w:rFonts w:ascii="Times New Roman" w:hAnsi="Times New Roman" w:cs="Times New Roman"/>
          <w:lang w:val="en"/>
        </w:rPr>
        <w:t xml:space="preserve">establishes </w:t>
      </w:r>
      <w:r w:rsidRPr="5A33B9EC">
        <w:rPr>
          <w:rFonts w:ascii="Times New Roman" w:hAnsi="Times New Roman" w:cs="Times New Roman"/>
          <w:lang w:val="en"/>
        </w:rPr>
        <w:t xml:space="preserve">that Remisia cannot rely on other treaties to evade UNSC decisions. Per Article 103, obligations imposed by Article 34 prevail over obligations under any other international agreement, including the </w:t>
      </w:r>
      <w:r w:rsidRPr="004524FC">
        <w:rPr>
          <w:rFonts w:ascii="Times New Roman" w:hAnsi="Times New Roman" w:cs="Times New Roman"/>
          <w:i/>
          <w:iCs/>
          <w:lang w:val="en"/>
        </w:rPr>
        <w:t>Vienna Convention on Diplomatic Relations</w:t>
      </w:r>
      <w:r w:rsidRPr="5A33B9EC">
        <w:rPr>
          <w:rFonts w:ascii="Times New Roman" w:hAnsi="Times New Roman" w:cs="Times New Roman"/>
          <w:lang w:val="en"/>
        </w:rPr>
        <w:t>.</w:t>
      </w:r>
      <w:r w:rsidRPr="5A33B9EC">
        <w:rPr>
          <w:rFonts w:ascii="Times New Roman" w:hAnsi="Times New Roman" w:cs="Times New Roman"/>
          <w:vertAlign w:val="superscript"/>
          <w:lang w:val="en"/>
        </w:rPr>
        <w:footnoteReference w:id="174"/>
      </w:r>
    </w:p>
    <w:p w14:paraId="21132C4F" w14:textId="339C8529" w:rsidR="00857789" w:rsidRDefault="00857789" w:rsidP="00D83BA1">
      <w:pPr>
        <w:pStyle w:val="Heading3"/>
      </w:pPr>
      <w:bookmarkStart w:id="35" w:name="_Toc155965837"/>
      <w:r>
        <w:t>The context, object, and purpose of Resolution 99997.</w:t>
      </w:r>
      <w:bookmarkEnd w:id="35"/>
    </w:p>
    <w:p w14:paraId="2DA4C17C" w14:textId="1515F0E6" w:rsidR="00857789" w:rsidRPr="00857789" w:rsidRDefault="00857789" w:rsidP="00857789">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 xml:space="preserve">Consideration of the context, object and purpose behind </w:t>
      </w:r>
      <w:r w:rsidR="004524FC">
        <w:rPr>
          <w:rFonts w:ascii="Times New Roman" w:hAnsi="Times New Roman" w:cs="Times New Roman"/>
          <w:lang w:val="en"/>
        </w:rPr>
        <w:t xml:space="preserve">Resolution </w:t>
      </w:r>
      <w:r w:rsidRPr="5A33B9EC">
        <w:rPr>
          <w:rFonts w:ascii="Times New Roman" w:hAnsi="Times New Roman" w:cs="Times New Roman"/>
          <w:lang w:val="en"/>
        </w:rPr>
        <w:t xml:space="preserve">99997 </w:t>
      </w:r>
      <w:r w:rsidR="00DC158F">
        <w:rPr>
          <w:rFonts w:ascii="Times New Roman" w:hAnsi="Times New Roman" w:cs="Times New Roman"/>
          <w:lang w:val="en"/>
        </w:rPr>
        <w:t xml:space="preserve">evidences </w:t>
      </w:r>
      <w:r w:rsidRPr="5A33B9EC">
        <w:rPr>
          <w:rFonts w:ascii="Times New Roman" w:hAnsi="Times New Roman" w:cs="Times New Roman"/>
          <w:lang w:val="en"/>
        </w:rPr>
        <w:t>that Article 1 is a binding decision for the UNIMR to enter Remisia.</w:t>
      </w:r>
      <w:r w:rsidRPr="5A33B9EC">
        <w:rPr>
          <w:rFonts w:ascii="Times New Roman" w:hAnsi="Times New Roman" w:cs="Times New Roman"/>
          <w:vertAlign w:val="superscript"/>
          <w:lang w:val="en"/>
        </w:rPr>
        <w:footnoteReference w:id="175"/>
      </w:r>
      <w:r w:rsidRPr="5A33B9EC">
        <w:rPr>
          <w:rFonts w:ascii="Times New Roman" w:hAnsi="Times New Roman" w:cs="Times New Roman"/>
          <w:lang w:val="en"/>
        </w:rPr>
        <w:t xml:space="preserve"> As the UNSC President stated, </w:t>
      </w:r>
      <w:r w:rsidRPr="5A33B9EC">
        <w:rPr>
          <w:rFonts w:ascii="Times New Roman" w:hAnsi="Times New Roman" w:cs="Times New Roman"/>
          <w:lang w:val="en"/>
        </w:rPr>
        <w:lastRenderedPageBreak/>
        <w:t xml:space="preserve">“denying entry to the UNIMR chief would be in violation” of </w:t>
      </w:r>
      <w:r w:rsidR="004524FC">
        <w:rPr>
          <w:rFonts w:ascii="Times New Roman" w:hAnsi="Times New Roman" w:cs="Times New Roman"/>
          <w:lang w:val="en"/>
        </w:rPr>
        <w:t xml:space="preserve">Resolution </w:t>
      </w:r>
      <w:r w:rsidRPr="5A33B9EC">
        <w:rPr>
          <w:rFonts w:ascii="Times New Roman" w:hAnsi="Times New Roman" w:cs="Times New Roman"/>
          <w:lang w:val="en"/>
        </w:rPr>
        <w:t>99997.</w:t>
      </w:r>
      <w:r w:rsidRPr="5A33B9EC">
        <w:rPr>
          <w:rFonts w:ascii="Times New Roman" w:hAnsi="Times New Roman" w:cs="Times New Roman"/>
          <w:vertAlign w:val="superscript"/>
          <w:lang w:val="en"/>
        </w:rPr>
        <w:footnoteReference w:id="176"/>
      </w:r>
      <w:r w:rsidRPr="5A33B9EC">
        <w:rPr>
          <w:rFonts w:ascii="Times New Roman" w:hAnsi="Times New Roman" w:cs="Times New Roman"/>
          <w:lang w:val="en"/>
        </w:rPr>
        <w:t xml:space="preserve"> Presidential statements may provide authoritative clarification on the bindingness of UNSC Resolutions.</w:t>
      </w:r>
      <w:r w:rsidRPr="5A33B9EC">
        <w:rPr>
          <w:rFonts w:ascii="Times New Roman" w:hAnsi="Times New Roman" w:cs="Times New Roman"/>
          <w:vertAlign w:val="superscript"/>
          <w:lang w:val="en"/>
        </w:rPr>
        <w:footnoteReference w:id="177"/>
      </w:r>
    </w:p>
    <w:p w14:paraId="200370AA" w14:textId="015341E5" w:rsidR="00857789" w:rsidRPr="00857789" w:rsidRDefault="00857789" w:rsidP="00857789">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The UNIMR was established because the spread of statelessness in Remisia gave rise to a “dispute… which might lead to international friction.”</w:t>
      </w:r>
      <w:r w:rsidRPr="5A33B9EC">
        <w:rPr>
          <w:rFonts w:ascii="Times New Roman" w:hAnsi="Times New Roman" w:cs="Times New Roman"/>
          <w:vertAlign w:val="superscript"/>
          <w:lang w:val="en"/>
        </w:rPr>
        <w:footnoteReference w:id="178"/>
      </w:r>
      <w:r w:rsidRPr="5A33B9EC">
        <w:rPr>
          <w:rFonts w:ascii="Times New Roman" w:hAnsi="Times New Roman" w:cs="Times New Roman"/>
          <w:lang w:val="en"/>
        </w:rPr>
        <w:t xml:space="preserve"> Statelessness risks fueling international disputes, forcible displacement and violence; its spread falls within the UNSC’s primary responsibility under Article 24 to maintain international peace and security.</w:t>
      </w:r>
      <w:r w:rsidRPr="5A33B9EC">
        <w:rPr>
          <w:rFonts w:ascii="Times New Roman" w:hAnsi="Times New Roman" w:cs="Times New Roman"/>
          <w:vertAlign w:val="superscript"/>
          <w:lang w:val="en"/>
        </w:rPr>
        <w:footnoteReference w:id="179"/>
      </w:r>
      <w:r w:rsidRPr="5A33B9EC">
        <w:rPr>
          <w:rFonts w:ascii="Times New Roman" w:hAnsi="Times New Roman" w:cs="Times New Roman"/>
          <w:lang w:val="en"/>
        </w:rPr>
        <w:t xml:space="preserve"> Given the potential gravity of the proliferation of statelessness, the UNSC would be unlikely to recommend a non-binding investigation.</w:t>
      </w:r>
    </w:p>
    <w:p w14:paraId="6CBEA54B" w14:textId="0FD6E595" w:rsidR="00D636E5" w:rsidRPr="00C96429" w:rsidRDefault="00D636E5" w:rsidP="00D636E5">
      <w:pPr>
        <w:pStyle w:val="Heading2"/>
        <w:rPr>
          <w:bCs/>
          <w:lang w:val="en-US"/>
        </w:rPr>
      </w:pPr>
      <w:bookmarkStart w:id="36" w:name="_Toc155965838"/>
      <w:r w:rsidRPr="00421F67">
        <w:t xml:space="preserve">Remisia </w:t>
      </w:r>
      <w:r w:rsidR="00421F67" w:rsidRPr="00421F67">
        <w:t>v</w:t>
      </w:r>
      <w:r w:rsidRPr="00421F67">
        <w:t xml:space="preserve">iolated its </w:t>
      </w:r>
      <w:r w:rsidR="00421F67" w:rsidRPr="00421F67">
        <w:t>o</w:t>
      </w:r>
      <w:r w:rsidRPr="00421F67">
        <w:t>bligations to</w:t>
      </w:r>
      <w:r w:rsidR="00421F67" w:rsidRPr="00421F67">
        <w:t xml:space="preserve"> g</w:t>
      </w:r>
      <w:r w:rsidRPr="00421F67">
        <w:t xml:space="preserve">rant </w:t>
      </w:r>
      <w:r w:rsidR="00421F67" w:rsidRPr="00421F67">
        <w:t>e</w:t>
      </w:r>
      <w:r w:rsidRPr="00421F67">
        <w:t>ntry to Malex</w:t>
      </w:r>
      <w:r w:rsidR="00421F67" w:rsidRPr="00421F67">
        <w:t>.</w:t>
      </w:r>
      <w:bookmarkEnd w:id="36"/>
    </w:p>
    <w:p w14:paraId="2BA93719" w14:textId="05C7611A" w:rsidR="00D636E5" w:rsidRPr="00D636E5" w:rsidRDefault="00D636E5" w:rsidP="00D636E5">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lang w:val="en"/>
        </w:rPr>
        <w:t>B</w:t>
      </w:r>
      <w:r w:rsidRPr="5A33B9EC">
        <w:rPr>
          <w:rFonts w:ascii="Times New Roman" w:hAnsi="Times New Roman" w:cs="Times New Roman"/>
          <w:lang w:val="en"/>
        </w:rPr>
        <w:t>y refusing to grant Malex an entry visa, Remisia is actively interfering with the binding decision to dispatch the UNIMR to Remisia.</w:t>
      </w:r>
      <w:r w:rsidRPr="5A33B9EC">
        <w:rPr>
          <w:rFonts w:ascii="Times New Roman" w:hAnsi="Times New Roman" w:cs="Times New Roman"/>
          <w:vertAlign w:val="superscript"/>
          <w:lang w:val="en"/>
        </w:rPr>
        <w:footnoteReference w:id="180"/>
      </w:r>
      <w:r w:rsidRPr="5A33B9EC">
        <w:rPr>
          <w:rFonts w:ascii="Times New Roman" w:hAnsi="Times New Roman" w:cs="Times New Roman"/>
          <w:lang w:val="en"/>
        </w:rPr>
        <w:t xml:space="preserve"> Remisia violated its obligations to accept and carry out the decisions of the UNSC under Article 25 of the </w:t>
      </w:r>
      <w:r w:rsidRPr="00E43480">
        <w:rPr>
          <w:rFonts w:ascii="Times New Roman" w:hAnsi="Times New Roman" w:cs="Times New Roman"/>
          <w:i/>
          <w:iCs/>
          <w:lang w:val="en"/>
        </w:rPr>
        <w:t>UN Charter</w:t>
      </w:r>
      <w:r w:rsidRPr="5A33B9EC">
        <w:rPr>
          <w:rFonts w:ascii="Times New Roman" w:hAnsi="Times New Roman" w:cs="Times New Roman"/>
          <w:lang w:val="en"/>
        </w:rPr>
        <w:t xml:space="preserve"> and contravened the general principle under Article 2(5) to ‘assist the [UN] in any action taken in accordance with the </w:t>
      </w:r>
      <w:r w:rsidRPr="00E43480">
        <w:rPr>
          <w:rFonts w:ascii="Times New Roman" w:hAnsi="Times New Roman" w:cs="Times New Roman"/>
          <w:i/>
          <w:iCs/>
          <w:lang w:val="en"/>
        </w:rPr>
        <w:t>Charter</w:t>
      </w:r>
      <w:r w:rsidRPr="5A33B9EC">
        <w:rPr>
          <w:rFonts w:ascii="Times New Roman" w:hAnsi="Times New Roman" w:cs="Times New Roman"/>
          <w:lang w:val="en"/>
        </w:rPr>
        <w:t>.’</w:t>
      </w:r>
      <w:r w:rsidRPr="5A33B9EC">
        <w:rPr>
          <w:rFonts w:ascii="Times New Roman" w:hAnsi="Times New Roman" w:cs="Times New Roman"/>
          <w:vertAlign w:val="superscript"/>
          <w:lang w:val="en"/>
        </w:rPr>
        <w:footnoteReference w:id="181"/>
      </w:r>
    </w:p>
    <w:p w14:paraId="473C5A88" w14:textId="24EDA32F" w:rsidR="00D636E5" w:rsidRPr="00D636E5" w:rsidRDefault="00D636E5" w:rsidP="00D636E5">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 xml:space="preserve">Remisia also violated its obligations under Section 22 and Section 26 of the </w:t>
      </w:r>
      <w:r w:rsidRPr="004524FC">
        <w:rPr>
          <w:rFonts w:ascii="Times New Roman" w:hAnsi="Times New Roman" w:cs="Times New Roman"/>
          <w:i/>
          <w:iCs/>
          <w:lang w:val="en"/>
        </w:rPr>
        <w:t>Convention on the Privileges and Immunities of the United Nations</w:t>
      </w:r>
      <w:r w:rsidRPr="5A33B9EC">
        <w:rPr>
          <w:rFonts w:ascii="Times New Roman" w:hAnsi="Times New Roman" w:cs="Times New Roman"/>
          <w:lang w:val="en"/>
        </w:rPr>
        <w:t xml:space="preserve"> (</w:t>
      </w:r>
      <w:r w:rsidR="004524FC">
        <w:rPr>
          <w:rFonts w:ascii="Times New Roman" w:hAnsi="Times New Roman" w:cs="Times New Roman"/>
          <w:b/>
          <w:bCs/>
          <w:lang w:val="en"/>
        </w:rPr>
        <w:t>“</w:t>
      </w:r>
      <w:r w:rsidRPr="004524FC">
        <w:rPr>
          <w:rFonts w:ascii="Times New Roman" w:hAnsi="Times New Roman" w:cs="Times New Roman"/>
          <w:b/>
          <w:bCs/>
          <w:i/>
          <w:iCs/>
          <w:lang w:val="en"/>
        </w:rPr>
        <w:t>CPI</w:t>
      </w:r>
      <w:r w:rsidRPr="004524FC">
        <w:rPr>
          <w:rFonts w:ascii="Times New Roman" w:hAnsi="Times New Roman" w:cs="Times New Roman"/>
          <w:b/>
          <w:bCs/>
          <w:lang w:val="en"/>
        </w:rPr>
        <w:t>”</w:t>
      </w:r>
      <w:r w:rsidRPr="5A33B9EC">
        <w:rPr>
          <w:rFonts w:ascii="Times New Roman" w:hAnsi="Times New Roman" w:cs="Times New Roman"/>
          <w:lang w:val="en"/>
        </w:rPr>
        <w:t>) to grant Malex the necessary facilities for entry into the State as necessary for the independent exercise of his functions.</w:t>
      </w:r>
      <w:r w:rsidRPr="5A33B9EC">
        <w:rPr>
          <w:rFonts w:ascii="Times New Roman" w:hAnsi="Times New Roman" w:cs="Times New Roman"/>
          <w:vertAlign w:val="superscript"/>
          <w:lang w:val="en"/>
        </w:rPr>
        <w:footnoteReference w:id="182"/>
      </w:r>
      <w:r w:rsidRPr="5A33B9EC">
        <w:rPr>
          <w:rFonts w:ascii="Times New Roman" w:hAnsi="Times New Roman" w:cs="Times New Roman"/>
          <w:lang w:val="en"/>
        </w:rPr>
        <w:t xml:space="preserve"> In accordance </w:t>
      </w:r>
      <w:r w:rsidRPr="5A33B9EC">
        <w:rPr>
          <w:rFonts w:ascii="Times New Roman" w:hAnsi="Times New Roman" w:cs="Times New Roman"/>
          <w:lang w:val="en"/>
        </w:rPr>
        <w:lastRenderedPageBreak/>
        <w:t>with Remisia’s obligations under the CPI</w:t>
      </w:r>
      <w:r w:rsidR="004524FC">
        <w:rPr>
          <w:rFonts w:ascii="Times New Roman" w:hAnsi="Times New Roman" w:cs="Times New Roman"/>
          <w:lang w:val="en"/>
        </w:rPr>
        <w:t xml:space="preserve">, issuing </w:t>
      </w:r>
      <w:r w:rsidRPr="5A33B9EC">
        <w:rPr>
          <w:rFonts w:ascii="Times New Roman" w:hAnsi="Times New Roman" w:cs="Times New Roman"/>
          <w:lang w:val="en"/>
        </w:rPr>
        <w:t>an entry visa should have been a formality, not an impediment to Malex’s ability to enter on UN business.</w:t>
      </w:r>
      <w:r w:rsidRPr="5A33B9EC">
        <w:rPr>
          <w:rFonts w:ascii="Times New Roman" w:hAnsi="Times New Roman" w:cs="Times New Roman"/>
          <w:vertAlign w:val="superscript"/>
          <w:lang w:val="en"/>
        </w:rPr>
        <w:footnoteReference w:id="183"/>
      </w:r>
      <w:r w:rsidRPr="5A33B9EC">
        <w:rPr>
          <w:rFonts w:ascii="Times New Roman" w:hAnsi="Times New Roman" w:cs="Times New Roman"/>
          <w:lang w:val="en"/>
        </w:rPr>
        <w:t xml:space="preserve"> Instead, Remisia repeatedly refused to facilitate the speedy issuance of a visa for Malex.</w:t>
      </w:r>
      <w:r w:rsidRPr="5A33B9EC">
        <w:rPr>
          <w:rFonts w:ascii="Times New Roman" w:hAnsi="Times New Roman" w:cs="Times New Roman"/>
          <w:vertAlign w:val="superscript"/>
          <w:lang w:val="en"/>
        </w:rPr>
        <w:footnoteReference w:id="184"/>
      </w:r>
      <w:r w:rsidRPr="5A33B9EC">
        <w:rPr>
          <w:rFonts w:ascii="Times New Roman" w:hAnsi="Times New Roman" w:cs="Times New Roman"/>
          <w:lang w:val="en"/>
        </w:rPr>
        <w:t xml:space="preserve"> </w:t>
      </w:r>
      <w:r>
        <w:rPr>
          <w:rFonts w:ascii="Times New Roman" w:hAnsi="Times New Roman" w:cs="Times New Roman"/>
          <w:lang w:val="en"/>
        </w:rPr>
        <w:t xml:space="preserve"> </w:t>
      </w:r>
    </w:p>
    <w:p w14:paraId="0FB6898B" w14:textId="5C921264" w:rsidR="00857789" w:rsidRPr="00857789" w:rsidRDefault="00D636E5" w:rsidP="00D636E5">
      <w:pPr>
        <w:pStyle w:val="Heading2"/>
      </w:pPr>
      <w:bookmarkStart w:id="37" w:name="_Toc155965839"/>
      <w:r>
        <w:t>Remisia’s violations cannot be defended as countermeasures.</w:t>
      </w:r>
      <w:bookmarkEnd w:id="37"/>
    </w:p>
    <w:p w14:paraId="1A98FACC" w14:textId="6D9046D5" w:rsidR="00D636E5" w:rsidRPr="00D636E5" w:rsidRDefault="00D636E5" w:rsidP="00D636E5">
      <w:pPr>
        <w:pStyle w:val="BodyText"/>
        <w:numPr>
          <w:ilvl w:val="5"/>
          <w:numId w:val="2"/>
        </w:numPr>
        <w:spacing w:before="240" w:after="240" w:line="360" w:lineRule="auto"/>
        <w:jc w:val="both"/>
        <w:rPr>
          <w:rFonts w:ascii="Times New Roman" w:hAnsi="Times New Roman" w:cs="Times New Roman"/>
          <w:strike/>
        </w:rPr>
      </w:pPr>
      <w:r>
        <w:rPr>
          <w:rFonts w:ascii="Times New Roman" w:hAnsi="Times New Roman" w:cs="Times New Roman"/>
          <w:lang w:val="en"/>
        </w:rPr>
        <w:t>R</w:t>
      </w:r>
      <w:r w:rsidRPr="5A33B9EC">
        <w:rPr>
          <w:rFonts w:ascii="Times New Roman" w:hAnsi="Times New Roman" w:cs="Times New Roman"/>
          <w:lang w:val="en"/>
        </w:rPr>
        <w:t>emisia cannot establish that its actions were legal countermeasures to illegal actions taken by the UNSC or Antrano. As the UNIMR lead, Malex’s right of entry belongs to the UN.</w:t>
      </w:r>
      <w:r w:rsidRPr="5A33B9EC">
        <w:rPr>
          <w:rFonts w:ascii="Times New Roman" w:hAnsi="Times New Roman" w:cs="Times New Roman"/>
          <w:vertAlign w:val="superscript"/>
          <w:lang w:val="en"/>
        </w:rPr>
        <w:footnoteReference w:id="185"/>
      </w:r>
      <w:r w:rsidRPr="5A33B9EC">
        <w:rPr>
          <w:rFonts w:ascii="Times New Roman" w:hAnsi="Times New Roman" w:cs="Times New Roman"/>
          <w:lang w:val="en"/>
        </w:rPr>
        <w:t xml:space="preserve"> ILC </w:t>
      </w:r>
      <w:r w:rsidRPr="5A33B9EC">
        <w:rPr>
          <w:rFonts w:ascii="Times New Roman" w:hAnsi="Times New Roman" w:cs="Times New Roman"/>
          <w:i/>
          <w:iCs/>
          <w:lang w:val="en"/>
        </w:rPr>
        <w:t xml:space="preserve">Draft Articles on the Responsibility of International Organizations </w:t>
      </w:r>
      <w:r w:rsidRPr="5A33B9EC">
        <w:rPr>
          <w:rFonts w:ascii="Times New Roman" w:hAnsi="Times New Roman" w:cs="Times New Roman"/>
          <w:lang w:val="en"/>
        </w:rPr>
        <w:t>states that members of an organization may not take countermeasures against the organization unless such countermeasures are provided for by the rules of the organization.</w:t>
      </w:r>
      <w:r w:rsidRPr="5A33B9EC">
        <w:rPr>
          <w:rFonts w:ascii="Times New Roman" w:hAnsi="Times New Roman" w:cs="Times New Roman"/>
          <w:vertAlign w:val="superscript"/>
          <w:lang w:val="en"/>
        </w:rPr>
        <w:footnoteReference w:id="186"/>
      </w:r>
      <w:r w:rsidRPr="5A33B9EC">
        <w:rPr>
          <w:rFonts w:ascii="Times New Roman" w:hAnsi="Times New Roman" w:cs="Times New Roman"/>
          <w:lang w:val="en"/>
        </w:rPr>
        <w:t xml:space="preserve"> Remisia also cannot deny Antranan UN personnel entry because of its dispute with Antrano. This would violate Article 105 of the </w:t>
      </w:r>
      <w:r w:rsidRPr="00E43480">
        <w:rPr>
          <w:rFonts w:ascii="Times New Roman" w:hAnsi="Times New Roman" w:cs="Times New Roman"/>
          <w:i/>
          <w:iCs/>
          <w:lang w:val="en"/>
        </w:rPr>
        <w:t>Charter</w:t>
      </w:r>
      <w:r w:rsidRPr="5A33B9EC">
        <w:rPr>
          <w:rFonts w:ascii="Times New Roman" w:hAnsi="Times New Roman" w:cs="Times New Roman"/>
          <w:lang w:val="en"/>
        </w:rPr>
        <w:t>, which prohibits denying entry to UN personnel based on their nationality.</w:t>
      </w:r>
      <w:r w:rsidRPr="5A33B9EC">
        <w:rPr>
          <w:rFonts w:ascii="Times New Roman" w:hAnsi="Times New Roman" w:cs="Times New Roman"/>
          <w:vertAlign w:val="superscript"/>
          <w:lang w:val="en"/>
        </w:rPr>
        <w:footnoteReference w:id="187"/>
      </w:r>
      <w:r w:rsidRPr="5A33B9EC">
        <w:rPr>
          <w:rFonts w:ascii="Times New Roman" w:hAnsi="Times New Roman" w:cs="Times New Roman"/>
          <w:lang w:val="en"/>
        </w:rPr>
        <w:t xml:space="preserve"> </w:t>
      </w:r>
      <w:r>
        <w:rPr>
          <w:rFonts w:ascii="Times New Roman" w:hAnsi="Times New Roman" w:cs="Times New Roman"/>
          <w:lang w:val="en"/>
        </w:rPr>
        <w:t xml:space="preserve"> </w:t>
      </w:r>
    </w:p>
    <w:p w14:paraId="48D02F18" w14:textId="30CC4AE2" w:rsidR="00D636E5" w:rsidRPr="00857789" w:rsidRDefault="00D636E5" w:rsidP="00D636E5">
      <w:pPr>
        <w:pStyle w:val="Heading2"/>
      </w:pPr>
      <w:bookmarkStart w:id="38" w:name="_Toc155965840"/>
      <w:r>
        <w:t>This Court cannot review the invocation of Article 34.</w:t>
      </w:r>
      <w:bookmarkEnd w:id="38"/>
    </w:p>
    <w:p w14:paraId="78E3AE93" w14:textId="52FA3889" w:rsidR="00D636E5" w:rsidRPr="00D636E5" w:rsidRDefault="00D636E5" w:rsidP="00D636E5">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This Court cannot judicially review UNSC decisions, and there is no procedure in the UN for determining the validity of a UNSC resolution.</w:t>
      </w:r>
      <w:r w:rsidRPr="00B62305">
        <w:rPr>
          <w:vertAlign w:val="superscript"/>
          <w:lang w:val="en"/>
        </w:rPr>
        <w:footnoteReference w:id="188"/>
      </w:r>
      <w:r w:rsidRPr="5A33B9EC">
        <w:rPr>
          <w:rFonts w:ascii="Times New Roman" w:hAnsi="Times New Roman" w:cs="Times New Roman"/>
          <w:lang w:val="en"/>
        </w:rPr>
        <w:t xml:space="preserve"> The Court cannot substitute its discretion for </w:t>
      </w:r>
      <w:r w:rsidRPr="5A33B9EC">
        <w:rPr>
          <w:rFonts w:ascii="Times New Roman" w:hAnsi="Times New Roman" w:cs="Times New Roman"/>
          <w:lang w:val="en"/>
        </w:rPr>
        <w:lastRenderedPageBreak/>
        <w:t>the UNSC's, as it is the primary UN organ responsible for the maintenance of peace and security.</w:t>
      </w:r>
      <w:r w:rsidRPr="00B62305">
        <w:rPr>
          <w:vertAlign w:val="superscript"/>
          <w:lang w:val="en"/>
        </w:rPr>
        <w:footnoteReference w:id="189"/>
      </w:r>
      <w:r w:rsidRPr="5A33B9EC">
        <w:rPr>
          <w:rFonts w:ascii="Times New Roman" w:hAnsi="Times New Roman" w:cs="Times New Roman"/>
          <w:lang w:val="en"/>
        </w:rPr>
        <w:t xml:space="preserve"> Remisia, accordingly, cannot challenge the lawfulness of </w:t>
      </w:r>
      <w:r w:rsidR="004524FC">
        <w:rPr>
          <w:rFonts w:ascii="Times New Roman" w:hAnsi="Times New Roman" w:cs="Times New Roman"/>
          <w:lang w:val="en"/>
        </w:rPr>
        <w:t xml:space="preserve">Resolution </w:t>
      </w:r>
      <w:r w:rsidRPr="5A33B9EC">
        <w:rPr>
          <w:rFonts w:ascii="Times New Roman" w:hAnsi="Times New Roman" w:cs="Times New Roman"/>
          <w:lang w:val="en"/>
        </w:rPr>
        <w:t>99997 before this Court.</w:t>
      </w:r>
    </w:p>
    <w:p w14:paraId="51AD3FED" w14:textId="23F71042" w:rsidR="00D636E5" w:rsidRPr="00D636E5" w:rsidRDefault="00D636E5" w:rsidP="00D636E5">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Discretionary determinations by the UNSC, such as the existence of a threat to the peace, cannot be reviewed.</w:t>
      </w:r>
      <w:r w:rsidRPr="00B62305">
        <w:rPr>
          <w:vertAlign w:val="superscript"/>
          <w:lang w:val="en"/>
        </w:rPr>
        <w:footnoteReference w:id="190"/>
      </w:r>
      <w:r w:rsidRPr="5A33B9EC">
        <w:rPr>
          <w:rFonts w:ascii="Times New Roman" w:hAnsi="Times New Roman" w:cs="Times New Roman"/>
          <w:lang w:val="en"/>
        </w:rPr>
        <w:t xml:space="preserve"> The decision to invoke Article 34 to investigate the situation in Remisia is also discretionary and beyond the jurisdiction of this Court. Whether the UNIMR is an effective mechanism for the UNSC to fulfill its responsibilities to maintain international peace and security is also not reviewable by this Court.</w:t>
      </w:r>
      <w:r w:rsidRPr="00B62305">
        <w:rPr>
          <w:vertAlign w:val="superscript"/>
          <w:lang w:val="en"/>
        </w:rPr>
        <w:footnoteReference w:id="191"/>
      </w:r>
    </w:p>
    <w:p w14:paraId="353D62FD" w14:textId="77777777" w:rsidR="00D636E5" w:rsidRPr="00857789" w:rsidRDefault="00D636E5" w:rsidP="00D636E5">
      <w:pPr>
        <w:pStyle w:val="Heading2"/>
      </w:pPr>
      <w:bookmarkStart w:id="39" w:name="_Toc155965841"/>
      <w:r>
        <w:t>This Court cannot review the invocation of Article 34.</w:t>
      </w:r>
      <w:bookmarkEnd w:id="39"/>
    </w:p>
    <w:p w14:paraId="1B70C959" w14:textId="07BB2A77" w:rsidR="00D636E5" w:rsidRPr="00D636E5" w:rsidRDefault="00D636E5" w:rsidP="00D636E5">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Even if UNSC decisions could be judicially reviewed, the standard of review is highly deferential.</w:t>
      </w:r>
      <w:r w:rsidRPr="5A33B9EC">
        <w:rPr>
          <w:rFonts w:ascii="Times New Roman" w:hAnsi="Times New Roman" w:cs="Times New Roman"/>
          <w:vertAlign w:val="superscript"/>
          <w:lang w:val="en"/>
        </w:rPr>
        <w:footnoteReference w:id="192"/>
      </w:r>
      <w:r w:rsidRPr="5A33B9EC">
        <w:rPr>
          <w:rFonts w:ascii="Times New Roman" w:hAnsi="Times New Roman" w:cs="Times New Roman"/>
          <w:lang w:val="en"/>
        </w:rPr>
        <w:t xml:space="preserve"> The UNSC enjoys wide discretion in its evaluation of facts and interpretation of </w:t>
      </w:r>
      <w:r w:rsidRPr="00E43480">
        <w:rPr>
          <w:rFonts w:ascii="Times New Roman" w:hAnsi="Times New Roman" w:cs="Times New Roman"/>
          <w:i/>
          <w:iCs/>
          <w:lang w:val="en"/>
        </w:rPr>
        <w:t xml:space="preserve">Charter </w:t>
      </w:r>
      <w:r w:rsidRPr="5A33B9EC">
        <w:rPr>
          <w:rFonts w:ascii="Times New Roman" w:hAnsi="Times New Roman" w:cs="Times New Roman"/>
          <w:lang w:val="en"/>
        </w:rPr>
        <w:t>terms, and its resolutions are presumptively valid.</w:t>
      </w:r>
      <w:r w:rsidRPr="5A33B9EC">
        <w:rPr>
          <w:rFonts w:ascii="Times New Roman" w:hAnsi="Times New Roman" w:cs="Times New Roman"/>
          <w:vertAlign w:val="superscript"/>
          <w:lang w:val="en"/>
        </w:rPr>
        <w:footnoteReference w:id="193"/>
      </w:r>
    </w:p>
    <w:p w14:paraId="50E919D2" w14:textId="026A2C58" w:rsidR="00D636E5" w:rsidRPr="00D636E5" w:rsidRDefault="00D636E5" w:rsidP="00D636E5">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 xml:space="preserve">Here, the procedural and substantive requirements for triggering Article 34 have been met. There is no evidence of procedural issues in the enactment of </w:t>
      </w:r>
      <w:r w:rsidR="004524FC">
        <w:rPr>
          <w:rFonts w:ascii="Times New Roman" w:hAnsi="Times New Roman" w:cs="Times New Roman"/>
          <w:lang w:val="en"/>
        </w:rPr>
        <w:t xml:space="preserve">Resolution </w:t>
      </w:r>
      <w:r w:rsidRPr="5A33B9EC">
        <w:rPr>
          <w:rFonts w:ascii="Times New Roman" w:hAnsi="Times New Roman" w:cs="Times New Roman"/>
          <w:lang w:val="en"/>
        </w:rPr>
        <w:t>99997.</w:t>
      </w:r>
      <w:r w:rsidRPr="5A33B9EC">
        <w:rPr>
          <w:rFonts w:ascii="Times New Roman" w:hAnsi="Times New Roman" w:cs="Times New Roman"/>
          <w:vertAlign w:val="superscript"/>
          <w:lang w:val="en"/>
        </w:rPr>
        <w:footnoteReference w:id="194"/>
      </w:r>
      <w:r w:rsidRPr="5A33B9EC">
        <w:rPr>
          <w:rFonts w:ascii="Times New Roman" w:hAnsi="Times New Roman" w:cs="Times New Roman"/>
          <w:lang w:val="en"/>
        </w:rPr>
        <w:t xml:space="preserve"> Substantively, the UNSC may investigate any situation that may give rise to an international dispute, provided it does not fall within the </w:t>
      </w:r>
      <w:r w:rsidRPr="5A33B9EC">
        <w:rPr>
          <w:rFonts w:ascii="Times New Roman" w:hAnsi="Times New Roman" w:cs="Times New Roman"/>
          <w:i/>
          <w:iCs/>
          <w:lang w:val="en"/>
        </w:rPr>
        <w:t xml:space="preserve">domaine réservé </w:t>
      </w:r>
      <w:r w:rsidRPr="5A33B9EC">
        <w:rPr>
          <w:rFonts w:ascii="Times New Roman" w:hAnsi="Times New Roman" w:cs="Times New Roman"/>
          <w:lang w:val="en"/>
        </w:rPr>
        <w:t>of the State.</w:t>
      </w:r>
      <w:r w:rsidRPr="5A33B9EC">
        <w:rPr>
          <w:rFonts w:ascii="Times New Roman" w:hAnsi="Times New Roman" w:cs="Times New Roman"/>
          <w:vertAlign w:val="superscript"/>
          <w:lang w:val="en"/>
        </w:rPr>
        <w:footnoteReference w:id="195"/>
      </w:r>
      <w:r w:rsidRPr="5A33B9EC">
        <w:rPr>
          <w:rFonts w:ascii="Times New Roman" w:hAnsi="Times New Roman" w:cs="Times New Roman"/>
          <w:lang w:val="en"/>
        </w:rPr>
        <w:t xml:space="preserve"> </w:t>
      </w:r>
    </w:p>
    <w:p w14:paraId="4DE67A1A" w14:textId="18667A15" w:rsidR="00D636E5" w:rsidRPr="00D636E5" w:rsidRDefault="00D636E5" w:rsidP="00D636E5">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The proliferation of statelessness in Remisia could threaten international peace and security and falls within the primary of the UNSC under Article 24.</w:t>
      </w:r>
      <w:r w:rsidRPr="5A33B9EC">
        <w:rPr>
          <w:rFonts w:ascii="Times New Roman" w:hAnsi="Times New Roman" w:cs="Times New Roman"/>
          <w:vertAlign w:val="superscript"/>
          <w:lang w:val="en"/>
        </w:rPr>
        <w:footnoteReference w:id="196"/>
      </w:r>
      <w:r w:rsidRPr="5A33B9EC">
        <w:rPr>
          <w:rFonts w:ascii="Times New Roman" w:hAnsi="Times New Roman" w:cs="Times New Roman"/>
          <w:lang w:val="en"/>
        </w:rPr>
        <w:t xml:space="preserve"> The presumption by Antrano that a </w:t>
      </w:r>
      <w:r w:rsidRPr="5A33B9EC">
        <w:rPr>
          <w:rFonts w:ascii="Times New Roman" w:hAnsi="Times New Roman" w:cs="Times New Roman"/>
          <w:lang w:val="en"/>
        </w:rPr>
        <w:lastRenderedPageBreak/>
        <w:t>dispute emerged with Remisia regarding statelessness was sufficient to empower the UNSC to invoke Article 34.</w:t>
      </w:r>
      <w:r w:rsidRPr="5A33B9EC">
        <w:rPr>
          <w:rFonts w:ascii="Times New Roman" w:hAnsi="Times New Roman" w:cs="Times New Roman"/>
          <w:vertAlign w:val="superscript"/>
          <w:lang w:val="en"/>
        </w:rPr>
        <w:footnoteReference w:id="197"/>
      </w:r>
      <w:r w:rsidRPr="5A33B9EC">
        <w:rPr>
          <w:rFonts w:ascii="Times New Roman" w:hAnsi="Times New Roman" w:cs="Times New Roman"/>
          <w:lang w:val="en"/>
        </w:rPr>
        <w:t xml:space="preserve"> As a party to the CSP and the CRS, Remisia’s refusal to comply with its obligations under the Conventions as required by Antrano confirms that a dispute arose.</w:t>
      </w:r>
      <w:r w:rsidRPr="5A33B9EC">
        <w:rPr>
          <w:rFonts w:ascii="Times New Roman" w:hAnsi="Times New Roman" w:cs="Times New Roman"/>
          <w:vertAlign w:val="superscript"/>
          <w:lang w:val="en"/>
        </w:rPr>
        <w:footnoteReference w:id="198"/>
      </w:r>
    </w:p>
    <w:p w14:paraId="04D57DBD" w14:textId="7B761025" w:rsidR="00BF4332" w:rsidRPr="00BF4332" w:rsidRDefault="00BF4332" w:rsidP="00BF4332">
      <w:pPr>
        <w:pStyle w:val="BodyText"/>
        <w:numPr>
          <w:ilvl w:val="5"/>
          <w:numId w:val="2"/>
        </w:numPr>
        <w:spacing w:before="240" w:after="240" w:line="360" w:lineRule="auto"/>
        <w:jc w:val="both"/>
        <w:rPr>
          <w:rFonts w:ascii="Times New Roman" w:hAnsi="Times New Roman" w:cs="Times New Roman"/>
          <w:strike/>
        </w:rPr>
      </w:pPr>
      <w:r w:rsidRPr="5A33B9EC">
        <w:rPr>
          <w:rFonts w:ascii="Times New Roman" w:hAnsi="Times New Roman" w:cs="Times New Roman"/>
          <w:lang w:val="en"/>
        </w:rPr>
        <w:t xml:space="preserve">Further, statelessness is not within Remisia’s </w:t>
      </w:r>
      <w:r w:rsidRPr="5A33B9EC">
        <w:rPr>
          <w:rFonts w:ascii="Times New Roman" w:hAnsi="Times New Roman" w:cs="Times New Roman"/>
          <w:i/>
          <w:iCs/>
          <w:lang w:val="en"/>
        </w:rPr>
        <w:t xml:space="preserve">domaine réservé </w:t>
      </w:r>
      <w:r w:rsidRPr="5A33B9EC">
        <w:rPr>
          <w:rFonts w:ascii="Times New Roman" w:hAnsi="Times New Roman" w:cs="Times New Roman"/>
          <w:lang w:val="en"/>
        </w:rPr>
        <w:t>because it is regulated by multiple international conventions, including the CSP and CRS.</w:t>
      </w:r>
      <w:r w:rsidRPr="5A33B9EC">
        <w:rPr>
          <w:rFonts w:ascii="Times New Roman" w:hAnsi="Times New Roman" w:cs="Times New Roman"/>
          <w:vertAlign w:val="superscript"/>
          <w:lang w:val="en"/>
        </w:rPr>
        <w:footnoteReference w:id="199"/>
      </w:r>
      <w:r w:rsidRPr="5A33B9EC">
        <w:rPr>
          <w:rFonts w:ascii="Times New Roman" w:hAnsi="Times New Roman" w:cs="Times New Roman"/>
          <w:lang w:val="en"/>
        </w:rPr>
        <w:t xml:space="preserve"> Generally, the narrow carve-out for the </w:t>
      </w:r>
      <w:r w:rsidRPr="5A33B9EC">
        <w:rPr>
          <w:rFonts w:ascii="Times New Roman" w:hAnsi="Times New Roman" w:cs="Times New Roman"/>
          <w:i/>
          <w:iCs/>
          <w:lang w:val="en"/>
        </w:rPr>
        <w:t xml:space="preserve">domaine réservé </w:t>
      </w:r>
      <w:r w:rsidRPr="5A33B9EC">
        <w:rPr>
          <w:rFonts w:ascii="Times New Roman" w:hAnsi="Times New Roman" w:cs="Times New Roman"/>
          <w:lang w:val="en"/>
        </w:rPr>
        <w:t>of a State under Article 2(7) of the Charter does not effectively limit the UNSC’s Article 34 authority to investigate situations which might lead to international friction or give rise to dispute.</w:t>
      </w:r>
      <w:r w:rsidRPr="5A33B9EC">
        <w:rPr>
          <w:rFonts w:ascii="Times New Roman" w:hAnsi="Times New Roman" w:cs="Times New Roman"/>
          <w:vertAlign w:val="superscript"/>
          <w:lang w:val="en"/>
        </w:rPr>
        <w:footnoteReference w:id="200"/>
      </w:r>
      <w:r w:rsidRPr="5A33B9EC">
        <w:rPr>
          <w:rFonts w:ascii="Times New Roman" w:hAnsi="Times New Roman" w:cs="Times New Roman"/>
          <w:lang w:val="en"/>
        </w:rPr>
        <w:t xml:space="preserve"> </w:t>
      </w:r>
    </w:p>
    <w:p w14:paraId="72B1622A" w14:textId="43B6E9D9" w:rsidR="009C4097" w:rsidRPr="008D19FC" w:rsidRDefault="00BF4332" w:rsidP="008D19FC">
      <w:pPr>
        <w:pStyle w:val="ListParagraph"/>
        <w:numPr>
          <w:ilvl w:val="5"/>
          <w:numId w:val="2"/>
        </w:numPr>
        <w:spacing w:line="360" w:lineRule="auto"/>
        <w:jc w:val="both"/>
        <w:rPr>
          <w:rFonts w:ascii="Times New Roman" w:hAnsi="Times New Roman" w:cs="Times New Roman"/>
          <w:bCs/>
          <w:lang w:val="en"/>
        </w:rPr>
      </w:pPr>
      <w:r>
        <w:rPr>
          <w:rFonts w:ascii="Times New Roman" w:hAnsi="Times New Roman" w:cs="Times New Roman"/>
          <w:lang w:val="en"/>
        </w:rPr>
        <w:t xml:space="preserve">The </w:t>
      </w:r>
      <w:r w:rsidRPr="5A33B9EC">
        <w:rPr>
          <w:rFonts w:ascii="Times New Roman" w:hAnsi="Times New Roman" w:cs="Times New Roman"/>
          <w:lang w:val="en"/>
        </w:rPr>
        <w:t xml:space="preserve">mandate of the UNIMR under Article 1 of </w:t>
      </w:r>
      <w:r w:rsidR="004524FC">
        <w:rPr>
          <w:rFonts w:ascii="Times New Roman" w:hAnsi="Times New Roman" w:cs="Times New Roman"/>
          <w:lang w:val="en"/>
        </w:rPr>
        <w:t xml:space="preserve">Resolution </w:t>
      </w:r>
      <w:r w:rsidRPr="5A33B9EC">
        <w:rPr>
          <w:rFonts w:ascii="Times New Roman" w:hAnsi="Times New Roman" w:cs="Times New Roman"/>
          <w:lang w:val="en"/>
        </w:rPr>
        <w:t xml:space="preserve">99997 </w:t>
      </w:r>
      <w:r w:rsidR="00DC158F">
        <w:rPr>
          <w:rFonts w:ascii="Times New Roman" w:hAnsi="Times New Roman" w:cs="Times New Roman"/>
          <w:lang w:val="en"/>
        </w:rPr>
        <w:t xml:space="preserve">accords with </w:t>
      </w:r>
      <w:r w:rsidRPr="5A33B9EC">
        <w:rPr>
          <w:rFonts w:ascii="Times New Roman" w:hAnsi="Times New Roman" w:cs="Times New Roman"/>
          <w:lang w:val="en"/>
        </w:rPr>
        <w:t>Article 34’s purpose to determine if a situation poses a threat to international peace and security.</w:t>
      </w:r>
      <w:r w:rsidRPr="5A33B9EC">
        <w:rPr>
          <w:rFonts w:ascii="Times New Roman" w:hAnsi="Times New Roman" w:cs="Times New Roman"/>
          <w:vertAlign w:val="superscript"/>
          <w:lang w:val="en"/>
        </w:rPr>
        <w:footnoteReference w:id="201"/>
      </w:r>
      <w:r w:rsidRPr="5A33B9EC">
        <w:rPr>
          <w:rFonts w:ascii="Times New Roman" w:hAnsi="Times New Roman" w:cs="Times New Roman"/>
          <w:lang w:val="en"/>
        </w:rPr>
        <w:t xml:space="preserve"> Subparagraph 1(a) directs the UNIMR to investigate the underlying cause of the proliferation of statelessness, and 1(b) investigates the current state of the stateless prisoners.</w:t>
      </w:r>
      <w:r w:rsidRPr="5A33B9EC">
        <w:rPr>
          <w:rFonts w:ascii="Times New Roman" w:hAnsi="Times New Roman" w:cs="Times New Roman"/>
          <w:vertAlign w:val="superscript"/>
          <w:lang w:val="en"/>
        </w:rPr>
        <w:footnoteReference w:id="202"/>
      </w:r>
      <w:r w:rsidRPr="5A33B9EC">
        <w:rPr>
          <w:rFonts w:ascii="Times New Roman" w:hAnsi="Times New Roman" w:cs="Times New Roman"/>
          <w:lang w:val="en"/>
        </w:rPr>
        <w:t xml:space="preserve"> This direction is consistent with past uses of Article 34, which directed broad investigations in 1946 and 1948.</w:t>
      </w:r>
      <w:r w:rsidRPr="5A33B9EC">
        <w:rPr>
          <w:rFonts w:ascii="Times New Roman" w:hAnsi="Times New Roman" w:cs="Times New Roman"/>
          <w:vertAlign w:val="superscript"/>
          <w:lang w:val="en"/>
        </w:rPr>
        <w:footnoteReference w:id="203"/>
      </w:r>
      <w:r w:rsidRPr="5A33B9EC">
        <w:rPr>
          <w:rFonts w:ascii="Times New Roman" w:hAnsi="Times New Roman" w:cs="Times New Roman"/>
          <w:lang w:val="en"/>
        </w:rPr>
        <w:t xml:space="preserve"> For example, despite opposition from several of the states affected, Resolution 15 established a Commission with a broad geographical scope to “elucidate the causes and nature” of disturbances along the Greek border.</w:t>
      </w:r>
      <w:r w:rsidRPr="5A33B9EC">
        <w:rPr>
          <w:rFonts w:ascii="Times New Roman" w:hAnsi="Times New Roman" w:cs="Times New Roman"/>
          <w:vertAlign w:val="superscript"/>
          <w:lang w:val="en"/>
        </w:rPr>
        <w:footnoteReference w:id="204"/>
      </w:r>
      <w:r w:rsidRPr="5A33B9EC">
        <w:rPr>
          <w:rFonts w:ascii="Times New Roman" w:hAnsi="Times New Roman" w:cs="Times New Roman"/>
          <w:lang w:val="en"/>
        </w:rPr>
        <w:t xml:space="preserve"> </w:t>
      </w:r>
      <w:r w:rsidR="004524FC">
        <w:rPr>
          <w:rFonts w:ascii="Times New Roman" w:hAnsi="Times New Roman" w:cs="Times New Roman"/>
          <w:lang w:val="en"/>
        </w:rPr>
        <w:t>Thus, Resolution 99997 was validly enacted.</w:t>
      </w:r>
    </w:p>
    <w:p w14:paraId="13C3D031" w14:textId="77777777" w:rsidR="008D19FC" w:rsidRPr="008D19FC" w:rsidRDefault="008D19FC" w:rsidP="008D19FC">
      <w:pPr>
        <w:pStyle w:val="ListParagraph"/>
        <w:spacing w:line="360" w:lineRule="auto"/>
        <w:ind w:left="0"/>
        <w:jc w:val="both"/>
        <w:rPr>
          <w:rFonts w:ascii="Times New Roman" w:hAnsi="Times New Roman" w:cs="Times New Roman"/>
          <w:bCs/>
          <w:lang w:val="en"/>
        </w:rPr>
      </w:pPr>
    </w:p>
    <w:p w14:paraId="71065C79" w14:textId="77777777" w:rsidR="000A6C2E" w:rsidRDefault="000A6C2E" w:rsidP="000A6C2E">
      <w:pPr>
        <w:rPr>
          <w:rFonts w:ascii="Times New Roman" w:hAnsi="Times New Roman" w:cs="Times New Roman"/>
          <w:lang w:val="en-CA"/>
        </w:rPr>
      </w:pPr>
    </w:p>
    <w:p w14:paraId="5F045E3D" w14:textId="550662BA" w:rsidR="00993AAF" w:rsidRDefault="00993AAF" w:rsidP="000A6C2E">
      <w:pPr>
        <w:jc w:val="center"/>
        <w:rPr>
          <w:rFonts w:ascii="Times New Roman" w:eastAsia="Times New Roman" w:hAnsi="Times New Roman" w:cs="Times New Roman"/>
          <w:b/>
          <w:smallCaps/>
          <w:kern w:val="28"/>
          <w:lang w:val="en-CA"/>
        </w:rPr>
      </w:pPr>
      <w:r w:rsidRPr="00993AAF">
        <w:rPr>
          <w:rFonts w:ascii="Times New Roman" w:eastAsia="Times New Roman" w:hAnsi="Times New Roman" w:cs="Times New Roman"/>
          <w:b/>
          <w:smallCaps/>
          <w:kern w:val="28"/>
          <w:lang w:val="en-CA"/>
        </w:rPr>
        <w:t>Prayer for Relief</w:t>
      </w:r>
    </w:p>
    <w:p w14:paraId="5087D68F" w14:textId="77777777" w:rsidR="006F4D1A" w:rsidRPr="00993AAF" w:rsidRDefault="006F4D1A" w:rsidP="00993AAF">
      <w:pPr>
        <w:jc w:val="center"/>
        <w:rPr>
          <w:rFonts w:ascii="Times New Roman" w:eastAsia="Times New Roman" w:hAnsi="Times New Roman" w:cs="Times New Roman"/>
          <w:b/>
          <w:smallCaps/>
          <w:kern w:val="28"/>
          <w:lang w:val="en-CA"/>
        </w:rPr>
      </w:pPr>
    </w:p>
    <w:p w14:paraId="23FDD836" w14:textId="042EBDC6" w:rsidR="00171EE1" w:rsidRDefault="00171EE1" w:rsidP="00171EE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For the foregoing reasons, </w:t>
      </w:r>
      <w:r w:rsidR="00FD571B">
        <w:rPr>
          <w:rFonts w:ascii="Times New Roman" w:eastAsia="Times New Roman" w:hAnsi="Times New Roman" w:cs="Times New Roman"/>
        </w:rPr>
        <w:t xml:space="preserve">the Republic of </w:t>
      </w:r>
      <w:r>
        <w:rPr>
          <w:rFonts w:ascii="Times New Roman" w:eastAsia="Times New Roman" w:hAnsi="Times New Roman" w:cs="Times New Roman"/>
        </w:rPr>
        <w:t>A</w:t>
      </w:r>
      <w:r w:rsidR="00813613">
        <w:rPr>
          <w:rFonts w:ascii="Times New Roman" w:eastAsia="Times New Roman" w:hAnsi="Times New Roman" w:cs="Times New Roman"/>
        </w:rPr>
        <w:t>ntrano</w:t>
      </w:r>
      <w:r>
        <w:rPr>
          <w:rFonts w:ascii="Times New Roman" w:eastAsia="Times New Roman" w:hAnsi="Times New Roman" w:cs="Times New Roman"/>
        </w:rPr>
        <w:t xml:space="preserve"> respectfully requests this Court find, adjudge, and declare that:</w:t>
      </w:r>
    </w:p>
    <w:p w14:paraId="65FD727F" w14:textId="77777777" w:rsidR="00BF4332" w:rsidRDefault="00BF4332" w:rsidP="00171EE1">
      <w:pPr>
        <w:spacing w:line="360" w:lineRule="auto"/>
        <w:jc w:val="center"/>
        <w:rPr>
          <w:rFonts w:ascii="Times New Roman" w:eastAsia="Times New Roman" w:hAnsi="Times New Roman" w:cs="Times New Roman"/>
        </w:rPr>
      </w:pPr>
    </w:p>
    <w:p w14:paraId="5C5C4D6E" w14:textId="77777777" w:rsidR="00171EE1" w:rsidRDefault="00171EE1" w:rsidP="00171EE1">
      <w:pPr>
        <w:spacing w:after="240" w:line="360" w:lineRule="auto"/>
        <w:jc w:val="center"/>
        <w:rPr>
          <w:rFonts w:ascii="Times New Roman" w:eastAsia="Times New Roman" w:hAnsi="Times New Roman" w:cs="Times New Roman"/>
          <w:b/>
        </w:rPr>
      </w:pPr>
      <w:r>
        <w:rPr>
          <w:rFonts w:ascii="Times New Roman" w:eastAsia="Times New Roman" w:hAnsi="Times New Roman" w:cs="Times New Roman"/>
          <w:b/>
        </w:rPr>
        <w:t>I</w:t>
      </w:r>
    </w:p>
    <w:p w14:paraId="5C136F8B" w14:textId="34080E83" w:rsidR="00171EE1" w:rsidRPr="00295785" w:rsidRDefault="00FD571B" w:rsidP="00171EE1">
      <w:pPr>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Antrano has standing to </w:t>
      </w:r>
      <w:r w:rsidR="00295785">
        <w:rPr>
          <w:rFonts w:ascii="Times New Roman" w:eastAsia="Times New Roman" w:hAnsi="Times New Roman" w:cs="Times New Roman"/>
        </w:rPr>
        <w:t xml:space="preserve">submit the dispute concerning Remisia’s deprivation of nationality of the Sterren Forty before the Court to determine whether Remisia violated its obligations </w:t>
      </w:r>
      <w:r w:rsidR="00295785">
        <w:rPr>
          <w:rFonts w:ascii="Times New Roman" w:eastAsia="Times New Roman" w:hAnsi="Times New Roman" w:cs="Times New Roman"/>
          <w:i/>
          <w:iCs/>
        </w:rPr>
        <w:t xml:space="preserve">erga omnes partes </w:t>
      </w:r>
      <w:r w:rsidR="00295785">
        <w:rPr>
          <w:rFonts w:ascii="Times New Roman" w:eastAsia="Times New Roman" w:hAnsi="Times New Roman" w:cs="Times New Roman"/>
        </w:rPr>
        <w:t xml:space="preserve">and </w:t>
      </w:r>
      <w:r w:rsidR="00295785">
        <w:rPr>
          <w:rFonts w:ascii="Times New Roman" w:eastAsia="Times New Roman" w:hAnsi="Times New Roman" w:cs="Times New Roman"/>
          <w:i/>
          <w:iCs/>
        </w:rPr>
        <w:t>erga omnes</w:t>
      </w:r>
      <w:r w:rsidR="00295785">
        <w:rPr>
          <w:rFonts w:ascii="Times New Roman" w:eastAsia="Times New Roman" w:hAnsi="Times New Roman" w:cs="Times New Roman"/>
        </w:rPr>
        <w:t xml:space="preserve">; </w:t>
      </w:r>
    </w:p>
    <w:p w14:paraId="70AB07A0" w14:textId="77777777" w:rsidR="00171EE1" w:rsidRDefault="00171EE1" w:rsidP="00171EE1">
      <w:pPr>
        <w:spacing w:after="240" w:line="360" w:lineRule="auto"/>
        <w:jc w:val="center"/>
        <w:rPr>
          <w:rFonts w:ascii="Times New Roman" w:eastAsia="Times New Roman" w:hAnsi="Times New Roman" w:cs="Times New Roman"/>
          <w:b/>
        </w:rPr>
      </w:pPr>
      <w:r>
        <w:rPr>
          <w:rFonts w:ascii="Times New Roman" w:eastAsia="Times New Roman" w:hAnsi="Times New Roman" w:cs="Times New Roman"/>
          <w:b/>
        </w:rPr>
        <w:t>II</w:t>
      </w:r>
    </w:p>
    <w:p w14:paraId="6C50870C" w14:textId="0A61B5E4" w:rsidR="00171EE1" w:rsidRPr="00FD571B" w:rsidRDefault="00FD571B" w:rsidP="00171EE1">
      <w:pPr>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Remisia’s deprivation of nationality of the Sterren Forty, rendering them stateless, violated its</w:t>
      </w:r>
      <w:r w:rsidR="00295785">
        <w:rPr>
          <w:rFonts w:ascii="Times New Roman" w:eastAsia="Times New Roman" w:hAnsi="Times New Roman" w:cs="Times New Roman"/>
        </w:rPr>
        <w:t xml:space="preserve"> </w:t>
      </w:r>
      <w:r>
        <w:rPr>
          <w:rFonts w:ascii="Times New Roman" w:eastAsia="Times New Roman" w:hAnsi="Times New Roman" w:cs="Times New Roman"/>
        </w:rPr>
        <w:t xml:space="preserve">obligations under </w:t>
      </w:r>
      <w:r w:rsidR="00295785">
        <w:rPr>
          <w:rFonts w:ascii="Times New Roman" w:eastAsia="Times New Roman" w:hAnsi="Times New Roman" w:cs="Times New Roman"/>
        </w:rPr>
        <w:t xml:space="preserve">Articles 8 and 9 of </w:t>
      </w:r>
      <w:r>
        <w:rPr>
          <w:rFonts w:ascii="Times New Roman" w:eastAsia="Times New Roman" w:hAnsi="Times New Roman" w:cs="Times New Roman"/>
        </w:rPr>
        <w:t xml:space="preserve">the </w:t>
      </w:r>
      <w:r w:rsidR="00295785">
        <w:rPr>
          <w:rFonts w:ascii="Times New Roman" w:eastAsia="Times New Roman" w:hAnsi="Times New Roman" w:cs="Times New Roman"/>
          <w:i/>
          <w:iCs/>
        </w:rPr>
        <w:t xml:space="preserve">Convention on the Reduction of Statelessness </w:t>
      </w:r>
      <w:r w:rsidR="00295785">
        <w:rPr>
          <w:rFonts w:ascii="Times New Roman" w:eastAsia="Times New Roman" w:hAnsi="Times New Roman" w:cs="Times New Roman"/>
        </w:rPr>
        <w:t xml:space="preserve">and </w:t>
      </w:r>
      <w:r>
        <w:rPr>
          <w:rFonts w:ascii="Times New Roman" w:eastAsia="Times New Roman" w:hAnsi="Times New Roman" w:cs="Times New Roman"/>
        </w:rPr>
        <w:t xml:space="preserve">the </w:t>
      </w:r>
      <w:r w:rsidR="00295785">
        <w:rPr>
          <w:rFonts w:ascii="Times New Roman" w:eastAsia="Times New Roman" w:hAnsi="Times New Roman" w:cs="Times New Roman"/>
        </w:rPr>
        <w:t xml:space="preserve">customary </w:t>
      </w:r>
      <w:r>
        <w:rPr>
          <w:rFonts w:ascii="Times New Roman" w:eastAsia="Times New Roman" w:hAnsi="Times New Roman" w:cs="Times New Roman"/>
        </w:rPr>
        <w:t>international prohibition of arbitrary deprivation of nationality.</w:t>
      </w:r>
    </w:p>
    <w:p w14:paraId="6859D65C" w14:textId="77777777" w:rsidR="00171EE1" w:rsidRDefault="00171EE1" w:rsidP="00171EE1">
      <w:pPr>
        <w:spacing w:after="240" w:line="360" w:lineRule="auto"/>
        <w:jc w:val="center"/>
        <w:rPr>
          <w:rFonts w:ascii="Times New Roman" w:eastAsia="Times New Roman" w:hAnsi="Times New Roman" w:cs="Times New Roman"/>
          <w:b/>
        </w:rPr>
      </w:pPr>
      <w:r>
        <w:rPr>
          <w:rFonts w:ascii="Times New Roman" w:eastAsia="Times New Roman" w:hAnsi="Times New Roman" w:cs="Times New Roman"/>
          <w:b/>
        </w:rPr>
        <w:t>III</w:t>
      </w:r>
    </w:p>
    <w:p w14:paraId="59818321" w14:textId="4947233B" w:rsidR="00171EE1" w:rsidRDefault="00BF4332" w:rsidP="00BF4332">
      <w:pPr>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Remisia did not have the right to exercise consular protection over Ms. Saki Shaw and Antrano fulfilled its </w:t>
      </w:r>
      <w:r w:rsidR="00303A4E">
        <w:rPr>
          <w:rFonts w:ascii="Times New Roman" w:eastAsia="Times New Roman" w:hAnsi="Times New Roman" w:cs="Times New Roman"/>
          <w:i/>
          <w:iCs/>
        </w:rPr>
        <w:t>VCCR</w:t>
      </w:r>
      <w:r>
        <w:rPr>
          <w:rFonts w:ascii="Times New Roman" w:eastAsia="Times New Roman" w:hAnsi="Times New Roman" w:cs="Times New Roman"/>
        </w:rPr>
        <w:t xml:space="preserve"> obligations to provide consular access to Remisian nationals. </w:t>
      </w:r>
    </w:p>
    <w:p w14:paraId="58905E8E" w14:textId="77777777" w:rsidR="00171EE1" w:rsidRDefault="00171EE1" w:rsidP="00171EE1">
      <w:pPr>
        <w:spacing w:after="240" w:line="360" w:lineRule="auto"/>
        <w:jc w:val="center"/>
        <w:rPr>
          <w:rFonts w:ascii="Times New Roman" w:eastAsia="Times New Roman" w:hAnsi="Times New Roman" w:cs="Times New Roman"/>
          <w:b/>
        </w:rPr>
      </w:pPr>
      <w:r>
        <w:rPr>
          <w:rFonts w:ascii="Times New Roman" w:eastAsia="Times New Roman" w:hAnsi="Times New Roman" w:cs="Times New Roman"/>
          <w:b/>
        </w:rPr>
        <w:t>IV</w:t>
      </w:r>
    </w:p>
    <w:p w14:paraId="4C85755A" w14:textId="538C06DD" w:rsidR="00BF4332" w:rsidRDefault="00BF4332" w:rsidP="00BF4332">
      <w:pPr>
        <w:spacing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Security Council Resolution 99997 was a binding decision by the Security Council to establish an inspection mission in Remisia. Remisia breached its Charter and Treaty obligations by refusing to facilitate Dr. Toulous Malex’s entry into the country. </w:t>
      </w:r>
    </w:p>
    <w:p w14:paraId="3588580F" w14:textId="55C39DB1" w:rsidR="00171EE1" w:rsidRDefault="00171EE1" w:rsidP="00171EE1">
      <w:pPr>
        <w:spacing w:after="240" w:line="360" w:lineRule="auto"/>
        <w:jc w:val="center"/>
        <w:rPr>
          <w:rFonts w:ascii="Times New Roman" w:eastAsia="Times New Roman" w:hAnsi="Times New Roman" w:cs="Times New Roman"/>
        </w:rPr>
      </w:pPr>
    </w:p>
    <w:p w14:paraId="1EC19EFE" w14:textId="77777777" w:rsidR="00993AAF" w:rsidRPr="00171EE1" w:rsidRDefault="00993AAF" w:rsidP="00993AAF">
      <w:pPr>
        <w:spacing w:line="360" w:lineRule="auto"/>
        <w:jc w:val="center"/>
        <w:rPr>
          <w:rFonts w:ascii="Times New Roman" w:eastAsia="Times New Roman" w:hAnsi="Times New Roman" w:cs="Times New Roman"/>
        </w:rPr>
      </w:pPr>
    </w:p>
    <w:p w14:paraId="7E27163B" w14:textId="77777777" w:rsidR="00993AAF" w:rsidRPr="00993AAF" w:rsidRDefault="00993AAF" w:rsidP="00572C2C">
      <w:pPr>
        <w:pStyle w:val="BodyText"/>
        <w:spacing w:line="360" w:lineRule="auto"/>
        <w:jc w:val="both"/>
        <w:rPr>
          <w:rFonts w:ascii="Times New Roman" w:hAnsi="Times New Roman" w:cs="Times New Roman"/>
          <w:lang w:val="en-CA"/>
        </w:rPr>
      </w:pPr>
    </w:p>
    <w:p w14:paraId="38302968" w14:textId="77777777" w:rsidR="003121FF" w:rsidRPr="0020093C" w:rsidRDefault="003121FF" w:rsidP="00695FB7">
      <w:pPr>
        <w:rPr>
          <w:b/>
          <w:bCs/>
          <w:lang w:val="en-CA"/>
        </w:rPr>
      </w:pPr>
    </w:p>
    <w:sectPr w:rsidR="003121FF" w:rsidRPr="0020093C" w:rsidSect="00756C22">
      <w:headerReference w:type="even" r:id="rId13"/>
      <w:headerReference w:type="default" r:id="rId14"/>
      <w:footerReference w:type="default" r:id="rId15"/>
      <w:headerReference w:type="first" r:id="rId16"/>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7AE0" w14:textId="77777777" w:rsidR="00AA7737" w:rsidRDefault="00AA7737" w:rsidP="008F299C">
      <w:r>
        <w:separator/>
      </w:r>
    </w:p>
  </w:endnote>
  <w:endnote w:type="continuationSeparator" w:id="0">
    <w:p w14:paraId="1DE0520F" w14:textId="77777777" w:rsidR="00AA7737" w:rsidRDefault="00AA7737" w:rsidP="008F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King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ings Caslon Display Typo">
    <w:altName w:val="Corbel"/>
    <w:panose1 w:val="020B0604020202020204"/>
    <w:charset w:val="00"/>
    <w:family w:val="auto"/>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Body)">
    <w:altName w:val="Calibri"/>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8508451"/>
      <w:docPartObj>
        <w:docPartGallery w:val="Page Numbers (Top of Page)"/>
        <w:docPartUnique/>
      </w:docPartObj>
    </w:sdtPr>
    <w:sdtEndPr>
      <w:rPr>
        <w:rStyle w:val="DefaultParagraphFont"/>
      </w:rPr>
    </w:sdtEndPr>
    <w:sdtContent>
      <w:p w14:paraId="18354DDA" w14:textId="77777777" w:rsidR="00967840" w:rsidRPr="002537EE" w:rsidRDefault="00967840" w:rsidP="00891CBB">
        <w:pPr>
          <w:pStyle w:val="Header"/>
          <w:framePr w:wrap="none" w:vAnchor="text" w:hAnchor="margin" w:xAlign="right" w:y="1"/>
        </w:pPr>
        <w:r w:rsidRPr="008671C5">
          <w:rPr>
            <w:rStyle w:val="PageNumber"/>
            <w:rFonts w:ascii="Times New Roman" w:hAnsi="Times New Roman" w:cs="Times New Roman"/>
          </w:rPr>
          <w:fldChar w:fldCharType="begin"/>
        </w:r>
        <w:r w:rsidRPr="008671C5">
          <w:rPr>
            <w:rStyle w:val="PageNumber"/>
            <w:rFonts w:ascii="Times New Roman" w:hAnsi="Times New Roman" w:cs="Times New Roman"/>
          </w:rPr>
          <w:instrText xml:space="preserve"> PAGE </w:instrText>
        </w:r>
        <w:r w:rsidRPr="008671C5">
          <w:rPr>
            <w:rStyle w:val="PageNumber"/>
            <w:rFonts w:ascii="Times New Roman" w:hAnsi="Times New Roman" w:cs="Times New Roman"/>
          </w:rPr>
          <w:fldChar w:fldCharType="separate"/>
        </w:r>
        <w:r>
          <w:rPr>
            <w:rStyle w:val="PageNumber"/>
            <w:rFonts w:ascii="Times New Roman" w:hAnsi="Times New Roman" w:cs="Times New Roman"/>
          </w:rPr>
          <w:t>ii</w:t>
        </w:r>
        <w:r w:rsidRPr="008671C5">
          <w:rPr>
            <w:rStyle w:val="PageNumber"/>
            <w:rFonts w:ascii="Times New Roman" w:hAnsi="Times New Roman" w:cs="Times New Roman"/>
          </w:rPr>
          <w:fldChar w:fldCharType="end"/>
        </w:r>
      </w:p>
    </w:sdtContent>
  </w:sdt>
  <w:p w14:paraId="4FF86994" w14:textId="77777777" w:rsidR="00967840" w:rsidRPr="00891CBB" w:rsidRDefault="00967840" w:rsidP="00891CBB">
    <w:pPr>
      <w:pStyle w:val="Header"/>
      <w:ind w:right="360"/>
      <w:rPr>
        <w:lang w:val="en-CA"/>
      </w:rPr>
    </w:pPr>
  </w:p>
  <w:p w14:paraId="07F73440" w14:textId="77777777" w:rsidR="00967840" w:rsidRDefault="00967840" w:rsidP="00891CB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317280"/>
      <w:docPartObj>
        <w:docPartGallery w:val="Page Numbers (Top of Page)"/>
        <w:docPartUnique/>
      </w:docPartObj>
    </w:sdtPr>
    <w:sdtEndPr>
      <w:rPr>
        <w:rStyle w:val="DefaultParagraphFont"/>
      </w:rPr>
    </w:sdtEndPr>
    <w:sdtContent>
      <w:p w14:paraId="41D29E07" w14:textId="77777777" w:rsidR="00891CBB" w:rsidRPr="002537EE" w:rsidRDefault="00891CBB" w:rsidP="00891CBB">
        <w:pPr>
          <w:pStyle w:val="Header"/>
          <w:framePr w:wrap="none" w:vAnchor="text" w:hAnchor="margin" w:xAlign="right" w:y="1"/>
        </w:pPr>
        <w:r w:rsidRPr="008671C5">
          <w:rPr>
            <w:rStyle w:val="PageNumber"/>
            <w:rFonts w:ascii="Times New Roman" w:hAnsi="Times New Roman" w:cs="Times New Roman"/>
          </w:rPr>
          <w:fldChar w:fldCharType="begin"/>
        </w:r>
        <w:r w:rsidRPr="008671C5">
          <w:rPr>
            <w:rStyle w:val="PageNumber"/>
            <w:rFonts w:ascii="Times New Roman" w:hAnsi="Times New Roman" w:cs="Times New Roman"/>
          </w:rPr>
          <w:instrText xml:space="preserve"> PAGE </w:instrText>
        </w:r>
        <w:r w:rsidRPr="008671C5">
          <w:rPr>
            <w:rStyle w:val="PageNumber"/>
            <w:rFonts w:ascii="Times New Roman" w:hAnsi="Times New Roman" w:cs="Times New Roman"/>
          </w:rPr>
          <w:fldChar w:fldCharType="separate"/>
        </w:r>
        <w:r>
          <w:rPr>
            <w:rStyle w:val="PageNumber"/>
            <w:rFonts w:ascii="Times New Roman" w:hAnsi="Times New Roman" w:cs="Times New Roman"/>
          </w:rPr>
          <w:t>ii</w:t>
        </w:r>
        <w:r w:rsidRPr="008671C5">
          <w:rPr>
            <w:rStyle w:val="PageNumber"/>
            <w:rFonts w:ascii="Times New Roman" w:hAnsi="Times New Roman" w:cs="Times New Roman"/>
          </w:rPr>
          <w:fldChar w:fldCharType="end"/>
        </w:r>
      </w:p>
    </w:sdtContent>
  </w:sdt>
  <w:p w14:paraId="48053741" w14:textId="77777777" w:rsidR="00891CBB" w:rsidRPr="00891CBB" w:rsidRDefault="00891CBB" w:rsidP="00891CBB">
    <w:pPr>
      <w:pStyle w:val="Header"/>
      <w:ind w:right="360"/>
      <w:rPr>
        <w:lang w:val="en-CA"/>
      </w:rPr>
    </w:pPr>
  </w:p>
  <w:p w14:paraId="3CDEDE73" w14:textId="77777777" w:rsidR="00891CBB" w:rsidRDefault="00891CBB" w:rsidP="00891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BBDA" w14:textId="77777777" w:rsidR="00AA7737" w:rsidRDefault="00AA7737" w:rsidP="008F299C">
      <w:r>
        <w:separator/>
      </w:r>
    </w:p>
  </w:footnote>
  <w:footnote w:type="continuationSeparator" w:id="0">
    <w:p w14:paraId="026CAE5B" w14:textId="77777777" w:rsidR="00AA7737" w:rsidRDefault="00AA7737" w:rsidP="008F299C">
      <w:r>
        <w:continuationSeparator/>
      </w:r>
    </w:p>
  </w:footnote>
  <w:footnote w:id="1">
    <w:p w14:paraId="59AF9F55"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Questions relating to the Obligation to Prosecute or Extradite</w:t>
      </w:r>
      <w:r w:rsidRPr="000B4BEB">
        <w:t xml:space="preserve"> </w:t>
      </w:r>
      <w:r w:rsidRPr="000B4BEB">
        <w:rPr>
          <w:i/>
          <w:iCs/>
        </w:rPr>
        <w:t>(Belgium/Senegal)</w:t>
      </w:r>
      <w:r w:rsidRPr="000B4BEB">
        <w:t>, [2012] ICJ Rep 422, ¶68-69 [</w:t>
      </w:r>
      <w:r w:rsidRPr="000B4BEB">
        <w:rPr>
          <w:i/>
          <w:iCs/>
        </w:rPr>
        <w:t>Belgium</w:t>
      </w:r>
      <w:r w:rsidRPr="000B4BEB">
        <w:t xml:space="preserve">]; </w:t>
      </w:r>
      <w:r w:rsidRPr="000B4BEB">
        <w:rPr>
          <w:i/>
          <w:iCs/>
        </w:rPr>
        <w:t>Application of the Convention on the Prevention and Punishment of the Crime of Genocide (The Gambia/Myanmar)</w:t>
      </w:r>
      <w:r w:rsidRPr="000B4BEB">
        <w:t>, [2022] ICJ Rep 477, ¶112 [</w:t>
      </w:r>
      <w:r w:rsidRPr="000B4BEB">
        <w:rPr>
          <w:i/>
          <w:iCs/>
        </w:rPr>
        <w:t>The Gambia</w:t>
      </w:r>
      <w:r w:rsidRPr="000B4BEB">
        <w:t xml:space="preserve">]; </w:t>
      </w:r>
      <w:r w:rsidRPr="000B4BEB">
        <w:rPr>
          <w:i/>
          <w:iCs/>
        </w:rPr>
        <w:t>Application of the Convention against Torture and Other Cruel, Inhuman or Degrading Treatment or Punishment (Canada and the Netherlands/Syrian Arab Republic)</w:t>
      </w:r>
      <w:r w:rsidRPr="000B4BEB">
        <w:t>, [2023] ICJ Rep 2, ¶50 [</w:t>
      </w:r>
      <w:r w:rsidRPr="000B4BEB">
        <w:rPr>
          <w:i/>
          <w:iCs/>
        </w:rPr>
        <w:t>Canada</w:t>
      </w:r>
      <w:r w:rsidRPr="000B4BEB">
        <w:t xml:space="preserve">]; </w:t>
      </w:r>
      <w:r w:rsidRPr="000B4BEB">
        <w:rPr>
          <w:i/>
          <w:iCs/>
        </w:rPr>
        <w:t>Barcelona Traction, Light and Power Company, Limited (Belgium/Spain)</w:t>
      </w:r>
      <w:r w:rsidRPr="000B4BEB">
        <w:t>, [1970] ICJ Rep 3, ¶33 [</w:t>
      </w:r>
      <w:r w:rsidRPr="000B4BEB">
        <w:rPr>
          <w:i/>
          <w:iCs/>
        </w:rPr>
        <w:t>Barcelona Traction</w:t>
      </w:r>
      <w:r w:rsidRPr="000B4BEB">
        <w:t>].</w:t>
      </w:r>
    </w:p>
  </w:footnote>
  <w:footnote w:id="2">
    <w:p w14:paraId="418054EC"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Belgium</w:t>
      </w:r>
      <w:r w:rsidRPr="000B4BEB">
        <w:t xml:space="preserve">, ¶69; </w:t>
      </w:r>
      <w:r w:rsidRPr="000B4BEB">
        <w:rPr>
          <w:i/>
          <w:iCs/>
        </w:rPr>
        <w:t>The Gambia</w:t>
      </w:r>
      <w:r w:rsidRPr="000B4BEB">
        <w:t>, ¶108.</w:t>
      </w:r>
    </w:p>
  </w:footnote>
  <w:footnote w:id="3">
    <w:p w14:paraId="7346C1CA" w14:textId="6890012D" w:rsidR="00D50212" w:rsidRPr="000B4BEB" w:rsidRDefault="00D50212" w:rsidP="00D50212">
      <w:pPr>
        <w:pStyle w:val="FootnoteText"/>
      </w:pPr>
      <w:r w:rsidRPr="000B4BEB">
        <w:rPr>
          <w:rStyle w:val="FootnoteReference"/>
          <w:rFonts w:eastAsiaTheme="majorEastAsia"/>
        </w:rPr>
        <w:footnoteRef/>
      </w:r>
      <w:r w:rsidRPr="000B4BEB">
        <w:t xml:space="preserve"> Compromis, ¶34; </w:t>
      </w:r>
      <w:r w:rsidRPr="000B4BEB">
        <w:rPr>
          <w:i/>
          <w:iCs/>
        </w:rPr>
        <w:t>Belgium</w:t>
      </w:r>
      <w:r w:rsidRPr="000B4BEB">
        <w:t xml:space="preserve">, ¶69; </w:t>
      </w:r>
      <w:r w:rsidRPr="000B4BEB">
        <w:rPr>
          <w:i/>
          <w:iCs/>
        </w:rPr>
        <w:t>The Gambia</w:t>
      </w:r>
      <w:r w:rsidRPr="000B4BEB">
        <w:t>, ¶108</w:t>
      </w:r>
      <w:r w:rsidR="00A07B61">
        <w:t>;</w:t>
      </w:r>
      <w:r w:rsidRPr="000B4BEB">
        <w:t xml:space="preserve"> Maria Jose Recalde-Vela, “Access to Redress for Stateless Persons Under International Law: Challenges and Opportunities” (2019) 24:2 TilburgLRev, 183 [Recalde-Vela].</w:t>
      </w:r>
    </w:p>
  </w:footnote>
  <w:footnote w:id="4">
    <w:p w14:paraId="7C855D56"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Convention on the Reduction of Statelessness</w:t>
      </w:r>
      <w:r w:rsidRPr="000B4BEB">
        <w:t>, 1961, 989 U.N.T.S 175, Arts.8-9 [</w:t>
      </w:r>
      <w:r w:rsidRPr="000B4BEB">
        <w:rPr>
          <w:i/>
          <w:iCs/>
        </w:rPr>
        <w:t>CRS</w:t>
      </w:r>
      <w:r w:rsidRPr="000B4BEB">
        <w:t>].</w:t>
      </w:r>
    </w:p>
  </w:footnote>
  <w:footnote w:id="5">
    <w:p w14:paraId="235AAF4B"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Belgium</w:t>
      </w:r>
      <w:r w:rsidRPr="000B4BEB">
        <w:t xml:space="preserve">, ¶68-69; </w:t>
      </w:r>
      <w:r w:rsidRPr="000B4BEB">
        <w:rPr>
          <w:i/>
          <w:iCs/>
        </w:rPr>
        <w:t>The Gambia</w:t>
      </w:r>
      <w:r w:rsidRPr="000B4BEB">
        <w:t xml:space="preserve">, ¶112; </w:t>
      </w:r>
      <w:r w:rsidRPr="000B4BEB">
        <w:rPr>
          <w:i/>
          <w:iCs/>
        </w:rPr>
        <w:t>Canada</w:t>
      </w:r>
      <w:r w:rsidRPr="000B4BEB">
        <w:t xml:space="preserve">, ¶¶50-51. See International Law Commission (“ILC”), </w:t>
      </w:r>
      <w:r w:rsidRPr="000B4BEB">
        <w:rPr>
          <w:i/>
          <w:iCs/>
        </w:rPr>
        <w:t>Articles on Responsibility of States for Internationally Wrongful Acts</w:t>
      </w:r>
      <w:r w:rsidRPr="000B4BEB">
        <w:t>, A/56/49 (2001), Art.48(1)(a) [</w:t>
      </w:r>
      <w:r w:rsidRPr="000B4BEB">
        <w:rPr>
          <w:i/>
          <w:iCs/>
        </w:rPr>
        <w:t>ARSIWA</w:t>
      </w:r>
      <w:r w:rsidRPr="000B4BEB">
        <w:t xml:space="preserve">]; ILC, </w:t>
      </w:r>
      <w:r w:rsidRPr="000B4BEB">
        <w:rPr>
          <w:i/>
          <w:iCs/>
        </w:rPr>
        <w:t>Draft Articles on Responsibility of States for Internationally Wrongful Acts</w:t>
      </w:r>
      <w:r w:rsidRPr="000B4BEB">
        <w:t>, with commentaries (2001), ILC Yearbook, Vol.II(2), 126 [</w:t>
      </w:r>
      <w:r w:rsidRPr="000B4BEB">
        <w:rPr>
          <w:i/>
          <w:iCs/>
        </w:rPr>
        <w:t xml:space="preserve">ARSIWA </w:t>
      </w:r>
      <w:r w:rsidRPr="000B4BEB">
        <w:t xml:space="preserve">Commentaries]; Institut de Droit International, Resolution: Obligations </w:t>
      </w:r>
      <w:r w:rsidRPr="000B4BEB">
        <w:rPr>
          <w:i/>
          <w:iCs/>
        </w:rPr>
        <w:t xml:space="preserve">Erga Omnes </w:t>
      </w:r>
      <w:r w:rsidRPr="000B4BEB">
        <w:t>in International Law, Krakow Session (2005), Art.3 [Krakow Resolution].</w:t>
      </w:r>
    </w:p>
  </w:footnote>
  <w:footnote w:id="6">
    <w:p w14:paraId="69039E3F"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Belgium</w:t>
      </w:r>
      <w:r w:rsidRPr="000B4BEB">
        <w:t xml:space="preserve">, ¶¶68-69; </w:t>
      </w:r>
      <w:r w:rsidRPr="000B4BEB">
        <w:rPr>
          <w:i/>
          <w:iCs/>
        </w:rPr>
        <w:t>The Gambia</w:t>
      </w:r>
      <w:r w:rsidRPr="000B4BEB">
        <w:t xml:space="preserve">, ¶107; </w:t>
      </w:r>
      <w:r w:rsidRPr="000B4BEB">
        <w:rPr>
          <w:i/>
          <w:iCs/>
        </w:rPr>
        <w:t>Canada</w:t>
      </w:r>
      <w:r w:rsidRPr="000B4BEB">
        <w:t>, ¶50.</w:t>
      </w:r>
    </w:p>
  </w:footnote>
  <w:footnote w:id="7">
    <w:p w14:paraId="4ADAB419" w14:textId="77777777" w:rsidR="00D50212" w:rsidRPr="000B4BEB" w:rsidRDefault="00D50212" w:rsidP="00D50212">
      <w:pPr>
        <w:pStyle w:val="FootnoteText"/>
      </w:pPr>
      <w:r w:rsidRPr="000B4BEB">
        <w:rPr>
          <w:rStyle w:val="FootnoteReference"/>
          <w:rFonts w:eastAsiaTheme="majorEastAsia"/>
        </w:rPr>
        <w:footnoteRef/>
      </w:r>
      <w:r w:rsidRPr="000B4BEB">
        <w:t xml:space="preserve"> Compromis, ¶62; </w:t>
      </w:r>
      <w:r w:rsidRPr="000B4BEB">
        <w:rPr>
          <w:i/>
          <w:iCs/>
        </w:rPr>
        <w:t xml:space="preserve">ARSIWA </w:t>
      </w:r>
      <w:r w:rsidRPr="000B4BEB">
        <w:t>Commentaries, 126.</w:t>
      </w:r>
    </w:p>
  </w:footnote>
  <w:footnote w:id="8">
    <w:p w14:paraId="433BFB6C"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Belgium</w:t>
      </w:r>
      <w:r w:rsidRPr="000B4BEB">
        <w:t xml:space="preserve">, ¶69; </w:t>
      </w:r>
      <w:r w:rsidRPr="000B4BEB">
        <w:rPr>
          <w:i/>
          <w:iCs/>
        </w:rPr>
        <w:t>The Gambia</w:t>
      </w:r>
      <w:r w:rsidRPr="000B4BEB">
        <w:t xml:space="preserve">, ¶108; Oona Hathaway, Alaa Hachem &amp; Justin Cole, “A New Tool for Enforcing Human Rights: </w:t>
      </w:r>
      <w:r w:rsidRPr="000B4BEB">
        <w:rPr>
          <w:i/>
          <w:iCs/>
        </w:rPr>
        <w:t xml:space="preserve">Erga Omnes Partes </w:t>
      </w:r>
      <w:r w:rsidRPr="000B4BEB">
        <w:t>Standing” (2024) 61:2 ColumbJTransnat’lL, 30-31 [Hathaway].</w:t>
      </w:r>
    </w:p>
  </w:footnote>
  <w:footnote w:id="9">
    <w:p w14:paraId="6F293DFD"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Vienna Convention on the Law of Treaties</w:t>
      </w:r>
      <w:r w:rsidRPr="000B4BEB">
        <w:t>, 1969, 1155 U.N.T.S. 331, Art.31-32 [</w:t>
      </w:r>
      <w:r w:rsidRPr="000B4BEB">
        <w:rPr>
          <w:i/>
          <w:iCs/>
        </w:rPr>
        <w:t>VCLT</w:t>
      </w:r>
      <w:r w:rsidRPr="000B4BEB">
        <w:t xml:space="preserve">]; UNHCR, </w:t>
      </w:r>
      <w:r w:rsidRPr="000B4BEB">
        <w:rPr>
          <w:i/>
          <w:iCs/>
        </w:rPr>
        <w:t xml:space="preserve">Preventing and Reducing Statelessness: The 1961 Convention on the Reduction of Statelessness </w:t>
      </w:r>
      <w:r w:rsidRPr="000B4BEB">
        <w:t>(2014), 2 [UNHCR Brochure].</w:t>
      </w:r>
    </w:p>
  </w:footnote>
  <w:footnote w:id="10">
    <w:p w14:paraId="1C3C185C"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ARSIWA</w:t>
      </w:r>
      <w:r w:rsidRPr="000B4BEB">
        <w:t xml:space="preserve"> Commentaries, 126.</w:t>
      </w:r>
    </w:p>
  </w:footnote>
  <w:footnote w:id="11">
    <w:p w14:paraId="487F483B" w14:textId="77777777" w:rsidR="00D50212" w:rsidRPr="000B4BEB" w:rsidRDefault="00D50212" w:rsidP="00D50212">
      <w:pPr>
        <w:pStyle w:val="FootnoteText"/>
        <w:rPr>
          <w:u w:val="single"/>
        </w:rPr>
      </w:pPr>
      <w:r w:rsidRPr="000B4BEB">
        <w:rPr>
          <w:rStyle w:val="FootnoteReference"/>
          <w:rFonts w:eastAsiaTheme="majorEastAsia"/>
        </w:rPr>
        <w:footnoteRef/>
      </w:r>
      <w:r w:rsidRPr="000B4BEB">
        <w:t xml:space="preserve"> </w:t>
      </w:r>
      <w:r w:rsidRPr="000B4BEB">
        <w:rPr>
          <w:i/>
          <w:iCs/>
        </w:rPr>
        <w:t>Belgium</w:t>
      </w:r>
      <w:r w:rsidRPr="000B4BEB">
        <w:t xml:space="preserve">, ¶68; </w:t>
      </w:r>
      <w:r w:rsidRPr="000B4BEB">
        <w:rPr>
          <w:i/>
          <w:iCs/>
        </w:rPr>
        <w:t>The Gambia</w:t>
      </w:r>
      <w:r w:rsidRPr="000B4BEB">
        <w:t xml:space="preserve">, ¶¶106-107; Hathaway, 32-33; Pok Yin S. Chow, “On Obligations </w:t>
      </w:r>
      <w:r w:rsidRPr="000B4BEB">
        <w:rPr>
          <w:i/>
          <w:iCs/>
        </w:rPr>
        <w:t>Erga Omnes Partes</w:t>
      </w:r>
      <w:r w:rsidRPr="000B4BEB">
        <w:t>” (2021) 52:2 GeoJInt</w:t>
      </w:r>
      <w:r>
        <w:t>’</w:t>
      </w:r>
      <w:r w:rsidRPr="000B4BEB">
        <w:t xml:space="preserve">lL, 496 [Chow]. See also: </w:t>
      </w:r>
      <w:r w:rsidRPr="00112CFA">
        <w:rPr>
          <w:i/>
          <w:iCs/>
        </w:rPr>
        <w:t>VCLT</w:t>
      </w:r>
      <w:r>
        <w:t xml:space="preserve">, </w:t>
      </w:r>
      <w:r w:rsidRPr="00112CFA">
        <w:t>Art</w:t>
      </w:r>
      <w:r w:rsidRPr="000B4BEB">
        <w:t>.31</w:t>
      </w:r>
      <w:r>
        <w:t>.</w:t>
      </w:r>
    </w:p>
  </w:footnote>
  <w:footnote w:id="12">
    <w:p w14:paraId="5602CBDC"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Belgium</w:t>
      </w:r>
      <w:r w:rsidRPr="000B4BEB">
        <w:t xml:space="preserve">, ¶68. </w:t>
      </w:r>
    </w:p>
  </w:footnote>
  <w:footnote w:id="13">
    <w:p w14:paraId="44539B40"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Belgium</w:t>
      </w:r>
      <w:r w:rsidRPr="000B4BEB">
        <w:t xml:space="preserve">, ¶68-79. </w:t>
      </w:r>
    </w:p>
  </w:footnote>
  <w:footnote w:id="14">
    <w:p w14:paraId="5677C868"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The Gambia</w:t>
      </w:r>
      <w:r w:rsidRPr="000B4BEB">
        <w:t>, ¶107.</w:t>
      </w:r>
    </w:p>
  </w:footnote>
  <w:footnote w:id="15">
    <w:p w14:paraId="4C5015AC"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The Gambia</w:t>
      </w:r>
      <w:r w:rsidRPr="000B4BEB">
        <w:t>, ¶107.</w:t>
      </w:r>
    </w:p>
  </w:footnote>
  <w:footnote w:id="16">
    <w:p w14:paraId="375C43CC"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CRS</w:t>
      </w:r>
      <w:r w:rsidRPr="000B4BEB">
        <w:t xml:space="preserve">, Preamble; </w:t>
      </w:r>
      <w:r w:rsidRPr="000B4BEB">
        <w:rPr>
          <w:i/>
          <w:iCs/>
        </w:rPr>
        <w:t>VCLT</w:t>
      </w:r>
      <w:r w:rsidRPr="000B4BEB">
        <w:t>, Art.31(2).</w:t>
      </w:r>
    </w:p>
  </w:footnote>
  <w:footnote w:id="17">
    <w:p w14:paraId="69A1BA8E" w14:textId="77777777" w:rsidR="00D50212" w:rsidRPr="000B4BEB" w:rsidRDefault="00D50212" w:rsidP="00D50212">
      <w:pPr>
        <w:pStyle w:val="FootnoteText"/>
      </w:pPr>
      <w:r w:rsidRPr="000B4BEB">
        <w:rPr>
          <w:rStyle w:val="FootnoteReference"/>
          <w:rFonts w:eastAsiaTheme="majorEastAsia"/>
        </w:rPr>
        <w:footnoteRef/>
      </w:r>
      <w:r w:rsidRPr="000B4BEB">
        <w:rPr>
          <w:i/>
          <w:iCs/>
        </w:rPr>
        <w:t xml:space="preserve"> CRS</w:t>
      </w:r>
      <w:r w:rsidRPr="000B4BEB">
        <w:t xml:space="preserve">, Introductory Note; </w:t>
      </w:r>
      <w:r w:rsidRPr="000B4BEB">
        <w:rPr>
          <w:i/>
          <w:iCs/>
        </w:rPr>
        <w:t>VCLT</w:t>
      </w:r>
      <w:r w:rsidRPr="000B4BEB">
        <w:t>, Art.31(2)</w:t>
      </w:r>
      <w:r>
        <w:t>.</w:t>
      </w:r>
    </w:p>
  </w:footnote>
  <w:footnote w:id="18">
    <w:p w14:paraId="7C7EC46E"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The Gambia</w:t>
      </w:r>
      <w:r w:rsidRPr="000B4BEB">
        <w:t>, ¶109.</w:t>
      </w:r>
    </w:p>
  </w:footnote>
  <w:footnote w:id="19">
    <w:p w14:paraId="2642B0EA" w14:textId="77777777" w:rsidR="00D50212" w:rsidRPr="000B4BEB" w:rsidRDefault="00D50212" w:rsidP="00D50212">
      <w:pPr>
        <w:pBdr>
          <w:top w:val="nil"/>
          <w:left w:val="nil"/>
          <w:bottom w:val="nil"/>
          <w:right w:val="nil"/>
          <w:between w:val="nil"/>
        </w:pBdr>
        <w:spacing w:after="120"/>
        <w:ind w:left="720" w:hanging="720"/>
        <w:rPr>
          <w:rFonts w:ascii="Times New Roman" w:eastAsia="Times New Roman" w:hAnsi="Times New Roman" w:cs="Times New Roman"/>
          <w:color w:val="000000"/>
        </w:rPr>
      </w:pPr>
      <w:r w:rsidRPr="000B4BEB">
        <w:rPr>
          <w:rFonts w:ascii="Times New Roman" w:hAnsi="Times New Roman" w:cs="Times New Roman"/>
          <w:vertAlign w:val="superscript"/>
        </w:rPr>
        <w:footnoteRef/>
      </w:r>
      <w:r w:rsidRPr="000B4BEB">
        <w:rPr>
          <w:rFonts w:ascii="Times New Roman" w:eastAsia="Times New Roman" w:hAnsi="Times New Roman" w:cs="Times New Roman"/>
          <w:color w:val="000000"/>
        </w:rPr>
        <w:t xml:space="preserve"> </w:t>
      </w:r>
      <w:r w:rsidRPr="000B4BEB">
        <w:rPr>
          <w:rFonts w:ascii="Times New Roman" w:hAnsi="Times New Roman" w:cs="Times New Roman"/>
          <w:i/>
          <w:iCs/>
        </w:rPr>
        <w:t>Belgium</w:t>
      </w:r>
      <w:r w:rsidRPr="000B4BEB">
        <w:rPr>
          <w:rFonts w:ascii="Times New Roman" w:hAnsi="Times New Roman" w:cs="Times New Roman"/>
        </w:rPr>
        <w:t xml:space="preserve">, ¶68; </w:t>
      </w:r>
      <w:r w:rsidRPr="000B4BEB">
        <w:rPr>
          <w:rFonts w:ascii="Times New Roman" w:hAnsi="Times New Roman" w:cs="Times New Roman"/>
          <w:i/>
          <w:iCs/>
        </w:rPr>
        <w:t>The Gambia</w:t>
      </w:r>
      <w:r w:rsidRPr="000B4BEB">
        <w:rPr>
          <w:rFonts w:ascii="Times New Roman" w:hAnsi="Times New Roman" w:cs="Times New Roman"/>
        </w:rPr>
        <w:t>, ¶10</w:t>
      </w:r>
      <w:r>
        <w:rPr>
          <w:rFonts w:ascii="Times New Roman" w:hAnsi="Times New Roman" w:cs="Times New Roman"/>
        </w:rPr>
        <w:t>6</w:t>
      </w:r>
      <w:r w:rsidRPr="000B4BEB">
        <w:rPr>
          <w:rFonts w:ascii="Times New Roman" w:hAnsi="Times New Roman" w:cs="Times New Roman"/>
        </w:rPr>
        <w:t>.</w:t>
      </w:r>
    </w:p>
  </w:footnote>
  <w:footnote w:id="20">
    <w:p w14:paraId="6789CBB6"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CRS</w:t>
      </w:r>
      <w:r w:rsidRPr="000B4BEB">
        <w:t>, Art.8(1).</w:t>
      </w:r>
    </w:p>
  </w:footnote>
  <w:footnote w:id="21">
    <w:p w14:paraId="2C58E2A1"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CRS</w:t>
      </w:r>
      <w:r w:rsidRPr="000B4BEB">
        <w:t>, Arts.8(2)-(3); UNHCR Guidelines, 14.</w:t>
      </w:r>
    </w:p>
  </w:footnote>
  <w:footnote w:id="22">
    <w:p w14:paraId="68FB0856"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EB14E4">
        <w:t xml:space="preserve">CCPR/C/21/Rev.1/Add.13 </w:t>
      </w:r>
      <w:r w:rsidRPr="000B4BEB">
        <w:t>(2004), 1-2.</w:t>
      </w:r>
    </w:p>
  </w:footnote>
  <w:footnote w:id="23">
    <w:p w14:paraId="017BC0E2"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Belgium</w:t>
      </w:r>
      <w:r w:rsidRPr="000B4BEB">
        <w:t xml:space="preserve">, ¶68-69; </w:t>
      </w:r>
      <w:r w:rsidRPr="000B4BEB">
        <w:rPr>
          <w:i/>
          <w:iCs/>
        </w:rPr>
        <w:t>The Gambia</w:t>
      </w:r>
      <w:r w:rsidRPr="000B4BEB">
        <w:t>, ¶112.</w:t>
      </w:r>
    </w:p>
  </w:footnote>
  <w:footnote w:id="24">
    <w:p w14:paraId="03A35853"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CRS</w:t>
      </w:r>
      <w:r w:rsidRPr="000B4BEB">
        <w:t>, Art.17.</w:t>
      </w:r>
    </w:p>
  </w:footnote>
  <w:footnote w:id="25">
    <w:p w14:paraId="2C8020CD" w14:textId="080B106F"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CRS</w:t>
      </w:r>
      <w:r w:rsidRPr="000B4BEB">
        <w:t>, Art.9</w:t>
      </w:r>
      <w:r w:rsidR="00CB6A19">
        <w:t>.</w:t>
      </w:r>
    </w:p>
  </w:footnote>
  <w:footnote w:id="26">
    <w:p w14:paraId="4A7723BD" w14:textId="77777777" w:rsidR="00D50212" w:rsidRPr="00113F37" w:rsidRDefault="00D50212" w:rsidP="00D50212">
      <w:pPr>
        <w:pStyle w:val="FootnoteText"/>
      </w:pPr>
      <w:r w:rsidRPr="000B4BEB">
        <w:rPr>
          <w:rStyle w:val="FootnoteReference"/>
          <w:rFonts w:eastAsiaTheme="majorEastAsia"/>
        </w:rPr>
        <w:footnoteRef/>
      </w:r>
      <w:r w:rsidRPr="000B4BEB">
        <w:t xml:space="preserve"> UNHCR</w:t>
      </w:r>
      <w:r>
        <w:t xml:space="preserve">, </w:t>
      </w:r>
      <w:r w:rsidRPr="000B4BEB">
        <w:t>Guidelines</w:t>
      </w:r>
      <w:r>
        <w:t xml:space="preserve"> on Statelessness No.5, HCR/GS/20/05 (2020), </w:t>
      </w:r>
      <w:r w:rsidRPr="000B4BEB">
        <w:t>¶</w:t>
      </w:r>
      <w:r>
        <w:t>78 [UNHCR Guidelines].</w:t>
      </w:r>
    </w:p>
  </w:footnote>
  <w:footnote w:id="27">
    <w:p w14:paraId="57A2E1E3" w14:textId="77777777" w:rsidR="00D50212" w:rsidRPr="000B4BEB" w:rsidRDefault="00D50212" w:rsidP="00D50212">
      <w:pPr>
        <w:pStyle w:val="FootnoteText"/>
      </w:pPr>
      <w:r w:rsidRPr="000B4BEB">
        <w:rPr>
          <w:rStyle w:val="FootnoteReference"/>
          <w:rFonts w:eastAsiaTheme="majorEastAsia"/>
        </w:rPr>
        <w:footnoteRef/>
      </w:r>
      <w:r w:rsidRPr="000B4BEB">
        <w:t xml:space="preserve"> UNHCR, </w:t>
      </w:r>
      <w:r w:rsidRPr="000B4BEB">
        <w:rPr>
          <w:i/>
          <w:iCs/>
        </w:rPr>
        <w:t xml:space="preserve">Addressing Statelessness through the Rule of Law </w:t>
      </w:r>
      <w:r w:rsidRPr="000B4BEB">
        <w:t>(2022), 5-6 [UNHCR Rule of Law]; International Federation for Human Rights</w:t>
      </w:r>
      <w:r>
        <w:t xml:space="preserve">, “Nicaragua: Serious human rights impacts caused by arbitrary deprivation of nationality” (2023); </w:t>
      </w:r>
      <w:r w:rsidRPr="000B4BEB">
        <w:t>Human Rights Watch, “Bahrain: Hundreds Stripped of Citizenship” (2018).</w:t>
      </w:r>
    </w:p>
  </w:footnote>
  <w:footnote w:id="28">
    <w:p w14:paraId="1EC0A9FE"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Barcelona Traction</w:t>
      </w:r>
      <w:r w:rsidRPr="000B4BEB">
        <w:t xml:space="preserve">, ¶33; </w:t>
      </w:r>
      <w:r w:rsidRPr="000B4BEB">
        <w:rPr>
          <w:i/>
          <w:iCs/>
        </w:rPr>
        <w:t xml:space="preserve">East Timor </w:t>
      </w:r>
      <w:r w:rsidRPr="000B4BEB">
        <w:t>(</w:t>
      </w:r>
      <w:r w:rsidRPr="000B4BEB">
        <w:rPr>
          <w:i/>
          <w:iCs/>
        </w:rPr>
        <w:t xml:space="preserve">Portugal/Australia), </w:t>
      </w:r>
      <w:r w:rsidRPr="000B4BEB">
        <w:t>[1995] ICJ Rep 90, ¶29 [</w:t>
      </w:r>
      <w:r w:rsidRPr="000B4BEB">
        <w:rPr>
          <w:i/>
          <w:iCs/>
        </w:rPr>
        <w:t>East Timor</w:t>
      </w:r>
      <w:r w:rsidRPr="000B4BEB">
        <w:t xml:space="preserve">]; </w:t>
      </w:r>
      <w:r w:rsidRPr="000B4BEB">
        <w:rPr>
          <w:i/>
          <w:iCs/>
        </w:rPr>
        <w:t>Armed Activities on the Territory of the Congo (Democratic Republic of the Congo/Rwanda)</w:t>
      </w:r>
      <w:r w:rsidRPr="000B4BEB">
        <w:t xml:space="preserve">, [2006] ICJ Rep 6, ¶¶64-65; </w:t>
      </w:r>
      <w:r w:rsidRPr="000B4BEB">
        <w:rPr>
          <w:i/>
          <w:iCs/>
        </w:rPr>
        <w:t xml:space="preserve">Application of the Convention on the Prevention and Punishment of the Crime of Genocide (Bosnia and Herzegovina/Serbia and Montenegro), </w:t>
      </w:r>
      <w:r w:rsidRPr="000B4BEB">
        <w:t>[1996] ICJ Rep 595, ¶31 [</w:t>
      </w:r>
      <w:r w:rsidRPr="000B4BEB">
        <w:rPr>
          <w:i/>
          <w:iCs/>
        </w:rPr>
        <w:t>Bosnia</w:t>
      </w:r>
      <w:r w:rsidRPr="000B4BEB">
        <w:t xml:space="preserve">]; ARSIWA, Art.48(1)(b); </w:t>
      </w:r>
      <w:r w:rsidRPr="000B4BEB">
        <w:rPr>
          <w:i/>
          <w:iCs/>
        </w:rPr>
        <w:t xml:space="preserve">ARSIWA </w:t>
      </w:r>
      <w:r w:rsidRPr="000B4BEB">
        <w:t xml:space="preserve">Commentaries, 126; Krakow Resolution, Art. 3; Yoshifumi Tanaka, “The Legal Consequences of Obligations </w:t>
      </w:r>
      <w:r w:rsidRPr="000B4BEB">
        <w:rPr>
          <w:i/>
          <w:iCs/>
        </w:rPr>
        <w:t xml:space="preserve">Erga Omnes </w:t>
      </w:r>
      <w:r w:rsidRPr="000B4BEB">
        <w:t>in International Law” (2021) 68:1 NethInt’lLRev, 23 [Tanaka].</w:t>
      </w:r>
    </w:p>
  </w:footnote>
  <w:footnote w:id="29">
    <w:p w14:paraId="604637A9"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Barcelona Traction</w:t>
      </w:r>
      <w:r w:rsidRPr="000B4BEB">
        <w:t>, ¶33.</w:t>
      </w:r>
    </w:p>
  </w:footnote>
  <w:footnote w:id="30">
    <w:p w14:paraId="00D225B1"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Barcelona Traction</w:t>
      </w:r>
      <w:r w:rsidRPr="000B4BEB">
        <w:t>, ¶33.</w:t>
      </w:r>
    </w:p>
  </w:footnote>
  <w:footnote w:id="31">
    <w:p w14:paraId="18FC9BDE"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Barcelona Traction</w:t>
      </w:r>
      <w:r w:rsidRPr="000B4BEB">
        <w:t xml:space="preserve">, ¶34; </w:t>
      </w:r>
      <w:r w:rsidRPr="000B4BEB">
        <w:rPr>
          <w:i/>
          <w:iCs/>
        </w:rPr>
        <w:t>East Timor</w:t>
      </w:r>
      <w:r w:rsidRPr="000B4BEB">
        <w:t xml:space="preserve">, ¶29, </w:t>
      </w:r>
      <w:r w:rsidRPr="000B4BEB">
        <w:rPr>
          <w:i/>
          <w:iCs/>
        </w:rPr>
        <w:t>Bosnia</w:t>
      </w:r>
      <w:r w:rsidRPr="000B4BEB">
        <w:t xml:space="preserve">, ¶31; </w:t>
      </w:r>
      <w:r w:rsidRPr="000B4BEB">
        <w:rPr>
          <w:i/>
          <w:iCs/>
        </w:rPr>
        <w:t>Legal Consequences of the Construction of a Wall in the Occupied Palestinian Territory</w:t>
      </w:r>
      <w:r w:rsidRPr="000B4BEB">
        <w:t xml:space="preserve">, Advisory Opinion, [2004] ICJ Rep 136, ¶¶155-157; Tanaka, 3. </w:t>
      </w:r>
    </w:p>
  </w:footnote>
  <w:footnote w:id="32">
    <w:p w14:paraId="2DF45FB4"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Barcelona Traction</w:t>
      </w:r>
      <w:r w:rsidRPr="000B4BEB">
        <w:t>, ¶34.</w:t>
      </w:r>
    </w:p>
  </w:footnote>
  <w:footnote w:id="33">
    <w:p w14:paraId="13084962" w14:textId="77777777" w:rsidR="00D50212" w:rsidRPr="000B4BEB" w:rsidRDefault="00D50212" w:rsidP="00D50212">
      <w:pPr>
        <w:pStyle w:val="FootnoteText"/>
      </w:pPr>
      <w:r w:rsidRPr="000B4BEB">
        <w:rPr>
          <w:rStyle w:val="FootnoteReference"/>
          <w:rFonts w:eastAsiaTheme="majorEastAsia"/>
        </w:rPr>
        <w:footnoteRef/>
      </w:r>
      <w:r w:rsidRPr="000B4BEB">
        <w:t xml:space="preserve"> Paolo Picone, “The Distinction between </w:t>
      </w:r>
      <w:r w:rsidRPr="000B4BEB">
        <w:rPr>
          <w:i/>
          <w:iCs/>
        </w:rPr>
        <w:t xml:space="preserve">Jus Cogens </w:t>
      </w:r>
      <w:r w:rsidRPr="000B4BEB">
        <w:t xml:space="preserve">and Obligations </w:t>
      </w:r>
      <w:r w:rsidRPr="000B4BEB">
        <w:rPr>
          <w:i/>
          <w:iCs/>
        </w:rPr>
        <w:t>Erga Omnes</w:t>
      </w:r>
      <w:r w:rsidRPr="000B4BEB">
        <w:t xml:space="preserve">” </w:t>
      </w:r>
      <w:r w:rsidRPr="000B4BEB">
        <w:rPr>
          <w:i/>
          <w:iCs/>
        </w:rPr>
        <w:t xml:space="preserve">The Law of Treaties Beyond the Vienna Convention </w:t>
      </w:r>
      <w:r w:rsidRPr="000B4BEB">
        <w:t>(2011), 414; Tanaka, 9.</w:t>
      </w:r>
    </w:p>
  </w:footnote>
  <w:footnote w:id="34">
    <w:p w14:paraId="3FF3ED49"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Responsibilities and obligations of States with respect to activities in the Area</w:t>
      </w:r>
      <w:r w:rsidRPr="000B4BEB">
        <w:t xml:space="preserve">, </w:t>
      </w:r>
      <w:r w:rsidRPr="000B4BEB">
        <w:rPr>
          <w:i/>
          <w:iCs/>
        </w:rPr>
        <w:t>Advisory Opinion</w:t>
      </w:r>
      <w:r w:rsidRPr="000B4BEB">
        <w:t>, [2011] ITLOS Rep 10, ¶80; Tanaka, 4-5.</w:t>
      </w:r>
    </w:p>
  </w:footnote>
  <w:footnote w:id="35">
    <w:p w14:paraId="0BE2DFF4"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Universal Declaration of Human Rights</w:t>
      </w:r>
      <w:r w:rsidRPr="000B4BEB">
        <w:t xml:space="preserve">, 1948, </w:t>
      </w:r>
      <w:r>
        <w:t xml:space="preserve">217 A (III), </w:t>
      </w:r>
      <w:r w:rsidRPr="000B4BEB">
        <w:t>Art.15.</w:t>
      </w:r>
    </w:p>
  </w:footnote>
  <w:footnote w:id="36">
    <w:p w14:paraId="19B64805"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Convention on the Rights of Persons with Disabilities</w:t>
      </w:r>
      <w:r w:rsidRPr="000B4BEB">
        <w:t xml:space="preserve">, 2007, 2515 U.N.T.S 3, Art.18; </w:t>
      </w:r>
      <w:r w:rsidRPr="000B4BEB">
        <w:rPr>
          <w:i/>
          <w:iCs/>
        </w:rPr>
        <w:t>International Covenant on Civil and Political Rights</w:t>
      </w:r>
      <w:r w:rsidRPr="000B4BEB">
        <w:t xml:space="preserve">, 1996, 999 U.N.T.S 171, Art.24(3); </w:t>
      </w:r>
      <w:r w:rsidRPr="000B4BEB">
        <w:rPr>
          <w:i/>
          <w:iCs/>
        </w:rPr>
        <w:t>Convention on the Rights of the Child</w:t>
      </w:r>
      <w:r w:rsidRPr="000B4BEB">
        <w:t xml:space="preserve">, 1989, 1577 U.N.T.S. 3, Art.7; </w:t>
      </w:r>
      <w:r w:rsidRPr="000B4BEB">
        <w:rPr>
          <w:i/>
          <w:iCs/>
        </w:rPr>
        <w:t>International Convention on the Elimination of All Forms of Racial Discrimination</w:t>
      </w:r>
      <w:r w:rsidRPr="000B4BEB">
        <w:t xml:space="preserve">, 1965, 660 U.N.T.S. 195, Art.5(d)(iii); </w:t>
      </w:r>
      <w:r w:rsidRPr="000B4BEB">
        <w:rPr>
          <w:i/>
          <w:iCs/>
        </w:rPr>
        <w:t>Convention on the Elimination of All Forms of Discrimination Against Women</w:t>
      </w:r>
      <w:r w:rsidRPr="000B4BEB">
        <w:t xml:space="preserve">, 1979, 1249 U.N.T.S 13, Art.9; </w:t>
      </w:r>
      <w:r w:rsidRPr="000B4BEB">
        <w:rPr>
          <w:i/>
          <w:iCs/>
        </w:rPr>
        <w:t>International Convention on the Protection of the Rights of All Migrant Workers and Members of their Families</w:t>
      </w:r>
      <w:r w:rsidRPr="000B4BEB">
        <w:t xml:space="preserve">, 1990, 2220 U.N.T.S 3, Art. 29; </w:t>
      </w:r>
      <w:r w:rsidRPr="000B4BEB">
        <w:rPr>
          <w:i/>
          <w:iCs/>
        </w:rPr>
        <w:t>Convention on the Nationality of Married Women</w:t>
      </w:r>
      <w:r w:rsidRPr="000B4BEB">
        <w:t>, 1957, 309 U.N.T.S 65, Arts.1-3.</w:t>
      </w:r>
    </w:p>
  </w:footnote>
  <w:footnote w:id="37">
    <w:p w14:paraId="00F59A06" w14:textId="43C9627C" w:rsidR="00D50212" w:rsidRPr="000B4BEB" w:rsidRDefault="00D50212" w:rsidP="00D50212">
      <w:pPr>
        <w:pStyle w:val="FootnoteText"/>
        <w:rPr>
          <w:u w:val="single"/>
        </w:rPr>
      </w:pPr>
      <w:r w:rsidRPr="000B4BEB">
        <w:rPr>
          <w:rStyle w:val="FootnoteReference"/>
          <w:rFonts w:eastAsiaTheme="majorEastAsia"/>
        </w:rPr>
        <w:footnoteRef/>
      </w:r>
      <w:r w:rsidRPr="000B4BEB">
        <w:t xml:space="preserve"> </w:t>
      </w:r>
      <w:r w:rsidRPr="000B4BEB">
        <w:rPr>
          <w:i/>
          <w:iCs/>
        </w:rPr>
        <w:t>American Convention on Human Rights</w:t>
      </w:r>
      <w:r w:rsidRPr="000B4BEB">
        <w:t xml:space="preserve">, 1969, 1144 U.N.T.S 123, Art.20(3); </w:t>
      </w:r>
      <w:r w:rsidRPr="000B4BEB">
        <w:rPr>
          <w:i/>
          <w:iCs/>
        </w:rPr>
        <w:t>European Convention on Nationality</w:t>
      </w:r>
      <w:r w:rsidRPr="000B4BEB">
        <w:t xml:space="preserve">, 1997, 2135 U.N.T.S 213, Art.4; </w:t>
      </w:r>
      <w:r w:rsidRPr="000B4BEB">
        <w:rPr>
          <w:i/>
          <w:iCs/>
        </w:rPr>
        <w:t>Revised Arab Charter on Human Rights</w:t>
      </w:r>
      <w:r w:rsidRPr="000B4BEB">
        <w:t xml:space="preserve">, 15 September 1994, Art.29; </w:t>
      </w:r>
      <w:r w:rsidRPr="000B4BEB">
        <w:rPr>
          <w:i/>
          <w:iCs/>
        </w:rPr>
        <w:t>African Charter on the Rights and Welfare of the Child</w:t>
      </w:r>
      <w:r w:rsidRPr="000B4BEB">
        <w:t>, 1990, Art.6</w:t>
      </w:r>
      <w:r w:rsidR="004D398C">
        <w:t>.</w:t>
      </w:r>
    </w:p>
  </w:footnote>
  <w:footnote w:id="38">
    <w:p w14:paraId="6922801D" w14:textId="77777777" w:rsidR="00D50212" w:rsidRPr="000B4BEB" w:rsidRDefault="00D50212" w:rsidP="00D50212">
      <w:pPr>
        <w:pStyle w:val="FootnoteText"/>
      </w:pPr>
      <w:r w:rsidRPr="000B4BEB">
        <w:rPr>
          <w:rStyle w:val="FootnoteReference"/>
          <w:rFonts w:eastAsiaTheme="majorEastAsia"/>
        </w:rPr>
        <w:footnoteRef/>
      </w:r>
      <w:r w:rsidRPr="000B4BEB">
        <w:t xml:space="preserve"> A/RES/50/152 (1995); A/RES/53/125 (1996); A/RES/59/34 (2004); A/RES/61/136 (2006); A/RES/67/149 (2012); A/RES/68/141 (2013).</w:t>
      </w:r>
    </w:p>
  </w:footnote>
  <w:footnote w:id="39">
    <w:p w14:paraId="6B99D19E" w14:textId="77777777" w:rsidR="00D50212" w:rsidRPr="000B4BEB" w:rsidRDefault="00D50212" w:rsidP="00D50212">
      <w:pPr>
        <w:pStyle w:val="FootnoteText"/>
      </w:pPr>
      <w:r w:rsidRPr="000B4BEB">
        <w:rPr>
          <w:rStyle w:val="FootnoteReference"/>
          <w:rFonts w:eastAsiaTheme="majorEastAsia"/>
        </w:rPr>
        <w:footnoteRef/>
      </w:r>
      <w:r w:rsidRPr="000B4BEB">
        <w:t xml:space="preserve"> A/HRC/RES/32/5 (2016); A/HRC/RES/26/14 (2014); A/HRC/RES/20/5 (2012); A/HRC/RES/20/4 (2012); A/HRC/RES/13/2 (2010); A/HRC/RES/10/13 (2009); A/HRC/RES/7/10 (2008); E/CN.4/RES/2005/45 (2005); E/CN.4/RES/1999/28 (1999); E.CN.4/RES/1998/48 (1998); E.CN.4/RES/1997/36 (1997).</w:t>
      </w:r>
    </w:p>
  </w:footnote>
  <w:footnote w:id="40">
    <w:p w14:paraId="070B9416" w14:textId="77777777" w:rsidR="00D50212" w:rsidRPr="000B4BEB" w:rsidRDefault="00D50212" w:rsidP="00D50212">
      <w:pPr>
        <w:pStyle w:val="FootnoteText"/>
      </w:pPr>
      <w:r w:rsidRPr="000B4BEB">
        <w:rPr>
          <w:rStyle w:val="FootnoteReference"/>
          <w:rFonts w:eastAsiaTheme="majorEastAsia"/>
        </w:rPr>
        <w:footnoteRef/>
      </w:r>
      <w:r w:rsidRPr="000B4BEB">
        <w:t xml:space="preserve"> CEDAW General Recommendation No. 21 (1994); </w:t>
      </w:r>
      <w:r>
        <w:t xml:space="preserve">CCPR/C/21/Rev.1/Add.9 </w:t>
      </w:r>
      <w:r w:rsidRPr="000B4BEB">
        <w:t>(1999); CERD General Recommendation XXX on Discrimination Against Non-Citizens (2002).</w:t>
      </w:r>
    </w:p>
  </w:footnote>
  <w:footnote w:id="41">
    <w:p w14:paraId="623CC2DE" w14:textId="77777777" w:rsidR="00D50212" w:rsidRPr="000B4BEB" w:rsidRDefault="00D50212" w:rsidP="00D50212">
      <w:pPr>
        <w:pStyle w:val="FootnoteText"/>
      </w:pPr>
      <w:r w:rsidRPr="000B4BEB">
        <w:rPr>
          <w:rStyle w:val="FootnoteReference"/>
          <w:rFonts w:eastAsiaTheme="majorEastAsia"/>
        </w:rPr>
        <w:footnoteRef/>
      </w:r>
      <w:r w:rsidRPr="000B4BEB">
        <w:t xml:space="preserve"> A/HRC/13/34 (2009); A/HRC/19/43 (2011); A/HRC/25/28 (2013); A/HRC/31/29 (2015).</w:t>
      </w:r>
    </w:p>
  </w:footnote>
  <w:footnote w:id="42">
    <w:p w14:paraId="500CA54D" w14:textId="77777777" w:rsidR="00D50212" w:rsidRPr="000B4BEB" w:rsidRDefault="00D50212" w:rsidP="00D50212">
      <w:pPr>
        <w:pStyle w:val="FootnoteText"/>
      </w:pPr>
      <w:r w:rsidRPr="000B4BEB">
        <w:rPr>
          <w:rStyle w:val="FootnoteReference"/>
          <w:rFonts w:eastAsiaTheme="majorEastAsia"/>
        </w:rPr>
        <w:footnoteRef/>
      </w:r>
      <w:r w:rsidRPr="000B4BEB">
        <w:t xml:space="preserve"> UNHCR General Conclusion No. 78(XLVI) (1995); UNHCR General Conclusion No. 102(LVI) (2005); UNHCR General Conclusion No. 106(LVI) (2006).</w:t>
      </w:r>
    </w:p>
  </w:footnote>
  <w:footnote w:id="43">
    <w:p w14:paraId="102E4EF8"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North Sea Continental Shelf</w:t>
      </w:r>
      <w:r w:rsidRPr="000B4BEB">
        <w:t>, [1969] ICJ Rep 3, ¶77.</w:t>
      </w:r>
    </w:p>
  </w:footnote>
  <w:footnote w:id="44">
    <w:p w14:paraId="5B984B52" w14:textId="77777777" w:rsidR="00D50212" w:rsidRPr="000B4BEB" w:rsidRDefault="00D50212" w:rsidP="00D50212">
      <w:pPr>
        <w:pStyle w:val="FootnoteText"/>
      </w:pPr>
      <w:r w:rsidRPr="000B4BEB">
        <w:rPr>
          <w:rStyle w:val="FootnoteReference"/>
          <w:rFonts w:eastAsiaTheme="majorEastAsia"/>
        </w:rPr>
        <w:footnoteRef/>
      </w:r>
      <w:r w:rsidRPr="000B4BEB">
        <w:t xml:space="preserve"> Tamás Molnár, “The Prohibition of Arbitrary Deprivation of Nationality under International Law and EU Law: New Perspectives” (2015) Hungarian YB Int’l &amp; Eur Law, 71; Mark Manly &amp; Laura Van Waas, “The Value of the Human Security Framework in Addressing Statelessness” </w:t>
      </w:r>
      <w:r w:rsidRPr="000B4BEB">
        <w:rPr>
          <w:i/>
          <w:iCs/>
        </w:rPr>
        <w:t>Human Security and Non-Citizens</w:t>
      </w:r>
      <w:r w:rsidRPr="000B4BEB">
        <w:t xml:space="preserve"> (2010), 63; UNHCR, </w:t>
      </w:r>
      <w:r w:rsidRPr="000B4BEB">
        <w:rPr>
          <w:i/>
          <w:iCs/>
        </w:rPr>
        <w:t>Expert Meeting: Interpreting the 1961 Statelessness Convention and Avoiding Statelessness resulting from Loss and Deprivation of Nationality</w:t>
      </w:r>
      <w:r w:rsidRPr="000B4BEB">
        <w:t xml:space="preserve"> (2014), 2 [Tunis Conclusions].</w:t>
      </w:r>
    </w:p>
  </w:footnote>
  <w:footnote w:id="45">
    <w:p w14:paraId="7C8E70B6" w14:textId="77777777" w:rsidR="00D50212" w:rsidRPr="000B4BEB" w:rsidRDefault="00D50212" w:rsidP="00D50212">
      <w:pPr>
        <w:pStyle w:val="FootnoteText"/>
      </w:pPr>
      <w:r w:rsidRPr="000B4BEB">
        <w:rPr>
          <w:rStyle w:val="FootnoteReference"/>
          <w:rFonts w:eastAsiaTheme="majorEastAsia"/>
        </w:rPr>
        <w:footnoteRef/>
      </w:r>
      <w:r w:rsidRPr="000B4BEB">
        <w:t xml:space="preserve"> Position of the UN Special Rapporteur on the promotion and protection of human rights and fundamental freedoms while countering terrorism on citizenship stripping in North-East Syria (February 2022), 6.</w:t>
      </w:r>
    </w:p>
  </w:footnote>
  <w:footnote w:id="46">
    <w:p w14:paraId="7F86F3D8" w14:textId="63E17ABC" w:rsidR="00D50212" w:rsidRPr="000B4BEB" w:rsidRDefault="00D50212" w:rsidP="00D50212">
      <w:pPr>
        <w:pStyle w:val="FootnoteText"/>
        <w:rPr>
          <w:u w:val="single"/>
        </w:rPr>
      </w:pPr>
      <w:r w:rsidRPr="000B4BEB">
        <w:rPr>
          <w:rStyle w:val="FootnoteReference"/>
          <w:rFonts w:eastAsiaTheme="majorEastAsia"/>
        </w:rPr>
        <w:footnoteRef/>
      </w:r>
      <w:r w:rsidRPr="000B4BEB">
        <w:rPr>
          <w:i/>
          <w:iCs/>
        </w:rPr>
        <w:t xml:space="preserve"> Partial Award (Civil Claims - Eritrea’s Claims 15, 16, 23, 37-32)</w:t>
      </w:r>
      <w:r w:rsidRPr="000B4BEB">
        <w:t xml:space="preserve">, Eritrea-Ethiopia Claims Commission, [2004], ¶¶57-58, 60; </w:t>
      </w:r>
      <w:r w:rsidRPr="000B4BEB">
        <w:rPr>
          <w:i/>
          <w:iCs/>
        </w:rPr>
        <w:t>Anudo Ochieng Anudo v. United Republic of Tanzania</w:t>
      </w:r>
      <w:r w:rsidRPr="000B4BEB">
        <w:t>, [2018] African Court on Human and Peoples’ Rights, ¶76</w:t>
      </w:r>
      <w:r>
        <w:t xml:space="preserve"> [</w:t>
      </w:r>
      <w:r>
        <w:rPr>
          <w:i/>
          <w:iCs/>
        </w:rPr>
        <w:t>Anudo</w:t>
      </w:r>
      <w:r>
        <w:t>]</w:t>
      </w:r>
      <w:r w:rsidRPr="000B4BEB">
        <w:t xml:space="preserve">; </w:t>
      </w:r>
      <w:r w:rsidRPr="000B4BEB">
        <w:rPr>
          <w:i/>
          <w:iCs/>
        </w:rPr>
        <w:t>Proposed Amendments to the Naturalization Provision of the Constitution of Costa Rica</w:t>
      </w:r>
      <w:r w:rsidRPr="000B4BEB">
        <w:t>, Advisory Opinion, [1984] Inter-American Court of Human Rights (“IACtHR”), ¶¶33-34</w:t>
      </w:r>
      <w:r w:rsidR="0066481E">
        <w:t xml:space="preserve"> [</w:t>
      </w:r>
      <w:r w:rsidR="0066481E">
        <w:rPr>
          <w:i/>
          <w:iCs/>
        </w:rPr>
        <w:t>Proposed Amendments</w:t>
      </w:r>
      <w:r w:rsidR="0066481E">
        <w:t>]</w:t>
      </w:r>
      <w:r w:rsidRPr="000B4BEB">
        <w:t xml:space="preserve">; </w:t>
      </w:r>
      <w:r w:rsidRPr="000B4BEB">
        <w:rPr>
          <w:i/>
          <w:iCs/>
        </w:rPr>
        <w:t>Case of Expelled Dominicans and Haitians v. Dominican Republic</w:t>
      </w:r>
      <w:r w:rsidRPr="000B4BEB">
        <w:t>, [2014] IACtHR, ¶253.</w:t>
      </w:r>
    </w:p>
  </w:footnote>
  <w:footnote w:id="47">
    <w:p w14:paraId="77459DBA"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Case Concerning United States Diplomatic and Consular Staff in Tehran (United States/Iran</w:t>
      </w:r>
      <w:r w:rsidRPr="000B4BEB">
        <w:t>) [1980] ICJ Rep 3, ¶91.</w:t>
      </w:r>
    </w:p>
  </w:footnote>
  <w:footnote w:id="48">
    <w:p w14:paraId="44C0D6F1" w14:textId="77777777" w:rsidR="00D50212" w:rsidRPr="000B4BEB" w:rsidRDefault="00D50212" w:rsidP="00D50212">
      <w:pPr>
        <w:pStyle w:val="FootnoteText"/>
        <w:rPr>
          <w:color w:val="000000"/>
          <w:highlight w:val="yellow"/>
        </w:rPr>
      </w:pPr>
      <w:r w:rsidRPr="000B4BEB">
        <w:rPr>
          <w:rStyle w:val="FootnoteReference"/>
          <w:rFonts w:eastAsiaTheme="majorEastAsia"/>
        </w:rPr>
        <w:footnoteRef/>
      </w:r>
      <w:r w:rsidRPr="000B4BEB">
        <w:t xml:space="preserve"> Hannah Arendt, </w:t>
      </w:r>
      <w:r w:rsidRPr="000B4BEB">
        <w:rPr>
          <w:i/>
          <w:iCs/>
        </w:rPr>
        <w:t>The Origins of Totalitarianism</w:t>
      </w:r>
      <w:r w:rsidRPr="000B4BEB">
        <w:t xml:space="preserve"> (1958), 296-297; </w:t>
      </w:r>
      <w:r w:rsidRPr="000B4BEB">
        <w:rPr>
          <w:i/>
          <w:iCs/>
        </w:rPr>
        <w:t>Trop v. Dulles</w:t>
      </w:r>
      <w:r w:rsidRPr="000B4BEB">
        <w:t>, 356 US 86 (1958), 102</w:t>
      </w:r>
      <w:r w:rsidRPr="000B4BEB">
        <w:rPr>
          <w:color w:val="000000"/>
        </w:rPr>
        <w:t xml:space="preserve">; </w:t>
      </w:r>
      <w:r w:rsidRPr="000B4BEB">
        <w:rPr>
          <w:i/>
          <w:iCs/>
          <w:color w:val="000000"/>
        </w:rPr>
        <w:t>Pham v. The Secretary of State for the Home Department</w:t>
      </w:r>
      <w:r w:rsidRPr="000B4BEB">
        <w:rPr>
          <w:color w:val="000000"/>
        </w:rPr>
        <w:t xml:space="preserve">, [2018] EWCA Civ 2064, </w:t>
      </w:r>
      <w:r w:rsidRPr="000B4BEB">
        <w:t>¶49.</w:t>
      </w:r>
    </w:p>
  </w:footnote>
  <w:footnote w:id="49">
    <w:p w14:paraId="3502A475"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Nottebohm (Liechtenstein/Guatemala)</w:t>
      </w:r>
      <w:r w:rsidRPr="000B4BEB">
        <w:t>, [1995] ICJ Rep 4, 23 [</w:t>
      </w:r>
      <w:r w:rsidRPr="000B4BEB">
        <w:rPr>
          <w:i/>
          <w:iCs/>
        </w:rPr>
        <w:t>Nottebohm</w:t>
      </w:r>
      <w:r w:rsidRPr="000B4BEB">
        <w:t>].</w:t>
      </w:r>
    </w:p>
  </w:footnote>
  <w:footnote w:id="50">
    <w:p w14:paraId="416BEC3A" w14:textId="77777777" w:rsidR="00D50212" w:rsidRPr="000B4BEB" w:rsidRDefault="00D50212" w:rsidP="00D50212">
      <w:pPr>
        <w:pStyle w:val="FootnoteText"/>
      </w:pPr>
      <w:r w:rsidRPr="000B4BEB">
        <w:rPr>
          <w:rStyle w:val="FootnoteReference"/>
          <w:rFonts w:eastAsiaTheme="majorEastAsia"/>
        </w:rPr>
        <w:footnoteRef/>
      </w:r>
      <w:r w:rsidRPr="000B4BEB">
        <w:t xml:space="preserve"> Recalde-Vela, 184-185; Kate Parlett, </w:t>
      </w:r>
      <w:r w:rsidRPr="000B4BEB">
        <w:rPr>
          <w:i/>
          <w:iCs/>
        </w:rPr>
        <w:t>The Individual in the International Legal System: Continuity and Change in International Law</w:t>
      </w:r>
      <w:r w:rsidRPr="000B4BEB">
        <w:t xml:space="preserve"> (2011), 28.</w:t>
      </w:r>
    </w:p>
  </w:footnote>
  <w:footnote w:id="51">
    <w:p w14:paraId="64525119"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Dickson Car Wheel Company v. United Mexican States</w:t>
      </w:r>
      <w:r w:rsidRPr="000B4BEB">
        <w:t xml:space="preserve">, </w:t>
      </w:r>
      <w:r>
        <w:t xml:space="preserve">[1931] </w:t>
      </w:r>
      <w:r w:rsidRPr="000B4BEB">
        <w:t>4 R.I.A.A. 669, 678.</w:t>
      </w:r>
    </w:p>
  </w:footnote>
  <w:footnote w:id="52">
    <w:p w14:paraId="44FE18BA" w14:textId="77777777" w:rsidR="00D50212" w:rsidRPr="000B4BEB" w:rsidRDefault="00D50212" w:rsidP="00D50212">
      <w:pPr>
        <w:pStyle w:val="FootnoteText"/>
      </w:pPr>
      <w:r w:rsidRPr="000B4BEB">
        <w:rPr>
          <w:rStyle w:val="FootnoteReference"/>
          <w:rFonts w:eastAsiaTheme="majorEastAsia"/>
        </w:rPr>
        <w:footnoteRef/>
      </w:r>
      <w:r w:rsidRPr="000B4BEB">
        <w:t xml:space="preserve"> UNHCR Rule of Law, 6.</w:t>
      </w:r>
    </w:p>
  </w:footnote>
  <w:footnote w:id="53">
    <w:p w14:paraId="63077FF2" w14:textId="77777777" w:rsidR="00D50212" w:rsidRPr="000B4BEB" w:rsidRDefault="00D50212" w:rsidP="00D50212">
      <w:pPr>
        <w:pStyle w:val="FootnoteText"/>
      </w:pPr>
      <w:r w:rsidRPr="000B4BEB">
        <w:rPr>
          <w:rStyle w:val="FootnoteReference"/>
          <w:rFonts w:eastAsiaTheme="majorEastAsia"/>
        </w:rPr>
        <w:footnoteRef/>
      </w:r>
      <w:r w:rsidRPr="000B4BEB">
        <w:t xml:space="preserve"> A/RES/71/1 (2016); Mirna Adjami, </w:t>
      </w:r>
      <w:r w:rsidRPr="000B4BEB">
        <w:rPr>
          <w:i/>
          <w:iCs/>
        </w:rPr>
        <w:t>Statelessness and Nationality in Côte D’Ivoire</w:t>
      </w:r>
      <w:r w:rsidRPr="000B4BEB">
        <w:t xml:space="preserve"> (2016), 2; Amal de Chickera, “Statelessness and Identity in the Rohingya Refugee Crisis” (2018), 7.</w:t>
      </w:r>
    </w:p>
  </w:footnote>
  <w:footnote w:id="54">
    <w:p w14:paraId="31C441BA"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CRS</w:t>
      </w:r>
      <w:r w:rsidRPr="000B4BEB">
        <w:t>, Art.8(1).</w:t>
      </w:r>
    </w:p>
  </w:footnote>
  <w:footnote w:id="55">
    <w:p w14:paraId="511A5C1A" w14:textId="77777777" w:rsidR="00D50212" w:rsidRPr="000B4BEB" w:rsidRDefault="00D50212" w:rsidP="00D50212">
      <w:pPr>
        <w:pStyle w:val="FootnoteText"/>
      </w:pPr>
      <w:r w:rsidRPr="000B4BEB">
        <w:rPr>
          <w:rStyle w:val="FootnoteReference"/>
          <w:rFonts w:eastAsiaTheme="majorEastAsia"/>
        </w:rPr>
        <w:footnoteRef/>
      </w:r>
      <w:r w:rsidRPr="000B4BEB">
        <w:t xml:space="preserve"> Compromis, ¶34.</w:t>
      </w:r>
    </w:p>
  </w:footnote>
  <w:footnote w:id="56">
    <w:p w14:paraId="7B4C41FC" w14:textId="77777777" w:rsidR="00D50212" w:rsidRPr="002B17BD" w:rsidRDefault="00D50212" w:rsidP="00D50212">
      <w:pPr>
        <w:pStyle w:val="FootnoteText"/>
      </w:pPr>
      <w:r w:rsidRPr="000B4BEB">
        <w:rPr>
          <w:rStyle w:val="FootnoteReference"/>
          <w:rFonts w:eastAsiaTheme="majorEastAsia"/>
        </w:rPr>
        <w:footnoteRef/>
      </w:r>
      <w:r w:rsidRPr="000B4BEB">
        <w:t xml:space="preserve"> </w:t>
      </w:r>
      <w:r>
        <w:t>ILC, Guide to Practice on Reservations to Treaties, A/66/10 (2011), 1.3 [ILC Guide].</w:t>
      </w:r>
    </w:p>
  </w:footnote>
  <w:footnote w:id="57">
    <w:p w14:paraId="378C5A02"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2B17BD">
        <w:rPr>
          <w:i/>
          <w:iCs/>
        </w:rPr>
        <w:t>Maritime Delimitation in the Black Sea (Romania/Ukraine)</w:t>
      </w:r>
      <w:r>
        <w:t xml:space="preserve">, [2009] ICJ Rep 61, </w:t>
      </w:r>
      <w:r w:rsidRPr="000B4BEB">
        <w:t>¶</w:t>
      </w:r>
      <w:r>
        <w:t>42.</w:t>
      </w:r>
    </w:p>
  </w:footnote>
  <w:footnote w:id="58">
    <w:p w14:paraId="1E65C323"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CRS</w:t>
      </w:r>
      <w:r w:rsidRPr="000B4BEB">
        <w:t>, Art.8(3)(a)(iii).</w:t>
      </w:r>
    </w:p>
  </w:footnote>
  <w:footnote w:id="59">
    <w:p w14:paraId="40FBE956"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 xml:space="preserve">UNHCR Guidelines, </w:t>
      </w:r>
      <w:r w:rsidRPr="000B4BEB">
        <w:t>¶¶</w:t>
      </w:r>
      <w:r>
        <w:t>56-62; Tunis Conclusions,</w:t>
      </w:r>
      <w:r w:rsidRPr="00905597">
        <w:t xml:space="preserve"> </w:t>
      </w:r>
      <w:r w:rsidRPr="000B4BEB">
        <w:t>¶</w:t>
      </w:r>
      <w:r>
        <w:t>68.</w:t>
      </w:r>
    </w:p>
  </w:footnote>
  <w:footnote w:id="60">
    <w:p w14:paraId="1B3356FF" w14:textId="77777777" w:rsidR="00D50212" w:rsidRPr="000B4BEB" w:rsidRDefault="00D50212" w:rsidP="00D50212">
      <w:pPr>
        <w:pStyle w:val="FootnoteText"/>
      </w:pPr>
      <w:r w:rsidRPr="000B4BEB">
        <w:rPr>
          <w:rStyle w:val="FootnoteReference"/>
          <w:rFonts w:eastAsiaTheme="majorEastAsia"/>
        </w:rPr>
        <w:footnoteRef/>
      </w:r>
      <w:r w:rsidRPr="000B4BEB">
        <w:t xml:space="preserve"> Compromis, ¶¶23-25, 28-30.</w:t>
      </w:r>
    </w:p>
  </w:footnote>
  <w:footnote w:id="61">
    <w:p w14:paraId="1B9D2472" w14:textId="77777777" w:rsidR="00D50212" w:rsidRPr="000B4BEB" w:rsidRDefault="00D50212" w:rsidP="00D50212">
      <w:pPr>
        <w:pStyle w:val="FootnoteText"/>
      </w:pPr>
      <w:r w:rsidRPr="000B4BEB">
        <w:rPr>
          <w:rStyle w:val="FootnoteReference"/>
          <w:rFonts w:eastAsiaTheme="majorEastAsia"/>
        </w:rPr>
        <w:footnoteRef/>
      </w:r>
      <w:r w:rsidRPr="000B4BEB">
        <w:t xml:space="preserve"> Compromis, ¶¶27, 32.</w:t>
      </w:r>
    </w:p>
  </w:footnote>
  <w:footnote w:id="62">
    <w:p w14:paraId="768BD88A" w14:textId="77777777" w:rsidR="00D50212" w:rsidRPr="000B4BEB" w:rsidRDefault="00D50212" w:rsidP="00D50212">
      <w:pPr>
        <w:pStyle w:val="FootnoteText"/>
      </w:pPr>
      <w:r w:rsidRPr="000B4BEB">
        <w:rPr>
          <w:rStyle w:val="FootnoteReference"/>
          <w:rFonts w:eastAsiaTheme="majorEastAsia"/>
        </w:rPr>
        <w:footnoteRef/>
      </w:r>
      <w:r w:rsidRPr="000B4BEB">
        <w:t xml:space="preserve"> Compromis, ¶¶5-6.</w:t>
      </w:r>
    </w:p>
  </w:footnote>
  <w:footnote w:id="63">
    <w:p w14:paraId="6DFF3000" w14:textId="77777777" w:rsidR="00D50212" w:rsidRPr="000B4BEB" w:rsidRDefault="00D50212" w:rsidP="00D50212">
      <w:pPr>
        <w:pStyle w:val="FootnoteText"/>
      </w:pPr>
      <w:r w:rsidRPr="000B4BEB">
        <w:rPr>
          <w:rStyle w:val="FootnoteReference"/>
          <w:rFonts w:eastAsiaTheme="majorEastAsia"/>
        </w:rPr>
        <w:footnoteRef/>
      </w:r>
      <w:r w:rsidRPr="000B4BEB">
        <w:t xml:space="preserve"> George Tridimas, “Constitutional monarchy as power sharing” (2021) 32 Constitutional Political Economy, 431.</w:t>
      </w:r>
    </w:p>
  </w:footnote>
  <w:footnote w:id="64">
    <w:p w14:paraId="71E1523A"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 xml:space="preserve">UNHCR Guidelines, </w:t>
      </w:r>
      <w:r w:rsidRPr="000B4BEB">
        <w:t>¶¶</w:t>
      </w:r>
      <w:r>
        <w:t xml:space="preserve">62-64; Tunis Conclusions, </w:t>
      </w:r>
      <w:r w:rsidRPr="000B4BEB">
        <w:t>¶</w:t>
      </w:r>
      <w:r>
        <w:t>68.</w:t>
      </w:r>
    </w:p>
  </w:footnote>
  <w:footnote w:id="65">
    <w:p w14:paraId="6C1C805E"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UNHCR Guidelines,</w:t>
      </w:r>
      <w:r w:rsidRPr="00905597">
        <w:t xml:space="preserve"> </w:t>
      </w:r>
      <w:r w:rsidRPr="000B4BEB">
        <w:t>¶</w:t>
      </w:r>
      <w:r>
        <w:t xml:space="preserve">62; Tunis Conclusions, </w:t>
      </w:r>
      <w:r w:rsidRPr="000B4BEB">
        <w:t>¶</w:t>
      </w:r>
      <w:r>
        <w:t>68.</w:t>
      </w:r>
    </w:p>
  </w:footnote>
  <w:footnote w:id="66">
    <w:p w14:paraId="1C757563"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2B17BD">
        <w:rPr>
          <w:i/>
          <w:iCs/>
        </w:rPr>
        <w:t>VCLT</w:t>
      </w:r>
      <w:r w:rsidRPr="002B17BD">
        <w:t xml:space="preserve">, Art.19; </w:t>
      </w:r>
      <w:r>
        <w:t>ILC Guide, 3.1.4-3.1.5.</w:t>
      </w:r>
    </w:p>
  </w:footnote>
  <w:footnote w:id="67">
    <w:p w14:paraId="61250558" w14:textId="77777777" w:rsidR="00D50212" w:rsidRDefault="00D50212" w:rsidP="00D50212">
      <w:pPr>
        <w:pStyle w:val="FootnoteText"/>
      </w:pPr>
      <w:r>
        <w:rPr>
          <w:rStyle w:val="FootnoteReference"/>
          <w:rFonts w:eastAsiaTheme="majorEastAsia"/>
        </w:rPr>
        <w:footnoteRef/>
      </w:r>
      <w:r>
        <w:t xml:space="preserve"> </w:t>
      </w:r>
      <w:r w:rsidRPr="002B17BD">
        <w:rPr>
          <w:i/>
          <w:iCs/>
        </w:rPr>
        <w:t>VCLT</w:t>
      </w:r>
      <w:r w:rsidRPr="002B17BD">
        <w:t xml:space="preserve">, Art.19; </w:t>
      </w:r>
      <w:r>
        <w:t>ILC Guide, 3.1.4-3.1.5.</w:t>
      </w:r>
    </w:p>
  </w:footnote>
  <w:footnote w:id="68">
    <w:p w14:paraId="644AEB84"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2B17BD">
        <w:t>ILC Guide, 4.5.1.</w:t>
      </w:r>
    </w:p>
  </w:footnote>
  <w:footnote w:id="69">
    <w:p w14:paraId="293A0C08" w14:textId="77777777" w:rsidR="00D50212" w:rsidRPr="00A530B9" w:rsidRDefault="00D50212" w:rsidP="00D50212">
      <w:pPr>
        <w:pStyle w:val="FootnoteText"/>
      </w:pPr>
      <w:r w:rsidRPr="000B4BEB">
        <w:rPr>
          <w:rStyle w:val="FootnoteReference"/>
          <w:rFonts w:eastAsiaTheme="majorEastAsia"/>
        </w:rPr>
        <w:footnoteRef/>
      </w:r>
      <w:r w:rsidRPr="000B4BEB">
        <w:t xml:space="preserve"> </w:t>
      </w:r>
      <w:r w:rsidRPr="00770380">
        <w:t>CCPR/C/21/Rev.1/Add.6</w:t>
      </w:r>
      <w:r>
        <w:t xml:space="preserve"> (1994), </w:t>
      </w:r>
      <w:r w:rsidRPr="000B4BEB">
        <w:t>¶</w:t>
      </w:r>
      <w:r>
        <w:t xml:space="preserve">18; </w:t>
      </w:r>
      <w:r>
        <w:rPr>
          <w:i/>
          <w:iCs/>
        </w:rPr>
        <w:t>Belilos v. Switzerland</w:t>
      </w:r>
      <w:r>
        <w:t xml:space="preserve">, [1998] European Court of Human Rights (“ECtHR”) Application No. 10328/83, </w:t>
      </w:r>
      <w:r w:rsidRPr="000B4BEB">
        <w:t>¶</w:t>
      </w:r>
      <w:r>
        <w:t xml:space="preserve">60; </w:t>
      </w:r>
      <w:r>
        <w:rPr>
          <w:i/>
          <w:iCs/>
        </w:rPr>
        <w:t>Weber v. Switzerland</w:t>
      </w:r>
      <w:r>
        <w:t xml:space="preserve">, [1990] ECtHR Application No. 11034/84, </w:t>
      </w:r>
      <w:r w:rsidRPr="000B4BEB">
        <w:t>¶</w:t>
      </w:r>
      <w:r>
        <w:t xml:space="preserve">38; </w:t>
      </w:r>
      <w:r>
        <w:rPr>
          <w:i/>
          <w:iCs/>
        </w:rPr>
        <w:t>Loizidou v. Turkey</w:t>
      </w:r>
      <w:r>
        <w:t xml:space="preserve">, [1995] ECtHR Application No. 15318/89, </w:t>
      </w:r>
      <w:r w:rsidRPr="000B4BEB">
        <w:t>¶</w:t>
      </w:r>
      <w:r>
        <w:t>97 [</w:t>
      </w:r>
      <w:r>
        <w:rPr>
          <w:i/>
          <w:iCs/>
        </w:rPr>
        <w:t>Loizidou</w:t>
      </w:r>
      <w:r>
        <w:t xml:space="preserve">]; </w:t>
      </w:r>
      <w:r>
        <w:rPr>
          <w:i/>
          <w:iCs/>
        </w:rPr>
        <w:t>Hilaire v. Trinidad and Tobago</w:t>
      </w:r>
      <w:r>
        <w:t xml:space="preserve">, [2001] IACtHR, </w:t>
      </w:r>
      <w:r w:rsidRPr="000B4BEB">
        <w:t>¶</w:t>
      </w:r>
      <w:r>
        <w:t>98 [</w:t>
      </w:r>
      <w:r>
        <w:rPr>
          <w:i/>
          <w:iCs/>
        </w:rPr>
        <w:t>Hilaire</w:t>
      </w:r>
      <w:r>
        <w:t>].</w:t>
      </w:r>
    </w:p>
  </w:footnote>
  <w:footnote w:id="70">
    <w:p w14:paraId="32EC6A05"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ILC Guide, 1.4.</w:t>
      </w:r>
      <w:r w:rsidRPr="000B4BEB">
        <w:t xml:space="preserve"> </w:t>
      </w:r>
    </w:p>
  </w:footnote>
  <w:footnote w:id="71">
    <w:p w14:paraId="32AC16DC" w14:textId="77777777" w:rsidR="00D50212" w:rsidRPr="000B4BEB" w:rsidRDefault="00D50212" w:rsidP="00D50212">
      <w:pPr>
        <w:pStyle w:val="FootnoteText"/>
      </w:pPr>
      <w:r w:rsidRPr="000B4BEB">
        <w:rPr>
          <w:rStyle w:val="FootnoteReference"/>
          <w:rFonts w:eastAsiaTheme="majorEastAsia"/>
        </w:rPr>
        <w:footnoteRef/>
      </w:r>
      <w:r w:rsidRPr="000B4BEB">
        <w:t xml:space="preserve"> Compromis, ¶62.</w:t>
      </w:r>
    </w:p>
  </w:footnote>
  <w:footnote w:id="72">
    <w:p w14:paraId="0EF5D5FC" w14:textId="77777777" w:rsidR="00D50212" w:rsidRPr="000B4BEB" w:rsidRDefault="00D50212" w:rsidP="00D50212">
      <w:pPr>
        <w:pStyle w:val="FootnoteText"/>
      </w:pPr>
      <w:r w:rsidRPr="000B4BEB">
        <w:rPr>
          <w:rStyle w:val="FootnoteReference"/>
          <w:rFonts w:eastAsiaTheme="majorEastAsia"/>
        </w:rPr>
        <w:footnoteRef/>
      </w:r>
      <w:r w:rsidRPr="000B4BEB">
        <w:t xml:space="preserve"> Clarifications, ¶10.</w:t>
      </w:r>
    </w:p>
  </w:footnote>
  <w:footnote w:id="73">
    <w:p w14:paraId="081ED2C8" w14:textId="77777777" w:rsidR="00D50212" w:rsidRPr="000B4BEB" w:rsidRDefault="00D50212" w:rsidP="00D50212">
      <w:pPr>
        <w:pStyle w:val="FootnoteText"/>
      </w:pPr>
      <w:r w:rsidRPr="000B4BEB">
        <w:rPr>
          <w:rStyle w:val="FootnoteReference"/>
          <w:rFonts w:eastAsiaTheme="majorEastAsia"/>
        </w:rPr>
        <w:footnoteRef/>
      </w:r>
      <w:r w:rsidRPr="000B4BEB">
        <w:t xml:space="preserve"> Clarifications, ¶10.</w:t>
      </w:r>
    </w:p>
  </w:footnote>
  <w:footnote w:id="74">
    <w:p w14:paraId="2188F8E8" w14:textId="77777777" w:rsidR="00D50212" w:rsidRPr="00FD0F01" w:rsidRDefault="00D50212" w:rsidP="00D50212">
      <w:pPr>
        <w:pStyle w:val="FootnoteText"/>
      </w:pPr>
      <w:r w:rsidRPr="000B4BEB">
        <w:rPr>
          <w:rStyle w:val="FootnoteReference"/>
          <w:rFonts w:eastAsiaTheme="majorEastAsia"/>
        </w:rPr>
        <w:footnoteRef/>
      </w:r>
      <w:r w:rsidRPr="000B4BEB">
        <w:t xml:space="preserve"> </w:t>
      </w:r>
      <w:r>
        <w:rPr>
          <w:i/>
          <w:iCs/>
        </w:rPr>
        <w:t>Loizidou</w:t>
      </w:r>
      <w:r>
        <w:t xml:space="preserve">, </w:t>
      </w:r>
      <w:r w:rsidRPr="000B4BEB">
        <w:t>¶</w:t>
      </w:r>
      <w:r>
        <w:t>95.</w:t>
      </w:r>
    </w:p>
  </w:footnote>
  <w:footnote w:id="75">
    <w:p w14:paraId="1EC1A33E" w14:textId="77777777" w:rsidR="00D50212" w:rsidRPr="00A530B9" w:rsidRDefault="00D50212" w:rsidP="00D50212">
      <w:pPr>
        <w:pStyle w:val="FootnoteText"/>
        <w:rPr>
          <w:i/>
          <w:iCs/>
        </w:rPr>
      </w:pPr>
      <w:r w:rsidRPr="000B4BEB">
        <w:rPr>
          <w:rStyle w:val="FootnoteReference"/>
          <w:rFonts w:eastAsiaTheme="majorEastAsia"/>
        </w:rPr>
        <w:footnoteRef/>
      </w:r>
      <w:r w:rsidRPr="000B4BEB">
        <w:t xml:space="preserve"> </w:t>
      </w:r>
      <w:r w:rsidRPr="00A530B9">
        <w:rPr>
          <w:i/>
          <w:iCs/>
        </w:rPr>
        <w:t>Loizidou</w:t>
      </w:r>
      <w:r>
        <w:t xml:space="preserve">, </w:t>
      </w:r>
      <w:r w:rsidRPr="000B4BEB">
        <w:t>¶</w:t>
      </w:r>
      <w:r>
        <w:t xml:space="preserve">93; </w:t>
      </w:r>
      <w:r w:rsidRPr="00A530B9">
        <w:rPr>
          <w:i/>
          <w:iCs/>
        </w:rPr>
        <w:t>Hilaire</w:t>
      </w:r>
      <w:r>
        <w:t xml:space="preserve">, </w:t>
      </w:r>
      <w:r w:rsidRPr="000B4BEB">
        <w:t>¶</w:t>
      </w:r>
      <w:r>
        <w:t>94.</w:t>
      </w:r>
    </w:p>
  </w:footnote>
  <w:footnote w:id="76">
    <w:p w14:paraId="05A03587"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C527FB">
        <w:t>Pleadings, ¶¶6-10.</w:t>
      </w:r>
    </w:p>
  </w:footnote>
  <w:footnote w:id="77">
    <w:p w14:paraId="6E3231C4"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A530B9">
        <w:rPr>
          <w:i/>
          <w:iCs/>
        </w:rPr>
        <w:t>Hilaire</w:t>
      </w:r>
      <w:r>
        <w:t xml:space="preserve">, </w:t>
      </w:r>
      <w:r w:rsidRPr="000B4BEB">
        <w:t>¶</w:t>
      </w:r>
      <w:r>
        <w:t>93.</w:t>
      </w:r>
    </w:p>
  </w:footnote>
  <w:footnote w:id="78">
    <w:p w14:paraId="16AC0F1C"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 xml:space="preserve">ILC Guide, 4.5.3(2); HRI/MC/2007/5, </w:t>
      </w:r>
      <w:r w:rsidRPr="000B4BEB">
        <w:t>¶</w:t>
      </w:r>
      <w:r>
        <w:t>7.</w:t>
      </w:r>
    </w:p>
  </w:footnote>
  <w:footnote w:id="79">
    <w:p w14:paraId="61CC7605"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0B4BEB">
        <w:rPr>
          <w:i/>
          <w:iCs/>
        </w:rPr>
        <w:t>CRS</w:t>
      </w:r>
      <w:r w:rsidRPr="000B4BEB">
        <w:t>, Art.9.</w:t>
      </w:r>
    </w:p>
  </w:footnote>
  <w:footnote w:id="80">
    <w:p w14:paraId="7BD87747"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 xml:space="preserve">UNHCR Guidelines, </w:t>
      </w:r>
      <w:r w:rsidRPr="000B4BEB">
        <w:t>¶</w:t>
      </w:r>
      <w:r>
        <w:t xml:space="preserve">78; Tunis Conclusions, </w:t>
      </w:r>
      <w:r w:rsidRPr="000B4BEB">
        <w:t>¶</w:t>
      </w:r>
      <w:r>
        <w:t>71.</w:t>
      </w:r>
    </w:p>
  </w:footnote>
  <w:footnote w:id="81">
    <w:p w14:paraId="3A64DA5A" w14:textId="77777777" w:rsidR="00D50212" w:rsidRPr="00C527FB" w:rsidRDefault="00D50212" w:rsidP="00D50212">
      <w:pPr>
        <w:pStyle w:val="FootnoteText"/>
      </w:pPr>
      <w:r w:rsidRPr="00C527FB">
        <w:rPr>
          <w:rStyle w:val="FootnoteReference"/>
          <w:rFonts w:eastAsiaTheme="majorEastAsia"/>
        </w:rPr>
        <w:footnoteRef/>
      </w:r>
      <w:r w:rsidRPr="00C527FB">
        <w:t xml:space="preserve"> Compromis, ¶30.</w:t>
      </w:r>
    </w:p>
  </w:footnote>
  <w:footnote w:id="82">
    <w:p w14:paraId="4A197667" w14:textId="77777777" w:rsidR="00D50212" w:rsidRPr="00C527FB" w:rsidRDefault="00D50212" w:rsidP="00D50212">
      <w:pPr>
        <w:pStyle w:val="FootnoteText"/>
      </w:pPr>
      <w:r w:rsidRPr="00C527FB">
        <w:rPr>
          <w:rStyle w:val="FootnoteReference"/>
          <w:rFonts w:eastAsiaTheme="majorEastAsia"/>
        </w:rPr>
        <w:footnoteRef/>
      </w:r>
      <w:r w:rsidRPr="00C527FB">
        <w:t xml:space="preserve"> Compromis, ¶31.</w:t>
      </w:r>
    </w:p>
  </w:footnote>
  <w:footnote w:id="83">
    <w:p w14:paraId="4DE020BD" w14:textId="77777777" w:rsidR="00D50212" w:rsidRPr="00C527FB" w:rsidRDefault="00D50212" w:rsidP="00D50212">
      <w:pPr>
        <w:pStyle w:val="FootnoteText"/>
      </w:pPr>
      <w:r w:rsidRPr="00C527FB">
        <w:rPr>
          <w:rStyle w:val="FootnoteReference"/>
          <w:rFonts w:eastAsiaTheme="majorEastAsia"/>
        </w:rPr>
        <w:footnoteRef/>
      </w:r>
      <w:r w:rsidRPr="00C527FB">
        <w:t xml:space="preserve"> </w:t>
      </w:r>
      <w:r>
        <w:t xml:space="preserve">CCPR/C/GC/34 (2011), </w:t>
      </w:r>
      <w:r w:rsidRPr="00C527FB">
        <w:t>¶</w:t>
      </w:r>
      <w:r>
        <w:t>11.</w:t>
      </w:r>
    </w:p>
  </w:footnote>
  <w:footnote w:id="84">
    <w:p w14:paraId="2A54CBE7" w14:textId="77777777" w:rsidR="00D50212" w:rsidRPr="00C527FB" w:rsidRDefault="00D50212" w:rsidP="00D50212">
      <w:pPr>
        <w:pStyle w:val="FootnoteText"/>
      </w:pPr>
      <w:r w:rsidRPr="00C527FB">
        <w:rPr>
          <w:rStyle w:val="FootnoteReference"/>
          <w:rFonts w:eastAsiaTheme="majorEastAsia"/>
        </w:rPr>
        <w:footnoteRef/>
      </w:r>
      <w:r w:rsidRPr="00C527FB">
        <w:t xml:space="preserve"> </w:t>
      </w:r>
      <w:r>
        <w:t xml:space="preserve">CCPR/C/GC/37 (2020), </w:t>
      </w:r>
      <w:r w:rsidRPr="00C527FB">
        <w:t>¶¶</w:t>
      </w:r>
      <w:r>
        <w:t>4-7.</w:t>
      </w:r>
    </w:p>
  </w:footnote>
  <w:footnote w:id="85">
    <w:p w14:paraId="121F1D36" w14:textId="77777777" w:rsidR="00D50212" w:rsidRPr="00C527FB" w:rsidRDefault="00D50212" w:rsidP="00D50212">
      <w:pPr>
        <w:pStyle w:val="FootnoteText"/>
      </w:pPr>
      <w:r w:rsidRPr="00C527FB">
        <w:rPr>
          <w:rStyle w:val="FootnoteReference"/>
          <w:rFonts w:eastAsiaTheme="majorEastAsia"/>
        </w:rPr>
        <w:footnoteRef/>
      </w:r>
      <w:r w:rsidRPr="00C527FB">
        <w:t xml:space="preserve"> Compromis, ¶¶</w:t>
      </w:r>
      <w:r>
        <w:t>30-31, 33-34.</w:t>
      </w:r>
    </w:p>
  </w:footnote>
  <w:footnote w:id="86">
    <w:p w14:paraId="4EB04E3F" w14:textId="77777777" w:rsidR="00D50212" w:rsidRPr="00C527FB" w:rsidRDefault="00D50212" w:rsidP="00D50212">
      <w:pPr>
        <w:pStyle w:val="FootnoteText"/>
      </w:pPr>
      <w:r w:rsidRPr="00C527FB">
        <w:rPr>
          <w:rStyle w:val="FootnoteReference"/>
          <w:rFonts w:eastAsiaTheme="majorEastAsia"/>
        </w:rPr>
        <w:footnoteRef/>
      </w:r>
      <w:r w:rsidRPr="00C527FB">
        <w:t xml:space="preserve"> Pleadings, ¶¶18-19.</w:t>
      </w:r>
    </w:p>
  </w:footnote>
  <w:footnote w:id="87">
    <w:p w14:paraId="5CB6B87A" w14:textId="77777777" w:rsidR="00D50212" w:rsidRPr="00C527FB" w:rsidRDefault="00D50212" w:rsidP="00D50212">
      <w:pPr>
        <w:pStyle w:val="FootnoteText"/>
      </w:pPr>
      <w:r w:rsidRPr="00C527FB">
        <w:rPr>
          <w:rStyle w:val="FootnoteReference"/>
          <w:rFonts w:eastAsiaTheme="majorEastAsia"/>
        </w:rPr>
        <w:footnoteRef/>
      </w:r>
      <w:r w:rsidRPr="00C527FB">
        <w:t xml:space="preserve"> </w:t>
      </w:r>
      <w:r>
        <w:t>ILC Guide, 4.4.2.</w:t>
      </w:r>
    </w:p>
  </w:footnote>
  <w:footnote w:id="88">
    <w:p w14:paraId="68D0083E" w14:textId="77777777" w:rsidR="00D50212" w:rsidRPr="000B4BEB" w:rsidRDefault="00D50212" w:rsidP="00D50212">
      <w:pPr>
        <w:pStyle w:val="FootnoteText"/>
      </w:pPr>
      <w:r w:rsidRPr="00C527FB">
        <w:rPr>
          <w:rStyle w:val="FootnoteReference"/>
          <w:rFonts w:eastAsiaTheme="majorEastAsia"/>
        </w:rPr>
        <w:footnoteRef/>
      </w:r>
      <w:r w:rsidRPr="00C527FB">
        <w:t xml:space="preserve"> Compromis, ¶8.</w:t>
      </w:r>
    </w:p>
  </w:footnote>
  <w:footnote w:id="89">
    <w:p w14:paraId="0FD93042"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 xml:space="preserve">UNHCR Guidelines, </w:t>
      </w:r>
      <w:r w:rsidRPr="000B4BEB">
        <w:t>¶</w:t>
      </w:r>
      <w:r>
        <w:t xml:space="preserve">91; Tunis Conclusions, </w:t>
      </w:r>
      <w:r w:rsidRPr="000B4BEB">
        <w:t>¶¶</w:t>
      </w:r>
      <w:r>
        <w:t xml:space="preserve">16-24; </w:t>
      </w:r>
      <w:r w:rsidRPr="000B4BEB">
        <w:t>A/HRC/13/34 (2009)</w:t>
      </w:r>
      <w:r>
        <w:t xml:space="preserve">, </w:t>
      </w:r>
      <w:r w:rsidRPr="000B4BEB">
        <w:t>¶</w:t>
      </w:r>
      <w:r>
        <w:t xml:space="preserve">25; </w:t>
      </w:r>
      <w:r w:rsidRPr="000B4BEB">
        <w:t>A/HRC/19/43 (2011); ¶</w:t>
      </w:r>
      <w:r>
        <w:t xml:space="preserve">4; </w:t>
      </w:r>
      <w:r w:rsidRPr="000B4BEB">
        <w:t>A/HRC/25/28 (2013)</w:t>
      </w:r>
      <w:r>
        <w:t xml:space="preserve">, </w:t>
      </w:r>
      <w:r w:rsidRPr="000B4BEB">
        <w:t>¶</w:t>
      </w:r>
      <w:r>
        <w:t xml:space="preserve">3; Institute on Statelessness and Inclusion, </w:t>
      </w:r>
      <w:r>
        <w:rPr>
          <w:i/>
          <w:iCs/>
        </w:rPr>
        <w:t>Principles on Deprivation of Nationality as a National Security Measure</w:t>
      </w:r>
      <w:r>
        <w:t>, Art.7.</w:t>
      </w:r>
    </w:p>
  </w:footnote>
  <w:footnote w:id="90">
    <w:p w14:paraId="1A1CFF83"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 xml:space="preserve">UNHCR Guidelines, </w:t>
      </w:r>
      <w:r w:rsidRPr="000B4BEB">
        <w:t>¶</w:t>
      </w:r>
      <w:r>
        <w:t xml:space="preserve">92; Tunis Conclusions, </w:t>
      </w:r>
      <w:r w:rsidRPr="000B4BEB">
        <w:t>¶</w:t>
      </w:r>
      <w:r>
        <w:t>16.</w:t>
      </w:r>
    </w:p>
  </w:footnote>
  <w:footnote w:id="91">
    <w:p w14:paraId="65830C85" w14:textId="77777777" w:rsidR="00D50212" w:rsidRPr="000B4BEB" w:rsidRDefault="00D50212" w:rsidP="00D50212">
      <w:pPr>
        <w:pStyle w:val="FootnoteText"/>
      </w:pPr>
      <w:r w:rsidRPr="000B4BEB">
        <w:rPr>
          <w:rStyle w:val="FootnoteReference"/>
          <w:rFonts w:eastAsiaTheme="majorEastAsia"/>
        </w:rPr>
        <w:footnoteRef/>
      </w:r>
      <w:r w:rsidRPr="000B4BEB">
        <w:t xml:space="preserve"> Compromis, ¶7.</w:t>
      </w:r>
    </w:p>
  </w:footnote>
  <w:footnote w:id="92">
    <w:p w14:paraId="6F84328A"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t xml:space="preserve">UNHCR Guidelines, </w:t>
      </w:r>
      <w:r w:rsidRPr="000B4BEB">
        <w:t>¶</w:t>
      </w:r>
      <w:r>
        <w:t xml:space="preserve">92; Tunis Conclusions, </w:t>
      </w:r>
      <w:r w:rsidRPr="000B4BEB">
        <w:t>¶</w:t>
      </w:r>
      <w:r>
        <w:t>16.</w:t>
      </w:r>
    </w:p>
  </w:footnote>
  <w:footnote w:id="93">
    <w:p w14:paraId="3D93CB5F" w14:textId="77777777" w:rsidR="00D50212" w:rsidRPr="000B4BEB" w:rsidRDefault="00D50212" w:rsidP="00D50212">
      <w:pPr>
        <w:pStyle w:val="FootnoteText"/>
      </w:pPr>
      <w:r w:rsidRPr="000B4BEB">
        <w:rPr>
          <w:rStyle w:val="FootnoteReference"/>
          <w:rFonts w:eastAsiaTheme="majorEastAsia"/>
        </w:rPr>
        <w:footnoteRef/>
      </w:r>
      <w:r w:rsidRPr="000B4BEB">
        <w:t xml:space="preserve"> Pleadings, ¶¶37-38.</w:t>
      </w:r>
    </w:p>
  </w:footnote>
  <w:footnote w:id="94">
    <w:p w14:paraId="69EDE349" w14:textId="77777777" w:rsidR="00D50212" w:rsidRPr="000B4BEB" w:rsidRDefault="00D50212" w:rsidP="00D50212">
      <w:pPr>
        <w:pStyle w:val="FootnoteText"/>
      </w:pPr>
      <w:r w:rsidRPr="000B4BEB">
        <w:rPr>
          <w:rStyle w:val="FootnoteReference"/>
          <w:rFonts w:eastAsiaTheme="majorEastAsia"/>
        </w:rPr>
        <w:footnoteRef/>
      </w:r>
      <w:r w:rsidRPr="000B4BEB">
        <w:t xml:space="preserve"> </w:t>
      </w:r>
      <w:r w:rsidRPr="00C527FB">
        <w:t>Compromis, ¶¶</w:t>
      </w:r>
      <w:r>
        <w:t xml:space="preserve">33-34; UNHCR Guidelines, </w:t>
      </w:r>
      <w:r w:rsidRPr="000B4BEB">
        <w:t>¶</w:t>
      </w:r>
      <w:r>
        <w:t xml:space="preserve">78; Tunis Conclusions, </w:t>
      </w:r>
      <w:r w:rsidRPr="000B4BEB">
        <w:t>¶</w:t>
      </w:r>
      <w:r>
        <w:t>71.</w:t>
      </w:r>
    </w:p>
  </w:footnote>
  <w:footnote w:id="95">
    <w:p w14:paraId="6635574F" w14:textId="77777777" w:rsidR="00D50212" w:rsidRPr="00697BCC" w:rsidRDefault="00D50212" w:rsidP="00D50212">
      <w:pPr>
        <w:pStyle w:val="FootnoteText"/>
        <w:rPr>
          <w:i/>
          <w:iCs/>
        </w:rPr>
      </w:pPr>
      <w:r w:rsidRPr="000B4BEB">
        <w:rPr>
          <w:rStyle w:val="FootnoteReference"/>
          <w:rFonts w:eastAsiaTheme="majorEastAsia"/>
        </w:rPr>
        <w:footnoteRef/>
      </w:r>
      <w:r w:rsidRPr="000B4BEB">
        <w:t xml:space="preserve"> </w:t>
      </w:r>
      <w:r>
        <w:t xml:space="preserve">UNHR Guidelines, </w:t>
      </w:r>
      <w:r w:rsidRPr="000B4BEB">
        <w:t>¶</w:t>
      </w:r>
      <w:r>
        <w:t xml:space="preserve">95; Tunis Conclusions, </w:t>
      </w:r>
      <w:r w:rsidRPr="000B4BEB">
        <w:t>¶</w:t>
      </w:r>
      <w:r>
        <w:t xml:space="preserve">23; A/HRC/13/34 (2009), </w:t>
      </w:r>
      <w:r w:rsidRPr="000B4BEB">
        <w:t>¶</w:t>
      </w:r>
      <w:r>
        <w:t xml:space="preserve">5; A/HRC/25/28 (2013), </w:t>
      </w:r>
      <w:r w:rsidRPr="000B4BEB">
        <w:t>¶</w:t>
      </w:r>
      <w:r>
        <w:t>4.</w:t>
      </w:r>
    </w:p>
  </w:footnote>
  <w:footnote w:id="96">
    <w:p w14:paraId="27637234" w14:textId="77777777" w:rsidR="00D50212" w:rsidRPr="00F15920" w:rsidRDefault="00D50212" w:rsidP="00D50212">
      <w:pPr>
        <w:pStyle w:val="FootnoteText"/>
      </w:pPr>
      <w:r w:rsidRPr="000B4BEB">
        <w:rPr>
          <w:rStyle w:val="FootnoteReference"/>
          <w:rFonts w:eastAsiaTheme="majorEastAsia"/>
        </w:rPr>
        <w:footnoteRef/>
      </w:r>
      <w:r>
        <w:t xml:space="preserve"> Tunis Conclusions, </w:t>
      </w:r>
      <w:r w:rsidRPr="000B4BEB">
        <w:t>¶</w:t>
      </w:r>
      <w:r>
        <w:t xml:space="preserve">21; A/HRC/13/34 (2009), </w:t>
      </w:r>
      <w:r w:rsidRPr="000B4BEB">
        <w:t>¶</w:t>
      </w:r>
      <w:r>
        <w:t xml:space="preserve">28; A/HRC/25/28 (2013), </w:t>
      </w:r>
      <w:r w:rsidRPr="000B4BEB">
        <w:t>¶</w:t>
      </w:r>
      <w:r>
        <w:t xml:space="preserve">4; </w:t>
      </w:r>
      <w:r w:rsidRPr="00F15920">
        <w:rPr>
          <w:color w:val="000000"/>
        </w:rPr>
        <w:t>Anudo</w:t>
      </w:r>
      <w:r>
        <w:rPr>
          <w:color w:val="000000"/>
        </w:rPr>
        <w:t xml:space="preserve">, </w:t>
      </w:r>
      <w:r w:rsidRPr="000B4BEB">
        <w:t>¶</w:t>
      </w:r>
      <w:r>
        <w:t xml:space="preserve">79; </w:t>
      </w:r>
      <w:r w:rsidRPr="00F15920">
        <w:rPr>
          <w:i/>
          <w:iCs/>
        </w:rPr>
        <w:t xml:space="preserve">Janko </w:t>
      </w:r>
      <w:r w:rsidRPr="00F15920">
        <w:rPr>
          <w:i/>
          <w:iCs/>
          <w:color w:val="000000"/>
        </w:rPr>
        <w:t>Rottmann v. Freistaat Bayern</w:t>
      </w:r>
      <w:r>
        <w:rPr>
          <w:color w:val="000000"/>
        </w:rPr>
        <w:t xml:space="preserve">, [2010] European Court </w:t>
      </w:r>
      <w:r w:rsidRPr="00F15920">
        <w:rPr>
          <w:color w:val="000000"/>
        </w:rPr>
        <w:t>Reports I-01449</w:t>
      </w:r>
      <w:r>
        <w:rPr>
          <w:color w:val="000000"/>
        </w:rPr>
        <w:t xml:space="preserve">, </w:t>
      </w:r>
      <w:r w:rsidRPr="000B4BEB">
        <w:t>¶</w:t>
      </w:r>
      <w:r>
        <w:t>56.</w:t>
      </w:r>
    </w:p>
  </w:footnote>
  <w:footnote w:id="97">
    <w:p w14:paraId="2D20FC13" w14:textId="77777777" w:rsidR="00D50212" w:rsidRPr="00645AC7" w:rsidRDefault="00D50212" w:rsidP="00D50212">
      <w:pPr>
        <w:pStyle w:val="FootnoteText"/>
      </w:pPr>
      <w:r w:rsidRPr="000B4BEB">
        <w:rPr>
          <w:rStyle w:val="FootnoteReference"/>
          <w:rFonts w:eastAsiaTheme="majorEastAsia"/>
        </w:rPr>
        <w:footnoteRef/>
      </w:r>
      <w:r w:rsidRPr="000B4BEB">
        <w:t xml:space="preserve"> Compromis, ¶34</w:t>
      </w:r>
      <w:r>
        <w:t xml:space="preserve">; Jorunn Brandvoll, “Deprivation of nationality” </w:t>
      </w:r>
      <w:r>
        <w:rPr>
          <w:i/>
          <w:iCs/>
        </w:rPr>
        <w:t xml:space="preserve">Nationality and Statelessness under International Law </w:t>
      </w:r>
      <w:r>
        <w:t>(2014), 210.</w:t>
      </w:r>
    </w:p>
  </w:footnote>
  <w:footnote w:id="98">
    <w:p w14:paraId="65732DCE" w14:textId="77777777" w:rsidR="00D50212" w:rsidRDefault="00D50212" w:rsidP="00D50212">
      <w:pPr>
        <w:pStyle w:val="FootnoteText"/>
      </w:pPr>
      <w:r w:rsidRPr="000B4BEB">
        <w:rPr>
          <w:rStyle w:val="FootnoteReference"/>
          <w:rFonts w:eastAsiaTheme="majorEastAsia"/>
        </w:rPr>
        <w:footnoteRef/>
      </w:r>
      <w:r w:rsidRPr="000B4BEB">
        <w:t xml:space="preserve"> Compromis, ¶34.</w:t>
      </w:r>
    </w:p>
  </w:footnote>
  <w:footnote w:id="99">
    <w:p w14:paraId="2C34DB4F" w14:textId="2F10B7DB" w:rsidR="00D50212" w:rsidRPr="00BA66B1" w:rsidRDefault="00D50212" w:rsidP="00F94C52">
      <w:pPr>
        <w:pStyle w:val="FootnoteText"/>
        <w:rPr>
          <w:b/>
        </w:rPr>
      </w:pPr>
      <w:r w:rsidRPr="00BA66B1">
        <w:rPr>
          <w:vertAlign w:val="superscript"/>
        </w:rPr>
        <w:footnoteRef/>
      </w:r>
      <w:r w:rsidRPr="00BA66B1">
        <w:rPr>
          <w:rFonts w:eastAsia="Arial"/>
        </w:rPr>
        <w:t xml:space="preserve"> </w:t>
      </w:r>
      <w:r w:rsidRPr="004524FC">
        <w:rPr>
          <w:i/>
          <w:highlight w:val="white"/>
        </w:rPr>
        <w:t>Vienna</w:t>
      </w:r>
      <w:r w:rsidRPr="004524FC">
        <w:rPr>
          <w:i/>
        </w:rPr>
        <w:t xml:space="preserve"> Convention on Consular Relations</w:t>
      </w:r>
      <w:r w:rsidRPr="00BA66B1">
        <w:t xml:space="preserve"> (1963), 596 U</w:t>
      </w:r>
      <w:r w:rsidR="004D064F">
        <w:t>.N.T.</w:t>
      </w:r>
      <w:r w:rsidRPr="00BA66B1">
        <w:t>S 261, Art 36 [</w:t>
      </w:r>
      <w:r w:rsidRPr="00B05ED7">
        <w:rPr>
          <w:i/>
          <w:iCs/>
        </w:rPr>
        <w:t>VCCR</w:t>
      </w:r>
      <w:r w:rsidRPr="00BA66B1">
        <w:t xml:space="preserve">]. </w:t>
      </w:r>
    </w:p>
  </w:footnote>
  <w:footnote w:id="100">
    <w:p w14:paraId="02CE3CFF" w14:textId="561FCF77" w:rsidR="00D50212" w:rsidRPr="00BA66B1" w:rsidRDefault="00D50212" w:rsidP="00D50212">
      <w:pPr>
        <w:pStyle w:val="FootnoteText"/>
        <w:rPr>
          <w:b/>
        </w:rPr>
      </w:pPr>
      <w:r w:rsidRPr="00BA66B1">
        <w:rPr>
          <w:vertAlign w:val="superscript"/>
        </w:rPr>
        <w:footnoteRef/>
      </w:r>
      <w:r w:rsidRPr="00BA66B1">
        <w:t xml:space="preserve"> </w:t>
      </w:r>
      <w:r w:rsidRPr="00BA66B1">
        <w:rPr>
          <w:i/>
          <w:highlight w:val="white"/>
        </w:rPr>
        <w:t>Nottebohm</w:t>
      </w:r>
      <w:r w:rsidRPr="00BA66B1">
        <w:rPr>
          <w:highlight w:val="white"/>
        </w:rPr>
        <w:t xml:space="preserve">, 21; </w:t>
      </w:r>
      <w:r w:rsidRPr="00BA66B1">
        <w:t>Ian Brownlie, "The Relations of Nationality in Public International Law" (1963) 39 Brit YB Int'l L 284, 290-291</w:t>
      </w:r>
      <w:r w:rsidR="00B6383E">
        <w:t>.</w:t>
      </w:r>
      <w:r w:rsidRPr="00BA66B1">
        <w:t xml:space="preserve"> </w:t>
      </w:r>
    </w:p>
  </w:footnote>
  <w:footnote w:id="101">
    <w:p w14:paraId="3D06A734" w14:textId="711E4EA9" w:rsidR="00D50212" w:rsidRPr="00BA66B1" w:rsidRDefault="00D50212" w:rsidP="00D50212">
      <w:pPr>
        <w:pStyle w:val="FootnoteText"/>
        <w:rPr>
          <w:b/>
          <w:highlight w:val="white"/>
        </w:rPr>
      </w:pPr>
      <w:r w:rsidRPr="00BA66B1">
        <w:rPr>
          <w:vertAlign w:val="superscript"/>
        </w:rPr>
        <w:footnoteRef/>
      </w:r>
      <w:r w:rsidRPr="00BA66B1">
        <w:t xml:space="preserve"> </w:t>
      </w:r>
      <w:r w:rsidRPr="00BA66B1">
        <w:rPr>
          <w:i/>
          <w:highlight w:val="white"/>
        </w:rPr>
        <w:t>Eudoro Armando Olguín v. Republic of Paraguay</w:t>
      </w:r>
      <w:r w:rsidRPr="00BA66B1">
        <w:rPr>
          <w:highlight w:val="white"/>
        </w:rPr>
        <w:t xml:space="preserve">, </w:t>
      </w:r>
      <w:r w:rsidR="00CA5E3B">
        <w:rPr>
          <w:highlight w:val="white"/>
        </w:rPr>
        <w:t xml:space="preserve">[2001] </w:t>
      </w:r>
      <w:r w:rsidRPr="00BA66B1">
        <w:rPr>
          <w:highlight w:val="white"/>
        </w:rPr>
        <w:t>ICSID Case No ARB/98/5, Award,</w:t>
      </w:r>
      <w:r w:rsidR="00CA5E3B">
        <w:rPr>
          <w:highlight w:val="white"/>
        </w:rPr>
        <w:t xml:space="preserve"> </w:t>
      </w:r>
      <w:r w:rsidRPr="00BA66B1">
        <w:rPr>
          <w:highlight w:val="white"/>
        </w:rPr>
        <w:t>¶62 [</w:t>
      </w:r>
      <w:r w:rsidRPr="00BA66B1">
        <w:rPr>
          <w:i/>
          <w:highlight w:val="white"/>
        </w:rPr>
        <w:t>Olguin</w:t>
      </w:r>
      <w:r w:rsidRPr="00BA66B1">
        <w:rPr>
          <w:highlight w:val="white"/>
        </w:rPr>
        <w:t xml:space="preserve">]; </w:t>
      </w:r>
      <w:r w:rsidRPr="00BA66B1">
        <w:t xml:space="preserve">ILC, </w:t>
      </w:r>
      <w:r w:rsidRPr="00BA66B1">
        <w:rPr>
          <w:i/>
        </w:rPr>
        <w:t>First Report on Diplomatic Protection</w:t>
      </w:r>
      <w:r w:rsidRPr="00BA66B1">
        <w:t xml:space="preserve"> by</w:t>
      </w:r>
      <w:r w:rsidRPr="00BA66B1">
        <w:rPr>
          <w:i/>
        </w:rPr>
        <w:t xml:space="preserve"> </w:t>
      </w:r>
      <w:r w:rsidRPr="00BA66B1">
        <w:t>the Special Rapporteur, Mr. John R. Dugard (2000), ¶119</w:t>
      </w:r>
      <w:r w:rsidR="00B05ED7">
        <w:t xml:space="preserve"> </w:t>
      </w:r>
      <w:r w:rsidRPr="00BA66B1">
        <w:t>[Dugard]</w:t>
      </w:r>
      <w:r w:rsidR="00B05ED7">
        <w:t>.</w:t>
      </w:r>
    </w:p>
  </w:footnote>
  <w:footnote w:id="102">
    <w:p w14:paraId="72162D82" w14:textId="6C3B2D90" w:rsidR="00D50212" w:rsidRPr="00BA66B1" w:rsidRDefault="00D50212" w:rsidP="00D50212">
      <w:pPr>
        <w:pStyle w:val="FootnoteText"/>
      </w:pPr>
      <w:r w:rsidRPr="00BA66B1">
        <w:rPr>
          <w:vertAlign w:val="superscript"/>
        </w:rPr>
        <w:footnoteRef/>
      </w:r>
      <w:r w:rsidRPr="00BA66B1">
        <w:t xml:space="preserve"> </w:t>
      </w:r>
      <w:r w:rsidRPr="00BA66B1">
        <w:rPr>
          <w:i/>
          <w:highlight w:val="white"/>
        </w:rPr>
        <w:t>Jadhav Case (India/Pakistan)</w:t>
      </w:r>
      <w:r w:rsidRPr="00BA66B1">
        <w:rPr>
          <w:highlight w:val="white"/>
        </w:rPr>
        <w:t xml:space="preserve"> [</w:t>
      </w:r>
      <w:r w:rsidRPr="00BA66B1">
        <w:rPr>
          <w:i/>
          <w:highlight w:val="white"/>
        </w:rPr>
        <w:t>Jadhav</w:t>
      </w:r>
      <w:r w:rsidRPr="00BA66B1">
        <w:rPr>
          <w:highlight w:val="white"/>
        </w:rPr>
        <w:t xml:space="preserve">], Declaration of Judge Sebutinde, [2019] ICJ Rep 494, ¶8 citing J. Crawford, </w:t>
      </w:r>
      <w:r w:rsidRPr="00BA66B1">
        <w:rPr>
          <w:i/>
          <w:highlight w:val="white"/>
        </w:rPr>
        <w:t>Brownlie’s Principles of Public International Law,</w:t>
      </w:r>
      <w:r w:rsidRPr="00BA66B1">
        <w:rPr>
          <w:highlight w:val="white"/>
        </w:rPr>
        <w:t xml:space="preserve"> 8th ed (2012), 702</w:t>
      </w:r>
      <w:r w:rsidR="00B05ED7">
        <w:rPr>
          <w:highlight w:val="white"/>
        </w:rPr>
        <w:t xml:space="preserve"> </w:t>
      </w:r>
      <w:r w:rsidRPr="00BA66B1">
        <w:rPr>
          <w:highlight w:val="white"/>
        </w:rPr>
        <w:t>[Crawford]</w:t>
      </w:r>
      <w:r w:rsidR="00B05ED7">
        <w:t>.</w:t>
      </w:r>
    </w:p>
  </w:footnote>
  <w:footnote w:id="103">
    <w:p w14:paraId="57DCB5A2" w14:textId="1D66E585" w:rsidR="00D50212" w:rsidRPr="00BA66B1" w:rsidRDefault="00D50212" w:rsidP="00D50212">
      <w:pPr>
        <w:pStyle w:val="FootnoteText"/>
        <w:rPr>
          <w:b/>
        </w:rPr>
      </w:pPr>
      <w:r w:rsidRPr="00BA66B1">
        <w:rPr>
          <w:vertAlign w:val="superscript"/>
        </w:rPr>
        <w:footnoteRef/>
      </w:r>
      <w:r w:rsidRPr="00BA66B1">
        <w:t xml:space="preserve"> </w:t>
      </w:r>
      <w:r w:rsidRPr="00BA66B1">
        <w:rPr>
          <w:i/>
          <w:highlight w:val="white"/>
        </w:rPr>
        <w:t>Nottebohm</w:t>
      </w:r>
      <w:r w:rsidRPr="00BA66B1">
        <w:rPr>
          <w:highlight w:val="white"/>
        </w:rPr>
        <w:t>, 23, 26</w:t>
      </w:r>
      <w:r w:rsidR="00B6383E">
        <w:t>.</w:t>
      </w:r>
    </w:p>
  </w:footnote>
  <w:footnote w:id="104">
    <w:p w14:paraId="17313239" w14:textId="77777777" w:rsidR="00D50212" w:rsidRPr="00BA66B1" w:rsidRDefault="00D50212" w:rsidP="00D50212">
      <w:pPr>
        <w:pStyle w:val="FootnoteText"/>
        <w:rPr>
          <w:b/>
        </w:rPr>
      </w:pPr>
      <w:r w:rsidRPr="00BA66B1">
        <w:rPr>
          <w:vertAlign w:val="superscript"/>
        </w:rPr>
        <w:footnoteRef/>
      </w:r>
      <w:r w:rsidRPr="00BA66B1">
        <w:t xml:space="preserve"> </w:t>
      </w:r>
      <w:r w:rsidRPr="00BA66B1">
        <w:rPr>
          <w:i/>
        </w:rPr>
        <w:t xml:space="preserve">Nottebohm, </w:t>
      </w:r>
      <w:r w:rsidRPr="00BA66B1">
        <w:t xml:space="preserve">26. </w:t>
      </w:r>
    </w:p>
  </w:footnote>
  <w:footnote w:id="105">
    <w:p w14:paraId="556082DB" w14:textId="6EDBD971" w:rsidR="00D50212" w:rsidRPr="00BA66B1" w:rsidRDefault="00D50212" w:rsidP="00D50212">
      <w:pPr>
        <w:pStyle w:val="FootnoteText"/>
        <w:rPr>
          <w:b/>
        </w:rPr>
      </w:pPr>
      <w:r w:rsidRPr="00BA66B1">
        <w:rPr>
          <w:vertAlign w:val="superscript"/>
        </w:rPr>
        <w:footnoteRef/>
      </w:r>
      <w:r w:rsidRPr="00BA66B1">
        <w:t xml:space="preserve"> </w:t>
      </w:r>
      <w:r w:rsidRPr="00BA66B1">
        <w:rPr>
          <w:i/>
        </w:rPr>
        <w:t xml:space="preserve">Nottebohm, </w:t>
      </w:r>
      <w:r w:rsidRPr="00BA66B1">
        <w:t xml:space="preserve">22; </w:t>
      </w:r>
      <w:r w:rsidRPr="00BA66B1">
        <w:rPr>
          <w:i/>
          <w:highlight w:val="white"/>
        </w:rPr>
        <w:t>Islamic Republic of Iran v. United States of America</w:t>
      </w:r>
      <w:r w:rsidRPr="00BA66B1">
        <w:rPr>
          <w:highlight w:val="white"/>
        </w:rPr>
        <w:t xml:space="preserve">, </w:t>
      </w:r>
      <w:r w:rsidR="0066481E">
        <w:rPr>
          <w:highlight w:val="white"/>
        </w:rPr>
        <w:t xml:space="preserve">[1984] </w:t>
      </w:r>
      <w:r w:rsidRPr="00BA66B1">
        <w:rPr>
          <w:highlight w:val="white"/>
        </w:rPr>
        <w:t xml:space="preserve">IUSCT Case No. A-18, DEC 32-A18-FT, </w:t>
      </w:r>
      <w:r w:rsidRPr="00BA66B1">
        <w:t xml:space="preserve">¶43 </w:t>
      </w:r>
      <w:r w:rsidRPr="00BA66B1">
        <w:rPr>
          <w:highlight w:val="white"/>
        </w:rPr>
        <w:t>[</w:t>
      </w:r>
      <w:r w:rsidRPr="00BA66B1">
        <w:rPr>
          <w:i/>
          <w:highlight w:val="white"/>
        </w:rPr>
        <w:t>A/18</w:t>
      </w:r>
      <w:r w:rsidRPr="00BA66B1">
        <w:rPr>
          <w:highlight w:val="white"/>
        </w:rPr>
        <w:t>]</w:t>
      </w:r>
      <w:r w:rsidR="00B05ED7">
        <w:t>.</w:t>
      </w:r>
    </w:p>
  </w:footnote>
  <w:footnote w:id="106">
    <w:p w14:paraId="7288F6B4" w14:textId="0BA2431D" w:rsidR="00D50212" w:rsidRPr="00825F81" w:rsidRDefault="00D50212" w:rsidP="00825F81">
      <w:pPr>
        <w:pStyle w:val="FootnoteText"/>
        <w:rPr>
          <w:b/>
          <w:highlight w:val="white"/>
        </w:rPr>
      </w:pPr>
      <w:r w:rsidRPr="00825F81">
        <w:rPr>
          <w:vertAlign w:val="superscript"/>
        </w:rPr>
        <w:footnoteRef/>
      </w:r>
      <w:r w:rsidRPr="00825F81">
        <w:t xml:space="preserve"> </w:t>
      </w:r>
      <w:r w:rsidRPr="00825F81">
        <w:rPr>
          <w:i/>
        </w:rPr>
        <w:t xml:space="preserve">Nottebohm, </w:t>
      </w:r>
      <w:r w:rsidRPr="00825F81">
        <w:t xml:space="preserve">23; </w:t>
      </w:r>
      <w:r w:rsidRPr="00825F81">
        <w:rPr>
          <w:i/>
          <w:highlight w:val="white"/>
        </w:rPr>
        <w:t>A/18</w:t>
      </w:r>
      <w:r w:rsidRPr="00825F81">
        <w:rPr>
          <w:highlight w:val="white"/>
        </w:rPr>
        <w:t xml:space="preserve"> </w:t>
      </w:r>
      <w:r w:rsidR="00B6383E" w:rsidRPr="00825F81">
        <w:t>¶</w:t>
      </w:r>
      <w:r w:rsidRPr="00825F81">
        <w:t>¶</w:t>
      </w:r>
      <w:r w:rsidRPr="00825F81">
        <w:rPr>
          <w:highlight w:val="white"/>
        </w:rPr>
        <w:t xml:space="preserve">45,50; </w:t>
      </w:r>
      <w:r w:rsidRPr="00825F81">
        <w:t xml:space="preserve">Robert D. Sloane, </w:t>
      </w:r>
      <w:r w:rsidRPr="00825F81">
        <w:rPr>
          <w:i/>
        </w:rPr>
        <w:t>Breaking the Genuine Link: The Contemporary International Legal Regulation of Nationality</w:t>
      </w:r>
      <w:r w:rsidRPr="00825F81">
        <w:t>, in 50 Harv Intl LJ 1 (2009), 25 citing</w:t>
      </w:r>
      <w:r w:rsidRPr="00825F81">
        <w:rPr>
          <w:rFonts w:eastAsia="Arial"/>
        </w:rPr>
        <w:t xml:space="preserve"> </w:t>
      </w:r>
      <w:r w:rsidRPr="00825F81">
        <w:t xml:space="preserve">H.F. Van Panhuys, </w:t>
      </w:r>
      <w:r w:rsidRPr="00825F81">
        <w:rPr>
          <w:i/>
        </w:rPr>
        <w:t xml:space="preserve">The Role of Nationality in International Law </w:t>
      </w:r>
      <w:r w:rsidRPr="00825F81">
        <w:t xml:space="preserve">(1959), 158 and Ruth Donner, </w:t>
      </w:r>
      <w:r w:rsidRPr="00825F81">
        <w:rPr>
          <w:i/>
        </w:rPr>
        <w:t>The Regulation of Nationality in International Law</w:t>
      </w:r>
      <w:r w:rsidRPr="00825F81">
        <w:t xml:space="preserve"> (1994), 62; </w:t>
      </w:r>
      <w:r w:rsidRPr="00825F81">
        <w:rPr>
          <w:highlight w:val="white"/>
        </w:rPr>
        <w:t>Crawford, 516.</w:t>
      </w:r>
    </w:p>
  </w:footnote>
  <w:footnote w:id="107">
    <w:p w14:paraId="0B6D4DDB" w14:textId="0F7FD844" w:rsidR="00D50212" w:rsidRPr="00825F81" w:rsidRDefault="00D50212" w:rsidP="00825F81">
      <w:pPr>
        <w:pStyle w:val="FootnoteText"/>
        <w:rPr>
          <w:b/>
        </w:rPr>
      </w:pPr>
      <w:r w:rsidRPr="00825F81">
        <w:rPr>
          <w:vertAlign w:val="superscript"/>
        </w:rPr>
        <w:footnoteRef/>
      </w:r>
      <w:r w:rsidRPr="00825F81">
        <w:rPr>
          <w:rFonts w:eastAsia="Arial"/>
        </w:rPr>
        <w:t xml:space="preserve"> </w:t>
      </w:r>
      <w:r w:rsidRPr="00825F81">
        <w:rPr>
          <w:i/>
          <w:highlight w:val="white"/>
        </w:rPr>
        <w:t>Olguin</w:t>
      </w:r>
      <w:r w:rsidRPr="00825F81">
        <w:rPr>
          <w:highlight w:val="white"/>
        </w:rPr>
        <w:t>, ¶62</w:t>
      </w:r>
      <w:r w:rsidR="00B6383E">
        <w:t>.</w:t>
      </w:r>
    </w:p>
  </w:footnote>
  <w:footnote w:id="108">
    <w:p w14:paraId="7B5084C6" w14:textId="36985DFA" w:rsidR="00D50212" w:rsidRPr="00825F81" w:rsidRDefault="00D50212" w:rsidP="00825F81">
      <w:pPr>
        <w:pStyle w:val="FootnoteText"/>
        <w:rPr>
          <w:rFonts w:eastAsia="Arial"/>
          <w:b/>
        </w:rPr>
      </w:pPr>
      <w:r w:rsidRPr="00825F81">
        <w:rPr>
          <w:vertAlign w:val="superscript"/>
        </w:rPr>
        <w:footnoteRef/>
      </w:r>
      <w:r w:rsidRPr="00825F81">
        <w:rPr>
          <w:rFonts w:eastAsia="Arial"/>
          <w:i/>
        </w:rPr>
        <w:t xml:space="preserve"> </w:t>
      </w:r>
      <w:r w:rsidRPr="00825F81">
        <w:rPr>
          <w:iCs/>
          <w:highlight w:val="white"/>
        </w:rPr>
        <w:t>Instituit</w:t>
      </w:r>
      <w:r w:rsidRPr="00825F81">
        <w:t xml:space="preserve"> de Droit International, </w:t>
      </w:r>
      <w:r w:rsidRPr="00825F81">
        <w:rPr>
          <w:i/>
        </w:rPr>
        <w:t xml:space="preserve">The National Character of an International Claim Presented </w:t>
      </w:r>
      <w:r w:rsidRPr="00825F81">
        <w:rPr>
          <w:rFonts w:eastAsiaTheme="minorHAnsi"/>
          <w:i/>
          <w:highlight w:val="white"/>
          <w:lang w:val="en-US"/>
        </w:rPr>
        <w:t>by a State for Injury Suffered by an Individual (1965), Warsaw, Art.4(c</w:t>
      </w:r>
      <w:r w:rsidRPr="00B6383E">
        <w:rPr>
          <w:rFonts w:eastAsiaTheme="minorHAnsi"/>
          <w:iCs/>
          <w:highlight w:val="white"/>
          <w:lang w:val="en-US"/>
        </w:rPr>
        <w:t>) cited in</w:t>
      </w:r>
      <w:r w:rsidRPr="00825F81">
        <w:rPr>
          <w:rFonts w:eastAsiaTheme="minorHAnsi"/>
          <w:i/>
          <w:highlight w:val="white"/>
          <w:lang w:val="en-US"/>
        </w:rPr>
        <w:t xml:space="preserve"> Dugard,</w:t>
      </w:r>
      <w:r w:rsidRPr="00825F81">
        <w:t xml:space="preserve"> ¶119</w:t>
      </w:r>
      <w:r w:rsidR="00CB6A19">
        <w:t>.</w:t>
      </w:r>
    </w:p>
  </w:footnote>
  <w:footnote w:id="109">
    <w:p w14:paraId="5B02A54D" w14:textId="1F1AEA53" w:rsidR="00D50212" w:rsidRPr="00825F81" w:rsidRDefault="00D50212" w:rsidP="00825F81">
      <w:pPr>
        <w:pStyle w:val="FootnoteText"/>
        <w:rPr>
          <w:highlight w:val="yellow"/>
        </w:rPr>
      </w:pPr>
      <w:r w:rsidRPr="00825F81">
        <w:rPr>
          <w:vertAlign w:val="superscript"/>
        </w:rPr>
        <w:footnoteRef/>
      </w:r>
      <w:r w:rsidRPr="00825F81">
        <w:t xml:space="preserve">  </w:t>
      </w:r>
      <w:r w:rsidRPr="00825F81">
        <w:rPr>
          <w:i/>
          <w:highlight w:val="white"/>
        </w:rPr>
        <w:t>Saba Fakes v. Republic of Turkey</w:t>
      </w:r>
      <w:r w:rsidRPr="00825F81">
        <w:rPr>
          <w:highlight w:val="white"/>
        </w:rPr>
        <w:t xml:space="preserve">, ICSID Case No. ARB/07/20, Award (2010), </w:t>
      </w:r>
      <w:r w:rsidRPr="00825F81">
        <w:t>¶</w:t>
      </w:r>
      <w:r w:rsidR="00B05ED7" w:rsidRPr="00F94C52">
        <w:t>¶</w:t>
      </w:r>
      <w:r w:rsidRPr="00825F81">
        <w:rPr>
          <w:highlight w:val="white"/>
        </w:rPr>
        <w:t>77-78;</w:t>
      </w:r>
      <w:r w:rsidRPr="00825F81">
        <w:t xml:space="preserve"> Casas, 66. </w:t>
      </w:r>
    </w:p>
  </w:footnote>
  <w:footnote w:id="110">
    <w:p w14:paraId="0F8C611A" w14:textId="17CFBAE5" w:rsidR="00D50212" w:rsidRPr="00825F81" w:rsidRDefault="00D50212" w:rsidP="00825F81">
      <w:pPr>
        <w:pStyle w:val="FootnoteText"/>
        <w:rPr>
          <w:b/>
        </w:rPr>
      </w:pPr>
      <w:r w:rsidRPr="00825F81">
        <w:rPr>
          <w:vertAlign w:val="superscript"/>
        </w:rPr>
        <w:footnoteRef/>
      </w:r>
      <w:r w:rsidRPr="00825F81">
        <w:t xml:space="preserve"> </w:t>
      </w:r>
      <w:r w:rsidR="00F94C52">
        <w:t>Compromis</w:t>
      </w:r>
      <w:r w:rsidRPr="00825F81">
        <w:t xml:space="preserve">, </w:t>
      </w:r>
      <w:r w:rsidR="00F94C52" w:rsidRPr="00825F81">
        <w:t>¶</w:t>
      </w:r>
      <w:r w:rsidRPr="00825F81">
        <w:t xml:space="preserve">¶12, 16. </w:t>
      </w:r>
    </w:p>
  </w:footnote>
  <w:footnote w:id="111">
    <w:p w14:paraId="1775EC07" w14:textId="571D3D91" w:rsidR="00D50212" w:rsidRPr="00825F81" w:rsidRDefault="00D50212" w:rsidP="00825F81">
      <w:pPr>
        <w:pStyle w:val="FootnoteText"/>
        <w:rPr>
          <w:b/>
        </w:rPr>
      </w:pPr>
      <w:r w:rsidRPr="00825F81">
        <w:rPr>
          <w:vertAlign w:val="superscript"/>
        </w:rPr>
        <w:footnoteRef/>
      </w:r>
      <w:r w:rsidRPr="00825F81">
        <w:t xml:space="preserve"> </w:t>
      </w:r>
      <w:r w:rsidR="00F94C52">
        <w:t>Compromis</w:t>
      </w:r>
      <w:r w:rsidRPr="00825F81">
        <w:t xml:space="preserve">, </w:t>
      </w:r>
      <w:r w:rsidR="00F94C52" w:rsidRPr="00825F81">
        <w:t>¶</w:t>
      </w:r>
      <w:r w:rsidRPr="00825F81">
        <w:t xml:space="preserve">¶11, 18, 19. </w:t>
      </w:r>
    </w:p>
  </w:footnote>
  <w:footnote w:id="112">
    <w:p w14:paraId="67449D8D" w14:textId="669C2241" w:rsidR="00D50212" w:rsidRPr="00825F81" w:rsidRDefault="00D50212" w:rsidP="00825F81">
      <w:pPr>
        <w:pStyle w:val="FootnoteText"/>
        <w:rPr>
          <w:b/>
        </w:rPr>
      </w:pPr>
      <w:r w:rsidRPr="00825F81">
        <w:rPr>
          <w:vertAlign w:val="superscript"/>
        </w:rPr>
        <w:footnoteRef/>
      </w:r>
      <w:r w:rsidRPr="00825F81">
        <w:t xml:space="preserve"> </w:t>
      </w:r>
      <w:r w:rsidRPr="00825F81">
        <w:rPr>
          <w:i/>
        </w:rPr>
        <w:t xml:space="preserve">Nottebohm, </w:t>
      </w:r>
      <w:r w:rsidRPr="00825F81">
        <w:t>26.</w:t>
      </w:r>
    </w:p>
  </w:footnote>
  <w:footnote w:id="113">
    <w:p w14:paraId="2ACB57C7" w14:textId="77777777" w:rsidR="00EF6D4D" w:rsidRPr="00825F81" w:rsidRDefault="00EF6D4D" w:rsidP="00825F81">
      <w:pPr>
        <w:pStyle w:val="FootnoteText"/>
      </w:pPr>
      <w:r w:rsidRPr="00825F81">
        <w:rPr>
          <w:vertAlign w:val="superscript"/>
        </w:rPr>
        <w:footnoteRef/>
      </w:r>
      <w:r w:rsidRPr="00825F81">
        <w:t xml:space="preserve"> European Commission, </w:t>
      </w:r>
      <w:r w:rsidRPr="00825F81">
        <w:rPr>
          <w:i/>
        </w:rPr>
        <w:t>Investor citizenship scheme: Commission refers MALTA to the Court of Justice</w:t>
      </w:r>
      <w:r w:rsidRPr="00825F81">
        <w:t xml:space="preserve"> (Brussels, 2022); European Commission, </w:t>
      </w:r>
      <w:r w:rsidRPr="00825F81">
        <w:rPr>
          <w:i/>
        </w:rPr>
        <w:t xml:space="preserve">Joint Statement on further restrictive economic measures </w:t>
      </w:r>
      <w:r w:rsidRPr="00825F81">
        <w:t xml:space="preserve">(2022); Secretary of State for the Home Department, </w:t>
      </w:r>
      <w:r w:rsidRPr="00825F81">
        <w:rPr>
          <w:i/>
        </w:rPr>
        <w:t>Statement of Changes in Immigration Rules</w:t>
      </w:r>
      <w:r w:rsidRPr="00825F81">
        <w:t xml:space="preserve"> (2023), UIN HCWS979; Immigration, Refugees and Citizenship Canada, </w:t>
      </w:r>
      <w:r w:rsidRPr="00825F81">
        <w:rPr>
          <w:i/>
        </w:rPr>
        <w:t xml:space="preserve">Canada imposes a visa requirement on Antigua and Barbuda </w:t>
      </w:r>
      <w:r w:rsidRPr="00825F81">
        <w:t xml:space="preserve">(2017); 117th Congress (2021-2022) </w:t>
      </w:r>
      <w:r w:rsidRPr="00825F81">
        <w:rPr>
          <w:i/>
        </w:rPr>
        <w:t>No Travel for Traffickers Act of 2022</w:t>
      </w:r>
      <w:r w:rsidRPr="00825F81">
        <w:t xml:space="preserve">, H.R.6911. </w:t>
      </w:r>
    </w:p>
  </w:footnote>
  <w:footnote w:id="114">
    <w:p w14:paraId="4E5D1EA9" w14:textId="6AF55958" w:rsidR="00D50212" w:rsidRPr="00825F81" w:rsidRDefault="00D50212" w:rsidP="00825F81">
      <w:pPr>
        <w:pStyle w:val="FootnoteText"/>
        <w:rPr>
          <w:b/>
        </w:rPr>
      </w:pPr>
      <w:r w:rsidRPr="00825F81">
        <w:rPr>
          <w:vertAlign w:val="superscript"/>
        </w:rPr>
        <w:footnoteRef/>
      </w:r>
      <w:r w:rsidRPr="00825F81">
        <w:t xml:space="preserve"> </w:t>
      </w:r>
      <w:r w:rsidR="00F94C52">
        <w:rPr>
          <w:iCs/>
        </w:rPr>
        <w:t>Compromis</w:t>
      </w:r>
      <w:r w:rsidRPr="00825F81">
        <w:t xml:space="preserve">, </w:t>
      </w:r>
      <w:r w:rsidR="00B6383E" w:rsidRPr="00825F81">
        <w:t>¶</w:t>
      </w:r>
      <w:r w:rsidRPr="00825F81">
        <w:t xml:space="preserve">¶11, 19. </w:t>
      </w:r>
      <w:r w:rsidRPr="00825F81">
        <w:rPr>
          <w:i/>
        </w:rPr>
        <w:t xml:space="preserve">Nottebohm, </w:t>
      </w:r>
      <w:r w:rsidRPr="00825F81">
        <w:t xml:space="preserve">22-23; </w:t>
      </w:r>
      <w:r w:rsidRPr="00825F81">
        <w:rPr>
          <w:i/>
        </w:rPr>
        <w:t>Proposed Amendments</w:t>
      </w:r>
      <w:r w:rsidRPr="00825F81">
        <w:t xml:space="preserve">, </w:t>
      </w:r>
      <w:r w:rsidR="00B05ED7" w:rsidRPr="00F94C52">
        <w:t>¶</w:t>
      </w:r>
      <w:r w:rsidRPr="00825F81">
        <w:t xml:space="preserve">¶36-37; Manley O. Hudson, </w:t>
      </w:r>
      <w:r w:rsidRPr="00825F81">
        <w:rPr>
          <w:i/>
        </w:rPr>
        <w:t>Special Rapporteur on Nationality Including Statelessness, Rep. on Nationality Including Statelessness</w:t>
      </w:r>
      <w:r w:rsidRPr="00825F81">
        <w:t xml:space="preserve"> (1952)</w:t>
      </w:r>
      <w:r w:rsidRPr="00825F81">
        <w:rPr>
          <w:i/>
        </w:rPr>
        <w:t>,</w:t>
      </w:r>
      <w:r w:rsidRPr="00825F81">
        <w:t xml:space="preserve"> ILC, A/CN.4/50, 8</w:t>
      </w:r>
      <w:r w:rsidR="00CA5E3B">
        <w:t>.</w:t>
      </w:r>
    </w:p>
  </w:footnote>
  <w:footnote w:id="115">
    <w:p w14:paraId="4C71649F" w14:textId="77777777" w:rsidR="00D50212" w:rsidRPr="00825F81" w:rsidRDefault="00D50212" w:rsidP="00825F81">
      <w:pPr>
        <w:pStyle w:val="FootnoteText"/>
        <w:rPr>
          <w:b/>
        </w:rPr>
      </w:pPr>
      <w:r w:rsidRPr="00825F81">
        <w:rPr>
          <w:vertAlign w:val="superscript"/>
        </w:rPr>
        <w:footnoteRef/>
      </w:r>
      <w:r w:rsidRPr="00825F81">
        <w:t xml:space="preserve"> </w:t>
      </w:r>
      <w:r w:rsidRPr="00825F81">
        <w:rPr>
          <w:i/>
        </w:rPr>
        <w:t xml:space="preserve">Nottebohm, </w:t>
      </w:r>
      <w:r w:rsidRPr="00825F81">
        <w:t xml:space="preserve">26. </w:t>
      </w:r>
    </w:p>
  </w:footnote>
  <w:footnote w:id="116">
    <w:p w14:paraId="352E07E5" w14:textId="2BA3FCA0" w:rsidR="00D50212" w:rsidRPr="00825F81" w:rsidRDefault="00D50212" w:rsidP="00825F81">
      <w:pPr>
        <w:pStyle w:val="FootnoteText"/>
        <w:rPr>
          <w:b/>
        </w:rPr>
      </w:pPr>
      <w:r w:rsidRPr="00825F81">
        <w:rPr>
          <w:vertAlign w:val="superscript"/>
        </w:rPr>
        <w:footnoteRef/>
      </w:r>
      <w:r w:rsidRPr="00825F81">
        <w:t xml:space="preserve"> </w:t>
      </w:r>
      <w:r w:rsidR="00A07B61">
        <w:rPr>
          <w:iCs/>
        </w:rPr>
        <w:t>Compromis,</w:t>
      </w:r>
      <w:r w:rsidRPr="00825F81">
        <w:t xml:space="preserve"> </w:t>
      </w:r>
      <w:r w:rsidR="00A07B61" w:rsidRPr="00825F81">
        <w:t>¶</w:t>
      </w:r>
      <w:r w:rsidRPr="00825F81">
        <w:t>¶16-19</w:t>
      </w:r>
      <w:r w:rsidR="00A07B61">
        <w:t xml:space="preserve">; </w:t>
      </w:r>
      <w:r w:rsidRPr="00825F81">
        <w:rPr>
          <w:i/>
        </w:rPr>
        <w:t xml:space="preserve">Barcelona Traction, </w:t>
      </w:r>
      <w:r w:rsidRPr="00825F81">
        <w:t>Separate Opinion of Judge Jessup, ¶46; Casas, 66-67</w:t>
      </w:r>
      <w:r w:rsidR="00A07B61">
        <w:t>.</w:t>
      </w:r>
    </w:p>
  </w:footnote>
  <w:footnote w:id="117">
    <w:p w14:paraId="41F1B7C1" w14:textId="752B000E" w:rsidR="00D50212" w:rsidRPr="00825F81" w:rsidRDefault="00D50212" w:rsidP="00825F81">
      <w:pPr>
        <w:pStyle w:val="FootnoteText"/>
        <w:rPr>
          <w:b/>
        </w:rPr>
      </w:pPr>
      <w:r w:rsidRPr="00825F81">
        <w:rPr>
          <w:vertAlign w:val="superscript"/>
        </w:rPr>
        <w:footnoteRef/>
      </w:r>
      <w:r w:rsidRPr="00825F81">
        <w:t xml:space="preserve"> </w:t>
      </w:r>
      <w:r w:rsidR="00F94C52">
        <w:t>Compromis</w:t>
      </w:r>
      <w:r w:rsidRPr="00825F81">
        <w:t xml:space="preserve">, ¶19. </w:t>
      </w:r>
    </w:p>
  </w:footnote>
  <w:footnote w:id="118">
    <w:p w14:paraId="71233F9A" w14:textId="06A8043B" w:rsidR="00D50212" w:rsidRPr="00825F81" w:rsidRDefault="00D50212" w:rsidP="00825F81">
      <w:pPr>
        <w:pStyle w:val="FootnoteText"/>
        <w:rPr>
          <w:b/>
        </w:rPr>
      </w:pPr>
      <w:r w:rsidRPr="00825F81">
        <w:rPr>
          <w:vertAlign w:val="superscript"/>
        </w:rPr>
        <w:footnoteRef/>
      </w:r>
      <w:r w:rsidRPr="00825F81">
        <w:t xml:space="preserve"> </w:t>
      </w:r>
      <w:r w:rsidRPr="00825F81">
        <w:rPr>
          <w:i/>
        </w:rPr>
        <w:t xml:space="preserve">Nottebohm, </w:t>
      </w:r>
      <w:r w:rsidRPr="00825F81">
        <w:t xml:space="preserve">25; </w:t>
      </w:r>
      <w:r w:rsidR="00F94C52">
        <w:t>Compromis</w:t>
      </w:r>
      <w:r w:rsidRPr="00825F81">
        <w:t>, ¶16; Clarifications, ¶5.</w:t>
      </w:r>
    </w:p>
  </w:footnote>
  <w:footnote w:id="119">
    <w:p w14:paraId="704BE4A3" w14:textId="7CBF9F83" w:rsidR="00D50212" w:rsidRPr="00825F81" w:rsidRDefault="00D50212" w:rsidP="00825F81">
      <w:pPr>
        <w:pStyle w:val="FootnoteText"/>
        <w:rPr>
          <w:b/>
          <w:lang w:val="es-ES"/>
        </w:rPr>
      </w:pPr>
      <w:r w:rsidRPr="00825F81">
        <w:rPr>
          <w:vertAlign w:val="superscript"/>
        </w:rPr>
        <w:footnoteRef/>
      </w:r>
      <w:r w:rsidRPr="00825F81">
        <w:rPr>
          <w:lang w:val="es-ES"/>
        </w:rPr>
        <w:t xml:space="preserve"> </w:t>
      </w:r>
      <w:r w:rsidRPr="00825F81">
        <w:rPr>
          <w:i/>
          <w:lang w:val="es-ES"/>
        </w:rPr>
        <w:t>Barcelona Traction</w:t>
      </w:r>
      <w:r w:rsidRPr="00825F81">
        <w:rPr>
          <w:lang w:val="es-ES"/>
        </w:rPr>
        <w:t xml:space="preserve">, ¶45. </w:t>
      </w:r>
    </w:p>
  </w:footnote>
  <w:footnote w:id="120">
    <w:p w14:paraId="2A8F3E6C" w14:textId="77777777" w:rsidR="00D50212" w:rsidRPr="00825F81" w:rsidRDefault="00D50212" w:rsidP="00825F81">
      <w:pPr>
        <w:pStyle w:val="FootnoteText"/>
        <w:rPr>
          <w:b/>
          <w:lang w:val="es-ES"/>
        </w:rPr>
      </w:pPr>
      <w:r w:rsidRPr="00825F81">
        <w:rPr>
          <w:vertAlign w:val="superscript"/>
        </w:rPr>
        <w:footnoteRef/>
      </w:r>
      <w:r w:rsidRPr="00825F81">
        <w:rPr>
          <w:lang w:val="es-ES"/>
        </w:rPr>
        <w:t xml:space="preserve"> </w:t>
      </w:r>
      <w:r w:rsidRPr="00825F81">
        <w:t>Barcelona</w:t>
      </w:r>
      <w:r w:rsidRPr="00825F81">
        <w:rPr>
          <w:i/>
          <w:lang w:val="es-ES"/>
        </w:rPr>
        <w:t xml:space="preserve"> Traction, </w:t>
      </w:r>
      <w:r w:rsidRPr="00825F81">
        <w:rPr>
          <w:lang w:val="es-ES"/>
        </w:rPr>
        <w:t xml:space="preserve">¶40. </w:t>
      </w:r>
    </w:p>
  </w:footnote>
  <w:footnote w:id="121">
    <w:p w14:paraId="545A7CCA" w14:textId="78C13036" w:rsidR="00D50212" w:rsidRPr="00825F81" w:rsidRDefault="00D50212" w:rsidP="00825F81">
      <w:pPr>
        <w:pStyle w:val="FootnoteText"/>
        <w:rPr>
          <w:b/>
        </w:rPr>
      </w:pPr>
      <w:r w:rsidRPr="00825F81">
        <w:rPr>
          <w:vertAlign w:val="superscript"/>
        </w:rPr>
        <w:footnoteRef/>
      </w:r>
      <w:r w:rsidRPr="00825F81">
        <w:t xml:space="preserve"> Cf </w:t>
      </w:r>
      <w:r w:rsidRPr="00825F81">
        <w:rPr>
          <w:i/>
        </w:rPr>
        <w:t>Nottebohm,</w:t>
      </w:r>
      <w:r w:rsidR="00CA5E3B">
        <w:rPr>
          <w:i/>
        </w:rPr>
        <w:t xml:space="preserve"> </w:t>
      </w:r>
      <w:r w:rsidRPr="00825F81">
        <w:t xml:space="preserve">13. </w:t>
      </w:r>
    </w:p>
  </w:footnote>
  <w:footnote w:id="122">
    <w:p w14:paraId="2E723D22" w14:textId="03F45835" w:rsidR="00D50212" w:rsidRPr="00825F81" w:rsidRDefault="00D50212" w:rsidP="00825F81">
      <w:pPr>
        <w:pStyle w:val="FootnoteText"/>
        <w:rPr>
          <w:b/>
        </w:rPr>
      </w:pPr>
      <w:r w:rsidRPr="00825F81">
        <w:rPr>
          <w:vertAlign w:val="superscript"/>
        </w:rPr>
        <w:footnoteRef/>
      </w:r>
      <w:r w:rsidRPr="00825F81">
        <w:t xml:space="preserve"> </w:t>
      </w:r>
      <w:r w:rsidR="00F94C52">
        <w:t>Compromis</w:t>
      </w:r>
      <w:r w:rsidRPr="00825F81">
        <w:t>, ¶</w:t>
      </w:r>
      <w:r w:rsidR="00B05ED7" w:rsidRPr="00F94C52">
        <w:t>¶</w:t>
      </w:r>
      <w:r w:rsidRPr="00825F81">
        <w:t xml:space="preserve">18,19. </w:t>
      </w:r>
    </w:p>
  </w:footnote>
  <w:footnote w:id="123">
    <w:p w14:paraId="6F9FFC78" w14:textId="3A478489" w:rsidR="00D50212" w:rsidRPr="00825F81" w:rsidRDefault="00D50212" w:rsidP="00825F81">
      <w:pPr>
        <w:pStyle w:val="FootnoteText"/>
        <w:rPr>
          <w:b/>
        </w:rPr>
      </w:pPr>
      <w:r w:rsidRPr="00825F81">
        <w:rPr>
          <w:vertAlign w:val="superscript"/>
        </w:rPr>
        <w:footnoteRef/>
      </w:r>
      <w:r w:rsidRPr="00825F81">
        <w:t xml:space="preserve"> </w:t>
      </w:r>
      <w:r w:rsidR="00F94C52">
        <w:t>Compromis</w:t>
      </w:r>
      <w:r w:rsidRPr="00825F81">
        <w:t>, ¶15</w:t>
      </w:r>
      <w:r w:rsidR="0074457B">
        <w:t>.</w:t>
      </w:r>
      <w:r w:rsidRPr="00825F81">
        <w:t xml:space="preserve"> </w:t>
      </w:r>
    </w:p>
  </w:footnote>
  <w:footnote w:id="124">
    <w:p w14:paraId="60E869F0" w14:textId="77777777" w:rsidR="00D50212" w:rsidRPr="00825F81" w:rsidRDefault="00D50212" w:rsidP="00825F81">
      <w:pPr>
        <w:pStyle w:val="FootnoteText"/>
        <w:rPr>
          <w:b/>
        </w:rPr>
      </w:pPr>
      <w:r w:rsidRPr="00825F81">
        <w:rPr>
          <w:vertAlign w:val="superscript"/>
        </w:rPr>
        <w:footnoteRef/>
      </w:r>
      <w:r w:rsidRPr="00825F81">
        <w:t xml:space="preserve"> </w:t>
      </w:r>
      <w:r w:rsidRPr="00CA5E3B">
        <w:rPr>
          <w:i/>
          <w:iCs/>
        </w:rPr>
        <w:t>Nottebohm</w:t>
      </w:r>
      <w:r w:rsidRPr="00825F81">
        <w:rPr>
          <w:i/>
        </w:rPr>
        <w:t xml:space="preserve">, </w:t>
      </w:r>
      <w:r w:rsidRPr="00825F81">
        <w:t xml:space="preserve">18. </w:t>
      </w:r>
    </w:p>
  </w:footnote>
  <w:footnote w:id="125">
    <w:p w14:paraId="4F34FD12" w14:textId="4EE32393" w:rsidR="00D50212" w:rsidRPr="00825F81" w:rsidRDefault="00D50212" w:rsidP="00825F81">
      <w:pPr>
        <w:pStyle w:val="FootnoteText"/>
        <w:rPr>
          <w:b/>
        </w:rPr>
      </w:pPr>
      <w:r w:rsidRPr="00825F81">
        <w:rPr>
          <w:vertAlign w:val="superscript"/>
        </w:rPr>
        <w:footnoteRef/>
      </w:r>
      <w:r w:rsidRPr="00825F81">
        <w:t xml:space="preserve"> IC MacGibbon, </w:t>
      </w:r>
      <w:r w:rsidRPr="00825F81">
        <w:rPr>
          <w:i/>
        </w:rPr>
        <w:t xml:space="preserve">Estoppel in International Law </w:t>
      </w:r>
      <w:r w:rsidRPr="00825F81">
        <w:t>(1958), 7:3 Inti &amp; CLQ 468, 483-484.</w:t>
      </w:r>
    </w:p>
  </w:footnote>
  <w:footnote w:id="126">
    <w:p w14:paraId="14C2C11F" w14:textId="37C7CA2F" w:rsidR="004524FC" w:rsidRPr="00825F81" w:rsidRDefault="004524FC" w:rsidP="004524FC">
      <w:pPr>
        <w:pStyle w:val="FootnoteText"/>
        <w:rPr>
          <w:b/>
        </w:rPr>
      </w:pPr>
      <w:r w:rsidRPr="00825F81">
        <w:rPr>
          <w:vertAlign w:val="superscript"/>
        </w:rPr>
        <w:footnoteRef/>
      </w:r>
      <w:r w:rsidRPr="00825F81">
        <w:t xml:space="preserve"> </w:t>
      </w:r>
      <w:r w:rsidRPr="00825F81">
        <w:rPr>
          <w:i/>
        </w:rPr>
        <w:t>Electronica Sicula S.P.A. (ELSI),</w:t>
      </w:r>
      <w:r w:rsidRPr="00825F81">
        <w:t xml:space="preserve"> Judgment, [1989] ICJ Rep 15, ¶52; ILC</w:t>
      </w:r>
      <w:r>
        <w:t xml:space="preserve">, </w:t>
      </w:r>
      <w:r w:rsidRPr="00825F81">
        <w:rPr>
          <w:i/>
        </w:rPr>
        <w:t xml:space="preserve">Draft </w:t>
      </w:r>
      <w:r w:rsidR="00F64118">
        <w:rPr>
          <w:i/>
        </w:rPr>
        <w:t>A</w:t>
      </w:r>
      <w:r w:rsidRPr="00825F81">
        <w:rPr>
          <w:i/>
        </w:rPr>
        <w:t>rticles on Diplomatic Protection with Commentaries</w:t>
      </w:r>
      <w:r w:rsidRPr="00825F81">
        <w:t xml:space="preserve"> (2006</w:t>
      </w:r>
      <w:r w:rsidR="00B05ED7" w:rsidRPr="00825F81">
        <w:t>), Art.</w:t>
      </w:r>
      <w:r w:rsidRPr="00825F81">
        <w:t>14 ¶11</w:t>
      </w:r>
      <w:r w:rsidR="00CA5E3B">
        <w:t xml:space="preserve"> </w:t>
      </w:r>
      <w:r w:rsidRPr="00825F81">
        <w:t>[Diplomatic Protection with Commentaries]</w:t>
      </w:r>
      <w:r w:rsidR="00CA5E3B">
        <w:t>.</w:t>
      </w:r>
    </w:p>
  </w:footnote>
  <w:footnote w:id="127">
    <w:p w14:paraId="661983C5" w14:textId="77777777" w:rsidR="00D50212" w:rsidRPr="00825F81" w:rsidRDefault="00D50212" w:rsidP="00825F81">
      <w:pPr>
        <w:pStyle w:val="FootnoteText"/>
        <w:rPr>
          <w:b/>
          <w:i/>
        </w:rPr>
      </w:pPr>
      <w:r w:rsidRPr="00825F81">
        <w:rPr>
          <w:vertAlign w:val="superscript"/>
        </w:rPr>
        <w:footnoteRef/>
      </w:r>
      <w:r w:rsidRPr="00825F81">
        <w:t xml:space="preserve"> </w:t>
      </w:r>
      <w:r w:rsidRPr="00825F81">
        <w:rPr>
          <w:i/>
          <w:highlight w:val="white"/>
        </w:rPr>
        <w:t>Avena and Other Mexican Nationals (Mexico/United States of America)</w:t>
      </w:r>
      <w:r w:rsidRPr="00825F81">
        <w:rPr>
          <w:highlight w:val="white"/>
        </w:rPr>
        <w:t xml:space="preserve">, Judgment, [2004] ICJ Rep 12, </w:t>
      </w:r>
      <w:r w:rsidRPr="00825F81">
        <w:t>¶</w:t>
      </w:r>
      <w:r w:rsidRPr="00825F81">
        <w:rPr>
          <w:highlight w:val="white"/>
        </w:rPr>
        <w:t>40 [</w:t>
      </w:r>
      <w:r w:rsidRPr="00825F81">
        <w:rPr>
          <w:i/>
          <w:highlight w:val="white"/>
        </w:rPr>
        <w:t>Avena</w:t>
      </w:r>
      <w:r w:rsidRPr="00825F81">
        <w:rPr>
          <w:highlight w:val="white"/>
        </w:rPr>
        <w:t xml:space="preserve">] </w:t>
      </w:r>
      <w:r w:rsidRPr="00825F81">
        <w:t xml:space="preserve">citing </w:t>
      </w:r>
      <w:r w:rsidRPr="00825F81">
        <w:rPr>
          <w:i/>
        </w:rPr>
        <w:t>LaGrand,</w:t>
      </w:r>
      <w:r w:rsidRPr="00825F81">
        <w:t xml:space="preserve"> ¶77. </w:t>
      </w:r>
    </w:p>
  </w:footnote>
  <w:footnote w:id="128">
    <w:p w14:paraId="7BE0FDF8" w14:textId="58076A80" w:rsidR="00D50212" w:rsidRPr="00825F81" w:rsidRDefault="00D50212" w:rsidP="00825F81">
      <w:pPr>
        <w:pStyle w:val="FootnoteText"/>
        <w:rPr>
          <w:b/>
        </w:rPr>
      </w:pPr>
      <w:r w:rsidRPr="00825F81">
        <w:rPr>
          <w:vertAlign w:val="superscript"/>
        </w:rPr>
        <w:footnoteRef/>
      </w:r>
      <w:r w:rsidRPr="00825F81">
        <w:t xml:space="preserve"> </w:t>
      </w:r>
      <w:r w:rsidRPr="00825F81">
        <w:rPr>
          <w:i/>
        </w:rPr>
        <w:t xml:space="preserve">Avena, </w:t>
      </w:r>
      <w:r w:rsidRPr="00825F81">
        <w:t xml:space="preserve">Separate Opinion of Judge Vereshchetin, </w:t>
      </w:r>
      <w:r w:rsidR="00B05ED7" w:rsidRPr="00F94C52">
        <w:t>¶</w:t>
      </w:r>
      <w:r w:rsidRPr="00825F81">
        <w:t>¶5, 7. Diplomatic Protection with Commentaries</w:t>
      </w:r>
      <w:r w:rsidR="00CA5E3B">
        <w:t>.</w:t>
      </w:r>
    </w:p>
  </w:footnote>
  <w:footnote w:id="129">
    <w:p w14:paraId="017C1865" w14:textId="365F06E5" w:rsidR="00D50212" w:rsidRPr="00825F81" w:rsidRDefault="00D50212" w:rsidP="00825F81">
      <w:pPr>
        <w:pStyle w:val="FootnoteText"/>
        <w:rPr>
          <w:b/>
        </w:rPr>
      </w:pPr>
      <w:r w:rsidRPr="00825F81">
        <w:rPr>
          <w:vertAlign w:val="superscript"/>
        </w:rPr>
        <w:footnoteRef/>
      </w:r>
      <w:r w:rsidRPr="00825F81">
        <w:t xml:space="preserve"> </w:t>
      </w:r>
      <w:r w:rsidRPr="00825F81">
        <w:rPr>
          <w:i/>
        </w:rPr>
        <w:t>VCCR</w:t>
      </w:r>
      <w:r w:rsidRPr="00825F81">
        <w:t xml:space="preserve">, Art.1(b); </w:t>
      </w:r>
      <w:r w:rsidRPr="00825F81">
        <w:rPr>
          <w:i/>
        </w:rPr>
        <w:t>Avena</w:t>
      </w:r>
      <w:r w:rsidRPr="00825F81">
        <w:t>, ¶</w:t>
      </w:r>
      <w:r w:rsidR="00CA5E3B" w:rsidRPr="00F94C52">
        <w:t>¶</w:t>
      </w:r>
      <w:r w:rsidRPr="00825F81">
        <w:t xml:space="preserve">40, 63. </w:t>
      </w:r>
    </w:p>
  </w:footnote>
  <w:footnote w:id="130">
    <w:p w14:paraId="10C09391" w14:textId="1F450860" w:rsidR="00D50212" w:rsidRPr="00825F81" w:rsidRDefault="00D50212" w:rsidP="00825F81">
      <w:pPr>
        <w:pStyle w:val="FootnoteText"/>
        <w:rPr>
          <w:b/>
        </w:rPr>
      </w:pPr>
      <w:r w:rsidRPr="00825F81">
        <w:rPr>
          <w:vertAlign w:val="superscript"/>
        </w:rPr>
        <w:footnoteRef/>
      </w:r>
      <w:r w:rsidRPr="00825F81">
        <w:t xml:space="preserve"> Cf. John Quigley, </w:t>
      </w:r>
      <w:r w:rsidRPr="00825F81">
        <w:rPr>
          <w:i/>
        </w:rPr>
        <w:t xml:space="preserve">Procedural Limitations on Capital Punishment: The Case of Foreign Nationals </w:t>
      </w:r>
      <w:r w:rsidRPr="00825F81">
        <w:t>(2000), 6 ILSA J. INT'l &amp; COMP. L. 519, 522</w:t>
      </w:r>
      <w:r w:rsidR="00CA5E3B">
        <w:t xml:space="preserve"> </w:t>
      </w:r>
      <w:r w:rsidRPr="00825F81">
        <w:t>[Quigley]</w:t>
      </w:r>
      <w:r w:rsidR="00CA5E3B">
        <w:t>.</w:t>
      </w:r>
    </w:p>
  </w:footnote>
  <w:footnote w:id="131">
    <w:p w14:paraId="46E9CFFC" w14:textId="3511A246" w:rsidR="00D50212" w:rsidRPr="00825F81" w:rsidRDefault="00D50212" w:rsidP="00825F81">
      <w:pPr>
        <w:pStyle w:val="FootnoteText"/>
      </w:pPr>
      <w:r w:rsidRPr="00825F81">
        <w:rPr>
          <w:vertAlign w:val="superscript"/>
        </w:rPr>
        <w:footnoteRef/>
      </w:r>
      <w:r w:rsidRPr="00825F81">
        <w:t xml:space="preserve"> Jacques Maury, 'L'arret Nottebohm et La Condition de Nationalite Effective' (1958) 23 Zeitschrift fur auslandisches und internationales Privatrecht 515, 517.  </w:t>
      </w:r>
    </w:p>
  </w:footnote>
  <w:footnote w:id="132">
    <w:p w14:paraId="148168C3" w14:textId="77777777" w:rsidR="004524FC" w:rsidRPr="00825F81" w:rsidRDefault="004524FC" w:rsidP="004524FC">
      <w:pPr>
        <w:pStyle w:val="FootnoteText"/>
        <w:rPr>
          <w:b/>
        </w:rPr>
      </w:pPr>
      <w:r w:rsidRPr="00825F81">
        <w:rPr>
          <w:vertAlign w:val="superscript"/>
        </w:rPr>
        <w:footnoteRef/>
      </w:r>
      <w:r w:rsidRPr="00825F81">
        <w:t xml:space="preserve"> Crawford, 686. </w:t>
      </w:r>
    </w:p>
  </w:footnote>
  <w:footnote w:id="133">
    <w:p w14:paraId="564BD064" w14:textId="3A181EF4" w:rsidR="00D50212" w:rsidRPr="00825F81" w:rsidRDefault="00D50212" w:rsidP="00825F81">
      <w:pPr>
        <w:pStyle w:val="FootnoteText"/>
        <w:rPr>
          <w:b/>
        </w:rPr>
      </w:pPr>
      <w:r w:rsidRPr="00825F81">
        <w:rPr>
          <w:vertAlign w:val="superscript"/>
        </w:rPr>
        <w:footnoteRef/>
      </w:r>
      <w:r w:rsidRPr="00825F81">
        <w:t xml:space="preserve"> </w:t>
      </w:r>
      <w:r w:rsidR="008D19FC">
        <w:rPr>
          <w:i/>
          <w:iCs/>
        </w:rPr>
        <w:t>VCCR</w:t>
      </w:r>
      <w:r w:rsidRPr="00825F81">
        <w:t xml:space="preserve">, Art.36(1)(b); </w:t>
      </w:r>
      <w:r w:rsidRPr="00825F81">
        <w:rPr>
          <w:i/>
        </w:rPr>
        <w:t>Official Records of the United Nations Conference on Consular Relation</w:t>
      </w:r>
      <w:r w:rsidRPr="00825F81">
        <w:t xml:space="preserve">s, </w:t>
      </w:r>
      <w:r w:rsidRPr="00825F81">
        <w:rPr>
          <w:i/>
        </w:rPr>
        <w:t>Vienna</w:t>
      </w:r>
      <w:r w:rsidRPr="00825F81">
        <w:t xml:space="preserve"> (1963) A/CONF.25/16/Add.1, Vol. II, 24 [Official Records]</w:t>
      </w:r>
      <w:r w:rsidR="00B05ED7">
        <w:t>.</w:t>
      </w:r>
    </w:p>
  </w:footnote>
  <w:footnote w:id="134">
    <w:p w14:paraId="358667AB" w14:textId="718AD85F" w:rsidR="00D50212" w:rsidRPr="00825F81" w:rsidRDefault="00D50212" w:rsidP="00825F81">
      <w:pPr>
        <w:pStyle w:val="FootnoteText"/>
        <w:rPr>
          <w:b/>
        </w:rPr>
      </w:pPr>
      <w:r w:rsidRPr="00825F81">
        <w:rPr>
          <w:vertAlign w:val="superscript"/>
        </w:rPr>
        <w:footnoteRef/>
      </w:r>
      <w:r w:rsidRPr="00825F81">
        <w:t xml:space="preserve"> </w:t>
      </w:r>
      <w:r w:rsidR="00F94C52">
        <w:t>Compromis</w:t>
      </w:r>
      <w:r w:rsidRPr="00825F81">
        <w:t xml:space="preserve">, ¶47; </w:t>
      </w:r>
      <w:r w:rsidRPr="00303A4E">
        <w:rPr>
          <w:i/>
          <w:iCs/>
        </w:rPr>
        <w:t>VCCR</w:t>
      </w:r>
      <w:r w:rsidRPr="00825F81">
        <w:t>, Art.36(1)(a)(c)</w:t>
      </w:r>
      <w:r w:rsidR="00CA5E3B">
        <w:t>.</w:t>
      </w:r>
    </w:p>
  </w:footnote>
  <w:footnote w:id="135">
    <w:p w14:paraId="7610A51E" w14:textId="4B8AD81C" w:rsidR="00EF6D4D" w:rsidRPr="00825F81" w:rsidRDefault="00EF6D4D" w:rsidP="00825F81">
      <w:pPr>
        <w:pStyle w:val="FootnoteText"/>
        <w:rPr>
          <w:b/>
        </w:rPr>
      </w:pPr>
      <w:r w:rsidRPr="00825F81">
        <w:rPr>
          <w:vertAlign w:val="superscript"/>
        </w:rPr>
        <w:footnoteRef/>
      </w:r>
      <w:r w:rsidRPr="00825F81">
        <w:t xml:space="preserve"> </w:t>
      </w:r>
      <w:r w:rsidR="008D19FC">
        <w:rPr>
          <w:i/>
          <w:iCs/>
        </w:rPr>
        <w:t>VCCR</w:t>
      </w:r>
      <w:r w:rsidRPr="00825F81">
        <w:t>, Art.36(1)(b)</w:t>
      </w:r>
      <w:r w:rsidR="00CA5E3B">
        <w:t>.</w:t>
      </w:r>
    </w:p>
  </w:footnote>
  <w:footnote w:id="136">
    <w:p w14:paraId="779B5B0B" w14:textId="4A68429E" w:rsidR="00EF6D4D" w:rsidRPr="00825F81" w:rsidRDefault="00EF6D4D" w:rsidP="00825F81">
      <w:pPr>
        <w:pStyle w:val="FootnoteText"/>
      </w:pPr>
      <w:r w:rsidRPr="00825F81">
        <w:rPr>
          <w:vertAlign w:val="superscript"/>
        </w:rPr>
        <w:footnoteRef/>
      </w:r>
      <w:r w:rsidRPr="00825F81">
        <w:t xml:space="preserve"> </w:t>
      </w:r>
      <w:r w:rsidRPr="00825F81">
        <w:rPr>
          <w:i/>
        </w:rPr>
        <w:t xml:space="preserve">Lagrand, </w:t>
      </w:r>
      <w:r w:rsidRPr="00825F81">
        <w:t xml:space="preserve">¶74; </w:t>
      </w:r>
      <w:r w:rsidRPr="00825F81">
        <w:rPr>
          <w:i/>
        </w:rPr>
        <w:t xml:space="preserve">Avena </w:t>
      </w:r>
      <w:r w:rsidRPr="00825F81">
        <w:t xml:space="preserve">¶76, 99, 102-104; </w:t>
      </w:r>
      <w:r w:rsidRPr="00825F81">
        <w:rPr>
          <w:i/>
        </w:rPr>
        <w:t xml:space="preserve">Jhadav, </w:t>
      </w:r>
      <w:r w:rsidRPr="00825F81">
        <w:t>¶</w:t>
      </w:r>
      <w:r w:rsidR="00B05ED7" w:rsidRPr="00F94C52">
        <w:t>¶</w:t>
      </w:r>
      <w:r w:rsidRPr="00825F81">
        <w:t xml:space="preserve">107-108 citing Official Records, 24. </w:t>
      </w:r>
    </w:p>
  </w:footnote>
  <w:footnote w:id="137">
    <w:p w14:paraId="65196620" w14:textId="575A2568" w:rsidR="00EF6D4D" w:rsidRPr="00825F81" w:rsidRDefault="00EF6D4D" w:rsidP="00825F81">
      <w:pPr>
        <w:pStyle w:val="FootnoteText"/>
        <w:ind w:left="0" w:firstLine="0"/>
        <w:rPr>
          <w:b/>
        </w:rPr>
      </w:pPr>
      <w:r w:rsidRPr="00825F81">
        <w:rPr>
          <w:vertAlign w:val="superscript"/>
        </w:rPr>
        <w:footnoteRef/>
      </w:r>
      <w:r w:rsidRPr="00825F81">
        <w:t xml:space="preserve"> Clarifications, ¶7</w:t>
      </w:r>
      <w:r w:rsidR="00B6383E">
        <w:t>.</w:t>
      </w:r>
      <w:r w:rsidRPr="00825F81">
        <w:t xml:space="preserve"> </w:t>
      </w:r>
    </w:p>
  </w:footnote>
  <w:footnote w:id="138">
    <w:p w14:paraId="1A6FCE97" w14:textId="77777777" w:rsidR="00EF6D4D" w:rsidRPr="00825F81" w:rsidRDefault="00EF6D4D" w:rsidP="00825F81">
      <w:pPr>
        <w:pStyle w:val="FootnoteText"/>
        <w:rPr>
          <w:b/>
        </w:rPr>
      </w:pPr>
      <w:r w:rsidRPr="00825F81">
        <w:rPr>
          <w:vertAlign w:val="superscript"/>
        </w:rPr>
        <w:footnoteRef/>
      </w:r>
      <w:r w:rsidRPr="00825F81">
        <w:t xml:space="preserve"> </w:t>
      </w:r>
      <w:r w:rsidRPr="00825F81">
        <w:rPr>
          <w:i/>
        </w:rPr>
        <w:t xml:space="preserve">Avena, </w:t>
      </w:r>
      <w:r w:rsidRPr="00825F81">
        <w:t xml:space="preserve">¶85. </w:t>
      </w:r>
    </w:p>
  </w:footnote>
  <w:footnote w:id="139">
    <w:p w14:paraId="4E553F16" w14:textId="77777777" w:rsidR="00EF6D4D" w:rsidRPr="00825F81" w:rsidRDefault="00EF6D4D" w:rsidP="00825F81">
      <w:pPr>
        <w:pStyle w:val="FootnoteText"/>
        <w:rPr>
          <w:b/>
        </w:rPr>
      </w:pPr>
      <w:r w:rsidRPr="00825F81">
        <w:rPr>
          <w:vertAlign w:val="superscript"/>
        </w:rPr>
        <w:footnoteRef/>
      </w:r>
      <w:r w:rsidRPr="00825F81">
        <w:t xml:space="preserve"> </w:t>
      </w:r>
      <w:r w:rsidRPr="00825F81">
        <w:rPr>
          <w:i/>
        </w:rPr>
        <w:t xml:space="preserve">Avena, </w:t>
      </w:r>
      <w:r w:rsidRPr="00825F81">
        <w:t xml:space="preserve">¶63. </w:t>
      </w:r>
    </w:p>
  </w:footnote>
  <w:footnote w:id="140">
    <w:p w14:paraId="37620CBA" w14:textId="74FCF42A" w:rsidR="00EF6D4D" w:rsidRPr="00825F81" w:rsidRDefault="00EF6D4D" w:rsidP="00825F81">
      <w:pPr>
        <w:pStyle w:val="FootnoteText"/>
      </w:pPr>
      <w:r w:rsidRPr="00825F81">
        <w:rPr>
          <w:vertAlign w:val="superscript"/>
        </w:rPr>
        <w:footnoteRef/>
      </w:r>
      <w:r w:rsidRPr="00825F81">
        <w:t xml:space="preserve"> </w:t>
      </w:r>
      <w:r w:rsidRPr="00825F81">
        <w:rPr>
          <w:i/>
          <w:highlight w:val="white"/>
        </w:rPr>
        <w:t xml:space="preserve">Jadhav, </w:t>
      </w:r>
      <w:r w:rsidRPr="00825F81">
        <w:rPr>
          <w:highlight w:val="white"/>
        </w:rPr>
        <w:t>Declaration of Judge</w:t>
      </w:r>
      <w:r w:rsidRPr="00825F81">
        <w:rPr>
          <w:i/>
          <w:highlight w:val="white"/>
        </w:rPr>
        <w:t xml:space="preserve"> </w:t>
      </w:r>
      <w:r w:rsidRPr="00825F81">
        <w:rPr>
          <w:highlight w:val="white"/>
        </w:rPr>
        <w:t xml:space="preserve">Sebutinde, </w:t>
      </w:r>
      <w:r w:rsidRPr="00825F81">
        <w:t>¶</w:t>
      </w:r>
      <w:r w:rsidRPr="00825F81">
        <w:rPr>
          <w:highlight w:val="white"/>
        </w:rPr>
        <w:t xml:space="preserve">11. </w:t>
      </w:r>
    </w:p>
  </w:footnote>
  <w:footnote w:id="141">
    <w:p w14:paraId="478F1E53" w14:textId="77777777" w:rsidR="00EF6D4D" w:rsidRPr="00825F81" w:rsidRDefault="00EF6D4D" w:rsidP="00825F81">
      <w:pPr>
        <w:pStyle w:val="FootnoteText"/>
      </w:pPr>
      <w:r w:rsidRPr="00825F81">
        <w:rPr>
          <w:vertAlign w:val="superscript"/>
        </w:rPr>
        <w:footnoteRef/>
      </w:r>
      <w:r w:rsidRPr="00825F81">
        <w:t xml:space="preserve"> Jadhav</w:t>
      </w:r>
      <w:r w:rsidRPr="00825F81">
        <w:rPr>
          <w:i/>
        </w:rPr>
        <w:t xml:space="preserve">, </w:t>
      </w:r>
      <w:r w:rsidRPr="00825F81">
        <w:t xml:space="preserve">¶114 citing </w:t>
      </w:r>
      <w:r w:rsidRPr="00825F81">
        <w:rPr>
          <w:i/>
        </w:rPr>
        <w:t xml:space="preserve">Avena, </w:t>
      </w:r>
      <w:r w:rsidRPr="00825F81">
        <w:t xml:space="preserve">¶89. </w:t>
      </w:r>
    </w:p>
  </w:footnote>
  <w:footnote w:id="142">
    <w:p w14:paraId="588B3F6D" w14:textId="77777777" w:rsidR="00EF6D4D" w:rsidRPr="00825F81" w:rsidRDefault="00EF6D4D" w:rsidP="00825F81">
      <w:pPr>
        <w:pStyle w:val="FootnoteText"/>
      </w:pPr>
      <w:r w:rsidRPr="00825F81">
        <w:rPr>
          <w:vertAlign w:val="superscript"/>
        </w:rPr>
        <w:footnoteRef/>
      </w:r>
      <w:r w:rsidRPr="00825F81">
        <w:t xml:space="preserve"> Jadhav</w:t>
      </w:r>
      <w:r w:rsidRPr="00825F81">
        <w:rPr>
          <w:i/>
        </w:rPr>
        <w:t xml:space="preserve">, </w:t>
      </w:r>
      <w:r w:rsidRPr="00825F81">
        <w:t xml:space="preserve">¶114, citing </w:t>
      </w:r>
      <w:r w:rsidRPr="00825F81">
        <w:rPr>
          <w:i/>
        </w:rPr>
        <w:t xml:space="preserve">Avena, </w:t>
      </w:r>
      <w:r w:rsidRPr="00825F81">
        <w:t>¶97.</w:t>
      </w:r>
    </w:p>
  </w:footnote>
  <w:footnote w:id="143">
    <w:p w14:paraId="4FD9670F" w14:textId="635063F0" w:rsidR="00EF6D4D" w:rsidRPr="00825F81" w:rsidRDefault="00EF6D4D" w:rsidP="00A07B61">
      <w:pPr>
        <w:pStyle w:val="FootnoteText"/>
        <w:ind w:left="0" w:firstLine="0"/>
        <w:rPr>
          <w:b/>
        </w:rPr>
      </w:pPr>
      <w:r w:rsidRPr="00825F81">
        <w:rPr>
          <w:vertAlign w:val="superscript"/>
        </w:rPr>
        <w:footnoteRef/>
      </w:r>
      <w:r w:rsidRPr="00825F81">
        <w:t xml:space="preserve"> </w:t>
      </w:r>
      <w:r w:rsidRPr="00A07B61">
        <w:t>Nottebohm</w:t>
      </w:r>
      <w:r w:rsidRPr="00825F81">
        <w:t xml:space="preserve">, ¶22. </w:t>
      </w:r>
    </w:p>
  </w:footnote>
  <w:footnote w:id="144">
    <w:p w14:paraId="625377B3" w14:textId="0C429844" w:rsidR="00EF6D4D" w:rsidRPr="00825F81" w:rsidRDefault="00EF6D4D" w:rsidP="00A07B61">
      <w:pPr>
        <w:pStyle w:val="FootnoteText"/>
        <w:ind w:left="0" w:firstLine="0"/>
        <w:rPr>
          <w:b/>
        </w:rPr>
      </w:pPr>
      <w:r w:rsidRPr="00825F81">
        <w:rPr>
          <w:vertAlign w:val="superscript"/>
        </w:rPr>
        <w:footnoteRef/>
      </w:r>
      <w:r w:rsidRPr="00825F81">
        <w:t xml:space="preserve"> </w:t>
      </w:r>
      <w:r w:rsidR="00F94C52">
        <w:t>Compromis</w:t>
      </w:r>
      <w:r w:rsidRPr="00825F81">
        <w:t xml:space="preserve">, ¶42. </w:t>
      </w:r>
    </w:p>
  </w:footnote>
  <w:footnote w:id="145">
    <w:p w14:paraId="3723F248" w14:textId="762890DE" w:rsidR="00EF6D4D" w:rsidRPr="00825F81" w:rsidRDefault="00EF6D4D" w:rsidP="00F94C52">
      <w:pPr>
        <w:pStyle w:val="FootnoteText"/>
        <w:ind w:left="0" w:firstLine="0"/>
        <w:rPr>
          <w:b/>
        </w:rPr>
      </w:pPr>
      <w:r w:rsidRPr="00825F81">
        <w:rPr>
          <w:vertAlign w:val="superscript"/>
        </w:rPr>
        <w:footnoteRef/>
      </w:r>
      <w:r w:rsidRPr="00825F81">
        <w:t xml:space="preserve"> Clarification, ¶7; </w:t>
      </w:r>
      <w:r w:rsidR="00F94C52">
        <w:t>Compromis</w:t>
      </w:r>
      <w:r w:rsidRPr="00825F81">
        <w:t xml:space="preserve">, ¶43. </w:t>
      </w:r>
    </w:p>
  </w:footnote>
  <w:footnote w:id="146">
    <w:p w14:paraId="79128F57" w14:textId="7628BC0F" w:rsidR="00EF6D4D" w:rsidRPr="00825F81" w:rsidRDefault="00EF6D4D" w:rsidP="00F94C52">
      <w:pPr>
        <w:pStyle w:val="FootnoteText"/>
        <w:ind w:left="0" w:firstLine="0"/>
        <w:rPr>
          <w:b/>
        </w:rPr>
      </w:pPr>
      <w:r w:rsidRPr="00825F81">
        <w:rPr>
          <w:vertAlign w:val="superscript"/>
        </w:rPr>
        <w:footnoteRef/>
      </w:r>
      <w:r w:rsidRPr="00825F81">
        <w:t xml:space="preserve"> </w:t>
      </w:r>
      <w:r w:rsidR="00F94C52">
        <w:t>Compromis</w:t>
      </w:r>
      <w:r w:rsidRPr="00825F81">
        <w:t xml:space="preserve">, ¶45. </w:t>
      </w:r>
    </w:p>
  </w:footnote>
  <w:footnote w:id="147">
    <w:p w14:paraId="5811FEFB" w14:textId="3D136D6C" w:rsidR="00EF6D4D" w:rsidRPr="00825F81" w:rsidRDefault="00EF6D4D" w:rsidP="00F94C52">
      <w:pPr>
        <w:pStyle w:val="FootnoteText"/>
        <w:ind w:left="0" w:firstLine="0"/>
        <w:rPr>
          <w:b/>
        </w:rPr>
      </w:pPr>
      <w:r w:rsidRPr="00825F81">
        <w:rPr>
          <w:vertAlign w:val="superscript"/>
        </w:rPr>
        <w:footnoteRef/>
      </w:r>
      <w:r w:rsidRPr="00825F81">
        <w:t xml:space="preserve"> </w:t>
      </w:r>
      <w:r w:rsidR="00F94C52">
        <w:t>Compromis</w:t>
      </w:r>
      <w:r w:rsidRPr="00825F81">
        <w:t xml:space="preserve">, ¶45. </w:t>
      </w:r>
    </w:p>
  </w:footnote>
  <w:footnote w:id="148">
    <w:p w14:paraId="456FBF1F" w14:textId="77777777" w:rsidR="00EF6D4D" w:rsidRPr="00825F81" w:rsidRDefault="00EF6D4D" w:rsidP="00F94C52">
      <w:pPr>
        <w:pStyle w:val="FootnoteText"/>
        <w:ind w:left="0" w:firstLine="0"/>
        <w:rPr>
          <w:b/>
        </w:rPr>
      </w:pPr>
      <w:r w:rsidRPr="00825F81">
        <w:rPr>
          <w:vertAlign w:val="superscript"/>
        </w:rPr>
        <w:footnoteRef/>
      </w:r>
      <w:r w:rsidRPr="00825F81">
        <w:t xml:space="preserve"> </w:t>
      </w:r>
      <w:r w:rsidRPr="00825F81">
        <w:rPr>
          <w:i/>
        </w:rPr>
        <w:t xml:space="preserve">Jadhav, </w:t>
      </w:r>
      <w:r w:rsidRPr="00825F81">
        <w:t xml:space="preserve">¶111. </w:t>
      </w:r>
    </w:p>
  </w:footnote>
  <w:footnote w:id="149">
    <w:p w14:paraId="3273268B" w14:textId="731FEDAE" w:rsidR="004524FC" w:rsidRPr="004524FC" w:rsidRDefault="004524FC">
      <w:pPr>
        <w:pStyle w:val="FootnoteText"/>
      </w:pPr>
      <w:r>
        <w:rPr>
          <w:rStyle w:val="FootnoteReference"/>
        </w:rPr>
        <w:footnoteRef/>
      </w:r>
      <w:r>
        <w:t xml:space="preserve"> </w:t>
      </w:r>
      <w:r>
        <w:rPr>
          <w:i/>
          <w:iCs/>
        </w:rPr>
        <w:t>VCCR</w:t>
      </w:r>
      <w:r>
        <w:t>, Art.36(1)(a)(c).</w:t>
      </w:r>
    </w:p>
  </w:footnote>
  <w:footnote w:id="150">
    <w:p w14:paraId="672A48EE" w14:textId="5A2D5C42" w:rsidR="00EF6D4D" w:rsidRPr="00825F81" w:rsidRDefault="00EF6D4D" w:rsidP="00F94C52">
      <w:pPr>
        <w:pStyle w:val="FootnoteText"/>
        <w:rPr>
          <w:b/>
          <w:sz w:val="20"/>
          <w:szCs w:val="20"/>
        </w:rPr>
      </w:pPr>
      <w:r w:rsidRPr="00825F81">
        <w:rPr>
          <w:vertAlign w:val="superscript"/>
        </w:rPr>
        <w:footnoteRef/>
      </w:r>
      <w:r w:rsidRPr="00825F81">
        <w:rPr>
          <w:sz w:val="20"/>
          <w:szCs w:val="20"/>
        </w:rPr>
        <w:t xml:space="preserve"> </w:t>
      </w:r>
      <w:r w:rsidRPr="004524FC">
        <w:rPr>
          <w:i/>
          <w:iCs/>
        </w:rPr>
        <w:t>VCCR</w:t>
      </w:r>
      <w:r w:rsidRPr="00F94C52">
        <w:t xml:space="preserve">, Art.36(2); ILC, </w:t>
      </w:r>
      <w:r w:rsidRPr="00F94C52">
        <w:rPr>
          <w:i/>
        </w:rPr>
        <w:t xml:space="preserve">Draft Articles on Consular Relations with Commentaries </w:t>
      </w:r>
      <w:r w:rsidRPr="00F94C52">
        <w:t xml:space="preserve">(1961), Art.36, </w:t>
      </w:r>
      <w:r w:rsidR="00CA5E3B" w:rsidRPr="00F94C52">
        <w:t>¶</w:t>
      </w:r>
      <w:r w:rsidRPr="00F94C52">
        <w:t>¶5,7</w:t>
      </w:r>
      <w:r w:rsidR="00B461B5">
        <w:t>.</w:t>
      </w:r>
    </w:p>
  </w:footnote>
  <w:footnote w:id="151">
    <w:p w14:paraId="5C3CBC7C" w14:textId="2E703BB5" w:rsidR="00EF6D4D" w:rsidRPr="00825F81" w:rsidRDefault="00EF6D4D" w:rsidP="00F94C52">
      <w:pPr>
        <w:pStyle w:val="FootnoteText"/>
        <w:rPr>
          <w:b/>
          <w:sz w:val="20"/>
          <w:szCs w:val="20"/>
        </w:rPr>
      </w:pPr>
      <w:r w:rsidRPr="00825F81">
        <w:rPr>
          <w:vertAlign w:val="superscript"/>
        </w:rPr>
        <w:footnoteRef/>
      </w:r>
      <w:r w:rsidRPr="00825F81">
        <w:rPr>
          <w:sz w:val="20"/>
          <w:szCs w:val="20"/>
        </w:rPr>
        <w:t xml:space="preserve"> </w:t>
      </w:r>
      <w:r w:rsidRPr="00F94C52">
        <w:t xml:space="preserve">ICJ Statute, Art.53(2); </w:t>
      </w:r>
      <w:r w:rsidRPr="00F94C52">
        <w:rPr>
          <w:i/>
        </w:rPr>
        <w:t xml:space="preserve">Oil Platforms (Islamic Republic of Iran/United States of America), </w:t>
      </w:r>
      <w:r w:rsidRPr="00F94C52">
        <w:t>Judgement [2003] ICJ Rep 161, ¶119.</w:t>
      </w:r>
      <w:r w:rsidRPr="00825F81">
        <w:rPr>
          <w:sz w:val="20"/>
          <w:szCs w:val="20"/>
        </w:rPr>
        <w:t xml:space="preserve"> </w:t>
      </w:r>
    </w:p>
  </w:footnote>
  <w:footnote w:id="152">
    <w:p w14:paraId="6E723928" w14:textId="63EE58AA" w:rsidR="004524FC" w:rsidRDefault="004524FC" w:rsidP="008D19FC">
      <w:pPr>
        <w:pStyle w:val="FootnoteText"/>
        <w:rPr>
          <w:sz w:val="20"/>
          <w:szCs w:val="20"/>
        </w:rPr>
      </w:pPr>
      <w:r>
        <w:rPr>
          <w:vertAlign w:val="superscript"/>
        </w:rPr>
        <w:footnoteRef/>
      </w:r>
      <w:r>
        <w:rPr>
          <w:sz w:val="20"/>
          <w:szCs w:val="20"/>
        </w:rPr>
        <w:t xml:space="preserve"> </w:t>
      </w:r>
      <w:r w:rsidR="008D19FC" w:rsidRPr="008D19FC">
        <w:t>Compromis</w:t>
      </w:r>
      <w:r w:rsidRPr="008D19FC">
        <w:t>, ¶45.</w:t>
      </w:r>
      <w:r>
        <w:rPr>
          <w:sz w:val="20"/>
          <w:szCs w:val="20"/>
        </w:rPr>
        <w:t xml:space="preserve"> </w:t>
      </w:r>
    </w:p>
  </w:footnote>
  <w:footnote w:id="153">
    <w:p w14:paraId="2F07A666" w14:textId="77777777" w:rsidR="004524FC" w:rsidRDefault="004524FC" w:rsidP="008D19FC">
      <w:pPr>
        <w:pStyle w:val="FootnoteText"/>
        <w:rPr>
          <w:sz w:val="20"/>
          <w:szCs w:val="20"/>
        </w:rPr>
      </w:pPr>
      <w:r>
        <w:rPr>
          <w:vertAlign w:val="superscript"/>
        </w:rPr>
        <w:footnoteRef/>
      </w:r>
      <w:r>
        <w:rPr>
          <w:sz w:val="20"/>
          <w:szCs w:val="20"/>
        </w:rPr>
        <w:t xml:space="preserve"> </w:t>
      </w:r>
      <w:r w:rsidRPr="008D19FC">
        <w:t>Diplomatic Protection, Art.6(2).</w:t>
      </w:r>
      <w:r>
        <w:rPr>
          <w:sz w:val="20"/>
          <w:szCs w:val="20"/>
        </w:rPr>
        <w:t xml:space="preserve"> </w:t>
      </w:r>
    </w:p>
  </w:footnote>
  <w:footnote w:id="154">
    <w:p w14:paraId="53875C10" w14:textId="77BC712F" w:rsidR="004524FC" w:rsidRDefault="004524FC" w:rsidP="008D19FC">
      <w:pPr>
        <w:pStyle w:val="FootnoteText"/>
        <w:rPr>
          <w:b/>
          <w:sz w:val="20"/>
          <w:szCs w:val="20"/>
        </w:rPr>
      </w:pPr>
      <w:r>
        <w:rPr>
          <w:vertAlign w:val="superscript"/>
        </w:rPr>
        <w:footnoteRef/>
      </w:r>
      <w:r>
        <w:rPr>
          <w:sz w:val="20"/>
          <w:szCs w:val="20"/>
        </w:rPr>
        <w:t xml:space="preserve"> </w:t>
      </w:r>
      <w:r w:rsidRPr="008D19FC">
        <w:rPr>
          <w:i/>
        </w:rPr>
        <w:t>Corfu Channel</w:t>
      </w:r>
      <w:r w:rsidRPr="008D19FC">
        <w:t xml:space="preserve"> </w:t>
      </w:r>
      <w:r w:rsidRPr="008D19FC">
        <w:rPr>
          <w:i/>
        </w:rPr>
        <w:t xml:space="preserve">Case (Merits), </w:t>
      </w:r>
      <w:r w:rsidRPr="008D19FC">
        <w:t>[1949] ICJ Rep 4, 16-17.</w:t>
      </w:r>
      <w:r>
        <w:rPr>
          <w:sz w:val="20"/>
          <w:szCs w:val="20"/>
        </w:rPr>
        <w:t xml:space="preserve"> </w:t>
      </w:r>
    </w:p>
  </w:footnote>
  <w:footnote w:id="155">
    <w:p w14:paraId="61A0EAD2" w14:textId="77777777" w:rsidR="009B33B4" w:rsidRPr="00825F81" w:rsidRDefault="009B33B4" w:rsidP="00F94C52">
      <w:pPr>
        <w:pStyle w:val="FootnoteText"/>
        <w:rPr>
          <w:b/>
          <w:sz w:val="20"/>
          <w:szCs w:val="20"/>
          <w:lang w:val="es-ES"/>
        </w:rPr>
      </w:pPr>
      <w:r w:rsidRPr="00825F81">
        <w:rPr>
          <w:vertAlign w:val="superscript"/>
        </w:rPr>
        <w:footnoteRef/>
      </w:r>
      <w:r w:rsidRPr="00825F81">
        <w:rPr>
          <w:sz w:val="20"/>
          <w:szCs w:val="20"/>
          <w:lang w:val="es-ES"/>
        </w:rPr>
        <w:t xml:space="preserve"> </w:t>
      </w:r>
      <w:r w:rsidRPr="00F94C52">
        <w:rPr>
          <w:i/>
          <w:iCs/>
        </w:rPr>
        <w:t>El</w:t>
      </w:r>
      <w:r w:rsidRPr="00F94C52">
        <w:rPr>
          <w:i/>
          <w:iCs/>
          <w:lang w:val="es-ES"/>
        </w:rPr>
        <w:t xml:space="preserve"> derecho a la informacion sobre la asistencia consular en el marco de las garantlas del debido proceso legal</w:t>
      </w:r>
      <w:r w:rsidRPr="00F94C52">
        <w:rPr>
          <w:i/>
          <w:lang w:val="es-ES"/>
        </w:rPr>
        <w:t xml:space="preserve">, </w:t>
      </w:r>
      <w:r w:rsidRPr="00F94C52">
        <w:rPr>
          <w:lang w:val="es-ES"/>
        </w:rPr>
        <w:t>[1999] Advisory Opinion, IACrtHR OC/16/99, ¶94; Quigley, 522-523.</w:t>
      </w:r>
      <w:r w:rsidRPr="00825F81">
        <w:rPr>
          <w:sz w:val="20"/>
          <w:szCs w:val="20"/>
          <w:lang w:val="es-ES"/>
        </w:rPr>
        <w:t xml:space="preserve"> </w:t>
      </w:r>
    </w:p>
  </w:footnote>
  <w:footnote w:id="156">
    <w:p w14:paraId="755D6B34" w14:textId="28D24410" w:rsidR="009B33B4" w:rsidRPr="00825F81" w:rsidRDefault="009B33B4" w:rsidP="00F94C52">
      <w:pPr>
        <w:pStyle w:val="FootnoteText"/>
        <w:rPr>
          <w:b/>
          <w:sz w:val="20"/>
          <w:szCs w:val="20"/>
        </w:rPr>
      </w:pPr>
      <w:r w:rsidRPr="00825F81">
        <w:rPr>
          <w:vertAlign w:val="superscript"/>
        </w:rPr>
        <w:footnoteRef/>
      </w:r>
      <w:r w:rsidRPr="00825F81">
        <w:rPr>
          <w:sz w:val="20"/>
          <w:szCs w:val="20"/>
        </w:rPr>
        <w:t xml:space="preserve"> </w:t>
      </w:r>
      <w:r w:rsidRPr="00CA5E3B">
        <w:t>Quigley, 523.</w:t>
      </w:r>
      <w:r w:rsidRPr="00825F81">
        <w:rPr>
          <w:sz w:val="20"/>
          <w:szCs w:val="20"/>
        </w:rPr>
        <w:t xml:space="preserve"> </w:t>
      </w:r>
    </w:p>
  </w:footnote>
  <w:footnote w:id="157">
    <w:p w14:paraId="0EC81995" w14:textId="599CBC99" w:rsidR="009B33B4" w:rsidRPr="00825F81" w:rsidRDefault="009B33B4" w:rsidP="00F94C52">
      <w:pPr>
        <w:pStyle w:val="FootnoteText"/>
        <w:rPr>
          <w:b/>
          <w:sz w:val="20"/>
          <w:szCs w:val="20"/>
        </w:rPr>
      </w:pPr>
      <w:r w:rsidRPr="00825F81">
        <w:rPr>
          <w:vertAlign w:val="superscript"/>
        </w:rPr>
        <w:footnoteRef/>
      </w:r>
      <w:r w:rsidRPr="00825F81">
        <w:rPr>
          <w:sz w:val="20"/>
          <w:szCs w:val="20"/>
        </w:rPr>
        <w:t xml:space="preserve"> </w:t>
      </w:r>
      <w:r w:rsidR="00F94C52" w:rsidRPr="00CA5E3B">
        <w:t>Compromis</w:t>
      </w:r>
      <w:r w:rsidRPr="00CA5E3B">
        <w:t>, ¶47.</w:t>
      </w:r>
      <w:r w:rsidRPr="00825F81">
        <w:rPr>
          <w:sz w:val="20"/>
          <w:szCs w:val="20"/>
        </w:rPr>
        <w:t xml:space="preserve"> </w:t>
      </w:r>
    </w:p>
  </w:footnote>
  <w:footnote w:id="158">
    <w:p w14:paraId="2D0C2D91" w14:textId="1089AC0E" w:rsidR="009B33B4" w:rsidRPr="00825F81" w:rsidRDefault="009B33B4" w:rsidP="00825F81">
      <w:pPr>
        <w:pStyle w:val="FootnoteText"/>
      </w:pPr>
      <w:r w:rsidRPr="00825F81">
        <w:rPr>
          <w:vertAlign w:val="superscript"/>
        </w:rPr>
        <w:footnoteRef/>
      </w:r>
      <w:r w:rsidRPr="00825F81">
        <w:t xml:space="preserve"> Security Council Resolution 99997 (2022), Art.1</w:t>
      </w:r>
      <w:r w:rsidR="00730C7C">
        <w:t xml:space="preserve"> </w:t>
      </w:r>
      <w:r w:rsidRPr="00825F81">
        <w:t>[Resolution]</w:t>
      </w:r>
      <w:r w:rsidR="00F94C52">
        <w:t>.</w:t>
      </w:r>
    </w:p>
  </w:footnote>
  <w:footnote w:id="159">
    <w:p w14:paraId="4D3E5DEB" w14:textId="5A2791C6" w:rsidR="004D398C" w:rsidRPr="00825F81" w:rsidRDefault="004D398C" w:rsidP="00825F81">
      <w:pPr>
        <w:pStyle w:val="FootnoteText"/>
        <w:rPr>
          <w:b/>
        </w:rPr>
      </w:pPr>
      <w:r w:rsidRPr="00825F81">
        <w:rPr>
          <w:vertAlign w:val="superscript"/>
        </w:rPr>
        <w:footnoteRef/>
      </w:r>
      <w:r w:rsidRPr="00825F81">
        <w:t xml:space="preserve"> </w:t>
      </w:r>
      <w:r w:rsidRPr="00825F81">
        <w:rPr>
          <w:i/>
          <w:highlight w:val="white"/>
        </w:rPr>
        <w:t>Legal Consequences for States of the Continued Presence of South Africa in Namibia (South West Africa) notwithstanding Security Council Resolution 276 (1970)</w:t>
      </w:r>
      <w:r w:rsidRPr="00825F81">
        <w:rPr>
          <w:highlight w:val="white"/>
        </w:rPr>
        <w:t xml:space="preserve">, </w:t>
      </w:r>
      <w:r w:rsidRPr="00825F81">
        <w:rPr>
          <w:i/>
          <w:highlight w:val="white"/>
        </w:rPr>
        <w:t>Advisory Opinion</w:t>
      </w:r>
      <w:r w:rsidRPr="00825F81">
        <w:rPr>
          <w:highlight w:val="white"/>
        </w:rPr>
        <w:t xml:space="preserve">, [1971] ICJ Rep 16, </w:t>
      </w:r>
      <w:r w:rsidRPr="00825F81">
        <w:t>¶</w:t>
      </w:r>
      <w:r w:rsidRPr="00825F81">
        <w:rPr>
          <w:highlight w:val="white"/>
        </w:rPr>
        <w:t>113 [</w:t>
      </w:r>
      <w:r w:rsidRPr="00825F81">
        <w:rPr>
          <w:i/>
          <w:highlight w:val="white"/>
        </w:rPr>
        <w:t>Namibia</w:t>
      </w:r>
      <w:r w:rsidRPr="00825F81">
        <w:rPr>
          <w:highlight w:val="white"/>
        </w:rPr>
        <w:t>]</w:t>
      </w:r>
      <w:r w:rsidR="00F94C52">
        <w:t>.</w:t>
      </w:r>
    </w:p>
  </w:footnote>
  <w:footnote w:id="160">
    <w:p w14:paraId="6CA5D197" w14:textId="77777777" w:rsidR="004D398C" w:rsidRPr="00825F81" w:rsidRDefault="004D398C" w:rsidP="00825F81">
      <w:pPr>
        <w:pStyle w:val="FootnoteText"/>
        <w:rPr>
          <w:b/>
        </w:rPr>
      </w:pPr>
      <w:r w:rsidRPr="00825F81">
        <w:rPr>
          <w:vertAlign w:val="superscript"/>
        </w:rPr>
        <w:footnoteRef/>
      </w:r>
      <w:r w:rsidRPr="00825F81">
        <w:t xml:space="preserve"> </w:t>
      </w:r>
      <w:r w:rsidRPr="00825F81">
        <w:rPr>
          <w:i/>
          <w:highlight w:val="white"/>
        </w:rPr>
        <w:t>Namibia</w:t>
      </w:r>
      <w:r w:rsidRPr="00825F81">
        <w:rPr>
          <w:highlight w:val="white"/>
        </w:rPr>
        <w:t xml:space="preserve">, </w:t>
      </w:r>
      <w:r w:rsidRPr="00825F81">
        <w:t>¶</w:t>
      </w:r>
      <w:r w:rsidRPr="00825F81">
        <w:rPr>
          <w:highlight w:val="white"/>
        </w:rPr>
        <w:t xml:space="preserve">113. </w:t>
      </w:r>
    </w:p>
  </w:footnote>
  <w:footnote w:id="161">
    <w:p w14:paraId="30668A2A" w14:textId="5CBDAB60" w:rsidR="004D398C" w:rsidRPr="00825F81" w:rsidRDefault="004D398C" w:rsidP="00825F81">
      <w:pPr>
        <w:pStyle w:val="FootnoteText"/>
        <w:rPr>
          <w:b/>
        </w:rPr>
      </w:pPr>
      <w:r w:rsidRPr="00825F81">
        <w:rPr>
          <w:vertAlign w:val="superscript"/>
        </w:rPr>
        <w:footnoteRef/>
      </w:r>
      <w:r w:rsidRPr="00825F81">
        <w:t xml:space="preserve"> </w:t>
      </w:r>
      <w:r w:rsidRPr="00825F81">
        <w:rPr>
          <w:i/>
          <w:highlight w:val="white"/>
        </w:rPr>
        <w:t>Sydney</w:t>
      </w:r>
      <w:r w:rsidRPr="00825F81">
        <w:t xml:space="preserve"> D. Bailey, and Sam Daws, </w:t>
      </w:r>
      <w:r w:rsidRPr="00825F81">
        <w:rPr>
          <w:i/>
        </w:rPr>
        <w:t>'Voting', The Procedure of the UN Security Council</w:t>
      </w:r>
      <w:r w:rsidRPr="00825F81">
        <w:t>, 3rd edn (1998), 269</w:t>
      </w:r>
      <w:r w:rsidR="008D19FC">
        <w:t xml:space="preserve"> </w:t>
      </w:r>
      <w:r w:rsidRPr="00825F81">
        <w:t>citing G</w:t>
      </w:r>
      <w:r w:rsidR="00D83BA1">
        <w:t>eneral Assembly Official Records</w:t>
      </w:r>
      <w:r w:rsidRPr="00825F81">
        <w:t>, 16th session, Supplement no. 1A, A/4800/Add. 1, 4. [Bailey and Daws]</w:t>
      </w:r>
      <w:r w:rsidR="00CA5E3B">
        <w:t>.</w:t>
      </w:r>
    </w:p>
  </w:footnote>
  <w:footnote w:id="162">
    <w:p w14:paraId="68CF2DEB" w14:textId="7EBAAEA6" w:rsidR="004D398C" w:rsidRPr="00825F81" w:rsidRDefault="004D398C" w:rsidP="00825F81">
      <w:pPr>
        <w:pStyle w:val="FootnoteText"/>
        <w:rPr>
          <w:b/>
        </w:rPr>
      </w:pPr>
      <w:r w:rsidRPr="00825F81">
        <w:rPr>
          <w:vertAlign w:val="superscript"/>
        </w:rPr>
        <w:footnoteRef/>
      </w:r>
      <w:r w:rsidRPr="00825F81">
        <w:rPr>
          <w:highlight w:val="white"/>
        </w:rPr>
        <w:t xml:space="preserve"> </w:t>
      </w:r>
      <w:r w:rsidRPr="00825F81">
        <w:rPr>
          <w:i/>
          <w:highlight w:val="white"/>
        </w:rPr>
        <w:t>Namibia</w:t>
      </w:r>
      <w:r w:rsidRPr="00825F81">
        <w:rPr>
          <w:highlight w:val="white"/>
        </w:rPr>
        <w:t xml:space="preserve">, </w:t>
      </w:r>
      <w:r w:rsidRPr="00825F81">
        <w:t>¶</w:t>
      </w:r>
      <w:r w:rsidRPr="00825F81">
        <w:rPr>
          <w:highlight w:val="white"/>
        </w:rPr>
        <w:t>114</w:t>
      </w:r>
      <w:r w:rsidR="00A07B61">
        <w:t xml:space="preserve">; </w:t>
      </w:r>
      <w:r w:rsidRPr="00825F81">
        <w:t xml:space="preserve">Michael Wood, </w:t>
      </w:r>
      <w:r w:rsidRPr="00825F81">
        <w:rPr>
          <w:i/>
        </w:rPr>
        <w:t>The Interpretation of Security Council Resolutions</w:t>
      </w:r>
      <w:r w:rsidRPr="00825F81">
        <w:t xml:space="preserve"> (1998), 2 Max Planck Yearbook of United Nations Law</w:t>
      </w:r>
      <w:r w:rsidRPr="00825F81">
        <w:rPr>
          <w:highlight w:val="white"/>
        </w:rPr>
        <w:t>, 75 [Wood]</w:t>
      </w:r>
      <w:r w:rsidR="00CA5E3B">
        <w:t>.</w:t>
      </w:r>
    </w:p>
  </w:footnote>
  <w:footnote w:id="163">
    <w:p w14:paraId="2799C604" w14:textId="77777777" w:rsidR="00857789" w:rsidRPr="00825F81" w:rsidRDefault="00857789" w:rsidP="00825F81">
      <w:pPr>
        <w:pStyle w:val="FootnoteText"/>
        <w:rPr>
          <w:b/>
        </w:rPr>
      </w:pPr>
      <w:r w:rsidRPr="00825F81">
        <w:rPr>
          <w:vertAlign w:val="superscript"/>
        </w:rPr>
        <w:footnoteRef/>
      </w:r>
      <w:r w:rsidRPr="00825F81">
        <w:t xml:space="preserve"> </w:t>
      </w:r>
      <w:r w:rsidRPr="00825F81">
        <w:rPr>
          <w:i/>
          <w:highlight w:val="white"/>
        </w:rPr>
        <w:t>Resolution</w:t>
      </w:r>
      <w:r w:rsidRPr="00825F81">
        <w:t xml:space="preserve">, Art.1. </w:t>
      </w:r>
    </w:p>
  </w:footnote>
  <w:footnote w:id="164">
    <w:p w14:paraId="78C606B9" w14:textId="7A2BE318" w:rsidR="00857789" w:rsidRPr="00A07B61" w:rsidRDefault="00857789" w:rsidP="00825F81">
      <w:pPr>
        <w:pStyle w:val="FootnoteText"/>
        <w:rPr>
          <w:b/>
          <w:bCs/>
        </w:rPr>
      </w:pPr>
      <w:r w:rsidRPr="00825F81">
        <w:rPr>
          <w:rStyle w:val="FootnoteReference"/>
        </w:rPr>
        <w:footnoteRef/>
      </w:r>
      <w:r w:rsidRPr="00825F81">
        <w:t xml:space="preserve"> </w:t>
      </w:r>
      <w:r w:rsidR="00A07B61">
        <w:t>Wood, 82, 86-8</w:t>
      </w:r>
      <w:r w:rsidR="00A07B61" w:rsidRPr="008D19FC">
        <w:t>7.</w:t>
      </w:r>
    </w:p>
  </w:footnote>
  <w:footnote w:id="165">
    <w:p w14:paraId="3D80F3EB" w14:textId="47CF0B93" w:rsidR="00857789" w:rsidRPr="00825F81" w:rsidRDefault="00857789" w:rsidP="00825F81">
      <w:pPr>
        <w:pStyle w:val="FootnoteText"/>
        <w:rPr>
          <w:b/>
        </w:rPr>
      </w:pPr>
      <w:r w:rsidRPr="00825F81">
        <w:rPr>
          <w:vertAlign w:val="superscript"/>
        </w:rPr>
        <w:footnoteRef/>
      </w:r>
      <w:r w:rsidRPr="00825F81">
        <w:t xml:space="preserve"> Bruno Simma et al</w:t>
      </w:r>
      <w:r w:rsidR="00A07B61">
        <w:t xml:space="preserve">, </w:t>
      </w:r>
      <w:r w:rsidRPr="00825F81">
        <w:rPr>
          <w:i/>
        </w:rPr>
        <w:t>The Charter of the United Nations: A Commentary, Volume I</w:t>
      </w:r>
      <w:r w:rsidRPr="00825F81">
        <w:t xml:space="preserve">, 3rd Edition (2012) [Simma] at Anne Peters, “Ch. V. The Security Council Functions and Powers, Article 25”, 794 [Peters] citing Hans Kelsen, </w:t>
      </w:r>
      <w:r w:rsidRPr="00825F81">
        <w:rPr>
          <w:i/>
        </w:rPr>
        <w:t>The Law of the United Nations, A Critical Analysis of its Fundamental Problems</w:t>
      </w:r>
      <w:r w:rsidRPr="00825F81">
        <w:t xml:space="preserve"> (1950), 445 [Kelsen]; Simma at Theodor Schweisfurth, “Ch VI. Pacific Settlement of Disputes, Article 34”, 1103 [</w:t>
      </w:r>
      <w:r w:rsidRPr="00171F9A">
        <w:t>Schweisfurth</w:t>
      </w:r>
      <w:r w:rsidRPr="00825F81">
        <w:t>]</w:t>
      </w:r>
      <w:r w:rsidR="00A07B61">
        <w:t>.</w:t>
      </w:r>
    </w:p>
  </w:footnote>
  <w:footnote w:id="166">
    <w:p w14:paraId="171A54D7" w14:textId="77777777" w:rsidR="00857789" w:rsidRPr="00825F81" w:rsidRDefault="00857789" w:rsidP="00825F81">
      <w:pPr>
        <w:pStyle w:val="FootnoteText"/>
        <w:rPr>
          <w:b/>
        </w:rPr>
      </w:pPr>
      <w:r w:rsidRPr="00825F81">
        <w:rPr>
          <w:vertAlign w:val="superscript"/>
        </w:rPr>
        <w:footnoteRef/>
      </w:r>
      <w:r w:rsidRPr="00825F81">
        <w:t xml:space="preserve"> </w:t>
      </w:r>
      <w:r w:rsidRPr="00825F81">
        <w:rPr>
          <w:i/>
          <w:highlight w:val="white"/>
        </w:rPr>
        <w:t>Resolution</w:t>
      </w:r>
      <w:r w:rsidRPr="00825F81">
        <w:t xml:space="preserve">, Art.2,3. </w:t>
      </w:r>
    </w:p>
  </w:footnote>
  <w:footnote w:id="167">
    <w:p w14:paraId="49F89E40" w14:textId="77777777" w:rsidR="00857789" w:rsidRPr="00825F81" w:rsidRDefault="00857789" w:rsidP="00825F81">
      <w:pPr>
        <w:pStyle w:val="FootnoteText"/>
        <w:rPr>
          <w:b/>
        </w:rPr>
      </w:pPr>
      <w:r w:rsidRPr="00825F81">
        <w:rPr>
          <w:vertAlign w:val="superscript"/>
        </w:rPr>
        <w:footnoteRef/>
      </w:r>
      <w:r w:rsidRPr="00825F81">
        <w:t xml:space="preserve"> </w:t>
      </w:r>
      <w:r w:rsidRPr="00171F9A">
        <w:rPr>
          <w:iCs/>
          <w:highlight w:val="white"/>
        </w:rPr>
        <w:t>Schweisfurth</w:t>
      </w:r>
      <w:r w:rsidRPr="00825F81">
        <w:t xml:space="preserve">, 1103; Resolution, Preamble. </w:t>
      </w:r>
    </w:p>
  </w:footnote>
  <w:footnote w:id="168">
    <w:p w14:paraId="4DDAB92E" w14:textId="2F56F834" w:rsidR="00857789" w:rsidRPr="00825F81" w:rsidRDefault="00857789" w:rsidP="00825F81">
      <w:pPr>
        <w:pStyle w:val="FootnoteText"/>
        <w:rPr>
          <w:b/>
        </w:rPr>
      </w:pPr>
      <w:r w:rsidRPr="00825F81">
        <w:rPr>
          <w:vertAlign w:val="superscript"/>
        </w:rPr>
        <w:footnoteRef/>
      </w:r>
      <w:r w:rsidRPr="00825F81">
        <w:t xml:space="preserve"> </w:t>
      </w:r>
      <w:r w:rsidRPr="00171F9A">
        <w:rPr>
          <w:iCs/>
          <w:highlight w:val="white"/>
        </w:rPr>
        <w:t>Schweisfurth</w:t>
      </w:r>
      <w:r w:rsidRPr="00825F81">
        <w:t xml:space="preserve">, 1095 and 1103 citing </w:t>
      </w:r>
      <w:r w:rsidRPr="008D19FC">
        <w:rPr>
          <w:i/>
          <w:iCs/>
        </w:rPr>
        <w:t>Charter of the United Nations</w:t>
      </w:r>
      <w:r w:rsidRPr="00825F81">
        <w:t>, 1945, 1 UNTS XVI, Art.33(2), 36, 37(2), 38 [</w:t>
      </w:r>
      <w:r w:rsidRPr="008D19FC">
        <w:rPr>
          <w:i/>
          <w:iCs/>
        </w:rPr>
        <w:t>Charter</w:t>
      </w:r>
      <w:r w:rsidRPr="00825F81">
        <w:t>]</w:t>
      </w:r>
      <w:r w:rsidR="008D19FC">
        <w:t>.</w:t>
      </w:r>
    </w:p>
  </w:footnote>
  <w:footnote w:id="169">
    <w:p w14:paraId="5AFEFD97" w14:textId="77777777" w:rsidR="00857789" w:rsidRPr="00825F81" w:rsidRDefault="00857789" w:rsidP="00825F81">
      <w:pPr>
        <w:pStyle w:val="FootnoteText"/>
        <w:rPr>
          <w:b/>
          <w:highlight w:val="white"/>
        </w:rPr>
      </w:pPr>
      <w:r w:rsidRPr="00825F81">
        <w:rPr>
          <w:vertAlign w:val="superscript"/>
        </w:rPr>
        <w:footnoteRef/>
      </w:r>
      <w:r w:rsidRPr="00825F81">
        <w:t xml:space="preserve"> </w:t>
      </w:r>
      <w:r w:rsidRPr="00825F81">
        <w:rPr>
          <w:i/>
          <w:highlight w:val="white"/>
        </w:rPr>
        <w:t>Charter</w:t>
      </w:r>
      <w:r w:rsidRPr="00825F81">
        <w:t>, Art.2(5)</w:t>
      </w:r>
      <w:r w:rsidRPr="00825F81">
        <w:rPr>
          <w:highlight w:val="white"/>
        </w:rPr>
        <w:t xml:space="preserve">; Bailey and Daws, 267; </w:t>
      </w:r>
      <w:r w:rsidRPr="00825F81">
        <w:t xml:space="preserve">Peters, 795. </w:t>
      </w:r>
    </w:p>
  </w:footnote>
  <w:footnote w:id="170">
    <w:p w14:paraId="03536892" w14:textId="77777777" w:rsidR="00857789" w:rsidRPr="00825F81" w:rsidRDefault="00857789" w:rsidP="008D19FC">
      <w:pPr>
        <w:pStyle w:val="FootnoteText"/>
        <w:rPr>
          <w:b/>
        </w:rPr>
      </w:pPr>
      <w:r w:rsidRPr="00825F81">
        <w:rPr>
          <w:vertAlign w:val="superscript"/>
        </w:rPr>
        <w:footnoteRef/>
      </w:r>
      <w:r w:rsidRPr="00825F81">
        <w:t xml:space="preserve"> </w:t>
      </w:r>
      <w:r w:rsidRPr="00171F9A">
        <w:rPr>
          <w:iCs/>
          <w:highlight w:val="white"/>
        </w:rPr>
        <w:t>Schweisfurth</w:t>
      </w:r>
      <w:r w:rsidRPr="00825F81">
        <w:t xml:space="preserve">, 1100-1101. </w:t>
      </w:r>
    </w:p>
  </w:footnote>
  <w:footnote w:id="171">
    <w:p w14:paraId="75590D67" w14:textId="77777777" w:rsidR="00857789" w:rsidRPr="00825F81" w:rsidRDefault="00857789" w:rsidP="008D19FC">
      <w:pPr>
        <w:pStyle w:val="FootnoteText"/>
        <w:rPr>
          <w:b/>
        </w:rPr>
      </w:pPr>
      <w:r w:rsidRPr="00825F81">
        <w:rPr>
          <w:vertAlign w:val="superscript"/>
        </w:rPr>
        <w:footnoteRef/>
      </w:r>
      <w:r w:rsidRPr="00825F81">
        <w:t xml:space="preserve"> </w:t>
      </w:r>
      <w:r w:rsidRPr="00171F9A">
        <w:rPr>
          <w:iCs/>
          <w:highlight w:val="white"/>
        </w:rPr>
        <w:t>Schweisfurth</w:t>
      </w:r>
      <w:r w:rsidRPr="00825F81">
        <w:t xml:space="preserve">, 1104. </w:t>
      </w:r>
    </w:p>
  </w:footnote>
  <w:footnote w:id="172">
    <w:p w14:paraId="74642578" w14:textId="4CE27EE0" w:rsidR="00857789" w:rsidRPr="00825F81" w:rsidRDefault="00857789" w:rsidP="008D19FC">
      <w:pPr>
        <w:pStyle w:val="FootnoteText"/>
        <w:rPr>
          <w:b/>
        </w:rPr>
      </w:pPr>
      <w:r w:rsidRPr="00825F81">
        <w:rPr>
          <w:vertAlign w:val="superscript"/>
        </w:rPr>
        <w:footnoteRef/>
      </w:r>
      <w:r w:rsidRPr="00825F81">
        <w:t xml:space="preserve"> </w:t>
      </w:r>
      <w:r w:rsidRPr="008D19FC">
        <w:rPr>
          <w:i/>
          <w:highlight w:val="white"/>
        </w:rPr>
        <w:t>Charter</w:t>
      </w:r>
      <w:r w:rsidRPr="00825F81">
        <w:rPr>
          <w:highlight w:val="white"/>
        </w:rPr>
        <w:t xml:space="preserve">, Art.34; </w:t>
      </w:r>
      <w:r w:rsidRPr="00825F81">
        <w:t xml:space="preserve">S/PV-168, </w:t>
      </w:r>
      <w:r w:rsidRPr="00825F81">
        <w:rPr>
          <w:i/>
        </w:rPr>
        <w:t xml:space="preserve">U.N. Security Council, Second Year, Official Records </w:t>
      </w:r>
      <w:r w:rsidRPr="00825F81">
        <w:t xml:space="preserve">[Records], </w:t>
      </w:r>
      <w:r w:rsidRPr="00825F81">
        <w:rPr>
          <w:i/>
        </w:rPr>
        <w:t>No. 65, 168th Meeting</w:t>
      </w:r>
      <w:r w:rsidRPr="00825F81">
        <w:t xml:space="preserve"> (1947), 1553 [168th Meeting] referenced in LM Goodrich and AP Simons, </w:t>
      </w:r>
      <w:r w:rsidRPr="00825F81">
        <w:rPr>
          <w:i/>
        </w:rPr>
        <w:t xml:space="preserve">United Nations and the Maintenance of Peace and Security </w:t>
      </w:r>
      <w:r w:rsidRPr="00825F81">
        <w:t>(Brookings Institution 1955) 181 [Goodrich and Simons]; Schweisfurth, 1104</w:t>
      </w:r>
      <w:r w:rsidR="008D19FC">
        <w:t>.</w:t>
      </w:r>
    </w:p>
  </w:footnote>
  <w:footnote w:id="173">
    <w:p w14:paraId="40FE72F1" w14:textId="77777777" w:rsidR="00857789" w:rsidRPr="00825F81" w:rsidRDefault="00857789" w:rsidP="008D19FC">
      <w:pPr>
        <w:pStyle w:val="FootnoteText"/>
        <w:rPr>
          <w:b/>
        </w:rPr>
      </w:pPr>
      <w:r w:rsidRPr="00825F81">
        <w:rPr>
          <w:vertAlign w:val="superscript"/>
        </w:rPr>
        <w:footnoteRef/>
      </w:r>
      <w:r w:rsidRPr="00825F81">
        <w:t xml:space="preserve"> </w:t>
      </w:r>
      <w:r w:rsidRPr="008D19FC">
        <w:rPr>
          <w:iCs/>
          <w:highlight w:val="white"/>
        </w:rPr>
        <w:t>Peters</w:t>
      </w:r>
      <w:r w:rsidRPr="008D19FC">
        <w:rPr>
          <w:iCs/>
        </w:rPr>
        <w:t>,</w:t>
      </w:r>
      <w:r w:rsidRPr="00825F81">
        <w:t xml:space="preserve"> 794 citing Kelsen, 445; US Delegation, S/PV-167, Records, No. 64, </w:t>
      </w:r>
      <w:r w:rsidRPr="00825F81">
        <w:rPr>
          <w:i/>
        </w:rPr>
        <w:t>167th Meeting</w:t>
      </w:r>
      <w:r w:rsidRPr="00825F81">
        <w:t xml:space="preserve">, 1541 [167th Meeting] cited in Goodrich and Simmons, 181. </w:t>
      </w:r>
    </w:p>
  </w:footnote>
  <w:footnote w:id="174">
    <w:p w14:paraId="721585C7" w14:textId="3407EE8A" w:rsidR="00857789" w:rsidRPr="00825F81" w:rsidRDefault="00857789" w:rsidP="008D19FC">
      <w:pPr>
        <w:pStyle w:val="FootnoteText"/>
        <w:rPr>
          <w:b/>
        </w:rPr>
      </w:pPr>
      <w:r w:rsidRPr="00825F81">
        <w:rPr>
          <w:vertAlign w:val="superscript"/>
        </w:rPr>
        <w:footnoteRef/>
      </w:r>
      <w:r w:rsidRPr="00825F81">
        <w:t xml:space="preserve"> </w:t>
      </w:r>
      <w:r w:rsidRPr="008D19FC">
        <w:rPr>
          <w:i/>
          <w:highlight w:val="white"/>
        </w:rPr>
        <w:t>Charter</w:t>
      </w:r>
      <w:r w:rsidRPr="00825F81">
        <w:t xml:space="preserve">, Art.103; </w:t>
      </w:r>
      <w:r w:rsidRPr="00825F81">
        <w:rPr>
          <w:i/>
        </w:rPr>
        <w:t>Questions of Interpretation and Application of the 1971 Montreal Convention arising from the Aerial Incident at Lockerbie (Libyan Arab Jamahiriya/United Kingdom)</w:t>
      </w:r>
      <w:r w:rsidRPr="00825F81">
        <w:t>, Provisional Measures, [1992], ICJ Rep 3, ¶39 [</w:t>
      </w:r>
      <w:r w:rsidRPr="00825F81">
        <w:rPr>
          <w:i/>
        </w:rPr>
        <w:t>Lockerbie</w:t>
      </w:r>
      <w:r w:rsidRPr="00825F81">
        <w:t>]</w:t>
      </w:r>
      <w:r w:rsidR="008D19FC">
        <w:t>.</w:t>
      </w:r>
    </w:p>
  </w:footnote>
  <w:footnote w:id="175">
    <w:p w14:paraId="05DB946D" w14:textId="487DC667" w:rsidR="00857789" w:rsidRPr="00825F81" w:rsidRDefault="00857789" w:rsidP="00825F81">
      <w:pPr>
        <w:rPr>
          <w:rFonts w:ascii="Times New Roman" w:hAnsi="Times New Roman" w:cs="Times New Roman"/>
          <w:b/>
        </w:rPr>
      </w:pPr>
      <w:r w:rsidRPr="00825F81">
        <w:rPr>
          <w:rFonts w:ascii="Times New Roman" w:hAnsi="Times New Roman" w:cs="Times New Roman"/>
          <w:vertAlign w:val="superscript"/>
        </w:rPr>
        <w:footnoteRef/>
      </w:r>
      <w:r w:rsidRPr="00825F81">
        <w:rPr>
          <w:rFonts w:ascii="Times New Roman" w:hAnsi="Times New Roman" w:cs="Times New Roman"/>
        </w:rPr>
        <w:t xml:space="preserve"> Wood (1998), 89-94. </w:t>
      </w:r>
    </w:p>
  </w:footnote>
  <w:footnote w:id="176">
    <w:p w14:paraId="53D9CC06" w14:textId="46F38E15" w:rsidR="00857789" w:rsidRPr="00825F81" w:rsidRDefault="00857789" w:rsidP="008D19FC">
      <w:pPr>
        <w:pStyle w:val="FootnoteText"/>
        <w:rPr>
          <w:b/>
        </w:rPr>
      </w:pPr>
      <w:r w:rsidRPr="00825F81">
        <w:rPr>
          <w:vertAlign w:val="superscript"/>
        </w:rPr>
        <w:footnoteRef/>
      </w:r>
      <w:r w:rsidRPr="00825F81">
        <w:t xml:space="preserve"> </w:t>
      </w:r>
      <w:r w:rsidR="00F94C52" w:rsidRPr="008D19FC">
        <w:rPr>
          <w:i/>
          <w:highlight w:val="white"/>
        </w:rPr>
        <w:t>Compromis</w:t>
      </w:r>
      <w:r w:rsidRPr="00825F81">
        <w:t xml:space="preserve">, ¶53. </w:t>
      </w:r>
    </w:p>
  </w:footnote>
  <w:footnote w:id="177">
    <w:p w14:paraId="6574E562" w14:textId="77777777" w:rsidR="00857789" w:rsidRPr="00825F81" w:rsidRDefault="00857789" w:rsidP="008D19FC">
      <w:pPr>
        <w:pStyle w:val="FootnoteText"/>
        <w:rPr>
          <w:b/>
        </w:rPr>
      </w:pPr>
      <w:r w:rsidRPr="00825F81">
        <w:rPr>
          <w:vertAlign w:val="superscript"/>
        </w:rPr>
        <w:footnoteRef/>
      </w:r>
      <w:r w:rsidRPr="00825F81">
        <w:t xml:space="preserve"> </w:t>
      </w:r>
      <w:r w:rsidRPr="008D19FC">
        <w:rPr>
          <w:iCs/>
          <w:highlight w:val="white"/>
        </w:rPr>
        <w:t>Wood</w:t>
      </w:r>
      <w:r w:rsidRPr="008D19FC">
        <w:rPr>
          <w:iCs/>
        </w:rPr>
        <w:t xml:space="preserve"> </w:t>
      </w:r>
      <w:r w:rsidRPr="00825F81">
        <w:t xml:space="preserve">at 82-84. </w:t>
      </w:r>
    </w:p>
  </w:footnote>
  <w:footnote w:id="178">
    <w:p w14:paraId="721395AD" w14:textId="50EF6E86" w:rsidR="00857789" w:rsidRPr="00825F81" w:rsidRDefault="00857789" w:rsidP="008D19FC">
      <w:pPr>
        <w:pStyle w:val="FootnoteText"/>
      </w:pPr>
      <w:r w:rsidRPr="00825F81">
        <w:rPr>
          <w:vertAlign w:val="superscript"/>
        </w:rPr>
        <w:footnoteRef/>
      </w:r>
      <w:r w:rsidRPr="00825F81">
        <w:t xml:space="preserve"> </w:t>
      </w:r>
      <w:r w:rsidR="00F94C52" w:rsidRPr="008D19FC">
        <w:rPr>
          <w:iCs/>
          <w:highlight w:val="white"/>
        </w:rPr>
        <w:t>Compromis</w:t>
      </w:r>
      <w:r w:rsidR="00F94C52">
        <w:t>,</w:t>
      </w:r>
      <w:r w:rsidRPr="00825F81">
        <w:t xml:space="preserve"> ¶39. </w:t>
      </w:r>
    </w:p>
  </w:footnote>
  <w:footnote w:id="179">
    <w:p w14:paraId="7462037C" w14:textId="3208D3C1" w:rsidR="00857789" w:rsidRPr="00825F81" w:rsidRDefault="00857789" w:rsidP="008D19FC">
      <w:pPr>
        <w:pStyle w:val="FootnoteText"/>
        <w:rPr>
          <w:b/>
        </w:rPr>
      </w:pPr>
      <w:r w:rsidRPr="00825F81">
        <w:rPr>
          <w:vertAlign w:val="superscript"/>
        </w:rPr>
        <w:footnoteRef/>
      </w:r>
      <w:r w:rsidRPr="00825F81">
        <w:t xml:space="preserve"> </w:t>
      </w:r>
      <w:r w:rsidRPr="00E43480">
        <w:rPr>
          <w:i/>
          <w:highlight w:val="white"/>
        </w:rPr>
        <w:t>Charter</w:t>
      </w:r>
      <w:r w:rsidRPr="00825F81">
        <w:t xml:space="preserve">, Art.24; UNHCR, </w:t>
      </w:r>
      <w:r w:rsidRPr="00825F81">
        <w:rPr>
          <w:i/>
        </w:rPr>
        <w:t xml:space="preserve">The Statelessness Conventions Campaign: Why States Should Accede to the 1954 and 1961 Statelessness Conventions </w:t>
      </w:r>
      <w:r w:rsidRPr="00825F81">
        <w:t>(2010)</w:t>
      </w:r>
      <w:r w:rsidRPr="00825F81">
        <w:rPr>
          <w:i/>
        </w:rPr>
        <w:t xml:space="preserve">, </w:t>
      </w:r>
      <w:r w:rsidRPr="00825F81">
        <w:t xml:space="preserve">¶3 [Statelessness]; Valeria Bello. </w:t>
      </w:r>
      <w:r w:rsidRPr="00825F81">
        <w:rPr>
          <w:i/>
        </w:rPr>
        <w:t>Is the discussion of ‘Statelessness’ in the UN Security Council a question of human security or international security?</w:t>
      </w:r>
      <w:r w:rsidRPr="00825F81">
        <w:t xml:space="preserve"> (2014), Policy Report No. 02/02. Barcelona: UNU-GCM, 8-15 [Bello]</w:t>
      </w:r>
      <w:r w:rsidR="008D19FC">
        <w:t>.</w:t>
      </w:r>
    </w:p>
  </w:footnote>
  <w:footnote w:id="180">
    <w:p w14:paraId="26416DAF" w14:textId="193D0D4A" w:rsidR="00D636E5" w:rsidRPr="00825F81" w:rsidRDefault="00D636E5" w:rsidP="008D19FC">
      <w:pPr>
        <w:pStyle w:val="FootnoteText"/>
        <w:rPr>
          <w:b/>
        </w:rPr>
      </w:pPr>
      <w:r w:rsidRPr="00825F81">
        <w:rPr>
          <w:vertAlign w:val="superscript"/>
        </w:rPr>
        <w:footnoteRef/>
      </w:r>
      <w:r w:rsidRPr="00825F81">
        <w:t xml:space="preserve"> </w:t>
      </w:r>
      <w:r w:rsidR="00F94C52" w:rsidRPr="008D19FC">
        <w:rPr>
          <w:iCs/>
          <w:highlight w:val="white"/>
        </w:rPr>
        <w:t>Compromis</w:t>
      </w:r>
      <w:r w:rsidRPr="00825F81">
        <w:t xml:space="preserve">, ¶52. </w:t>
      </w:r>
    </w:p>
  </w:footnote>
  <w:footnote w:id="181">
    <w:p w14:paraId="37199B41" w14:textId="77777777" w:rsidR="00D636E5" w:rsidRPr="00825F81" w:rsidRDefault="00D636E5" w:rsidP="008D19FC">
      <w:pPr>
        <w:pStyle w:val="FootnoteText"/>
        <w:rPr>
          <w:b/>
        </w:rPr>
      </w:pPr>
      <w:r w:rsidRPr="00825F81">
        <w:rPr>
          <w:vertAlign w:val="superscript"/>
        </w:rPr>
        <w:footnoteRef/>
      </w:r>
      <w:r w:rsidRPr="00825F81">
        <w:t xml:space="preserve"> </w:t>
      </w:r>
      <w:r w:rsidRPr="00E43480">
        <w:rPr>
          <w:i/>
          <w:highlight w:val="white"/>
        </w:rPr>
        <w:t>Charter</w:t>
      </w:r>
      <w:r w:rsidRPr="00825F81">
        <w:t xml:space="preserve">, Art.2(5), 25.  </w:t>
      </w:r>
    </w:p>
  </w:footnote>
  <w:footnote w:id="182">
    <w:p w14:paraId="30EE39E3" w14:textId="4A411AE2" w:rsidR="00D636E5" w:rsidRPr="00825F81" w:rsidRDefault="00D636E5" w:rsidP="008D19FC">
      <w:pPr>
        <w:pStyle w:val="FootnoteText"/>
        <w:rPr>
          <w:b/>
        </w:rPr>
      </w:pPr>
      <w:r w:rsidRPr="00825F81">
        <w:rPr>
          <w:vertAlign w:val="superscript"/>
        </w:rPr>
        <w:footnoteRef/>
      </w:r>
      <w:r w:rsidRPr="00825F81">
        <w:t xml:space="preserve"> </w:t>
      </w:r>
      <w:r w:rsidRPr="008D19FC">
        <w:rPr>
          <w:iCs/>
          <w:highlight w:val="white"/>
        </w:rPr>
        <w:t>Michael</w:t>
      </w:r>
      <w:r w:rsidRPr="00825F81">
        <w:t xml:space="preserve"> Schoiswohl, </w:t>
      </w:r>
      <w:r w:rsidRPr="00825F81">
        <w:rPr>
          <w:i/>
        </w:rPr>
        <w:t>IV Immunities and Privileges, X Laissez-Passer, Laissez-Passer</w:t>
      </w:r>
      <w:r w:rsidRPr="00825F81">
        <w:t xml:space="preserve"> (2016), 459 [Schoiswohl]; UN Office of Legal Affairs, </w:t>
      </w:r>
      <w:r w:rsidRPr="00825F81">
        <w:rPr>
          <w:i/>
        </w:rPr>
        <w:t xml:space="preserve">Facsimile to the Chief of the Special Procedures Centre for Human Rights, </w:t>
      </w:r>
      <w:r w:rsidRPr="0071442E">
        <w:rPr>
          <w:iCs/>
        </w:rPr>
        <w:t>United Nations Office in Geneva</w:t>
      </w:r>
      <w:r w:rsidRPr="00825F81">
        <w:t xml:space="preserve"> (1996) UNJYB, 437 cited by Anthony Miller, </w:t>
      </w:r>
      <w:r w:rsidRPr="00825F81">
        <w:rPr>
          <w:i/>
        </w:rPr>
        <w:t xml:space="preserve">United Nations Experts on Mission and their Privileges and Immunities </w:t>
      </w:r>
      <w:r w:rsidRPr="00825F81">
        <w:t xml:space="preserve">(2007), International Organizations Law Review, 11. </w:t>
      </w:r>
    </w:p>
  </w:footnote>
  <w:footnote w:id="183">
    <w:p w14:paraId="3E2F982D" w14:textId="0C79DFCE" w:rsidR="00D636E5" w:rsidRPr="00825F81" w:rsidRDefault="00D636E5" w:rsidP="008D19FC">
      <w:pPr>
        <w:pStyle w:val="FootnoteText"/>
        <w:rPr>
          <w:b/>
        </w:rPr>
      </w:pPr>
      <w:r w:rsidRPr="00825F81">
        <w:rPr>
          <w:vertAlign w:val="superscript"/>
        </w:rPr>
        <w:footnoteRef/>
      </w:r>
      <w:r w:rsidRPr="00825F81">
        <w:t xml:space="preserve"> </w:t>
      </w:r>
      <w:r w:rsidRPr="008D19FC">
        <w:rPr>
          <w:iCs/>
          <w:highlight w:val="white"/>
        </w:rPr>
        <w:t>Schoiswohl</w:t>
      </w:r>
      <w:r w:rsidRPr="00825F81">
        <w:t>, 498</w:t>
      </w:r>
      <w:r w:rsidR="008D19FC">
        <w:t>.</w:t>
      </w:r>
    </w:p>
  </w:footnote>
  <w:footnote w:id="184">
    <w:p w14:paraId="42EDC09A" w14:textId="52368BAF" w:rsidR="00D636E5" w:rsidRPr="00825F81" w:rsidRDefault="00D636E5" w:rsidP="008D19FC">
      <w:pPr>
        <w:pStyle w:val="FootnoteText"/>
        <w:rPr>
          <w:b/>
        </w:rPr>
      </w:pPr>
      <w:r w:rsidRPr="00825F81">
        <w:rPr>
          <w:vertAlign w:val="superscript"/>
        </w:rPr>
        <w:footnoteRef/>
      </w:r>
      <w:r w:rsidRPr="00825F81">
        <w:t xml:space="preserve"> </w:t>
      </w:r>
      <w:r w:rsidR="00F94C52" w:rsidRPr="008D19FC">
        <w:rPr>
          <w:iCs/>
          <w:highlight w:val="white"/>
        </w:rPr>
        <w:t>Compromis</w:t>
      </w:r>
      <w:r w:rsidRPr="00825F81">
        <w:t xml:space="preserve">, ¶52, 57, 58. </w:t>
      </w:r>
    </w:p>
  </w:footnote>
  <w:footnote w:id="185">
    <w:p w14:paraId="468314CF" w14:textId="4A40C5D9" w:rsidR="00D636E5" w:rsidRPr="00825F81" w:rsidRDefault="00D636E5" w:rsidP="008D19FC">
      <w:pPr>
        <w:pStyle w:val="FootnoteText"/>
        <w:rPr>
          <w:b/>
        </w:rPr>
      </w:pPr>
      <w:r w:rsidRPr="00825F81">
        <w:rPr>
          <w:vertAlign w:val="superscript"/>
        </w:rPr>
        <w:footnoteRef/>
      </w:r>
      <w:r w:rsidRPr="00825F81">
        <w:t xml:space="preserve"> </w:t>
      </w:r>
      <w:r w:rsidRPr="008D19FC">
        <w:rPr>
          <w:iCs/>
          <w:highlight w:val="white"/>
        </w:rPr>
        <w:t>Schoiswohl</w:t>
      </w:r>
      <w:r w:rsidRPr="00825F81">
        <w:t>, 496</w:t>
      </w:r>
      <w:r w:rsidR="008D19FC">
        <w:t>.</w:t>
      </w:r>
    </w:p>
  </w:footnote>
  <w:footnote w:id="186">
    <w:p w14:paraId="2DC22CB5" w14:textId="1E2FB566" w:rsidR="00D636E5" w:rsidRPr="00825F81" w:rsidRDefault="00D636E5" w:rsidP="00825F81">
      <w:pPr>
        <w:pStyle w:val="FootnoteText"/>
        <w:rPr>
          <w:b/>
        </w:rPr>
      </w:pPr>
      <w:r w:rsidRPr="00825F81">
        <w:rPr>
          <w:vertAlign w:val="superscript"/>
        </w:rPr>
        <w:footnoteRef/>
      </w:r>
      <w:r w:rsidRPr="00825F81">
        <w:t xml:space="preserve"> </w:t>
      </w:r>
      <w:r w:rsidRPr="00825F81">
        <w:rPr>
          <w:i/>
          <w:highlight w:val="white"/>
        </w:rPr>
        <w:t>ILC</w:t>
      </w:r>
      <w:r w:rsidRPr="00825F81">
        <w:t xml:space="preserve"> </w:t>
      </w:r>
      <w:r w:rsidRPr="00825F81">
        <w:rPr>
          <w:i/>
        </w:rPr>
        <w:t xml:space="preserve">Draft </w:t>
      </w:r>
      <w:r w:rsidR="00F64118">
        <w:rPr>
          <w:i/>
        </w:rPr>
        <w:t>A</w:t>
      </w:r>
      <w:r w:rsidRPr="00825F81">
        <w:rPr>
          <w:i/>
        </w:rPr>
        <w:t xml:space="preserve">rticles on the responsibility of </w:t>
      </w:r>
      <w:r w:rsidR="004C7B51">
        <w:rPr>
          <w:i/>
        </w:rPr>
        <w:t>I</w:t>
      </w:r>
      <w:r w:rsidRPr="00825F81">
        <w:rPr>
          <w:i/>
        </w:rPr>
        <w:t xml:space="preserve">nternational </w:t>
      </w:r>
      <w:r w:rsidR="004C7B51">
        <w:rPr>
          <w:i/>
        </w:rPr>
        <w:t>O</w:t>
      </w:r>
      <w:r w:rsidRPr="00825F81">
        <w:rPr>
          <w:i/>
        </w:rPr>
        <w:t xml:space="preserve">rganizations </w:t>
      </w:r>
      <w:r w:rsidRPr="00825F81">
        <w:t xml:space="preserve">(2011), Art.52(2) cited by Peters, 847. </w:t>
      </w:r>
    </w:p>
  </w:footnote>
  <w:footnote w:id="187">
    <w:p w14:paraId="0D39D7A0" w14:textId="77777777" w:rsidR="00D636E5" w:rsidRPr="00825F81" w:rsidRDefault="00D636E5" w:rsidP="00825F81">
      <w:pPr>
        <w:pStyle w:val="FootnoteText"/>
        <w:rPr>
          <w:b/>
        </w:rPr>
      </w:pPr>
      <w:r w:rsidRPr="00825F81">
        <w:rPr>
          <w:vertAlign w:val="superscript"/>
        </w:rPr>
        <w:footnoteRef/>
      </w:r>
      <w:r w:rsidRPr="00825F81">
        <w:t xml:space="preserve"> </w:t>
      </w:r>
      <w:r w:rsidRPr="00E43480">
        <w:rPr>
          <w:i/>
          <w:highlight w:val="white"/>
        </w:rPr>
        <w:t>Charter</w:t>
      </w:r>
      <w:r w:rsidRPr="00825F81">
        <w:t xml:space="preserve">, Art.105; Schoiswohl, 495. </w:t>
      </w:r>
    </w:p>
  </w:footnote>
  <w:footnote w:id="188">
    <w:p w14:paraId="36B342FA" w14:textId="79EDC76F" w:rsidR="00D636E5" w:rsidRPr="00825F81" w:rsidRDefault="00D636E5" w:rsidP="00825F81">
      <w:pPr>
        <w:pStyle w:val="FootnoteText"/>
        <w:rPr>
          <w:b/>
        </w:rPr>
      </w:pPr>
      <w:r w:rsidRPr="00825F81">
        <w:rPr>
          <w:vertAlign w:val="superscript"/>
        </w:rPr>
        <w:footnoteRef/>
      </w:r>
      <w:r w:rsidRPr="00825F81">
        <w:t xml:space="preserve"> </w:t>
      </w:r>
      <w:r w:rsidRPr="00825F81">
        <w:rPr>
          <w:i/>
        </w:rPr>
        <w:t>Lockerbie</w:t>
      </w:r>
      <w:r w:rsidRPr="00825F81">
        <w:t xml:space="preserve">, ¶39-43; </w:t>
      </w:r>
      <w:r w:rsidRPr="00825F81">
        <w:rPr>
          <w:i/>
        </w:rPr>
        <w:t xml:space="preserve">Namibia, </w:t>
      </w:r>
      <w:r w:rsidRPr="00825F81">
        <w:t xml:space="preserve">¶89, quoted by Dapo Akabe, </w:t>
      </w:r>
      <w:r w:rsidRPr="00825F81">
        <w:rPr>
          <w:i/>
        </w:rPr>
        <w:t xml:space="preserve">The International Court of Justice and the Security Council: Is There Room for Judicial Control of Decisions of the Political Organs of the United Nations </w:t>
      </w:r>
      <w:r w:rsidRPr="00825F81">
        <w:t xml:space="preserve">(1997), 46:2 Inti &amp; CLQ 309, 326. [Akabe]; </w:t>
      </w:r>
      <w:r w:rsidRPr="00825F81">
        <w:rPr>
          <w:i/>
        </w:rPr>
        <w:t xml:space="preserve">Certain Expenses of the United Nations (Article 17, paragraph 2, of the Charter), </w:t>
      </w:r>
      <w:r w:rsidRPr="00825F81">
        <w:t>Advisory Opinion, [1962] ICJ Rep 151,</w:t>
      </w:r>
      <w:r w:rsidRPr="00825F81">
        <w:rPr>
          <w:i/>
        </w:rPr>
        <w:t xml:space="preserve"> </w:t>
      </w:r>
      <w:r w:rsidRPr="00825F81">
        <w:t>168</w:t>
      </w:r>
      <w:r w:rsidR="008D19FC">
        <w:t xml:space="preserve"> </w:t>
      </w:r>
      <w:r w:rsidRPr="00825F81">
        <w:t>[</w:t>
      </w:r>
      <w:r w:rsidRPr="00825F81">
        <w:rPr>
          <w:i/>
        </w:rPr>
        <w:t>Certain Expenses</w:t>
      </w:r>
      <w:r w:rsidRPr="00825F81">
        <w:t>]</w:t>
      </w:r>
      <w:r w:rsidR="008D19FC">
        <w:t>.</w:t>
      </w:r>
    </w:p>
  </w:footnote>
  <w:footnote w:id="189">
    <w:p w14:paraId="161D3E86" w14:textId="0E90A801" w:rsidR="00D636E5" w:rsidRPr="00825F81" w:rsidRDefault="00D636E5" w:rsidP="00825F81">
      <w:pPr>
        <w:pStyle w:val="FootnoteText"/>
        <w:rPr>
          <w:b/>
        </w:rPr>
      </w:pPr>
      <w:r w:rsidRPr="00825F81">
        <w:rPr>
          <w:vertAlign w:val="superscript"/>
        </w:rPr>
        <w:footnoteRef/>
      </w:r>
      <w:r w:rsidRPr="00825F81">
        <w:t xml:space="preserve"> </w:t>
      </w:r>
      <w:r w:rsidRPr="00E43480">
        <w:rPr>
          <w:i/>
          <w:iCs/>
        </w:rPr>
        <w:t>Charter</w:t>
      </w:r>
      <w:r w:rsidRPr="00825F81">
        <w:t xml:space="preserve">, Art. 24; Akabe, 337 citing </w:t>
      </w:r>
      <w:r w:rsidRPr="00825F81">
        <w:rPr>
          <w:i/>
        </w:rPr>
        <w:t xml:space="preserve">Application of the Convention on the Prevention and Punishment of the Crime of Genocide, </w:t>
      </w:r>
      <w:r w:rsidRPr="00825F81">
        <w:t xml:space="preserve">[1993] Provisional Measures, ICJ Rep 325, Separate Opinion Lauterpatch, 439 ¶99. </w:t>
      </w:r>
    </w:p>
  </w:footnote>
  <w:footnote w:id="190">
    <w:p w14:paraId="58378BDE" w14:textId="77777777" w:rsidR="00D636E5" w:rsidRPr="00825F81" w:rsidRDefault="00D636E5" w:rsidP="00825F81">
      <w:pPr>
        <w:pStyle w:val="FootnoteText"/>
      </w:pPr>
      <w:r w:rsidRPr="00825F81">
        <w:rPr>
          <w:vertAlign w:val="superscript"/>
        </w:rPr>
        <w:footnoteRef/>
      </w:r>
      <w:r w:rsidRPr="00825F81">
        <w:t xml:space="preserve"> Akabe 337 citing </w:t>
      </w:r>
      <w:r w:rsidRPr="00825F81">
        <w:rPr>
          <w:i/>
        </w:rPr>
        <w:t xml:space="preserve">Lockerbie, </w:t>
      </w:r>
      <w:r w:rsidRPr="00825F81">
        <w:t xml:space="preserve">Dissenting Opinion by Judge Weeramantry, 66 &amp; 176; </w:t>
      </w:r>
      <w:r w:rsidRPr="00E43480">
        <w:rPr>
          <w:i/>
          <w:iCs/>
        </w:rPr>
        <w:t>Charter</w:t>
      </w:r>
      <w:r w:rsidRPr="00825F81">
        <w:t xml:space="preserve">, Art.39. </w:t>
      </w:r>
    </w:p>
  </w:footnote>
  <w:footnote w:id="191">
    <w:p w14:paraId="65FD9FF5" w14:textId="64B4457F" w:rsidR="00D636E5" w:rsidRPr="00825F81" w:rsidRDefault="00D636E5" w:rsidP="00825F81">
      <w:pPr>
        <w:pStyle w:val="FootnoteText"/>
        <w:rPr>
          <w:b/>
        </w:rPr>
      </w:pPr>
      <w:r w:rsidRPr="00825F81">
        <w:rPr>
          <w:vertAlign w:val="superscript"/>
        </w:rPr>
        <w:footnoteRef/>
      </w:r>
      <w:r w:rsidRPr="00825F81">
        <w:t xml:space="preserve"> </w:t>
      </w:r>
      <w:r w:rsidRPr="00825F81">
        <w:rPr>
          <w:i/>
        </w:rPr>
        <w:t xml:space="preserve">Prosecutor v Duško Tadić aka Dule </w:t>
      </w:r>
      <w:r w:rsidRPr="00825F81">
        <w:t>(1995), Decision on the defence motion on jurisdiction, IT-94-1-T, ICTY</w:t>
      </w:r>
      <w:r w:rsidRPr="00825F81">
        <w:rPr>
          <w:i/>
        </w:rPr>
        <w:t xml:space="preserve">, </w:t>
      </w:r>
      <w:r w:rsidRPr="00825F81">
        <w:t xml:space="preserve">¶23. </w:t>
      </w:r>
    </w:p>
  </w:footnote>
  <w:footnote w:id="192">
    <w:p w14:paraId="3258D38D" w14:textId="02859F94" w:rsidR="00D636E5" w:rsidRPr="00825F81" w:rsidRDefault="00D636E5" w:rsidP="00825F81">
      <w:pPr>
        <w:pStyle w:val="FootnoteText"/>
        <w:rPr>
          <w:b/>
        </w:rPr>
      </w:pPr>
      <w:r w:rsidRPr="00825F81">
        <w:rPr>
          <w:vertAlign w:val="superscript"/>
        </w:rPr>
        <w:footnoteRef/>
      </w:r>
      <w:r w:rsidRPr="00825F81">
        <w:t xml:space="preserve"> </w:t>
      </w:r>
      <w:r w:rsidRPr="00825F81">
        <w:rPr>
          <w:i/>
        </w:rPr>
        <w:t xml:space="preserve">Lockerbie, </w:t>
      </w:r>
      <w:r w:rsidRPr="00825F81">
        <w:t>¶39-43</w:t>
      </w:r>
      <w:r w:rsidRPr="00825F81">
        <w:rPr>
          <w:i/>
        </w:rPr>
        <w:t xml:space="preserve">. </w:t>
      </w:r>
    </w:p>
  </w:footnote>
  <w:footnote w:id="193">
    <w:p w14:paraId="14B8842B" w14:textId="7C5A4037" w:rsidR="00D636E5" w:rsidRPr="00825F81" w:rsidRDefault="00D636E5" w:rsidP="00825F81">
      <w:pPr>
        <w:pStyle w:val="FootnoteText"/>
        <w:rPr>
          <w:b/>
        </w:rPr>
      </w:pPr>
      <w:r w:rsidRPr="00825F81">
        <w:rPr>
          <w:vertAlign w:val="superscript"/>
        </w:rPr>
        <w:footnoteRef/>
      </w:r>
      <w:r w:rsidRPr="00825F81">
        <w:t xml:space="preserve"> </w:t>
      </w:r>
      <w:r w:rsidRPr="00825F81">
        <w:rPr>
          <w:i/>
        </w:rPr>
        <w:t xml:space="preserve">Certain Expenses, </w:t>
      </w:r>
      <w:r w:rsidRPr="00825F81">
        <w:t>¶168; Peters, 817, 844-845</w:t>
      </w:r>
      <w:r w:rsidR="008D19FC">
        <w:t>.</w:t>
      </w:r>
    </w:p>
  </w:footnote>
  <w:footnote w:id="194">
    <w:p w14:paraId="15249D47" w14:textId="58E101DD" w:rsidR="00D636E5" w:rsidRPr="00825F81" w:rsidRDefault="00D636E5" w:rsidP="00825F81">
      <w:pPr>
        <w:pStyle w:val="FootnoteText"/>
        <w:rPr>
          <w:b/>
        </w:rPr>
      </w:pPr>
      <w:r w:rsidRPr="00825F81">
        <w:rPr>
          <w:vertAlign w:val="superscript"/>
        </w:rPr>
        <w:footnoteRef/>
      </w:r>
      <w:r w:rsidRPr="00825F81">
        <w:t xml:space="preserve"> </w:t>
      </w:r>
      <w:r w:rsidR="00F94C52">
        <w:t>Compromis</w:t>
      </w:r>
      <w:r w:rsidR="0074457B">
        <w:t>,</w:t>
      </w:r>
      <w:r w:rsidRPr="00825F81">
        <w:t xml:space="preserve"> </w:t>
      </w:r>
      <w:r w:rsidRPr="00825F81">
        <w:rPr>
          <w:highlight w:val="white"/>
        </w:rPr>
        <w:t xml:space="preserve">¶48; </w:t>
      </w:r>
      <w:r w:rsidRPr="00E43480">
        <w:rPr>
          <w:i/>
          <w:iCs/>
          <w:highlight w:val="white"/>
        </w:rPr>
        <w:t>Charter</w:t>
      </w:r>
      <w:r w:rsidRPr="00825F81">
        <w:rPr>
          <w:highlight w:val="white"/>
        </w:rPr>
        <w:t xml:space="preserve">, Art.27(3), 32. </w:t>
      </w:r>
    </w:p>
  </w:footnote>
  <w:footnote w:id="195">
    <w:p w14:paraId="38B261FE" w14:textId="77777777" w:rsidR="00D636E5" w:rsidRPr="00825F81" w:rsidRDefault="00D636E5" w:rsidP="00825F81">
      <w:pPr>
        <w:pStyle w:val="FootnoteText"/>
        <w:rPr>
          <w:b/>
        </w:rPr>
      </w:pPr>
      <w:r w:rsidRPr="00825F81">
        <w:rPr>
          <w:vertAlign w:val="superscript"/>
        </w:rPr>
        <w:footnoteRef/>
      </w:r>
      <w:r w:rsidRPr="00825F81">
        <w:t xml:space="preserve"> Schweisfurth, 1097. </w:t>
      </w:r>
    </w:p>
  </w:footnote>
  <w:footnote w:id="196">
    <w:p w14:paraId="4C0308DA" w14:textId="69139454" w:rsidR="00D636E5" w:rsidRPr="00825F81" w:rsidRDefault="00D636E5" w:rsidP="00825F81">
      <w:pPr>
        <w:pStyle w:val="FootnoteText"/>
        <w:rPr>
          <w:b/>
        </w:rPr>
      </w:pPr>
      <w:r w:rsidRPr="00825F81">
        <w:rPr>
          <w:vertAlign w:val="superscript"/>
        </w:rPr>
        <w:footnoteRef/>
      </w:r>
      <w:r w:rsidRPr="00825F81">
        <w:t xml:space="preserve"> </w:t>
      </w:r>
      <w:r w:rsidRPr="00E43480">
        <w:rPr>
          <w:i/>
          <w:iCs/>
        </w:rPr>
        <w:t>Charter</w:t>
      </w:r>
      <w:r w:rsidRPr="00825F81">
        <w:t xml:space="preserve">, Art.24; Statelessness; Bello. </w:t>
      </w:r>
    </w:p>
  </w:footnote>
  <w:footnote w:id="197">
    <w:p w14:paraId="2B776253" w14:textId="766B16B8" w:rsidR="00D636E5" w:rsidRPr="00825F81" w:rsidRDefault="00D636E5" w:rsidP="00825F81">
      <w:pPr>
        <w:pStyle w:val="FootnoteText"/>
        <w:rPr>
          <w:b/>
        </w:rPr>
      </w:pPr>
      <w:r w:rsidRPr="00825F81">
        <w:rPr>
          <w:vertAlign w:val="superscript"/>
        </w:rPr>
        <w:footnoteRef/>
      </w:r>
      <w:r w:rsidRPr="00825F81">
        <w:t xml:space="preserve"> </w:t>
      </w:r>
      <w:r w:rsidR="00F94C52">
        <w:t>Compromis,</w:t>
      </w:r>
      <w:r w:rsidRPr="00825F81">
        <w:t xml:space="preserve"> </w:t>
      </w:r>
      <w:r w:rsidRPr="00825F81">
        <w:rPr>
          <w:highlight w:val="white"/>
        </w:rPr>
        <w:t>¶39</w:t>
      </w:r>
      <w:r w:rsidR="0074457B">
        <w:t>;</w:t>
      </w:r>
      <w:r w:rsidRPr="00825F81">
        <w:t xml:space="preserve"> Schweisfurthl, 1097. </w:t>
      </w:r>
    </w:p>
  </w:footnote>
  <w:footnote w:id="198">
    <w:p w14:paraId="1E03C1E7" w14:textId="5B57EF96" w:rsidR="00D636E5" w:rsidRPr="00825F81" w:rsidRDefault="00D636E5" w:rsidP="00825F81">
      <w:pPr>
        <w:pStyle w:val="FootnoteText"/>
        <w:rPr>
          <w:b/>
        </w:rPr>
      </w:pPr>
      <w:r w:rsidRPr="00825F81">
        <w:rPr>
          <w:vertAlign w:val="superscript"/>
        </w:rPr>
        <w:footnoteRef/>
      </w:r>
      <w:r w:rsidRPr="00825F81">
        <w:t xml:space="preserve"> </w:t>
      </w:r>
      <w:r w:rsidRPr="00825F81">
        <w:rPr>
          <w:highlight w:val="white"/>
        </w:rPr>
        <w:t xml:space="preserve"> </w:t>
      </w:r>
      <w:r w:rsidRPr="00825F81">
        <w:rPr>
          <w:i/>
        </w:rPr>
        <w:t xml:space="preserve">South West Africa Cases (Ethiopia/South Africa; Liberia/South Africa), </w:t>
      </w:r>
      <w:r w:rsidRPr="00825F81">
        <w:t xml:space="preserve">Preliminary Objections, [1962] ICJ Rep 319, 328 cited in </w:t>
      </w:r>
      <w:r w:rsidRPr="00825F81">
        <w:rPr>
          <w:i/>
          <w:highlight w:val="white"/>
        </w:rPr>
        <w:t>Lockerbie</w:t>
      </w:r>
      <w:r w:rsidRPr="00825F81">
        <w:rPr>
          <w:highlight w:val="white"/>
        </w:rPr>
        <w:t>, Judgment - Preliminary Objections, ¶22</w:t>
      </w:r>
      <w:r w:rsidRPr="00825F81">
        <w:t>; Simma at Christian Tomuschat, “Ch. 1. Purposes and Principles, Article 2(3)”,</w:t>
      </w:r>
      <w:r w:rsidRPr="00825F81">
        <w:rPr>
          <w:i/>
        </w:rPr>
        <w:t xml:space="preserve"> </w:t>
      </w:r>
      <w:r w:rsidRPr="00825F81">
        <w:t xml:space="preserve">195 cf </w:t>
      </w:r>
      <w:r w:rsidR="00DC158F">
        <w:rPr>
          <w:i/>
        </w:rPr>
        <w:t>ARSIWA</w:t>
      </w:r>
      <w:r w:rsidRPr="00825F81">
        <w:rPr>
          <w:i/>
        </w:rPr>
        <w:t xml:space="preserve">, </w:t>
      </w:r>
      <w:r w:rsidRPr="00825F81">
        <w:t>Art. 48, taken note of by UNGA Res 56/83 (2001) UN Doc A/RES/56/83; Schweisfurth, 1097.</w:t>
      </w:r>
    </w:p>
  </w:footnote>
  <w:footnote w:id="199">
    <w:p w14:paraId="255D8344" w14:textId="4355E8D3" w:rsidR="00BF4332" w:rsidRPr="00825F81" w:rsidRDefault="00BF4332" w:rsidP="00825F81">
      <w:pPr>
        <w:pStyle w:val="FootnoteText"/>
      </w:pPr>
      <w:r w:rsidRPr="00825F81">
        <w:rPr>
          <w:vertAlign w:val="superscript"/>
        </w:rPr>
        <w:footnoteRef/>
      </w:r>
      <w:r w:rsidRPr="00825F81">
        <w:t xml:space="preserve"> </w:t>
      </w:r>
      <w:r w:rsidRPr="00825F81">
        <w:rPr>
          <w:i/>
        </w:rPr>
        <w:t xml:space="preserve">Nationality </w:t>
      </w:r>
      <w:r w:rsidR="008D19FC" w:rsidRPr="00825F81">
        <w:rPr>
          <w:i/>
        </w:rPr>
        <w:t>Decree</w:t>
      </w:r>
      <w:r w:rsidR="008D19FC">
        <w:rPr>
          <w:i/>
        </w:rPr>
        <w:t xml:space="preserve">s </w:t>
      </w:r>
      <w:r w:rsidRPr="00825F81">
        <w:rPr>
          <w:i/>
        </w:rPr>
        <w:t xml:space="preserve">Issued in Tunis and Morocco, </w:t>
      </w:r>
      <w:r w:rsidRPr="00825F81">
        <w:t>Advisory Opinion, [1923] PCIJ Rep Ser B, No 4, 23-24; Simma at Greg Nolte, “Ch.1. Purposes and Principles, Article 2(7)”, 291-292</w:t>
      </w:r>
      <w:r w:rsidR="007D6531">
        <w:t>.</w:t>
      </w:r>
    </w:p>
  </w:footnote>
  <w:footnote w:id="200">
    <w:p w14:paraId="0F817D21" w14:textId="77777777" w:rsidR="00BF4332" w:rsidRPr="00825F81" w:rsidRDefault="00BF4332" w:rsidP="00825F81">
      <w:pPr>
        <w:pStyle w:val="FootnoteText"/>
        <w:rPr>
          <w:b/>
        </w:rPr>
      </w:pPr>
      <w:r w:rsidRPr="00825F81">
        <w:rPr>
          <w:vertAlign w:val="superscript"/>
        </w:rPr>
        <w:footnoteRef/>
      </w:r>
      <w:r w:rsidRPr="00825F81">
        <w:t xml:space="preserve"> </w:t>
      </w:r>
      <w:r w:rsidRPr="00E43480">
        <w:rPr>
          <w:i/>
          <w:iCs/>
        </w:rPr>
        <w:t>Charter</w:t>
      </w:r>
      <w:r w:rsidRPr="00825F81">
        <w:t xml:space="preserve">, Art.2(7); Schweisfurth, 1098. </w:t>
      </w:r>
    </w:p>
  </w:footnote>
  <w:footnote w:id="201">
    <w:p w14:paraId="1446C153" w14:textId="0C879173" w:rsidR="00BF4332" w:rsidRPr="00825F81" w:rsidRDefault="00BF4332" w:rsidP="00825F81">
      <w:pPr>
        <w:pStyle w:val="FootnoteText"/>
      </w:pPr>
      <w:r w:rsidRPr="00825F81">
        <w:rPr>
          <w:vertAlign w:val="superscript"/>
        </w:rPr>
        <w:footnoteRef/>
      </w:r>
      <w:r w:rsidRPr="00825F81">
        <w:t xml:space="preserve"> Schweisfurth, 1098</w:t>
      </w:r>
      <w:r w:rsidR="00E43480">
        <w:t>;</w:t>
      </w:r>
      <w:r w:rsidRPr="00825F81">
        <w:t xml:space="preserve"> </w:t>
      </w:r>
      <w:r w:rsidRPr="00E43480">
        <w:rPr>
          <w:i/>
          <w:iCs/>
        </w:rPr>
        <w:t>Charter</w:t>
      </w:r>
      <w:r w:rsidRPr="00825F81">
        <w:t xml:space="preserve">, Art. 34. </w:t>
      </w:r>
    </w:p>
  </w:footnote>
  <w:footnote w:id="202">
    <w:p w14:paraId="7973468B" w14:textId="77777777" w:rsidR="00BF4332" w:rsidRPr="00825F81" w:rsidRDefault="00BF4332" w:rsidP="00825F81">
      <w:pPr>
        <w:pStyle w:val="FootnoteText"/>
        <w:rPr>
          <w:b/>
        </w:rPr>
      </w:pPr>
      <w:r w:rsidRPr="00825F81">
        <w:rPr>
          <w:vertAlign w:val="superscript"/>
        </w:rPr>
        <w:footnoteRef/>
      </w:r>
      <w:r w:rsidRPr="00825F81">
        <w:t xml:space="preserve"> Resolution, Art.1. </w:t>
      </w:r>
    </w:p>
  </w:footnote>
  <w:footnote w:id="203">
    <w:p w14:paraId="566647F1" w14:textId="77777777" w:rsidR="00BF4332" w:rsidRPr="00825F81" w:rsidRDefault="00BF4332" w:rsidP="00825F81">
      <w:pPr>
        <w:pStyle w:val="FootnoteText"/>
      </w:pPr>
      <w:r w:rsidRPr="00825F81">
        <w:rPr>
          <w:vertAlign w:val="superscript"/>
        </w:rPr>
        <w:footnoteRef/>
      </w:r>
      <w:r w:rsidRPr="00825F81">
        <w:t xml:space="preserve"> UN Security Council Resolution</w:t>
      </w:r>
      <w:r w:rsidRPr="00825F81">
        <w:rPr>
          <w:i/>
        </w:rPr>
        <w:t xml:space="preserve"> </w:t>
      </w:r>
      <w:r w:rsidRPr="00825F81">
        <w:t>15 (1946), S/Res/15 [</w:t>
      </w:r>
      <w:r w:rsidRPr="00825F81">
        <w:rPr>
          <w:i/>
        </w:rPr>
        <w:t>The Greek Question</w:t>
      </w:r>
      <w:r w:rsidRPr="00825F81">
        <w:t xml:space="preserve">]; UN Security Council Resolution 39 (1948), S/Res/39. </w:t>
      </w:r>
    </w:p>
  </w:footnote>
  <w:footnote w:id="204">
    <w:p w14:paraId="2CE2D5B9" w14:textId="7EC03496" w:rsidR="00BF4332" w:rsidRDefault="00BF4332" w:rsidP="00825F81">
      <w:pPr>
        <w:rPr>
          <w:sz w:val="20"/>
          <w:szCs w:val="20"/>
        </w:rPr>
      </w:pPr>
      <w:r w:rsidRPr="00825F81">
        <w:rPr>
          <w:rFonts w:ascii="Times New Roman" w:hAnsi="Times New Roman" w:cs="Times New Roman"/>
          <w:vertAlign w:val="superscript"/>
        </w:rPr>
        <w:footnoteRef/>
      </w:r>
      <w:r w:rsidRPr="00825F81">
        <w:rPr>
          <w:rFonts w:ascii="Times New Roman" w:hAnsi="Times New Roman" w:cs="Times New Roman"/>
        </w:rPr>
        <w:t xml:space="preserve"> </w:t>
      </w:r>
      <w:r w:rsidRPr="00825F81">
        <w:rPr>
          <w:rFonts w:ascii="Times New Roman" w:hAnsi="Times New Roman" w:cs="Times New Roman"/>
          <w:i/>
        </w:rPr>
        <w:t>The Greek Question</w:t>
      </w:r>
      <w:r w:rsidRPr="00825F81">
        <w:rPr>
          <w:rFonts w:ascii="Times New Roman" w:hAnsi="Times New Roman" w:cs="Times New Roman"/>
        </w:rPr>
        <w:t>; 167th Meeting, 1542.</w:t>
      </w:r>
      <w:r w:rsidRPr="00BA66B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889066"/>
      <w:docPartObj>
        <w:docPartGallery w:val="Page Numbers (Top of Page)"/>
        <w:docPartUnique/>
      </w:docPartObj>
    </w:sdtPr>
    <w:sdtContent>
      <w:p w14:paraId="28373E87" w14:textId="77777777" w:rsidR="00967840" w:rsidRDefault="009678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6A668BF8" w14:textId="77777777" w:rsidR="00967840" w:rsidRDefault="00967840" w:rsidP="00CE5D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B213" w14:textId="77777777" w:rsidR="00967840" w:rsidRPr="008671C5" w:rsidRDefault="00967840" w:rsidP="00891CBB">
    <w:pPr>
      <w:pStyle w:val="Header"/>
      <w:jc w:val="right"/>
      <w:rPr>
        <w:rFonts w:ascii="Times New Roman" w:hAnsi="Times New Roman" w:cs="Times New Roman"/>
        <w:b/>
        <w:bCs/>
        <w:lang w:val="en-CA"/>
      </w:rPr>
    </w:pPr>
    <w:r>
      <w:rPr>
        <w:rFonts w:ascii="Times New Roman" w:hAnsi="Times New Roman" w:cs="Times New Roman"/>
        <w:b/>
        <w:bCs/>
        <w:lang w:val="en-CA"/>
      </w:rPr>
      <w:t>661</w:t>
    </w:r>
    <w:r w:rsidRPr="00FF67B7">
      <w:rPr>
        <w:rFonts w:ascii="Times New Roman" w:hAnsi="Times New Roman" w:cs="Times New Roman"/>
        <w:b/>
        <w:bCs/>
        <w:lang w:val="en-CA"/>
      </w:rPr>
      <w:t>A</w:t>
    </w:r>
  </w:p>
  <w:p w14:paraId="432279AA" w14:textId="77777777" w:rsidR="00967840" w:rsidRPr="00891CBB" w:rsidRDefault="00967840" w:rsidP="00891CBB">
    <w:pPr>
      <w:pStyle w:val="Header"/>
      <w:ind w:right="360"/>
      <w:jc w:val="right"/>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326C" w14:textId="77777777" w:rsidR="00967840" w:rsidRPr="008671C5" w:rsidRDefault="00967840" w:rsidP="008671C5">
    <w:pPr>
      <w:pStyle w:val="Header"/>
      <w:jc w:val="right"/>
      <w:rPr>
        <w:rFonts w:ascii="Times New Roman" w:hAnsi="Times New Roman" w:cs="Times New Roman"/>
        <w:b/>
        <w:bCs/>
        <w:lang w:val="en-CA"/>
      </w:rPr>
    </w:pPr>
    <w:r>
      <w:rPr>
        <w:rFonts w:ascii="Times New Roman" w:hAnsi="Times New Roman" w:cs="Times New Roman"/>
        <w:b/>
        <w:bCs/>
        <w:lang w:val="en-CA"/>
      </w:rPr>
      <w:t>661</w:t>
    </w:r>
    <w:r w:rsidRPr="00FF67B7">
      <w:rPr>
        <w:rFonts w:ascii="Times New Roman" w:hAnsi="Times New Roman" w:cs="Times New Roman"/>
        <w:b/>
        <w:bCs/>
        <w:lang w:val="en-CA"/>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6043606"/>
      <w:docPartObj>
        <w:docPartGallery w:val="Page Numbers (Top of Page)"/>
        <w:docPartUnique/>
      </w:docPartObj>
    </w:sdtPr>
    <w:sdtContent>
      <w:p w14:paraId="1041A3AB" w14:textId="7E3CE41F" w:rsidR="00CE5D22" w:rsidRDefault="00CE5D22" w:rsidP="00966F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7DD6">
          <w:rPr>
            <w:rStyle w:val="PageNumber"/>
            <w:noProof/>
          </w:rPr>
          <w:t>ii</w:t>
        </w:r>
        <w:r>
          <w:rPr>
            <w:rStyle w:val="PageNumber"/>
          </w:rPr>
          <w:fldChar w:fldCharType="end"/>
        </w:r>
      </w:p>
    </w:sdtContent>
  </w:sdt>
  <w:p w14:paraId="37AA02FE" w14:textId="77777777" w:rsidR="00CE5D22" w:rsidRDefault="00CE5D22" w:rsidP="00CE5D2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2727" w14:textId="71E8EAE6" w:rsidR="00891CBB" w:rsidRPr="008671C5" w:rsidRDefault="008F68C4" w:rsidP="00891CBB">
    <w:pPr>
      <w:pStyle w:val="Header"/>
      <w:jc w:val="right"/>
      <w:rPr>
        <w:rFonts w:ascii="Times New Roman" w:hAnsi="Times New Roman" w:cs="Times New Roman"/>
        <w:b/>
        <w:bCs/>
        <w:lang w:val="en-CA"/>
      </w:rPr>
    </w:pPr>
    <w:r>
      <w:rPr>
        <w:rFonts w:ascii="Times New Roman" w:hAnsi="Times New Roman" w:cs="Times New Roman"/>
        <w:b/>
        <w:bCs/>
        <w:lang w:val="en-CA"/>
      </w:rPr>
      <w:t>661</w:t>
    </w:r>
    <w:r w:rsidR="00891CBB" w:rsidRPr="00FF67B7">
      <w:rPr>
        <w:rFonts w:ascii="Times New Roman" w:hAnsi="Times New Roman" w:cs="Times New Roman"/>
        <w:b/>
        <w:bCs/>
        <w:lang w:val="en-CA"/>
      </w:rPr>
      <w:t>A</w:t>
    </w:r>
  </w:p>
  <w:p w14:paraId="0D021717" w14:textId="77777777" w:rsidR="00CE5D22" w:rsidRPr="00891CBB" w:rsidRDefault="00CE5D22" w:rsidP="00891CBB">
    <w:pPr>
      <w:pStyle w:val="Header"/>
      <w:ind w:right="360"/>
      <w:jc w:val="right"/>
      <w:rPr>
        <w:lang w:val="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DC5" w14:textId="3D9D29BD" w:rsidR="008671C5" w:rsidRPr="008671C5" w:rsidRDefault="008F68C4" w:rsidP="008671C5">
    <w:pPr>
      <w:pStyle w:val="Header"/>
      <w:jc w:val="right"/>
      <w:rPr>
        <w:rFonts w:ascii="Times New Roman" w:hAnsi="Times New Roman" w:cs="Times New Roman"/>
        <w:b/>
        <w:bCs/>
        <w:lang w:val="en-CA"/>
      </w:rPr>
    </w:pPr>
    <w:r>
      <w:rPr>
        <w:rFonts w:ascii="Times New Roman" w:hAnsi="Times New Roman" w:cs="Times New Roman"/>
        <w:b/>
        <w:bCs/>
        <w:lang w:val="en-CA"/>
      </w:rPr>
      <w:t>661</w:t>
    </w:r>
    <w:r w:rsidR="008671C5" w:rsidRPr="00FF67B7">
      <w:rPr>
        <w:rFonts w:ascii="Times New Roman" w:hAnsi="Times New Roman" w:cs="Times New Roman"/>
        <w:b/>
        <w:bCs/>
        <w:lang w:val="en-CA"/>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3D50"/>
    <w:multiLevelType w:val="hybridMultilevel"/>
    <w:tmpl w:val="53E02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334AA"/>
    <w:multiLevelType w:val="hybridMultilevel"/>
    <w:tmpl w:val="00B441A2"/>
    <w:lvl w:ilvl="0" w:tplc="0409000F">
      <w:start w:val="72"/>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F7295"/>
    <w:multiLevelType w:val="hybridMultilevel"/>
    <w:tmpl w:val="1E58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A606B"/>
    <w:multiLevelType w:val="hybridMultilevel"/>
    <w:tmpl w:val="45646040"/>
    <w:lvl w:ilvl="0" w:tplc="F1B8DC6E">
      <w:start w:val="1"/>
      <w:numFmt w:val="lowerRoman"/>
      <w:pStyle w:val="Heading4"/>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2C900D8"/>
    <w:multiLevelType w:val="multilevel"/>
    <w:tmpl w:val="AC688E1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720"/>
        </w:tabs>
        <w:ind w:left="720" w:hanging="720"/>
      </w:pPr>
      <w:rPr>
        <w:rFonts w:hint="default"/>
        <w:i w:val="0"/>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ascii="Times New Roman" w:hAnsi="Times New Roman" w:cs="Times New Roman" w:hint="default"/>
        <w:b w:val="0"/>
        <w:bCs w:val="0"/>
        <w:i w:val="0"/>
        <w:iCs/>
        <w:strike w:val="0"/>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5" w15:restartNumberingAfterBreak="0">
    <w:nsid w:val="42934E67"/>
    <w:multiLevelType w:val="hybridMultilevel"/>
    <w:tmpl w:val="46DCC07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C4055"/>
    <w:multiLevelType w:val="hybridMultilevel"/>
    <w:tmpl w:val="BE10EDF6"/>
    <w:lvl w:ilvl="0" w:tplc="AAAAD6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E7BF0"/>
    <w:multiLevelType w:val="multilevel"/>
    <w:tmpl w:val="28A237E0"/>
    <w:lvl w:ilvl="0">
      <w:start w:val="1"/>
      <w:numFmt w:val="decimal"/>
      <w:lvlText w:val="%1."/>
      <w:lvlJc w:val="left"/>
      <w:pPr>
        <w:ind w:left="720" w:hanging="360"/>
      </w:pPr>
      <w:rPr>
        <w:rFonts w:ascii="Times New Roman" w:eastAsia="Kings" w:hAnsi="Times New Roman" w:cs="Times New Roman" w:hint="default"/>
        <w:b w:val="0"/>
        <w:sz w:val="24"/>
        <w:szCs w:val="24"/>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C04401"/>
    <w:multiLevelType w:val="hybridMultilevel"/>
    <w:tmpl w:val="145C882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676B5"/>
    <w:multiLevelType w:val="hybridMultilevel"/>
    <w:tmpl w:val="0ECE3F9A"/>
    <w:lvl w:ilvl="0" w:tplc="6AF6C752">
      <w:start w:val="1"/>
      <w:numFmt w:val="lowerRoman"/>
      <w:lvlText w:val="%1."/>
      <w:lvlJc w:val="left"/>
      <w:pPr>
        <w:ind w:left="1080" w:hanging="720"/>
      </w:pPr>
      <w:rPr>
        <w:rFonts w:hint="default"/>
        <w:b w:val="0"/>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1F45"/>
    <w:multiLevelType w:val="multilevel"/>
    <w:tmpl w:val="9BE2C50C"/>
    <w:lvl w:ilvl="0">
      <w:start w:val="1"/>
      <w:numFmt w:val="decimal"/>
      <w:lvlText w:val="%1."/>
      <w:lvlJc w:val="left"/>
      <w:pPr>
        <w:ind w:left="720" w:hanging="360"/>
      </w:pPr>
      <w:rPr>
        <w:rFonts w:ascii="Kings" w:eastAsia="Kings" w:hAnsi="Kings" w:cs="Kings"/>
        <w:b w:val="0"/>
        <w:sz w:val="24"/>
        <w:szCs w:val="24"/>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CBF2B6F"/>
    <w:multiLevelType w:val="hybridMultilevel"/>
    <w:tmpl w:val="53B25A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76CA2"/>
    <w:multiLevelType w:val="multilevel"/>
    <w:tmpl w:val="41B2CFCC"/>
    <w:lvl w:ilvl="0">
      <w:start w:val="1"/>
      <w:numFmt w:val="upperRoman"/>
      <w:pStyle w:val="Heading1"/>
      <w:lvlText w:val="%1."/>
      <w:lvlJc w:val="left"/>
      <w:pPr>
        <w:ind w:left="1287" w:firstLine="0"/>
      </w:pPr>
    </w:lvl>
    <w:lvl w:ilvl="1">
      <w:start w:val="1"/>
      <w:numFmt w:val="upperLetter"/>
      <w:pStyle w:val="Heading2"/>
      <w:lvlText w:val="%2."/>
      <w:lvlJc w:val="left"/>
      <w:pPr>
        <w:ind w:left="2007" w:firstLine="0"/>
      </w:pPr>
    </w:lvl>
    <w:lvl w:ilvl="2">
      <w:start w:val="1"/>
      <w:numFmt w:val="decimal"/>
      <w:pStyle w:val="Heading3"/>
      <w:lvlText w:val="%3."/>
      <w:lvlJc w:val="left"/>
      <w:pPr>
        <w:ind w:left="2727" w:firstLine="0"/>
      </w:pPr>
    </w:lvl>
    <w:lvl w:ilvl="3">
      <w:start w:val="1"/>
      <w:numFmt w:val="lowerLetter"/>
      <w:lvlText w:val="%4)"/>
      <w:lvlJc w:val="left"/>
      <w:pPr>
        <w:ind w:left="3545" w:firstLine="0"/>
      </w:pPr>
      <w:rPr>
        <w:b w:val="0"/>
        <w:bCs/>
      </w:rPr>
    </w:lvl>
    <w:lvl w:ilvl="4">
      <w:start w:val="1"/>
      <w:numFmt w:val="decimal"/>
      <w:pStyle w:val="Heading5"/>
      <w:lvlText w:val="(%5)"/>
      <w:lvlJc w:val="left"/>
      <w:pPr>
        <w:ind w:left="4167" w:firstLine="0"/>
      </w:pPr>
    </w:lvl>
    <w:lvl w:ilvl="5">
      <w:start w:val="1"/>
      <w:numFmt w:val="lowerLetter"/>
      <w:pStyle w:val="Heading6"/>
      <w:lvlText w:val="(%6)"/>
      <w:lvlJc w:val="left"/>
      <w:pPr>
        <w:ind w:left="4887" w:firstLine="0"/>
      </w:pPr>
    </w:lvl>
    <w:lvl w:ilvl="6">
      <w:start w:val="1"/>
      <w:numFmt w:val="lowerRoman"/>
      <w:pStyle w:val="Heading7"/>
      <w:lvlText w:val="(%7)"/>
      <w:lvlJc w:val="left"/>
      <w:pPr>
        <w:ind w:left="5607" w:firstLine="0"/>
      </w:pPr>
    </w:lvl>
    <w:lvl w:ilvl="7">
      <w:start w:val="1"/>
      <w:numFmt w:val="lowerLetter"/>
      <w:pStyle w:val="Heading8"/>
      <w:lvlText w:val="(%8)"/>
      <w:lvlJc w:val="left"/>
      <w:pPr>
        <w:ind w:left="6327" w:firstLine="0"/>
      </w:pPr>
    </w:lvl>
    <w:lvl w:ilvl="8">
      <w:start w:val="1"/>
      <w:numFmt w:val="lowerRoman"/>
      <w:pStyle w:val="Heading9"/>
      <w:lvlText w:val="(%9)"/>
      <w:lvlJc w:val="left"/>
      <w:pPr>
        <w:ind w:left="7047" w:firstLine="0"/>
      </w:pPr>
    </w:lvl>
  </w:abstractNum>
  <w:num w:numId="1" w16cid:durableId="1036662650">
    <w:abstractNumId w:val="12"/>
  </w:num>
  <w:num w:numId="2" w16cid:durableId="1458908710">
    <w:abstractNumId w:val="4"/>
  </w:num>
  <w:num w:numId="3" w16cid:durableId="1550455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202475">
    <w:abstractNumId w:val="2"/>
  </w:num>
  <w:num w:numId="5" w16cid:durableId="437136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0399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983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2066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270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6791048">
    <w:abstractNumId w:val="6"/>
  </w:num>
  <w:num w:numId="11" w16cid:durableId="2139568225">
    <w:abstractNumId w:val="12"/>
  </w:num>
  <w:num w:numId="12" w16cid:durableId="742262259">
    <w:abstractNumId w:val="12"/>
    <w:lvlOverride w:ilvl="0">
      <w:startOverride w:val="1"/>
    </w:lvlOverride>
    <w:lvlOverride w:ilvl="1">
      <w:startOverride w:val="1"/>
    </w:lvlOverride>
    <w:lvlOverride w:ilvl="2">
      <w:startOverride w:val="1"/>
    </w:lvlOverride>
    <w:lvlOverride w:ilvl="3">
      <w:startOverride w:val="3"/>
    </w:lvlOverride>
  </w:num>
  <w:num w:numId="13" w16cid:durableId="885260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6187438">
    <w:abstractNumId w:val="7"/>
  </w:num>
  <w:num w:numId="15" w16cid:durableId="604076360">
    <w:abstractNumId w:val="10"/>
  </w:num>
  <w:num w:numId="16" w16cid:durableId="220754821">
    <w:abstractNumId w:val="1"/>
  </w:num>
  <w:num w:numId="17" w16cid:durableId="1310086440">
    <w:abstractNumId w:val="0"/>
  </w:num>
  <w:num w:numId="18" w16cid:durableId="1194729997">
    <w:abstractNumId w:val="9"/>
  </w:num>
  <w:num w:numId="19" w16cid:durableId="1206023968">
    <w:abstractNumId w:val="3"/>
  </w:num>
  <w:num w:numId="20" w16cid:durableId="1585263746">
    <w:abstractNumId w:val="3"/>
    <w:lvlOverride w:ilvl="0">
      <w:startOverride w:val="1"/>
    </w:lvlOverride>
  </w:num>
  <w:num w:numId="21" w16cid:durableId="171724668">
    <w:abstractNumId w:val="3"/>
    <w:lvlOverride w:ilvl="0">
      <w:startOverride w:val="1"/>
    </w:lvlOverride>
  </w:num>
  <w:num w:numId="22" w16cid:durableId="260529422">
    <w:abstractNumId w:val="3"/>
  </w:num>
  <w:num w:numId="23" w16cid:durableId="451095533">
    <w:abstractNumId w:val="3"/>
  </w:num>
  <w:num w:numId="24" w16cid:durableId="1760367142">
    <w:abstractNumId w:val="12"/>
  </w:num>
  <w:num w:numId="25" w16cid:durableId="507866205">
    <w:abstractNumId w:val="3"/>
  </w:num>
  <w:num w:numId="26" w16cid:durableId="1122042062">
    <w:abstractNumId w:val="3"/>
  </w:num>
  <w:num w:numId="27" w16cid:durableId="877856117">
    <w:abstractNumId w:val="3"/>
  </w:num>
  <w:num w:numId="28" w16cid:durableId="123931508">
    <w:abstractNumId w:val="8"/>
  </w:num>
  <w:num w:numId="29" w16cid:durableId="1910075203">
    <w:abstractNumId w:val="11"/>
  </w:num>
  <w:num w:numId="30" w16cid:durableId="477965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3C"/>
    <w:rsid w:val="00000556"/>
    <w:rsid w:val="00001050"/>
    <w:rsid w:val="00001EE8"/>
    <w:rsid w:val="00004D63"/>
    <w:rsid w:val="00014762"/>
    <w:rsid w:val="00016FBE"/>
    <w:rsid w:val="00022262"/>
    <w:rsid w:val="00022D73"/>
    <w:rsid w:val="000278A7"/>
    <w:rsid w:val="00027C6F"/>
    <w:rsid w:val="000353E8"/>
    <w:rsid w:val="00040430"/>
    <w:rsid w:val="000422C1"/>
    <w:rsid w:val="0004277E"/>
    <w:rsid w:val="00042D05"/>
    <w:rsid w:val="0004730C"/>
    <w:rsid w:val="00050BB7"/>
    <w:rsid w:val="000514AD"/>
    <w:rsid w:val="00057393"/>
    <w:rsid w:val="000578EE"/>
    <w:rsid w:val="00062EBB"/>
    <w:rsid w:val="00064D80"/>
    <w:rsid w:val="0006570F"/>
    <w:rsid w:val="00066145"/>
    <w:rsid w:val="00066EB9"/>
    <w:rsid w:val="00073A98"/>
    <w:rsid w:val="00073C24"/>
    <w:rsid w:val="00074AA2"/>
    <w:rsid w:val="00075FE1"/>
    <w:rsid w:val="00077555"/>
    <w:rsid w:val="0008182A"/>
    <w:rsid w:val="000867E4"/>
    <w:rsid w:val="00086C09"/>
    <w:rsid w:val="000904C4"/>
    <w:rsid w:val="00091874"/>
    <w:rsid w:val="000951E1"/>
    <w:rsid w:val="00095C16"/>
    <w:rsid w:val="00095E37"/>
    <w:rsid w:val="0009604A"/>
    <w:rsid w:val="000A2039"/>
    <w:rsid w:val="000A4CB3"/>
    <w:rsid w:val="000A6C2E"/>
    <w:rsid w:val="000B1F35"/>
    <w:rsid w:val="000B5FBF"/>
    <w:rsid w:val="000B7479"/>
    <w:rsid w:val="000B77AE"/>
    <w:rsid w:val="000C0EB7"/>
    <w:rsid w:val="000C3981"/>
    <w:rsid w:val="000C6282"/>
    <w:rsid w:val="000D1C91"/>
    <w:rsid w:val="000D5E0F"/>
    <w:rsid w:val="000D60AC"/>
    <w:rsid w:val="000D62B8"/>
    <w:rsid w:val="000D69E6"/>
    <w:rsid w:val="000D6A33"/>
    <w:rsid w:val="000D76D2"/>
    <w:rsid w:val="000D77D4"/>
    <w:rsid w:val="000E4CA9"/>
    <w:rsid w:val="000E59B4"/>
    <w:rsid w:val="000E5D93"/>
    <w:rsid w:val="000E63C1"/>
    <w:rsid w:val="000F02EE"/>
    <w:rsid w:val="000F4567"/>
    <w:rsid w:val="00103332"/>
    <w:rsid w:val="00103B3E"/>
    <w:rsid w:val="00105671"/>
    <w:rsid w:val="00105F79"/>
    <w:rsid w:val="00106A96"/>
    <w:rsid w:val="001109D7"/>
    <w:rsid w:val="001208DA"/>
    <w:rsid w:val="00130215"/>
    <w:rsid w:val="0013089A"/>
    <w:rsid w:val="001374E3"/>
    <w:rsid w:val="00140519"/>
    <w:rsid w:val="00141E85"/>
    <w:rsid w:val="0014585D"/>
    <w:rsid w:val="00152F42"/>
    <w:rsid w:val="00154EE3"/>
    <w:rsid w:val="001566A1"/>
    <w:rsid w:val="0015716B"/>
    <w:rsid w:val="0015745E"/>
    <w:rsid w:val="00160AAE"/>
    <w:rsid w:val="001626A9"/>
    <w:rsid w:val="00162D4D"/>
    <w:rsid w:val="00166118"/>
    <w:rsid w:val="00171EE1"/>
    <w:rsid w:val="00171F9A"/>
    <w:rsid w:val="00173DCD"/>
    <w:rsid w:val="001757FF"/>
    <w:rsid w:val="0017598A"/>
    <w:rsid w:val="0018708A"/>
    <w:rsid w:val="00191077"/>
    <w:rsid w:val="001910C5"/>
    <w:rsid w:val="00192E78"/>
    <w:rsid w:val="0019390E"/>
    <w:rsid w:val="00195949"/>
    <w:rsid w:val="001A2D73"/>
    <w:rsid w:val="001A51EF"/>
    <w:rsid w:val="001A7626"/>
    <w:rsid w:val="001B0EE2"/>
    <w:rsid w:val="001C6E25"/>
    <w:rsid w:val="001D126F"/>
    <w:rsid w:val="001D6052"/>
    <w:rsid w:val="001E0F7F"/>
    <w:rsid w:val="001E40A0"/>
    <w:rsid w:val="001E552E"/>
    <w:rsid w:val="001E553A"/>
    <w:rsid w:val="001E78A9"/>
    <w:rsid w:val="001F078E"/>
    <w:rsid w:val="001F6BC7"/>
    <w:rsid w:val="0020093C"/>
    <w:rsid w:val="00203937"/>
    <w:rsid w:val="00203983"/>
    <w:rsid w:val="002060DD"/>
    <w:rsid w:val="002100D4"/>
    <w:rsid w:val="002118CD"/>
    <w:rsid w:val="00213C35"/>
    <w:rsid w:val="00214050"/>
    <w:rsid w:val="00215B93"/>
    <w:rsid w:val="0021655C"/>
    <w:rsid w:val="0021780E"/>
    <w:rsid w:val="00217D06"/>
    <w:rsid w:val="00221075"/>
    <w:rsid w:val="00226826"/>
    <w:rsid w:val="00226928"/>
    <w:rsid w:val="00231809"/>
    <w:rsid w:val="00236E6F"/>
    <w:rsid w:val="00237EEC"/>
    <w:rsid w:val="00242952"/>
    <w:rsid w:val="002460A9"/>
    <w:rsid w:val="002462A8"/>
    <w:rsid w:val="002463BF"/>
    <w:rsid w:val="002468B7"/>
    <w:rsid w:val="00251260"/>
    <w:rsid w:val="002537EE"/>
    <w:rsid w:val="00254368"/>
    <w:rsid w:val="00261C9C"/>
    <w:rsid w:val="0026472F"/>
    <w:rsid w:val="0026506E"/>
    <w:rsid w:val="00265BBD"/>
    <w:rsid w:val="00265BC7"/>
    <w:rsid w:val="0026736A"/>
    <w:rsid w:val="0027684F"/>
    <w:rsid w:val="00276E2C"/>
    <w:rsid w:val="00284005"/>
    <w:rsid w:val="002859F2"/>
    <w:rsid w:val="00293F6B"/>
    <w:rsid w:val="00295785"/>
    <w:rsid w:val="002977FD"/>
    <w:rsid w:val="002A364B"/>
    <w:rsid w:val="002B355F"/>
    <w:rsid w:val="002B43FF"/>
    <w:rsid w:val="002B495B"/>
    <w:rsid w:val="002B54F2"/>
    <w:rsid w:val="002B6C5D"/>
    <w:rsid w:val="002C14A1"/>
    <w:rsid w:val="002C27B2"/>
    <w:rsid w:val="002C3F11"/>
    <w:rsid w:val="002C486D"/>
    <w:rsid w:val="002C7165"/>
    <w:rsid w:val="002D0B78"/>
    <w:rsid w:val="002D140D"/>
    <w:rsid w:val="002D228F"/>
    <w:rsid w:val="002D3D68"/>
    <w:rsid w:val="002D453B"/>
    <w:rsid w:val="002D57DB"/>
    <w:rsid w:val="002E02CE"/>
    <w:rsid w:val="002E504B"/>
    <w:rsid w:val="002E7696"/>
    <w:rsid w:val="002E7787"/>
    <w:rsid w:val="002E78FC"/>
    <w:rsid w:val="002F3D65"/>
    <w:rsid w:val="00303A4E"/>
    <w:rsid w:val="00303E0A"/>
    <w:rsid w:val="0030609D"/>
    <w:rsid w:val="003121FF"/>
    <w:rsid w:val="003136E2"/>
    <w:rsid w:val="00314334"/>
    <w:rsid w:val="003145B7"/>
    <w:rsid w:val="00314E1F"/>
    <w:rsid w:val="00315215"/>
    <w:rsid w:val="00315971"/>
    <w:rsid w:val="00317CEE"/>
    <w:rsid w:val="00317DDD"/>
    <w:rsid w:val="00320728"/>
    <w:rsid w:val="00327E92"/>
    <w:rsid w:val="00333051"/>
    <w:rsid w:val="003451D2"/>
    <w:rsid w:val="0035037B"/>
    <w:rsid w:val="00350BEF"/>
    <w:rsid w:val="00351FB7"/>
    <w:rsid w:val="003530EE"/>
    <w:rsid w:val="00353727"/>
    <w:rsid w:val="00354ABB"/>
    <w:rsid w:val="003578A9"/>
    <w:rsid w:val="00360D26"/>
    <w:rsid w:val="003623B4"/>
    <w:rsid w:val="00362AAA"/>
    <w:rsid w:val="003632D4"/>
    <w:rsid w:val="003710CD"/>
    <w:rsid w:val="00371343"/>
    <w:rsid w:val="00371835"/>
    <w:rsid w:val="00372EB4"/>
    <w:rsid w:val="00373617"/>
    <w:rsid w:val="00376A97"/>
    <w:rsid w:val="0037798F"/>
    <w:rsid w:val="00380C99"/>
    <w:rsid w:val="00382BE1"/>
    <w:rsid w:val="0038441F"/>
    <w:rsid w:val="003912BB"/>
    <w:rsid w:val="003936EE"/>
    <w:rsid w:val="00393EA4"/>
    <w:rsid w:val="003A0BD2"/>
    <w:rsid w:val="003B1ED4"/>
    <w:rsid w:val="003B5EF8"/>
    <w:rsid w:val="003B7ECB"/>
    <w:rsid w:val="003C0A7B"/>
    <w:rsid w:val="003C197E"/>
    <w:rsid w:val="003C3FC7"/>
    <w:rsid w:val="003D25A3"/>
    <w:rsid w:val="003D4C46"/>
    <w:rsid w:val="003D78E5"/>
    <w:rsid w:val="003E1D9B"/>
    <w:rsid w:val="003E4F31"/>
    <w:rsid w:val="003E626A"/>
    <w:rsid w:val="003E7B16"/>
    <w:rsid w:val="003F309C"/>
    <w:rsid w:val="003F3F18"/>
    <w:rsid w:val="003F44A2"/>
    <w:rsid w:val="003F52CA"/>
    <w:rsid w:val="003F6F27"/>
    <w:rsid w:val="00400735"/>
    <w:rsid w:val="00402086"/>
    <w:rsid w:val="00403F75"/>
    <w:rsid w:val="00405A6F"/>
    <w:rsid w:val="00407545"/>
    <w:rsid w:val="004107E0"/>
    <w:rsid w:val="00411D74"/>
    <w:rsid w:val="0041242C"/>
    <w:rsid w:val="00414DE8"/>
    <w:rsid w:val="0041669B"/>
    <w:rsid w:val="00420992"/>
    <w:rsid w:val="0042117F"/>
    <w:rsid w:val="00421F67"/>
    <w:rsid w:val="004233DC"/>
    <w:rsid w:val="00427DDE"/>
    <w:rsid w:val="00435FC5"/>
    <w:rsid w:val="00440F37"/>
    <w:rsid w:val="00441B20"/>
    <w:rsid w:val="00445028"/>
    <w:rsid w:val="004475BF"/>
    <w:rsid w:val="0044764B"/>
    <w:rsid w:val="004524FC"/>
    <w:rsid w:val="0045454A"/>
    <w:rsid w:val="00454914"/>
    <w:rsid w:val="00456BB3"/>
    <w:rsid w:val="004606D8"/>
    <w:rsid w:val="00460DD5"/>
    <w:rsid w:val="004612BC"/>
    <w:rsid w:val="00463EC4"/>
    <w:rsid w:val="004679A8"/>
    <w:rsid w:val="004702F1"/>
    <w:rsid w:val="004779FA"/>
    <w:rsid w:val="00482E99"/>
    <w:rsid w:val="004836B1"/>
    <w:rsid w:val="004844DB"/>
    <w:rsid w:val="00484A82"/>
    <w:rsid w:val="00490172"/>
    <w:rsid w:val="00490317"/>
    <w:rsid w:val="00493A23"/>
    <w:rsid w:val="004953B5"/>
    <w:rsid w:val="00497F6C"/>
    <w:rsid w:val="004A1061"/>
    <w:rsid w:val="004A1962"/>
    <w:rsid w:val="004A27E0"/>
    <w:rsid w:val="004A7765"/>
    <w:rsid w:val="004B1242"/>
    <w:rsid w:val="004B3387"/>
    <w:rsid w:val="004B4EBF"/>
    <w:rsid w:val="004B69AD"/>
    <w:rsid w:val="004C3B92"/>
    <w:rsid w:val="004C531B"/>
    <w:rsid w:val="004C7B51"/>
    <w:rsid w:val="004D0148"/>
    <w:rsid w:val="004D064F"/>
    <w:rsid w:val="004D07FC"/>
    <w:rsid w:val="004D0BFA"/>
    <w:rsid w:val="004D203B"/>
    <w:rsid w:val="004D398C"/>
    <w:rsid w:val="004E15C3"/>
    <w:rsid w:val="004E7DFF"/>
    <w:rsid w:val="004F1DDB"/>
    <w:rsid w:val="004F2451"/>
    <w:rsid w:val="00501991"/>
    <w:rsid w:val="00502562"/>
    <w:rsid w:val="005027B8"/>
    <w:rsid w:val="005071DF"/>
    <w:rsid w:val="0051060E"/>
    <w:rsid w:val="005124FF"/>
    <w:rsid w:val="00513F75"/>
    <w:rsid w:val="00514F6B"/>
    <w:rsid w:val="005165AC"/>
    <w:rsid w:val="00517DEA"/>
    <w:rsid w:val="0052462B"/>
    <w:rsid w:val="0052546A"/>
    <w:rsid w:val="00525773"/>
    <w:rsid w:val="00526955"/>
    <w:rsid w:val="00526A01"/>
    <w:rsid w:val="0053033D"/>
    <w:rsid w:val="00531372"/>
    <w:rsid w:val="00532F06"/>
    <w:rsid w:val="00537CA6"/>
    <w:rsid w:val="00537F6C"/>
    <w:rsid w:val="00537FF3"/>
    <w:rsid w:val="0054306D"/>
    <w:rsid w:val="00544AFD"/>
    <w:rsid w:val="00545FA3"/>
    <w:rsid w:val="0055456B"/>
    <w:rsid w:val="00560090"/>
    <w:rsid w:val="00561D6C"/>
    <w:rsid w:val="00564DCF"/>
    <w:rsid w:val="00572C2C"/>
    <w:rsid w:val="0057468E"/>
    <w:rsid w:val="0058295A"/>
    <w:rsid w:val="00582A5C"/>
    <w:rsid w:val="00584F3A"/>
    <w:rsid w:val="00586FD6"/>
    <w:rsid w:val="0058762E"/>
    <w:rsid w:val="00587727"/>
    <w:rsid w:val="005908CF"/>
    <w:rsid w:val="00592D4B"/>
    <w:rsid w:val="0059367D"/>
    <w:rsid w:val="00593C83"/>
    <w:rsid w:val="0059495A"/>
    <w:rsid w:val="00596380"/>
    <w:rsid w:val="00597C5C"/>
    <w:rsid w:val="005A09FA"/>
    <w:rsid w:val="005A1760"/>
    <w:rsid w:val="005A2A45"/>
    <w:rsid w:val="005A3923"/>
    <w:rsid w:val="005A3C21"/>
    <w:rsid w:val="005A41D7"/>
    <w:rsid w:val="005A7837"/>
    <w:rsid w:val="005B000C"/>
    <w:rsid w:val="005B1F66"/>
    <w:rsid w:val="005B26C8"/>
    <w:rsid w:val="005B6A3D"/>
    <w:rsid w:val="005C3E1E"/>
    <w:rsid w:val="005C46C0"/>
    <w:rsid w:val="005D130C"/>
    <w:rsid w:val="005D15BD"/>
    <w:rsid w:val="005D248A"/>
    <w:rsid w:val="005D50A5"/>
    <w:rsid w:val="005D7C2C"/>
    <w:rsid w:val="005E4CF4"/>
    <w:rsid w:val="005E7400"/>
    <w:rsid w:val="005F1B8A"/>
    <w:rsid w:val="005F2A3B"/>
    <w:rsid w:val="005F4CCB"/>
    <w:rsid w:val="0060214A"/>
    <w:rsid w:val="0060302E"/>
    <w:rsid w:val="00604832"/>
    <w:rsid w:val="00606AFB"/>
    <w:rsid w:val="00607119"/>
    <w:rsid w:val="006103DD"/>
    <w:rsid w:val="00612506"/>
    <w:rsid w:val="00615FB2"/>
    <w:rsid w:val="00616F58"/>
    <w:rsid w:val="00624E27"/>
    <w:rsid w:val="00637C18"/>
    <w:rsid w:val="00650699"/>
    <w:rsid w:val="00650831"/>
    <w:rsid w:val="00651C7C"/>
    <w:rsid w:val="0065556B"/>
    <w:rsid w:val="0065776B"/>
    <w:rsid w:val="00657BB6"/>
    <w:rsid w:val="006613D6"/>
    <w:rsid w:val="00661805"/>
    <w:rsid w:val="0066481E"/>
    <w:rsid w:val="006651C7"/>
    <w:rsid w:val="00671A2A"/>
    <w:rsid w:val="006722E5"/>
    <w:rsid w:val="006771D5"/>
    <w:rsid w:val="006829FF"/>
    <w:rsid w:val="006850F8"/>
    <w:rsid w:val="00685970"/>
    <w:rsid w:val="00695FB7"/>
    <w:rsid w:val="006971D6"/>
    <w:rsid w:val="006A0784"/>
    <w:rsid w:val="006A1C0C"/>
    <w:rsid w:val="006A420F"/>
    <w:rsid w:val="006A4316"/>
    <w:rsid w:val="006A5B7D"/>
    <w:rsid w:val="006A6121"/>
    <w:rsid w:val="006A7DB6"/>
    <w:rsid w:val="006B1C1C"/>
    <w:rsid w:val="006B3B6F"/>
    <w:rsid w:val="006B5C00"/>
    <w:rsid w:val="006B668F"/>
    <w:rsid w:val="006B7D99"/>
    <w:rsid w:val="006C3934"/>
    <w:rsid w:val="006C46F3"/>
    <w:rsid w:val="006C4CAC"/>
    <w:rsid w:val="006C6650"/>
    <w:rsid w:val="006D34C7"/>
    <w:rsid w:val="006D356C"/>
    <w:rsid w:val="006D4CE1"/>
    <w:rsid w:val="006D6F22"/>
    <w:rsid w:val="006E3B5C"/>
    <w:rsid w:val="006E75C2"/>
    <w:rsid w:val="006F075F"/>
    <w:rsid w:val="006F2F99"/>
    <w:rsid w:val="006F421C"/>
    <w:rsid w:val="006F4D1A"/>
    <w:rsid w:val="006F5DDC"/>
    <w:rsid w:val="007004B9"/>
    <w:rsid w:val="00700722"/>
    <w:rsid w:val="007063D9"/>
    <w:rsid w:val="0070708C"/>
    <w:rsid w:val="0071060F"/>
    <w:rsid w:val="007112C3"/>
    <w:rsid w:val="007113E9"/>
    <w:rsid w:val="00711A90"/>
    <w:rsid w:val="00713589"/>
    <w:rsid w:val="0071442E"/>
    <w:rsid w:val="0071598B"/>
    <w:rsid w:val="00717D33"/>
    <w:rsid w:val="0072039E"/>
    <w:rsid w:val="00723106"/>
    <w:rsid w:val="00724726"/>
    <w:rsid w:val="007277AD"/>
    <w:rsid w:val="007278C1"/>
    <w:rsid w:val="00727DFD"/>
    <w:rsid w:val="00727ED7"/>
    <w:rsid w:val="00730052"/>
    <w:rsid w:val="00730C7C"/>
    <w:rsid w:val="007310D3"/>
    <w:rsid w:val="00732A86"/>
    <w:rsid w:val="007335BE"/>
    <w:rsid w:val="0073386E"/>
    <w:rsid w:val="00737B9E"/>
    <w:rsid w:val="00740E58"/>
    <w:rsid w:val="00741512"/>
    <w:rsid w:val="00743601"/>
    <w:rsid w:val="0074457B"/>
    <w:rsid w:val="00744864"/>
    <w:rsid w:val="00747BE0"/>
    <w:rsid w:val="00750D58"/>
    <w:rsid w:val="007518FA"/>
    <w:rsid w:val="00756C22"/>
    <w:rsid w:val="007603E4"/>
    <w:rsid w:val="00760C3B"/>
    <w:rsid w:val="007658A6"/>
    <w:rsid w:val="007751C1"/>
    <w:rsid w:val="0077564E"/>
    <w:rsid w:val="00781571"/>
    <w:rsid w:val="00790107"/>
    <w:rsid w:val="00790940"/>
    <w:rsid w:val="007A2214"/>
    <w:rsid w:val="007A58E7"/>
    <w:rsid w:val="007B2D44"/>
    <w:rsid w:val="007B6890"/>
    <w:rsid w:val="007C2E7C"/>
    <w:rsid w:val="007C2F2A"/>
    <w:rsid w:val="007C59CD"/>
    <w:rsid w:val="007C6519"/>
    <w:rsid w:val="007C6E05"/>
    <w:rsid w:val="007D321D"/>
    <w:rsid w:val="007D3DCE"/>
    <w:rsid w:val="007D3E51"/>
    <w:rsid w:val="007D6531"/>
    <w:rsid w:val="007D77BC"/>
    <w:rsid w:val="007E0357"/>
    <w:rsid w:val="007E1177"/>
    <w:rsid w:val="007E4270"/>
    <w:rsid w:val="007E7F59"/>
    <w:rsid w:val="007F0275"/>
    <w:rsid w:val="007F218F"/>
    <w:rsid w:val="007F27A4"/>
    <w:rsid w:val="007F4C8E"/>
    <w:rsid w:val="00810786"/>
    <w:rsid w:val="00810DE4"/>
    <w:rsid w:val="00811EAB"/>
    <w:rsid w:val="00811FB8"/>
    <w:rsid w:val="00813613"/>
    <w:rsid w:val="00821707"/>
    <w:rsid w:val="008217E5"/>
    <w:rsid w:val="00825F81"/>
    <w:rsid w:val="008318E0"/>
    <w:rsid w:val="00832A44"/>
    <w:rsid w:val="008352CA"/>
    <w:rsid w:val="00841627"/>
    <w:rsid w:val="0085068C"/>
    <w:rsid w:val="008567CC"/>
    <w:rsid w:val="008568DE"/>
    <w:rsid w:val="00857789"/>
    <w:rsid w:val="00865A1A"/>
    <w:rsid w:val="008671C5"/>
    <w:rsid w:val="008713E3"/>
    <w:rsid w:val="00871B77"/>
    <w:rsid w:val="008800E0"/>
    <w:rsid w:val="0088196D"/>
    <w:rsid w:val="00886875"/>
    <w:rsid w:val="008907C3"/>
    <w:rsid w:val="00891CBB"/>
    <w:rsid w:val="00895555"/>
    <w:rsid w:val="008961F8"/>
    <w:rsid w:val="00896841"/>
    <w:rsid w:val="0089684A"/>
    <w:rsid w:val="00897B38"/>
    <w:rsid w:val="00897D31"/>
    <w:rsid w:val="008A2B29"/>
    <w:rsid w:val="008A3055"/>
    <w:rsid w:val="008B0827"/>
    <w:rsid w:val="008B092A"/>
    <w:rsid w:val="008B2B79"/>
    <w:rsid w:val="008B6EDB"/>
    <w:rsid w:val="008B73F6"/>
    <w:rsid w:val="008C3902"/>
    <w:rsid w:val="008C47FC"/>
    <w:rsid w:val="008C576F"/>
    <w:rsid w:val="008C6980"/>
    <w:rsid w:val="008C741B"/>
    <w:rsid w:val="008D112F"/>
    <w:rsid w:val="008D19FC"/>
    <w:rsid w:val="008D7BA1"/>
    <w:rsid w:val="008D7CFE"/>
    <w:rsid w:val="008E04E1"/>
    <w:rsid w:val="008E2CC4"/>
    <w:rsid w:val="008E4F8D"/>
    <w:rsid w:val="008E729D"/>
    <w:rsid w:val="008E7AD3"/>
    <w:rsid w:val="008F299C"/>
    <w:rsid w:val="008F3066"/>
    <w:rsid w:val="008F68C4"/>
    <w:rsid w:val="00904FF3"/>
    <w:rsid w:val="0090663D"/>
    <w:rsid w:val="009116A6"/>
    <w:rsid w:val="00912B89"/>
    <w:rsid w:val="009151E2"/>
    <w:rsid w:val="00915B9D"/>
    <w:rsid w:val="00926CC1"/>
    <w:rsid w:val="00931AB4"/>
    <w:rsid w:val="00933029"/>
    <w:rsid w:val="0093453B"/>
    <w:rsid w:val="00935568"/>
    <w:rsid w:val="00936E9F"/>
    <w:rsid w:val="00937E05"/>
    <w:rsid w:val="00940666"/>
    <w:rsid w:val="00941DD6"/>
    <w:rsid w:val="00943870"/>
    <w:rsid w:val="00951A76"/>
    <w:rsid w:val="00952849"/>
    <w:rsid w:val="00957C28"/>
    <w:rsid w:val="009653D0"/>
    <w:rsid w:val="00966CE5"/>
    <w:rsid w:val="009672DD"/>
    <w:rsid w:val="00967840"/>
    <w:rsid w:val="009740B4"/>
    <w:rsid w:val="0098016D"/>
    <w:rsid w:val="00982593"/>
    <w:rsid w:val="009838B0"/>
    <w:rsid w:val="00983A65"/>
    <w:rsid w:val="00987433"/>
    <w:rsid w:val="009902C2"/>
    <w:rsid w:val="00993AAF"/>
    <w:rsid w:val="009974D8"/>
    <w:rsid w:val="009A1E89"/>
    <w:rsid w:val="009A477B"/>
    <w:rsid w:val="009A7F0A"/>
    <w:rsid w:val="009B121C"/>
    <w:rsid w:val="009B214C"/>
    <w:rsid w:val="009B33B4"/>
    <w:rsid w:val="009B6C5B"/>
    <w:rsid w:val="009C32F3"/>
    <w:rsid w:val="009C3864"/>
    <w:rsid w:val="009C4097"/>
    <w:rsid w:val="009C5C88"/>
    <w:rsid w:val="009D2AE8"/>
    <w:rsid w:val="009D2C65"/>
    <w:rsid w:val="009E0F80"/>
    <w:rsid w:val="009E2582"/>
    <w:rsid w:val="009E2C30"/>
    <w:rsid w:val="009E3A5E"/>
    <w:rsid w:val="009E5C03"/>
    <w:rsid w:val="009F1A2E"/>
    <w:rsid w:val="009F1CE2"/>
    <w:rsid w:val="009F709B"/>
    <w:rsid w:val="009F7E4C"/>
    <w:rsid w:val="00A00F05"/>
    <w:rsid w:val="00A03D9C"/>
    <w:rsid w:val="00A04BFF"/>
    <w:rsid w:val="00A05931"/>
    <w:rsid w:val="00A07566"/>
    <w:rsid w:val="00A07B61"/>
    <w:rsid w:val="00A1211C"/>
    <w:rsid w:val="00A147E1"/>
    <w:rsid w:val="00A14A8C"/>
    <w:rsid w:val="00A15BDC"/>
    <w:rsid w:val="00A1741E"/>
    <w:rsid w:val="00A17790"/>
    <w:rsid w:val="00A17AA6"/>
    <w:rsid w:val="00A22AC6"/>
    <w:rsid w:val="00A24B16"/>
    <w:rsid w:val="00A339F4"/>
    <w:rsid w:val="00A33F74"/>
    <w:rsid w:val="00A3529C"/>
    <w:rsid w:val="00A36067"/>
    <w:rsid w:val="00A4040D"/>
    <w:rsid w:val="00A433AE"/>
    <w:rsid w:val="00A45B80"/>
    <w:rsid w:val="00A47F55"/>
    <w:rsid w:val="00A50D75"/>
    <w:rsid w:val="00A51578"/>
    <w:rsid w:val="00A5199E"/>
    <w:rsid w:val="00A51B67"/>
    <w:rsid w:val="00A5221A"/>
    <w:rsid w:val="00A5585B"/>
    <w:rsid w:val="00A57D7A"/>
    <w:rsid w:val="00A603D2"/>
    <w:rsid w:val="00A62008"/>
    <w:rsid w:val="00A66A60"/>
    <w:rsid w:val="00A70CD7"/>
    <w:rsid w:val="00A7111D"/>
    <w:rsid w:val="00A761AD"/>
    <w:rsid w:val="00A8108C"/>
    <w:rsid w:val="00A81A22"/>
    <w:rsid w:val="00A83589"/>
    <w:rsid w:val="00A846DF"/>
    <w:rsid w:val="00A8535C"/>
    <w:rsid w:val="00A87C29"/>
    <w:rsid w:val="00A90D1E"/>
    <w:rsid w:val="00A93318"/>
    <w:rsid w:val="00AA18EB"/>
    <w:rsid w:val="00AA7737"/>
    <w:rsid w:val="00AB7265"/>
    <w:rsid w:val="00AC184B"/>
    <w:rsid w:val="00AC1CE7"/>
    <w:rsid w:val="00AC2EDA"/>
    <w:rsid w:val="00AC32F5"/>
    <w:rsid w:val="00AC5152"/>
    <w:rsid w:val="00AC581C"/>
    <w:rsid w:val="00AC5867"/>
    <w:rsid w:val="00AC5A88"/>
    <w:rsid w:val="00AC6CD1"/>
    <w:rsid w:val="00AD0718"/>
    <w:rsid w:val="00AD1D5B"/>
    <w:rsid w:val="00AD33B8"/>
    <w:rsid w:val="00AD4BD8"/>
    <w:rsid w:val="00AD4EFD"/>
    <w:rsid w:val="00AD5C64"/>
    <w:rsid w:val="00AD68F8"/>
    <w:rsid w:val="00AD6983"/>
    <w:rsid w:val="00AD70E6"/>
    <w:rsid w:val="00AE4479"/>
    <w:rsid w:val="00AE4AB7"/>
    <w:rsid w:val="00AE545A"/>
    <w:rsid w:val="00AE69DB"/>
    <w:rsid w:val="00AE7E6E"/>
    <w:rsid w:val="00AF2D8D"/>
    <w:rsid w:val="00AF2EA6"/>
    <w:rsid w:val="00AF57F1"/>
    <w:rsid w:val="00B04A3B"/>
    <w:rsid w:val="00B05ED7"/>
    <w:rsid w:val="00B068C4"/>
    <w:rsid w:val="00B06D2A"/>
    <w:rsid w:val="00B10F35"/>
    <w:rsid w:val="00B11925"/>
    <w:rsid w:val="00B134ED"/>
    <w:rsid w:val="00B17F34"/>
    <w:rsid w:val="00B21E8E"/>
    <w:rsid w:val="00B228F9"/>
    <w:rsid w:val="00B24210"/>
    <w:rsid w:val="00B27EB9"/>
    <w:rsid w:val="00B3235F"/>
    <w:rsid w:val="00B3262B"/>
    <w:rsid w:val="00B3538D"/>
    <w:rsid w:val="00B41782"/>
    <w:rsid w:val="00B42CB2"/>
    <w:rsid w:val="00B4317B"/>
    <w:rsid w:val="00B4514B"/>
    <w:rsid w:val="00B45B87"/>
    <w:rsid w:val="00B461B5"/>
    <w:rsid w:val="00B50DAE"/>
    <w:rsid w:val="00B5229B"/>
    <w:rsid w:val="00B53A61"/>
    <w:rsid w:val="00B55825"/>
    <w:rsid w:val="00B62464"/>
    <w:rsid w:val="00B62E61"/>
    <w:rsid w:val="00B6312F"/>
    <w:rsid w:val="00B6383E"/>
    <w:rsid w:val="00B66AE3"/>
    <w:rsid w:val="00B77FB0"/>
    <w:rsid w:val="00B810CF"/>
    <w:rsid w:val="00B87AF6"/>
    <w:rsid w:val="00B9491D"/>
    <w:rsid w:val="00BB0A1A"/>
    <w:rsid w:val="00BC12A2"/>
    <w:rsid w:val="00BC1C57"/>
    <w:rsid w:val="00BC42B1"/>
    <w:rsid w:val="00BC711F"/>
    <w:rsid w:val="00BD0334"/>
    <w:rsid w:val="00BD56A8"/>
    <w:rsid w:val="00BF1DA8"/>
    <w:rsid w:val="00BF353D"/>
    <w:rsid w:val="00BF3797"/>
    <w:rsid w:val="00BF4332"/>
    <w:rsid w:val="00BF4924"/>
    <w:rsid w:val="00C00694"/>
    <w:rsid w:val="00C01AE5"/>
    <w:rsid w:val="00C020C6"/>
    <w:rsid w:val="00C05092"/>
    <w:rsid w:val="00C0719D"/>
    <w:rsid w:val="00C15B42"/>
    <w:rsid w:val="00C16200"/>
    <w:rsid w:val="00C21039"/>
    <w:rsid w:val="00C22C78"/>
    <w:rsid w:val="00C24E70"/>
    <w:rsid w:val="00C270EE"/>
    <w:rsid w:val="00C2727B"/>
    <w:rsid w:val="00C30CBF"/>
    <w:rsid w:val="00C331B0"/>
    <w:rsid w:val="00C404DB"/>
    <w:rsid w:val="00C41E82"/>
    <w:rsid w:val="00C42892"/>
    <w:rsid w:val="00C436E0"/>
    <w:rsid w:val="00C44678"/>
    <w:rsid w:val="00C44EE6"/>
    <w:rsid w:val="00C44EF8"/>
    <w:rsid w:val="00C460DA"/>
    <w:rsid w:val="00C52588"/>
    <w:rsid w:val="00C5447E"/>
    <w:rsid w:val="00C5751A"/>
    <w:rsid w:val="00C5771C"/>
    <w:rsid w:val="00C632BE"/>
    <w:rsid w:val="00C65B5F"/>
    <w:rsid w:val="00C66F19"/>
    <w:rsid w:val="00C67DEE"/>
    <w:rsid w:val="00C70FBE"/>
    <w:rsid w:val="00C71597"/>
    <w:rsid w:val="00C72AA9"/>
    <w:rsid w:val="00C7496A"/>
    <w:rsid w:val="00C74FE0"/>
    <w:rsid w:val="00C765A6"/>
    <w:rsid w:val="00C83A15"/>
    <w:rsid w:val="00C83BDF"/>
    <w:rsid w:val="00C84F58"/>
    <w:rsid w:val="00C90FD2"/>
    <w:rsid w:val="00C974EF"/>
    <w:rsid w:val="00CA157A"/>
    <w:rsid w:val="00CA29A5"/>
    <w:rsid w:val="00CA2A9A"/>
    <w:rsid w:val="00CA5E3B"/>
    <w:rsid w:val="00CB0E6C"/>
    <w:rsid w:val="00CB6A19"/>
    <w:rsid w:val="00CB6F57"/>
    <w:rsid w:val="00CC2816"/>
    <w:rsid w:val="00CC36B4"/>
    <w:rsid w:val="00CD0D45"/>
    <w:rsid w:val="00CD378B"/>
    <w:rsid w:val="00CD439A"/>
    <w:rsid w:val="00CD7C88"/>
    <w:rsid w:val="00CE2116"/>
    <w:rsid w:val="00CE5D22"/>
    <w:rsid w:val="00CF1FD6"/>
    <w:rsid w:val="00CF2DE4"/>
    <w:rsid w:val="00CF34A8"/>
    <w:rsid w:val="00CF464E"/>
    <w:rsid w:val="00CF6834"/>
    <w:rsid w:val="00CF6AED"/>
    <w:rsid w:val="00D00AAD"/>
    <w:rsid w:val="00D017FD"/>
    <w:rsid w:val="00D028A4"/>
    <w:rsid w:val="00D05E73"/>
    <w:rsid w:val="00D05EB0"/>
    <w:rsid w:val="00D16CF2"/>
    <w:rsid w:val="00D23050"/>
    <w:rsid w:val="00D23608"/>
    <w:rsid w:val="00D26305"/>
    <w:rsid w:val="00D30756"/>
    <w:rsid w:val="00D3451B"/>
    <w:rsid w:val="00D36026"/>
    <w:rsid w:val="00D376B3"/>
    <w:rsid w:val="00D43EC4"/>
    <w:rsid w:val="00D45ED5"/>
    <w:rsid w:val="00D50212"/>
    <w:rsid w:val="00D5189F"/>
    <w:rsid w:val="00D5285B"/>
    <w:rsid w:val="00D52D2B"/>
    <w:rsid w:val="00D539E1"/>
    <w:rsid w:val="00D54869"/>
    <w:rsid w:val="00D549AC"/>
    <w:rsid w:val="00D579A5"/>
    <w:rsid w:val="00D57CC8"/>
    <w:rsid w:val="00D60228"/>
    <w:rsid w:val="00D636E5"/>
    <w:rsid w:val="00D67FBB"/>
    <w:rsid w:val="00D70CA4"/>
    <w:rsid w:val="00D71ECF"/>
    <w:rsid w:val="00D72707"/>
    <w:rsid w:val="00D74E95"/>
    <w:rsid w:val="00D768F3"/>
    <w:rsid w:val="00D76AED"/>
    <w:rsid w:val="00D82530"/>
    <w:rsid w:val="00D82FD1"/>
    <w:rsid w:val="00D83BA1"/>
    <w:rsid w:val="00D84136"/>
    <w:rsid w:val="00D871A8"/>
    <w:rsid w:val="00D90409"/>
    <w:rsid w:val="00D922E3"/>
    <w:rsid w:val="00D963CE"/>
    <w:rsid w:val="00D969FC"/>
    <w:rsid w:val="00DA0871"/>
    <w:rsid w:val="00DA48DD"/>
    <w:rsid w:val="00DA53DE"/>
    <w:rsid w:val="00DA6DEC"/>
    <w:rsid w:val="00DA7129"/>
    <w:rsid w:val="00DA7F5D"/>
    <w:rsid w:val="00DB1A1E"/>
    <w:rsid w:val="00DB643F"/>
    <w:rsid w:val="00DC0BD3"/>
    <w:rsid w:val="00DC156D"/>
    <w:rsid w:val="00DC158F"/>
    <w:rsid w:val="00DC196C"/>
    <w:rsid w:val="00DC1D75"/>
    <w:rsid w:val="00DC2BC0"/>
    <w:rsid w:val="00DC357C"/>
    <w:rsid w:val="00DC50CC"/>
    <w:rsid w:val="00DC5E65"/>
    <w:rsid w:val="00DC7840"/>
    <w:rsid w:val="00DD0972"/>
    <w:rsid w:val="00DD26ED"/>
    <w:rsid w:val="00DD4B69"/>
    <w:rsid w:val="00DD65CD"/>
    <w:rsid w:val="00DE23C8"/>
    <w:rsid w:val="00DE3CB9"/>
    <w:rsid w:val="00DE5BBE"/>
    <w:rsid w:val="00DF0FB5"/>
    <w:rsid w:val="00DF3E0F"/>
    <w:rsid w:val="00DF40BE"/>
    <w:rsid w:val="00DF4DD3"/>
    <w:rsid w:val="00DF5905"/>
    <w:rsid w:val="00DF7DD6"/>
    <w:rsid w:val="00E0291A"/>
    <w:rsid w:val="00E0561B"/>
    <w:rsid w:val="00E067C7"/>
    <w:rsid w:val="00E07391"/>
    <w:rsid w:val="00E103CC"/>
    <w:rsid w:val="00E1356B"/>
    <w:rsid w:val="00E13A16"/>
    <w:rsid w:val="00E14C68"/>
    <w:rsid w:val="00E158F9"/>
    <w:rsid w:val="00E1771A"/>
    <w:rsid w:val="00E20884"/>
    <w:rsid w:val="00E23B63"/>
    <w:rsid w:val="00E23F2B"/>
    <w:rsid w:val="00E26C79"/>
    <w:rsid w:val="00E27568"/>
    <w:rsid w:val="00E3099D"/>
    <w:rsid w:val="00E321E6"/>
    <w:rsid w:val="00E323BD"/>
    <w:rsid w:val="00E3479A"/>
    <w:rsid w:val="00E410A5"/>
    <w:rsid w:val="00E43480"/>
    <w:rsid w:val="00E455E5"/>
    <w:rsid w:val="00E511B2"/>
    <w:rsid w:val="00E5388A"/>
    <w:rsid w:val="00E545D6"/>
    <w:rsid w:val="00E558F3"/>
    <w:rsid w:val="00E55EF1"/>
    <w:rsid w:val="00E57FCC"/>
    <w:rsid w:val="00E6327F"/>
    <w:rsid w:val="00E6509E"/>
    <w:rsid w:val="00E6788F"/>
    <w:rsid w:val="00E73630"/>
    <w:rsid w:val="00E74B5F"/>
    <w:rsid w:val="00E8248E"/>
    <w:rsid w:val="00E82F89"/>
    <w:rsid w:val="00E87D1F"/>
    <w:rsid w:val="00E9240B"/>
    <w:rsid w:val="00E94D09"/>
    <w:rsid w:val="00E95293"/>
    <w:rsid w:val="00EA1AA7"/>
    <w:rsid w:val="00EA4791"/>
    <w:rsid w:val="00EA7396"/>
    <w:rsid w:val="00EA73AC"/>
    <w:rsid w:val="00EA7B1A"/>
    <w:rsid w:val="00EA7E59"/>
    <w:rsid w:val="00EB1EF5"/>
    <w:rsid w:val="00EB4405"/>
    <w:rsid w:val="00EB599F"/>
    <w:rsid w:val="00EC03A2"/>
    <w:rsid w:val="00EC2CD5"/>
    <w:rsid w:val="00EC31BF"/>
    <w:rsid w:val="00EC3454"/>
    <w:rsid w:val="00EC3D0C"/>
    <w:rsid w:val="00EC4CDA"/>
    <w:rsid w:val="00EC4DC9"/>
    <w:rsid w:val="00EC5828"/>
    <w:rsid w:val="00EC6E0A"/>
    <w:rsid w:val="00ED00B2"/>
    <w:rsid w:val="00ED0946"/>
    <w:rsid w:val="00ED0D0C"/>
    <w:rsid w:val="00ED1269"/>
    <w:rsid w:val="00ED37FB"/>
    <w:rsid w:val="00ED4030"/>
    <w:rsid w:val="00ED6187"/>
    <w:rsid w:val="00EE0815"/>
    <w:rsid w:val="00EE2A70"/>
    <w:rsid w:val="00EE4651"/>
    <w:rsid w:val="00EE730B"/>
    <w:rsid w:val="00EF01E8"/>
    <w:rsid w:val="00EF5EB8"/>
    <w:rsid w:val="00EF6A2B"/>
    <w:rsid w:val="00EF6D4D"/>
    <w:rsid w:val="00EF6E96"/>
    <w:rsid w:val="00EF6FBD"/>
    <w:rsid w:val="00F00BEF"/>
    <w:rsid w:val="00F02743"/>
    <w:rsid w:val="00F0315D"/>
    <w:rsid w:val="00F042E5"/>
    <w:rsid w:val="00F07030"/>
    <w:rsid w:val="00F105B4"/>
    <w:rsid w:val="00F11926"/>
    <w:rsid w:val="00F1258F"/>
    <w:rsid w:val="00F160D7"/>
    <w:rsid w:val="00F20D71"/>
    <w:rsid w:val="00F224E0"/>
    <w:rsid w:val="00F254E7"/>
    <w:rsid w:val="00F3237A"/>
    <w:rsid w:val="00F35D78"/>
    <w:rsid w:val="00F403F1"/>
    <w:rsid w:val="00F40F86"/>
    <w:rsid w:val="00F4127E"/>
    <w:rsid w:val="00F43E15"/>
    <w:rsid w:val="00F464C6"/>
    <w:rsid w:val="00F5224A"/>
    <w:rsid w:val="00F52415"/>
    <w:rsid w:val="00F5247F"/>
    <w:rsid w:val="00F57869"/>
    <w:rsid w:val="00F639A4"/>
    <w:rsid w:val="00F64118"/>
    <w:rsid w:val="00F65AED"/>
    <w:rsid w:val="00F66A98"/>
    <w:rsid w:val="00F67319"/>
    <w:rsid w:val="00F83E70"/>
    <w:rsid w:val="00F84BAE"/>
    <w:rsid w:val="00F858CC"/>
    <w:rsid w:val="00F86B26"/>
    <w:rsid w:val="00F92CAE"/>
    <w:rsid w:val="00F94C52"/>
    <w:rsid w:val="00F95F08"/>
    <w:rsid w:val="00FA05E8"/>
    <w:rsid w:val="00FA28FF"/>
    <w:rsid w:val="00FB11A9"/>
    <w:rsid w:val="00FB28AE"/>
    <w:rsid w:val="00FB5A04"/>
    <w:rsid w:val="00FC1479"/>
    <w:rsid w:val="00FC1496"/>
    <w:rsid w:val="00FD240E"/>
    <w:rsid w:val="00FD33D6"/>
    <w:rsid w:val="00FD571B"/>
    <w:rsid w:val="00FE457D"/>
    <w:rsid w:val="00FE49E0"/>
    <w:rsid w:val="00FE5118"/>
    <w:rsid w:val="00FE5E6A"/>
    <w:rsid w:val="00FF1E11"/>
    <w:rsid w:val="00FF61C9"/>
    <w:rsid w:val="00FF67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36CD"/>
  <w14:defaultImageDpi w14:val="32767"/>
  <w15:chartTrackingRefBased/>
  <w15:docId w15:val="{B9A20A80-F580-BB4D-8DAD-F7868D8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093C"/>
    <w:rPr>
      <w:rFonts w:ascii="Kings Caslon Display Typo" w:hAnsi="Kings Caslon Display Typo"/>
    </w:rPr>
  </w:style>
  <w:style w:type="paragraph" w:styleId="Heading1">
    <w:name w:val="heading 1"/>
    <w:basedOn w:val="Normal"/>
    <w:next w:val="Heading2"/>
    <w:link w:val="Heading1Char"/>
    <w:qFormat/>
    <w:rsid w:val="00E95293"/>
    <w:pPr>
      <w:keepNext/>
      <w:keepLines/>
      <w:numPr>
        <w:numId w:val="1"/>
      </w:numPr>
      <w:spacing w:after="240"/>
      <w:ind w:left="720" w:hanging="720"/>
      <w:outlineLvl w:val="0"/>
    </w:pPr>
    <w:rPr>
      <w:rFonts w:ascii="Times New Roman" w:eastAsia="Times New Roman" w:hAnsi="Times New Roman" w:cs="Times New Roman"/>
      <w:b/>
      <w:smallCaps/>
      <w:kern w:val="32"/>
      <w:lang w:val="en-CA"/>
    </w:rPr>
  </w:style>
  <w:style w:type="paragraph" w:styleId="Heading2">
    <w:name w:val="heading 2"/>
    <w:basedOn w:val="Normal"/>
    <w:next w:val="Heading3"/>
    <w:link w:val="Heading2Char"/>
    <w:qFormat/>
    <w:rsid w:val="00E95293"/>
    <w:pPr>
      <w:keepNext/>
      <w:keepLines/>
      <w:numPr>
        <w:ilvl w:val="1"/>
        <w:numId w:val="1"/>
      </w:numPr>
      <w:spacing w:after="240"/>
      <w:ind w:left="284"/>
      <w:outlineLvl w:val="1"/>
    </w:pPr>
    <w:rPr>
      <w:rFonts w:ascii="Times New Roman" w:eastAsia="Times New Roman" w:hAnsi="Times New Roman" w:cs="Times New Roman"/>
      <w:smallCaps/>
      <w:lang w:val="en-CA"/>
    </w:rPr>
  </w:style>
  <w:style w:type="paragraph" w:styleId="Heading3">
    <w:name w:val="heading 3"/>
    <w:basedOn w:val="Normal"/>
    <w:next w:val="Heading4"/>
    <w:link w:val="Heading3Char"/>
    <w:qFormat/>
    <w:rsid w:val="00D83BA1"/>
    <w:pPr>
      <w:keepNext/>
      <w:keepLines/>
      <w:numPr>
        <w:ilvl w:val="2"/>
        <w:numId w:val="1"/>
      </w:numPr>
      <w:spacing w:after="240"/>
      <w:ind w:left="1287" w:hanging="720"/>
      <w:outlineLvl w:val="2"/>
    </w:pPr>
    <w:rPr>
      <w:rFonts w:ascii="Times New Roman" w:eastAsia="Times New Roman" w:hAnsi="Times New Roman" w:cs="Times New Roman"/>
      <w:b/>
      <w:lang w:val="en-CA"/>
    </w:rPr>
  </w:style>
  <w:style w:type="paragraph" w:styleId="Heading4">
    <w:name w:val="heading 4"/>
    <w:basedOn w:val="Normal"/>
    <w:next w:val="Heading5"/>
    <w:link w:val="Heading4Char"/>
    <w:qFormat/>
    <w:rsid w:val="004D398C"/>
    <w:pPr>
      <w:keepNext/>
      <w:keepLines/>
      <w:numPr>
        <w:numId w:val="19"/>
      </w:numPr>
      <w:spacing w:after="240"/>
      <w:outlineLvl w:val="3"/>
    </w:pPr>
    <w:rPr>
      <w:rFonts w:ascii="Times New Roman" w:eastAsia="Times New Roman" w:hAnsi="Times New Roman" w:cs="Times New Roman"/>
      <w:i/>
      <w:lang w:val="en-CA"/>
    </w:rPr>
  </w:style>
  <w:style w:type="paragraph" w:styleId="Heading5">
    <w:name w:val="heading 5"/>
    <w:basedOn w:val="Normal"/>
    <w:next w:val="BodyText"/>
    <w:link w:val="Heading5Char"/>
    <w:qFormat/>
    <w:rsid w:val="00E95293"/>
    <w:pPr>
      <w:keepNext/>
      <w:keepLines/>
      <w:numPr>
        <w:ilvl w:val="4"/>
        <w:numId w:val="1"/>
      </w:numPr>
      <w:spacing w:after="240"/>
      <w:ind w:left="1684" w:hanging="720"/>
      <w:outlineLvl w:val="4"/>
    </w:pPr>
    <w:rPr>
      <w:rFonts w:ascii="Times New Roman" w:eastAsia="Times New Roman" w:hAnsi="Times New Roman" w:cs="Times New Roman"/>
      <w:i/>
      <w:lang w:val="en-CA"/>
    </w:rPr>
  </w:style>
  <w:style w:type="paragraph" w:styleId="Heading6">
    <w:name w:val="heading 6"/>
    <w:basedOn w:val="Normal"/>
    <w:next w:val="Normal"/>
    <w:link w:val="Heading6Char"/>
    <w:uiPriority w:val="9"/>
    <w:semiHidden/>
    <w:unhideWhenUsed/>
    <w:qFormat/>
    <w:rsid w:val="00E9529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9529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9529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529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093C"/>
    <w:pPr>
      <w:jc w:val="center"/>
    </w:pPr>
    <w:rPr>
      <w:rFonts w:ascii="Times New Roman" w:eastAsia="Times New Roman" w:hAnsi="Times New Roman" w:cs="Times New Roman"/>
      <w:b/>
      <w:caps/>
      <w:kern w:val="28"/>
      <w:lang w:val="en-CA"/>
    </w:rPr>
  </w:style>
  <w:style w:type="character" w:customStyle="1" w:styleId="TitleChar">
    <w:name w:val="Title Char"/>
    <w:basedOn w:val="DefaultParagraphFont"/>
    <w:link w:val="Title"/>
    <w:rsid w:val="0020093C"/>
    <w:rPr>
      <w:rFonts w:ascii="Times New Roman" w:eastAsia="Times New Roman" w:hAnsi="Times New Roman" w:cs="Times New Roman"/>
      <w:b/>
      <w:caps/>
      <w:kern w:val="28"/>
      <w:lang w:val="en-CA"/>
    </w:rPr>
  </w:style>
  <w:style w:type="paragraph" w:customStyle="1" w:styleId="Numberless">
    <w:name w:val="Numberless"/>
    <w:basedOn w:val="BodyText"/>
    <w:qFormat/>
    <w:rsid w:val="0020093C"/>
    <w:pPr>
      <w:spacing w:after="240" w:line="360" w:lineRule="auto"/>
      <w:jc w:val="both"/>
    </w:pPr>
    <w:rPr>
      <w:rFonts w:ascii="Times New Roman" w:eastAsia="Times New Roman" w:hAnsi="Times New Roman" w:cs="Times New Roman"/>
      <w:lang w:val="en-CA"/>
    </w:rPr>
  </w:style>
  <w:style w:type="paragraph" w:styleId="BodyText">
    <w:name w:val="Body Text"/>
    <w:basedOn w:val="Normal"/>
    <w:link w:val="BodyTextChar"/>
    <w:unhideWhenUsed/>
    <w:rsid w:val="0020093C"/>
    <w:pPr>
      <w:spacing w:after="120"/>
    </w:pPr>
  </w:style>
  <w:style w:type="character" w:customStyle="1" w:styleId="BodyTextChar">
    <w:name w:val="Body Text Char"/>
    <w:basedOn w:val="DefaultParagraphFont"/>
    <w:link w:val="BodyText"/>
    <w:rsid w:val="0020093C"/>
    <w:rPr>
      <w:rFonts w:ascii="Kings Caslon Display Typo" w:hAnsi="Kings Caslon Display Typo"/>
    </w:rPr>
  </w:style>
  <w:style w:type="character" w:customStyle="1" w:styleId="Heading1Char">
    <w:name w:val="Heading 1 Char"/>
    <w:basedOn w:val="DefaultParagraphFont"/>
    <w:link w:val="Heading1"/>
    <w:rsid w:val="00E95293"/>
    <w:rPr>
      <w:rFonts w:ascii="Times New Roman" w:eastAsia="Times New Roman" w:hAnsi="Times New Roman" w:cs="Times New Roman"/>
      <w:b/>
      <w:smallCaps/>
      <w:kern w:val="32"/>
      <w:lang w:val="en-CA"/>
    </w:rPr>
  </w:style>
  <w:style w:type="character" w:customStyle="1" w:styleId="Heading2Char">
    <w:name w:val="Heading 2 Char"/>
    <w:basedOn w:val="DefaultParagraphFont"/>
    <w:link w:val="Heading2"/>
    <w:rsid w:val="00E95293"/>
    <w:rPr>
      <w:rFonts w:ascii="Times New Roman" w:eastAsia="Times New Roman" w:hAnsi="Times New Roman" w:cs="Times New Roman"/>
      <w:smallCaps/>
      <w:lang w:val="en-CA"/>
    </w:rPr>
  </w:style>
  <w:style w:type="character" w:customStyle="1" w:styleId="Heading3Char">
    <w:name w:val="Heading 3 Char"/>
    <w:basedOn w:val="DefaultParagraphFont"/>
    <w:link w:val="Heading3"/>
    <w:rsid w:val="00D83BA1"/>
    <w:rPr>
      <w:rFonts w:ascii="Times New Roman" w:eastAsia="Times New Roman" w:hAnsi="Times New Roman" w:cs="Times New Roman"/>
      <w:b/>
      <w:lang w:val="en-CA"/>
    </w:rPr>
  </w:style>
  <w:style w:type="character" w:customStyle="1" w:styleId="Heading4Char">
    <w:name w:val="Heading 4 Char"/>
    <w:basedOn w:val="DefaultParagraphFont"/>
    <w:link w:val="Heading4"/>
    <w:rsid w:val="004D398C"/>
    <w:rPr>
      <w:rFonts w:ascii="Times New Roman" w:eastAsia="Times New Roman" w:hAnsi="Times New Roman" w:cs="Times New Roman"/>
      <w:i/>
      <w:lang w:val="en-CA"/>
    </w:rPr>
  </w:style>
  <w:style w:type="character" w:customStyle="1" w:styleId="Heading5Char">
    <w:name w:val="Heading 5 Char"/>
    <w:basedOn w:val="DefaultParagraphFont"/>
    <w:link w:val="Heading5"/>
    <w:rsid w:val="00E95293"/>
    <w:rPr>
      <w:rFonts w:ascii="Times New Roman" w:eastAsia="Times New Roman" w:hAnsi="Times New Roman" w:cs="Times New Roman"/>
      <w:i/>
      <w:lang w:val="en-CA"/>
    </w:rPr>
  </w:style>
  <w:style w:type="character" w:customStyle="1" w:styleId="Heading6Char">
    <w:name w:val="Heading 6 Char"/>
    <w:basedOn w:val="DefaultParagraphFont"/>
    <w:link w:val="Heading6"/>
    <w:uiPriority w:val="9"/>
    <w:semiHidden/>
    <w:rsid w:val="00E9529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9529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952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5293"/>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8F299C"/>
    <w:pPr>
      <w:tabs>
        <w:tab w:val="num" w:pos="1440"/>
      </w:tabs>
      <w:spacing w:after="240"/>
      <w:ind w:left="1440" w:hanging="720"/>
    </w:pPr>
    <w:rPr>
      <w:rFonts w:ascii="Times New Roman" w:eastAsia="Times New Roman" w:hAnsi="Times New Roman" w:cs="Times New Roman"/>
      <w:lang w:val="en-CA"/>
    </w:rPr>
  </w:style>
  <w:style w:type="character" w:customStyle="1" w:styleId="BodyText2Char">
    <w:name w:val="Body Text 2 Char"/>
    <w:basedOn w:val="DefaultParagraphFont"/>
    <w:link w:val="BodyText2"/>
    <w:rsid w:val="008F299C"/>
    <w:rPr>
      <w:rFonts w:ascii="Times New Roman" w:eastAsia="Times New Roman" w:hAnsi="Times New Roman" w:cs="Times New Roman"/>
      <w:lang w:val="en-CA"/>
    </w:rPr>
  </w:style>
  <w:style w:type="paragraph" w:styleId="BodyText3">
    <w:name w:val="Body Text 3"/>
    <w:basedOn w:val="Normal"/>
    <w:link w:val="BodyText3Char"/>
    <w:rsid w:val="008F299C"/>
    <w:pPr>
      <w:tabs>
        <w:tab w:val="num" w:pos="2160"/>
      </w:tabs>
      <w:spacing w:after="240"/>
      <w:ind w:left="2160" w:hanging="720"/>
    </w:pPr>
    <w:rPr>
      <w:rFonts w:ascii="Times New Roman" w:eastAsia="Times New Roman" w:hAnsi="Times New Roman" w:cs="Times New Roman"/>
      <w:lang w:val="en-CA"/>
    </w:rPr>
  </w:style>
  <w:style w:type="character" w:customStyle="1" w:styleId="BodyText3Char">
    <w:name w:val="Body Text 3 Char"/>
    <w:basedOn w:val="DefaultParagraphFont"/>
    <w:link w:val="BodyText3"/>
    <w:rsid w:val="008F299C"/>
    <w:rPr>
      <w:rFonts w:ascii="Times New Roman" w:eastAsia="Times New Roman" w:hAnsi="Times New Roman" w:cs="Times New Roman"/>
      <w:lang w:val="en-CA"/>
    </w:rPr>
  </w:style>
  <w:style w:type="paragraph" w:customStyle="1" w:styleId="BodyText4">
    <w:name w:val="Body Text 4"/>
    <w:basedOn w:val="Normal"/>
    <w:rsid w:val="008F299C"/>
    <w:pPr>
      <w:tabs>
        <w:tab w:val="num" w:pos="2160"/>
      </w:tabs>
      <w:spacing w:after="240"/>
      <w:ind w:left="2160" w:hanging="720"/>
    </w:pPr>
    <w:rPr>
      <w:rFonts w:ascii="Times New Roman" w:eastAsia="Times New Roman" w:hAnsi="Times New Roman" w:cs="Times New Roman"/>
      <w:lang w:val="en-CA"/>
    </w:rPr>
  </w:style>
  <w:style w:type="character" w:styleId="FootnoteReference">
    <w:name w:val="footnote reference"/>
    <w:aliases w:val="fr,o,de nota al pie,Style 131,Style 27,Style 36,Style 45,Appel note de bas de page,4_G,Footnote number"/>
    <w:basedOn w:val="DefaultParagraphFont"/>
    <w:uiPriority w:val="99"/>
    <w:rsid w:val="008F299C"/>
    <w:rPr>
      <w:vertAlign w:val="superscript"/>
    </w:rPr>
  </w:style>
  <w:style w:type="paragraph" w:styleId="FootnoteText">
    <w:name w:val="footnote text"/>
    <w:basedOn w:val="Normal"/>
    <w:link w:val="FootnoteTextChar"/>
    <w:uiPriority w:val="99"/>
    <w:rsid w:val="008F299C"/>
    <w:pPr>
      <w:spacing w:after="120"/>
      <w:ind w:left="720" w:hanging="720"/>
    </w:pPr>
    <w:rPr>
      <w:rFonts w:ascii="Times New Roman" w:eastAsia="Times New Roman" w:hAnsi="Times New Roman" w:cs="Times New Roman"/>
      <w:lang w:val="en-CA"/>
    </w:rPr>
  </w:style>
  <w:style w:type="character" w:customStyle="1" w:styleId="FootnoteTextChar">
    <w:name w:val="Footnote Text Char"/>
    <w:basedOn w:val="DefaultParagraphFont"/>
    <w:link w:val="FootnoteText"/>
    <w:uiPriority w:val="99"/>
    <w:rsid w:val="008F299C"/>
    <w:rPr>
      <w:rFonts w:ascii="Times New Roman" w:eastAsia="Times New Roman" w:hAnsi="Times New Roman" w:cs="Times New Roman"/>
      <w:lang w:val="en-CA"/>
    </w:rPr>
  </w:style>
  <w:style w:type="paragraph" w:styleId="Header">
    <w:name w:val="header"/>
    <w:basedOn w:val="Normal"/>
    <w:link w:val="HeaderChar"/>
    <w:uiPriority w:val="99"/>
    <w:unhideWhenUsed/>
    <w:rsid w:val="001E0F7F"/>
    <w:pPr>
      <w:tabs>
        <w:tab w:val="center" w:pos="4680"/>
        <w:tab w:val="right" w:pos="9360"/>
      </w:tabs>
    </w:pPr>
  </w:style>
  <w:style w:type="character" w:customStyle="1" w:styleId="HeaderChar">
    <w:name w:val="Header Char"/>
    <w:basedOn w:val="DefaultParagraphFont"/>
    <w:link w:val="Header"/>
    <w:uiPriority w:val="99"/>
    <w:rsid w:val="001E0F7F"/>
    <w:rPr>
      <w:rFonts w:ascii="Kings Caslon Display Typo" w:hAnsi="Kings Caslon Display Typo"/>
    </w:rPr>
  </w:style>
  <w:style w:type="paragraph" w:styleId="Footer">
    <w:name w:val="footer"/>
    <w:basedOn w:val="Normal"/>
    <w:link w:val="FooterChar"/>
    <w:uiPriority w:val="99"/>
    <w:unhideWhenUsed/>
    <w:rsid w:val="001E0F7F"/>
    <w:pPr>
      <w:tabs>
        <w:tab w:val="center" w:pos="4680"/>
        <w:tab w:val="right" w:pos="9360"/>
      </w:tabs>
    </w:pPr>
  </w:style>
  <w:style w:type="character" w:customStyle="1" w:styleId="FooterChar">
    <w:name w:val="Footer Char"/>
    <w:basedOn w:val="DefaultParagraphFont"/>
    <w:link w:val="Footer"/>
    <w:uiPriority w:val="99"/>
    <w:rsid w:val="001E0F7F"/>
    <w:rPr>
      <w:rFonts w:ascii="Kings Caslon Display Typo" w:hAnsi="Kings Caslon Display Typo"/>
    </w:rPr>
  </w:style>
  <w:style w:type="paragraph" w:styleId="TOCHeading">
    <w:name w:val="TOC Heading"/>
    <w:basedOn w:val="Heading1"/>
    <w:next w:val="Normal"/>
    <w:uiPriority w:val="39"/>
    <w:unhideWhenUsed/>
    <w:qFormat/>
    <w:rsid w:val="00EA7B1A"/>
    <w:pPr>
      <w:numPr>
        <w:numId w:val="0"/>
      </w:numPr>
      <w:spacing w:before="480" w:after="0" w:line="276" w:lineRule="auto"/>
      <w:outlineLvl w:val="9"/>
    </w:pPr>
    <w:rPr>
      <w:rFonts w:asciiTheme="majorHAnsi" w:eastAsiaTheme="majorEastAsia" w:hAnsiTheme="majorHAnsi" w:cstheme="majorBidi"/>
      <w:bCs/>
      <w:smallCaps w:val="0"/>
      <w:color w:val="2F5496" w:themeColor="accent1" w:themeShade="BF"/>
      <w:kern w:val="0"/>
      <w:sz w:val="28"/>
      <w:szCs w:val="28"/>
      <w:lang w:val="en-US"/>
    </w:rPr>
  </w:style>
  <w:style w:type="paragraph" w:styleId="TOC1">
    <w:name w:val="toc 1"/>
    <w:basedOn w:val="Normal"/>
    <w:next w:val="Normal"/>
    <w:autoRedefine/>
    <w:uiPriority w:val="39"/>
    <w:unhideWhenUsed/>
    <w:rsid w:val="00226826"/>
    <w:pPr>
      <w:tabs>
        <w:tab w:val="left" w:pos="480"/>
        <w:tab w:val="right" w:leader="dot" w:pos="9350"/>
      </w:tabs>
      <w:spacing w:before="120"/>
    </w:pPr>
    <w:rPr>
      <w:rFonts w:ascii="Times New Roman" w:hAnsi="Times New Roman" w:cs="Calibri (Body)"/>
      <w:b/>
      <w:bCs/>
      <w:iCs/>
      <w:caps/>
      <w:noProof/>
    </w:rPr>
  </w:style>
  <w:style w:type="paragraph" w:styleId="TOC2">
    <w:name w:val="toc 2"/>
    <w:basedOn w:val="Normal"/>
    <w:next w:val="Normal"/>
    <w:autoRedefine/>
    <w:uiPriority w:val="39"/>
    <w:unhideWhenUsed/>
    <w:rsid w:val="00EA7B1A"/>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632D4"/>
    <w:pPr>
      <w:tabs>
        <w:tab w:val="left" w:pos="960"/>
        <w:tab w:val="right" w:leader="dot" w:pos="9350"/>
      </w:tabs>
      <w:ind w:left="480"/>
    </w:pPr>
    <w:rPr>
      <w:rFonts w:asciiTheme="minorHAnsi" w:hAnsiTheme="minorHAnsi" w:cstheme="minorHAnsi"/>
      <w:sz w:val="20"/>
      <w:szCs w:val="20"/>
    </w:rPr>
  </w:style>
  <w:style w:type="character" w:styleId="Hyperlink">
    <w:name w:val="Hyperlink"/>
    <w:basedOn w:val="DefaultParagraphFont"/>
    <w:uiPriority w:val="99"/>
    <w:unhideWhenUsed/>
    <w:rsid w:val="00EA7B1A"/>
    <w:rPr>
      <w:color w:val="0563C1" w:themeColor="hyperlink"/>
      <w:u w:val="single"/>
    </w:rPr>
  </w:style>
  <w:style w:type="paragraph" w:styleId="TOC4">
    <w:name w:val="toc 4"/>
    <w:basedOn w:val="Normal"/>
    <w:next w:val="Normal"/>
    <w:autoRedefine/>
    <w:uiPriority w:val="39"/>
    <w:semiHidden/>
    <w:unhideWhenUsed/>
    <w:rsid w:val="00EA7B1A"/>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7B1A"/>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7B1A"/>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7B1A"/>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7B1A"/>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7B1A"/>
    <w:pPr>
      <w:ind w:left="19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7335BE"/>
    <w:rPr>
      <w:sz w:val="16"/>
      <w:szCs w:val="16"/>
    </w:rPr>
  </w:style>
  <w:style w:type="paragraph" w:styleId="CommentText">
    <w:name w:val="annotation text"/>
    <w:basedOn w:val="Normal"/>
    <w:link w:val="CommentTextChar"/>
    <w:uiPriority w:val="99"/>
    <w:unhideWhenUsed/>
    <w:rsid w:val="007335BE"/>
    <w:rPr>
      <w:sz w:val="20"/>
      <w:szCs w:val="20"/>
    </w:rPr>
  </w:style>
  <w:style w:type="character" w:customStyle="1" w:styleId="CommentTextChar">
    <w:name w:val="Comment Text Char"/>
    <w:basedOn w:val="DefaultParagraphFont"/>
    <w:link w:val="CommentText"/>
    <w:uiPriority w:val="99"/>
    <w:rsid w:val="007335BE"/>
    <w:rPr>
      <w:rFonts w:ascii="Kings Caslon Display Typo" w:hAnsi="Kings Caslon Display Typo"/>
      <w:sz w:val="20"/>
      <w:szCs w:val="20"/>
    </w:rPr>
  </w:style>
  <w:style w:type="paragraph" w:styleId="CommentSubject">
    <w:name w:val="annotation subject"/>
    <w:basedOn w:val="CommentText"/>
    <w:next w:val="CommentText"/>
    <w:link w:val="CommentSubjectChar"/>
    <w:uiPriority w:val="99"/>
    <w:semiHidden/>
    <w:unhideWhenUsed/>
    <w:rsid w:val="007335BE"/>
    <w:rPr>
      <w:b/>
      <w:bCs/>
    </w:rPr>
  </w:style>
  <w:style w:type="character" w:customStyle="1" w:styleId="CommentSubjectChar">
    <w:name w:val="Comment Subject Char"/>
    <w:basedOn w:val="CommentTextChar"/>
    <w:link w:val="CommentSubject"/>
    <w:uiPriority w:val="99"/>
    <w:semiHidden/>
    <w:rsid w:val="007335BE"/>
    <w:rPr>
      <w:rFonts w:ascii="Kings Caslon Display Typo" w:hAnsi="Kings Caslon Display Typo"/>
      <w:b/>
      <w:bCs/>
      <w:sz w:val="20"/>
      <w:szCs w:val="20"/>
    </w:rPr>
  </w:style>
  <w:style w:type="paragraph" w:styleId="NoSpacing">
    <w:name w:val="No Spacing"/>
    <w:uiPriority w:val="1"/>
    <w:qFormat/>
    <w:rsid w:val="005B1F66"/>
    <w:rPr>
      <w:rFonts w:ascii="Kings Caslon Display Typo" w:hAnsi="Kings Caslon Display Typo"/>
    </w:rPr>
  </w:style>
  <w:style w:type="character" w:styleId="UnresolvedMention">
    <w:name w:val="Unresolved Mention"/>
    <w:basedOn w:val="DefaultParagraphFont"/>
    <w:uiPriority w:val="99"/>
    <w:rsid w:val="00A5199E"/>
    <w:rPr>
      <w:color w:val="605E5C"/>
      <w:shd w:val="clear" w:color="auto" w:fill="E1DFDD"/>
    </w:rPr>
  </w:style>
  <w:style w:type="character" w:styleId="PageNumber">
    <w:name w:val="page number"/>
    <w:basedOn w:val="DefaultParagraphFont"/>
    <w:uiPriority w:val="99"/>
    <w:semiHidden/>
    <w:unhideWhenUsed/>
    <w:rsid w:val="00CE5D22"/>
  </w:style>
  <w:style w:type="paragraph" w:styleId="ListParagraph">
    <w:name w:val="List Paragraph"/>
    <w:basedOn w:val="Normal"/>
    <w:uiPriority w:val="34"/>
    <w:qFormat/>
    <w:rsid w:val="00C7496A"/>
    <w:pPr>
      <w:ind w:left="720"/>
      <w:contextualSpacing/>
    </w:pPr>
  </w:style>
  <w:style w:type="paragraph" w:styleId="Revision">
    <w:name w:val="Revision"/>
    <w:hidden/>
    <w:uiPriority w:val="99"/>
    <w:semiHidden/>
    <w:rsid w:val="00EA73AC"/>
    <w:rPr>
      <w:rFonts w:ascii="Kings Caslon Display Typo" w:hAnsi="Kings Caslon Display Typo"/>
    </w:rPr>
  </w:style>
  <w:style w:type="character" w:styleId="FollowedHyperlink">
    <w:name w:val="FollowedHyperlink"/>
    <w:basedOn w:val="DefaultParagraphFont"/>
    <w:uiPriority w:val="99"/>
    <w:semiHidden/>
    <w:unhideWhenUsed/>
    <w:rsid w:val="006C3934"/>
    <w:rPr>
      <w:color w:val="954F72" w:themeColor="followedHyperlink"/>
      <w:u w:val="single"/>
    </w:rPr>
  </w:style>
  <w:style w:type="paragraph" w:styleId="NormalWeb">
    <w:name w:val="Normal (Web)"/>
    <w:basedOn w:val="Normal"/>
    <w:uiPriority w:val="99"/>
    <w:semiHidden/>
    <w:unhideWhenUsed/>
    <w:rsid w:val="00D70CA4"/>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7D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090">
      <w:bodyDiv w:val="1"/>
      <w:marLeft w:val="0"/>
      <w:marRight w:val="0"/>
      <w:marTop w:val="0"/>
      <w:marBottom w:val="0"/>
      <w:divBdr>
        <w:top w:val="none" w:sz="0" w:space="0" w:color="auto"/>
        <w:left w:val="none" w:sz="0" w:space="0" w:color="auto"/>
        <w:bottom w:val="none" w:sz="0" w:space="0" w:color="auto"/>
        <w:right w:val="none" w:sz="0" w:space="0" w:color="auto"/>
      </w:divBdr>
    </w:div>
    <w:div w:id="131292379">
      <w:bodyDiv w:val="1"/>
      <w:marLeft w:val="0"/>
      <w:marRight w:val="0"/>
      <w:marTop w:val="0"/>
      <w:marBottom w:val="0"/>
      <w:divBdr>
        <w:top w:val="none" w:sz="0" w:space="0" w:color="auto"/>
        <w:left w:val="none" w:sz="0" w:space="0" w:color="auto"/>
        <w:bottom w:val="none" w:sz="0" w:space="0" w:color="auto"/>
        <w:right w:val="none" w:sz="0" w:space="0" w:color="auto"/>
      </w:divBdr>
      <w:divsChild>
        <w:div w:id="1755474982">
          <w:marLeft w:val="0"/>
          <w:marRight w:val="0"/>
          <w:marTop w:val="0"/>
          <w:marBottom w:val="0"/>
          <w:divBdr>
            <w:top w:val="none" w:sz="0" w:space="0" w:color="auto"/>
            <w:left w:val="none" w:sz="0" w:space="0" w:color="auto"/>
            <w:bottom w:val="none" w:sz="0" w:space="0" w:color="auto"/>
            <w:right w:val="none" w:sz="0" w:space="0" w:color="auto"/>
          </w:divBdr>
          <w:divsChild>
            <w:div w:id="1101687361">
              <w:marLeft w:val="0"/>
              <w:marRight w:val="0"/>
              <w:marTop w:val="0"/>
              <w:marBottom w:val="0"/>
              <w:divBdr>
                <w:top w:val="none" w:sz="0" w:space="0" w:color="auto"/>
                <w:left w:val="none" w:sz="0" w:space="0" w:color="auto"/>
                <w:bottom w:val="none" w:sz="0" w:space="0" w:color="auto"/>
                <w:right w:val="none" w:sz="0" w:space="0" w:color="auto"/>
              </w:divBdr>
              <w:divsChild>
                <w:div w:id="15546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8086">
      <w:bodyDiv w:val="1"/>
      <w:marLeft w:val="0"/>
      <w:marRight w:val="0"/>
      <w:marTop w:val="0"/>
      <w:marBottom w:val="0"/>
      <w:divBdr>
        <w:top w:val="none" w:sz="0" w:space="0" w:color="auto"/>
        <w:left w:val="none" w:sz="0" w:space="0" w:color="auto"/>
        <w:bottom w:val="none" w:sz="0" w:space="0" w:color="auto"/>
        <w:right w:val="none" w:sz="0" w:space="0" w:color="auto"/>
      </w:divBdr>
      <w:divsChild>
        <w:div w:id="831919382">
          <w:marLeft w:val="0"/>
          <w:marRight w:val="0"/>
          <w:marTop w:val="0"/>
          <w:marBottom w:val="0"/>
          <w:divBdr>
            <w:top w:val="none" w:sz="0" w:space="0" w:color="auto"/>
            <w:left w:val="none" w:sz="0" w:space="0" w:color="auto"/>
            <w:bottom w:val="none" w:sz="0" w:space="0" w:color="auto"/>
            <w:right w:val="none" w:sz="0" w:space="0" w:color="auto"/>
          </w:divBdr>
          <w:divsChild>
            <w:div w:id="138085184">
              <w:marLeft w:val="0"/>
              <w:marRight w:val="0"/>
              <w:marTop w:val="0"/>
              <w:marBottom w:val="0"/>
              <w:divBdr>
                <w:top w:val="none" w:sz="0" w:space="0" w:color="auto"/>
                <w:left w:val="none" w:sz="0" w:space="0" w:color="auto"/>
                <w:bottom w:val="none" w:sz="0" w:space="0" w:color="auto"/>
                <w:right w:val="none" w:sz="0" w:space="0" w:color="auto"/>
              </w:divBdr>
              <w:divsChild>
                <w:div w:id="4030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38505">
      <w:bodyDiv w:val="1"/>
      <w:marLeft w:val="0"/>
      <w:marRight w:val="0"/>
      <w:marTop w:val="0"/>
      <w:marBottom w:val="0"/>
      <w:divBdr>
        <w:top w:val="none" w:sz="0" w:space="0" w:color="auto"/>
        <w:left w:val="none" w:sz="0" w:space="0" w:color="auto"/>
        <w:bottom w:val="none" w:sz="0" w:space="0" w:color="auto"/>
        <w:right w:val="none" w:sz="0" w:space="0" w:color="auto"/>
      </w:divBdr>
      <w:divsChild>
        <w:div w:id="364328791">
          <w:marLeft w:val="0"/>
          <w:marRight w:val="0"/>
          <w:marTop w:val="0"/>
          <w:marBottom w:val="0"/>
          <w:divBdr>
            <w:top w:val="none" w:sz="0" w:space="0" w:color="auto"/>
            <w:left w:val="none" w:sz="0" w:space="0" w:color="auto"/>
            <w:bottom w:val="none" w:sz="0" w:space="0" w:color="auto"/>
            <w:right w:val="none" w:sz="0" w:space="0" w:color="auto"/>
          </w:divBdr>
          <w:divsChild>
            <w:div w:id="729428732">
              <w:marLeft w:val="0"/>
              <w:marRight w:val="0"/>
              <w:marTop w:val="0"/>
              <w:marBottom w:val="0"/>
              <w:divBdr>
                <w:top w:val="none" w:sz="0" w:space="0" w:color="auto"/>
                <w:left w:val="none" w:sz="0" w:space="0" w:color="auto"/>
                <w:bottom w:val="none" w:sz="0" w:space="0" w:color="auto"/>
                <w:right w:val="none" w:sz="0" w:space="0" w:color="auto"/>
              </w:divBdr>
              <w:divsChild>
                <w:div w:id="13853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5858">
      <w:bodyDiv w:val="1"/>
      <w:marLeft w:val="0"/>
      <w:marRight w:val="0"/>
      <w:marTop w:val="0"/>
      <w:marBottom w:val="0"/>
      <w:divBdr>
        <w:top w:val="none" w:sz="0" w:space="0" w:color="auto"/>
        <w:left w:val="none" w:sz="0" w:space="0" w:color="auto"/>
        <w:bottom w:val="none" w:sz="0" w:space="0" w:color="auto"/>
        <w:right w:val="none" w:sz="0" w:space="0" w:color="auto"/>
      </w:divBdr>
      <w:divsChild>
        <w:div w:id="835070666">
          <w:marLeft w:val="0"/>
          <w:marRight w:val="0"/>
          <w:marTop w:val="0"/>
          <w:marBottom w:val="0"/>
          <w:divBdr>
            <w:top w:val="none" w:sz="0" w:space="0" w:color="auto"/>
            <w:left w:val="none" w:sz="0" w:space="0" w:color="auto"/>
            <w:bottom w:val="none" w:sz="0" w:space="0" w:color="auto"/>
            <w:right w:val="none" w:sz="0" w:space="0" w:color="auto"/>
          </w:divBdr>
          <w:divsChild>
            <w:div w:id="903100041">
              <w:marLeft w:val="0"/>
              <w:marRight w:val="0"/>
              <w:marTop w:val="0"/>
              <w:marBottom w:val="0"/>
              <w:divBdr>
                <w:top w:val="none" w:sz="0" w:space="0" w:color="auto"/>
                <w:left w:val="none" w:sz="0" w:space="0" w:color="auto"/>
                <w:bottom w:val="none" w:sz="0" w:space="0" w:color="auto"/>
                <w:right w:val="none" w:sz="0" w:space="0" w:color="auto"/>
              </w:divBdr>
              <w:divsChild>
                <w:div w:id="4760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4751">
      <w:bodyDiv w:val="1"/>
      <w:marLeft w:val="0"/>
      <w:marRight w:val="0"/>
      <w:marTop w:val="0"/>
      <w:marBottom w:val="0"/>
      <w:divBdr>
        <w:top w:val="none" w:sz="0" w:space="0" w:color="auto"/>
        <w:left w:val="none" w:sz="0" w:space="0" w:color="auto"/>
        <w:bottom w:val="none" w:sz="0" w:space="0" w:color="auto"/>
        <w:right w:val="none" w:sz="0" w:space="0" w:color="auto"/>
      </w:divBdr>
      <w:divsChild>
        <w:div w:id="1009483402">
          <w:marLeft w:val="0"/>
          <w:marRight w:val="0"/>
          <w:marTop w:val="0"/>
          <w:marBottom w:val="0"/>
          <w:divBdr>
            <w:top w:val="none" w:sz="0" w:space="0" w:color="auto"/>
            <w:left w:val="none" w:sz="0" w:space="0" w:color="auto"/>
            <w:bottom w:val="none" w:sz="0" w:space="0" w:color="auto"/>
            <w:right w:val="none" w:sz="0" w:space="0" w:color="auto"/>
          </w:divBdr>
          <w:divsChild>
            <w:div w:id="1202551431">
              <w:marLeft w:val="0"/>
              <w:marRight w:val="0"/>
              <w:marTop w:val="0"/>
              <w:marBottom w:val="0"/>
              <w:divBdr>
                <w:top w:val="none" w:sz="0" w:space="0" w:color="auto"/>
                <w:left w:val="none" w:sz="0" w:space="0" w:color="auto"/>
                <w:bottom w:val="none" w:sz="0" w:space="0" w:color="auto"/>
                <w:right w:val="none" w:sz="0" w:space="0" w:color="auto"/>
              </w:divBdr>
              <w:divsChild>
                <w:div w:id="1202478499">
                  <w:marLeft w:val="0"/>
                  <w:marRight w:val="0"/>
                  <w:marTop w:val="0"/>
                  <w:marBottom w:val="0"/>
                  <w:divBdr>
                    <w:top w:val="none" w:sz="0" w:space="0" w:color="auto"/>
                    <w:left w:val="none" w:sz="0" w:space="0" w:color="auto"/>
                    <w:bottom w:val="none" w:sz="0" w:space="0" w:color="auto"/>
                    <w:right w:val="none" w:sz="0" w:space="0" w:color="auto"/>
                  </w:divBdr>
                  <w:divsChild>
                    <w:div w:id="5982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3137">
      <w:bodyDiv w:val="1"/>
      <w:marLeft w:val="0"/>
      <w:marRight w:val="0"/>
      <w:marTop w:val="0"/>
      <w:marBottom w:val="0"/>
      <w:divBdr>
        <w:top w:val="none" w:sz="0" w:space="0" w:color="auto"/>
        <w:left w:val="none" w:sz="0" w:space="0" w:color="auto"/>
        <w:bottom w:val="none" w:sz="0" w:space="0" w:color="auto"/>
        <w:right w:val="none" w:sz="0" w:space="0" w:color="auto"/>
      </w:divBdr>
    </w:div>
    <w:div w:id="812023489">
      <w:bodyDiv w:val="1"/>
      <w:marLeft w:val="0"/>
      <w:marRight w:val="0"/>
      <w:marTop w:val="0"/>
      <w:marBottom w:val="0"/>
      <w:divBdr>
        <w:top w:val="none" w:sz="0" w:space="0" w:color="auto"/>
        <w:left w:val="none" w:sz="0" w:space="0" w:color="auto"/>
        <w:bottom w:val="none" w:sz="0" w:space="0" w:color="auto"/>
        <w:right w:val="none" w:sz="0" w:space="0" w:color="auto"/>
      </w:divBdr>
    </w:div>
    <w:div w:id="832571044">
      <w:bodyDiv w:val="1"/>
      <w:marLeft w:val="0"/>
      <w:marRight w:val="0"/>
      <w:marTop w:val="0"/>
      <w:marBottom w:val="0"/>
      <w:divBdr>
        <w:top w:val="none" w:sz="0" w:space="0" w:color="auto"/>
        <w:left w:val="none" w:sz="0" w:space="0" w:color="auto"/>
        <w:bottom w:val="none" w:sz="0" w:space="0" w:color="auto"/>
        <w:right w:val="none" w:sz="0" w:space="0" w:color="auto"/>
      </w:divBdr>
    </w:div>
    <w:div w:id="1076435372">
      <w:bodyDiv w:val="1"/>
      <w:marLeft w:val="0"/>
      <w:marRight w:val="0"/>
      <w:marTop w:val="0"/>
      <w:marBottom w:val="0"/>
      <w:divBdr>
        <w:top w:val="none" w:sz="0" w:space="0" w:color="auto"/>
        <w:left w:val="none" w:sz="0" w:space="0" w:color="auto"/>
        <w:bottom w:val="none" w:sz="0" w:space="0" w:color="auto"/>
        <w:right w:val="none" w:sz="0" w:space="0" w:color="auto"/>
      </w:divBdr>
      <w:divsChild>
        <w:div w:id="286474690">
          <w:marLeft w:val="0"/>
          <w:marRight w:val="0"/>
          <w:marTop w:val="0"/>
          <w:marBottom w:val="0"/>
          <w:divBdr>
            <w:top w:val="none" w:sz="0" w:space="0" w:color="auto"/>
            <w:left w:val="none" w:sz="0" w:space="0" w:color="auto"/>
            <w:bottom w:val="none" w:sz="0" w:space="0" w:color="auto"/>
            <w:right w:val="none" w:sz="0" w:space="0" w:color="auto"/>
          </w:divBdr>
          <w:divsChild>
            <w:div w:id="931162597">
              <w:marLeft w:val="0"/>
              <w:marRight w:val="0"/>
              <w:marTop w:val="0"/>
              <w:marBottom w:val="0"/>
              <w:divBdr>
                <w:top w:val="none" w:sz="0" w:space="0" w:color="auto"/>
                <w:left w:val="none" w:sz="0" w:space="0" w:color="auto"/>
                <w:bottom w:val="none" w:sz="0" w:space="0" w:color="auto"/>
                <w:right w:val="none" w:sz="0" w:space="0" w:color="auto"/>
              </w:divBdr>
              <w:divsChild>
                <w:div w:id="7567894">
                  <w:marLeft w:val="0"/>
                  <w:marRight w:val="0"/>
                  <w:marTop w:val="0"/>
                  <w:marBottom w:val="0"/>
                  <w:divBdr>
                    <w:top w:val="none" w:sz="0" w:space="0" w:color="auto"/>
                    <w:left w:val="none" w:sz="0" w:space="0" w:color="auto"/>
                    <w:bottom w:val="none" w:sz="0" w:space="0" w:color="auto"/>
                    <w:right w:val="none" w:sz="0" w:space="0" w:color="auto"/>
                  </w:divBdr>
                  <w:divsChild>
                    <w:div w:id="17173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98884">
      <w:bodyDiv w:val="1"/>
      <w:marLeft w:val="0"/>
      <w:marRight w:val="0"/>
      <w:marTop w:val="0"/>
      <w:marBottom w:val="0"/>
      <w:divBdr>
        <w:top w:val="none" w:sz="0" w:space="0" w:color="auto"/>
        <w:left w:val="none" w:sz="0" w:space="0" w:color="auto"/>
        <w:bottom w:val="none" w:sz="0" w:space="0" w:color="auto"/>
        <w:right w:val="none" w:sz="0" w:space="0" w:color="auto"/>
      </w:divBdr>
    </w:div>
    <w:div w:id="1517112676">
      <w:bodyDiv w:val="1"/>
      <w:marLeft w:val="0"/>
      <w:marRight w:val="0"/>
      <w:marTop w:val="0"/>
      <w:marBottom w:val="0"/>
      <w:divBdr>
        <w:top w:val="none" w:sz="0" w:space="0" w:color="auto"/>
        <w:left w:val="none" w:sz="0" w:space="0" w:color="auto"/>
        <w:bottom w:val="none" w:sz="0" w:space="0" w:color="auto"/>
        <w:right w:val="none" w:sz="0" w:space="0" w:color="auto"/>
      </w:divBdr>
      <w:divsChild>
        <w:div w:id="1378776662">
          <w:marLeft w:val="0"/>
          <w:marRight w:val="0"/>
          <w:marTop w:val="0"/>
          <w:marBottom w:val="0"/>
          <w:divBdr>
            <w:top w:val="none" w:sz="0" w:space="0" w:color="auto"/>
            <w:left w:val="none" w:sz="0" w:space="0" w:color="auto"/>
            <w:bottom w:val="none" w:sz="0" w:space="0" w:color="auto"/>
            <w:right w:val="none" w:sz="0" w:space="0" w:color="auto"/>
          </w:divBdr>
          <w:divsChild>
            <w:div w:id="2629293">
              <w:marLeft w:val="0"/>
              <w:marRight w:val="0"/>
              <w:marTop w:val="0"/>
              <w:marBottom w:val="0"/>
              <w:divBdr>
                <w:top w:val="none" w:sz="0" w:space="0" w:color="auto"/>
                <w:left w:val="none" w:sz="0" w:space="0" w:color="auto"/>
                <w:bottom w:val="none" w:sz="0" w:space="0" w:color="auto"/>
                <w:right w:val="none" w:sz="0" w:space="0" w:color="auto"/>
              </w:divBdr>
              <w:divsChild>
                <w:div w:id="12691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4222">
      <w:bodyDiv w:val="1"/>
      <w:marLeft w:val="0"/>
      <w:marRight w:val="0"/>
      <w:marTop w:val="0"/>
      <w:marBottom w:val="0"/>
      <w:divBdr>
        <w:top w:val="none" w:sz="0" w:space="0" w:color="auto"/>
        <w:left w:val="none" w:sz="0" w:space="0" w:color="auto"/>
        <w:bottom w:val="none" w:sz="0" w:space="0" w:color="auto"/>
        <w:right w:val="none" w:sz="0" w:space="0" w:color="auto"/>
      </w:divBdr>
      <w:divsChild>
        <w:div w:id="1605847381">
          <w:marLeft w:val="0"/>
          <w:marRight w:val="0"/>
          <w:marTop w:val="0"/>
          <w:marBottom w:val="0"/>
          <w:divBdr>
            <w:top w:val="none" w:sz="0" w:space="0" w:color="auto"/>
            <w:left w:val="none" w:sz="0" w:space="0" w:color="auto"/>
            <w:bottom w:val="none" w:sz="0" w:space="0" w:color="auto"/>
            <w:right w:val="none" w:sz="0" w:space="0" w:color="auto"/>
          </w:divBdr>
          <w:divsChild>
            <w:div w:id="1861317622">
              <w:marLeft w:val="0"/>
              <w:marRight w:val="0"/>
              <w:marTop w:val="0"/>
              <w:marBottom w:val="0"/>
              <w:divBdr>
                <w:top w:val="none" w:sz="0" w:space="0" w:color="auto"/>
                <w:left w:val="none" w:sz="0" w:space="0" w:color="auto"/>
                <w:bottom w:val="none" w:sz="0" w:space="0" w:color="auto"/>
                <w:right w:val="none" w:sz="0" w:space="0" w:color="auto"/>
              </w:divBdr>
              <w:divsChild>
                <w:div w:id="17464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5641">
      <w:bodyDiv w:val="1"/>
      <w:marLeft w:val="0"/>
      <w:marRight w:val="0"/>
      <w:marTop w:val="0"/>
      <w:marBottom w:val="0"/>
      <w:divBdr>
        <w:top w:val="none" w:sz="0" w:space="0" w:color="auto"/>
        <w:left w:val="none" w:sz="0" w:space="0" w:color="auto"/>
        <w:bottom w:val="none" w:sz="0" w:space="0" w:color="auto"/>
        <w:right w:val="none" w:sz="0" w:space="0" w:color="auto"/>
      </w:divBdr>
      <w:divsChild>
        <w:div w:id="1084643230">
          <w:marLeft w:val="0"/>
          <w:marRight w:val="0"/>
          <w:marTop w:val="0"/>
          <w:marBottom w:val="0"/>
          <w:divBdr>
            <w:top w:val="none" w:sz="0" w:space="0" w:color="auto"/>
            <w:left w:val="none" w:sz="0" w:space="0" w:color="auto"/>
            <w:bottom w:val="none" w:sz="0" w:space="0" w:color="auto"/>
            <w:right w:val="none" w:sz="0" w:space="0" w:color="auto"/>
          </w:divBdr>
          <w:divsChild>
            <w:div w:id="415058751">
              <w:marLeft w:val="0"/>
              <w:marRight w:val="0"/>
              <w:marTop w:val="0"/>
              <w:marBottom w:val="0"/>
              <w:divBdr>
                <w:top w:val="none" w:sz="0" w:space="0" w:color="auto"/>
                <w:left w:val="none" w:sz="0" w:space="0" w:color="auto"/>
                <w:bottom w:val="none" w:sz="0" w:space="0" w:color="auto"/>
                <w:right w:val="none" w:sz="0" w:space="0" w:color="auto"/>
              </w:divBdr>
              <w:divsChild>
                <w:div w:id="505443190">
                  <w:marLeft w:val="0"/>
                  <w:marRight w:val="0"/>
                  <w:marTop w:val="0"/>
                  <w:marBottom w:val="0"/>
                  <w:divBdr>
                    <w:top w:val="none" w:sz="0" w:space="0" w:color="auto"/>
                    <w:left w:val="none" w:sz="0" w:space="0" w:color="auto"/>
                    <w:bottom w:val="none" w:sz="0" w:space="0" w:color="auto"/>
                    <w:right w:val="none" w:sz="0" w:space="0" w:color="auto"/>
                  </w:divBdr>
                  <w:divsChild>
                    <w:div w:id="21100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3210">
      <w:bodyDiv w:val="1"/>
      <w:marLeft w:val="0"/>
      <w:marRight w:val="0"/>
      <w:marTop w:val="0"/>
      <w:marBottom w:val="0"/>
      <w:divBdr>
        <w:top w:val="none" w:sz="0" w:space="0" w:color="auto"/>
        <w:left w:val="none" w:sz="0" w:space="0" w:color="auto"/>
        <w:bottom w:val="none" w:sz="0" w:space="0" w:color="auto"/>
        <w:right w:val="none" w:sz="0" w:space="0" w:color="auto"/>
      </w:divBdr>
      <w:divsChild>
        <w:div w:id="1864125281">
          <w:marLeft w:val="0"/>
          <w:marRight w:val="0"/>
          <w:marTop w:val="0"/>
          <w:marBottom w:val="0"/>
          <w:divBdr>
            <w:top w:val="none" w:sz="0" w:space="0" w:color="auto"/>
            <w:left w:val="none" w:sz="0" w:space="0" w:color="auto"/>
            <w:bottom w:val="none" w:sz="0" w:space="0" w:color="auto"/>
            <w:right w:val="none" w:sz="0" w:space="0" w:color="auto"/>
          </w:divBdr>
          <w:divsChild>
            <w:div w:id="1197235840">
              <w:marLeft w:val="0"/>
              <w:marRight w:val="0"/>
              <w:marTop w:val="0"/>
              <w:marBottom w:val="0"/>
              <w:divBdr>
                <w:top w:val="none" w:sz="0" w:space="0" w:color="auto"/>
                <w:left w:val="none" w:sz="0" w:space="0" w:color="auto"/>
                <w:bottom w:val="none" w:sz="0" w:space="0" w:color="auto"/>
                <w:right w:val="none" w:sz="0" w:space="0" w:color="auto"/>
              </w:divBdr>
              <w:divsChild>
                <w:div w:id="10634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621">
      <w:bodyDiv w:val="1"/>
      <w:marLeft w:val="0"/>
      <w:marRight w:val="0"/>
      <w:marTop w:val="0"/>
      <w:marBottom w:val="0"/>
      <w:divBdr>
        <w:top w:val="none" w:sz="0" w:space="0" w:color="auto"/>
        <w:left w:val="none" w:sz="0" w:space="0" w:color="auto"/>
        <w:bottom w:val="none" w:sz="0" w:space="0" w:color="auto"/>
        <w:right w:val="none" w:sz="0" w:space="0" w:color="auto"/>
      </w:divBdr>
    </w:div>
    <w:div w:id="2000620692">
      <w:bodyDiv w:val="1"/>
      <w:marLeft w:val="0"/>
      <w:marRight w:val="0"/>
      <w:marTop w:val="0"/>
      <w:marBottom w:val="0"/>
      <w:divBdr>
        <w:top w:val="none" w:sz="0" w:space="0" w:color="auto"/>
        <w:left w:val="none" w:sz="0" w:space="0" w:color="auto"/>
        <w:bottom w:val="none" w:sz="0" w:space="0" w:color="auto"/>
        <w:right w:val="none" w:sz="0" w:space="0" w:color="auto"/>
      </w:divBdr>
      <w:divsChild>
        <w:div w:id="1410078601">
          <w:marLeft w:val="0"/>
          <w:marRight w:val="0"/>
          <w:marTop w:val="0"/>
          <w:marBottom w:val="0"/>
          <w:divBdr>
            <w:top w:val="none" w:sz="0" w:space="0" w:color="auto"/>
            <w:left w:val="none" w:sz="0" w:space="0" w:color="auto"/>
            <w:bottom w:val="none" w:sz="0" w:space="0" w:color="auto"/>
            <w:right w:val="none" w:sz="0" w:space="0" w:color="auto"/>
          </w:divBdr>
          <w:divsChild>
            <w:div w:id="1483498915">
              <w:marLeft w:val="0"/>
              <w:marRight w:val="0"/>
              <w:marTop w:val="0"/>
              <w:marBottom w:val="0"/>
              <w:divBdr>
                <w:top w:val="none" w:sz="0" w:space="0" w:color="auto"/>
                <w:left w:val="none" w:sz="0" w:space="0" w:color="auto"/>
                <w:bottom w:val="none" w:sz="0" w:space="0" w:color="auto"/>
                <w:right w:val="none" w:sz="0" w:space="0" w:color="auto"/>
              </w:divBdr>
              <w:divsChild>
                <w:div w:id="1129938551">
                  <w:marLeft w:val="0"/>
                  <w:marRight w:val="0"/>
                  <w:marTop w:val="0"/>
                  <w:marBottom w:val="0"/>
                  <w:divBdr>
                    <w:top w:val="none" w:sz="0" w:space="0" w:color="auto"/>
                    <w:left w:val="none" w:sz="0" w:space="0" w:color="auto"/>
                    <w:bottom w:val="none" w:sz="0" w:space="0" w:color="auto"/>
                    <w:right w:val="none" w:sz="0" w:space="0" w:color="auto"/>
                  </w:divBdr>
                  <w:divsChild>
                    <w:div w:id="155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22616">
      <w:bodyDiv w:val="1"/>
      <w:marLeft w:val="0"/>
      <w:marRight w:val="0"/>
      <w:marTop w:val="0"/>
      <w:marBottom w:val="0"/>
      <w:divBdr>
        <w:top w:val="none" w:sz="0" w:space="0" w:color="auto"/>
        <w:left w:val="none" w:sz="0" w:space="0" w:color="auto"/>
        <w:bottom w:val="none" w:sz="0" w:space="0" w:color="auto"/>
        <w:right w:val="none" w:sz="0" w:space="0" w:color="auto"/>
      </w:divBdr>
      <w:divsChild>
        <w:div w:id="402803360">
          <w:marLeft w:val="0"/>
          <w:marRight w:val="0"/>
          <w:marTop w:val="0"/>
          <w:marBottom w:val="0"/>
          <w:divBdr>
            <w:top w:val="none" w:sz="0" w:space="0" w:color="auto"/>
            <w:left w:val="none" w:sz="0" w:space="0" w:color="auto"/>
            <w:bottom w:val="none" w:sz="0" w:space="0" w:color="auto"/>
            <w:right w:val="none" w:sz="0" w:space="0" w:color="auto"/>
          </w:divBdr>
          <w:divsChild>
            <w:div w:id="1803114236">
              <w:marLeft w:val="0"/>
              <w:marRight w:val="0"/>
              <w:marTop w:val="0"/>
              <w:marBottom w:val="0"/>
              <w:divBdr>
                <w:top w:val="none" w:sz="0" w:space="0" w:color="auto"/>
                <w:left w:val="none" w:sz="0" w:space="0" w:color="auto"/>
                <w:bottom w:val="none" w:sz="0" w:space="0" w:color="auto"/>
                <w:right w:val="none" w:sz="0" w:space="0" w:color="auto"/>
              </w:divBdr>
              <w:divsChild>
                <w:div w:id="239678307">
                  <w:marLeft w:val="0"/>
                  <w:marRight w:val="0"/>
                  <w:marTop w:val="0"/>
                  <w:marBottom w:val="0"/>
                  <w:divBdr>
                    <w:top w:val="none" w:sz="0" w:space="0" w:color="auto"/>
                    <w:left w:val="none" w:sz="0" w:space="0" w:color="auto"/>
                    <w:bottom w:val="none" w:sz="0" w:space="0" w:color="auto"/>
                    <w:right w:val="none" w:sz="0" w:space="0" w:color="auto"/>
                  </w:divBdr>
                  <w:divsChild>
                    <w:div w:id="163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7B10-5C40-3B48-9440-85EE6FA9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9752</Words>
  <Characters>68264</Characters>
  <Application>Microsoft Office Word</Application>
  <DocSecurity>0</DocSecurity>
  <Lines>22754</Lines>
  <Paragraphs>9751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Williams</dc:creator>
  <cp:keywords/>
  <dc:description/>
  <cp:lastModifiedBy>julia capp</cp:lastModifiedBy>
  <cp:revision>3</cp:revision>
  <cp:lastPrinted>2024-01-12T22:08:00Z</cp:lastPrinted>
  <dcterms:created xsi:type="dcterms:W3CDTF">2024-01-12T22:08:00Z</dcterms:created>
  <dcterms:modified xsi:type="dcterms:W3CDTF">2024-01-12T22:08:00Z</dcterms:modified>
</cp:coreProperties>
</file>