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5E625" w14:textId="5508132E" w:rsidR="005323DB" w:rsidRPr="00A31C61" w:rsidRDefault="005323DB" w:rsidP="007C1059">
      <w:pPr>
        <w:pBdr>
          <w:bottom w:val="single" w:sz="18" w:space="0" w:color="auto"/>
        </w:pBdr>
        <w:jc w:val="right"/>
        <w:rPr>
          <w:rFonts w:cs="Times New Roman"/>
          <w:lang w:val="en-GB"/>
        </w:rPr>
      </w:pPr>
      <w:r w:rsidRPr="00AE165D">
        <w:rPr>
          <w:rFonts w:cs="Times New Roman"/>
          <w:lang w:val="en-GB"/>
        </w:rPr>
        <w:t>453</w:t>
      </w:r>
      <w:r w:rsidR="00EC065C" w:rsidRPr="00AE165D">
        <w:rPr>
          <w:rFonts w:cs="Times New Roman"/>
          <w:lang w:val="en-GB"/>
        </w:rPr>
        <w:t>A</w:t>
      </w:r>
    </w:p>
    <w:p w14:paraId="6DAAD7C7" w14:textId="77777777" w:rsidR="005323DB" w:rsidRPr="00B941A1" w:rsidRDefault="005323DB" w:rsidP="005323DB">
      <w:pPr>
        <w:rPr>
          <w:rFonts w:cs="Times New Roman"/>
          <w:sz w:val="14"/>
          <w:szCs w:val="14"/>
          <w:lang w:val="en-GB"/>
        </w:rPr>
      </w:pPr>
    </w:p>
    <w:p w14:paraId="4E24F24A" w14:textId="77777777" w:rsidR="005323DB" w:rsidRPr="00A31C61" w:rsidRDefault="005323DB" w:rsidP="005323DB">
      <w:pPr>
        <w:pBdr>
          <w:bottom w:val="single" w:sz="18" w:space="1" w:color="auto"/>
        </w:pBdr>
        <w:jc w:val="center"/>
        <w:rPr>
          <w:rFonts w:cs="Times New Roman"/>
          <w:lang w:val="en-GB"/>
        </w:rPr>
      </w:pPr>
      <w:r w:rsidRPr="00A31C61">
        <w:rPr>
          <w:rFonts w:cs="Times New Roman"/>
          <w:noProof/>
          <w:lang w:val="de-DE" w:eastAsia="de-DE"/>
        </w:rPr>
        <w:drawing>
          <wp:inline distT="0" distB="0" distL="0" distR="0" wp14:anchorId="3C9E1A24" wp14:editId="185DBA23">
            <wp:extent cx="1047750" cy="1047750"/>
            <wp:effectExtent l="0" t="0" r="0" b="0"/>
            <wp:docPr id="1" name="Bild 1" descr="2000px-Tribunal_Internacional_de_Justicia_-_International_Court_of_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0px-Tribunal_Internacional_de_Justicia_-_International_Court_of_Justi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7A6FEA9A" w14:textId="353F9401" w:rsidR="005323DB" w:rsidRPr="009878B3" w:rsidRDefault="005323DB" w:rsidP="005323DB">
      <w:pPr>
        <w:spacing w:before="240"/>
        <w:jc w:val="center"/>
        <w:rPr>
          <w:rFonts w:cs="Times New Roman"/>
          <w:lang w:val="en-GB"/>
        </w:rPr>
      </w:pPr>
      <w:bookmarkStart w:id="0" w:name="_Toc125229167"/>
      <w:r w:rsidRPr="009878B3">
        <w:rPr>
          <w:rFonts w:cs="Times New Roman"/>
          <w:lang w:val="en-GB"/>
        </w:rPr>
        <w:t>IN THE</w:t>
      </w:r>
      <w:bookmarkEnd w:id="0"/>
    </w:p>
    <w:p w14:paraId="32882177" w14:textId="77777777" w:rsidR="005323DB" w:rsidRPr="009878B3" w:rsidRDefault="005323DB" w:rsidP="005323DB">
      <w:pPr>
        <w:jc w:val="center"/>
        <w:rPr>
          <w:rFonts w:cs="Times New Roman"/>
          <w:b/>
          <w:bCs/>
          <w:lang w:val="en-GB"/>
        </w:rPr>
      </w:pPr>
      <w:r>
        <w:rPr>
          <w:rFonts w:cs="Times New Roman"/>
          <w:b/>
          <w:bCs/>
          <w:lang w:val="en-GB"/>
        </w:rPr>
        <w:t>I</w:t>
      </w:r>
      <w:r w:rsidRPr="009878B3">
        <w:rPr>
          <w:rFonts w:cs="Times New Roman"/>
          <w:b/>
          <w:bCs/>
          <w:lang w:val="en-GB"/>
        </w:rPr>
        <w:t>NTERNATIONAL COURT OF JUSTICE</w:t>
      </w:r>
    </w:p>
    <w:p w14:paraId="2B788E1A" w14:textId="77777777" w:rsidR="005323DB" w:rsidRPr="009878B3" w:rsidRDefault="005323DB" w:rsidP="005323DB">
      <w:pPr>
        <w:jc w:val="center"/>
        <w:rPr>
          <w:rFonts w:cs="Times New Roman"/>
          <w:smallCaps/>
          <w:lang w:val="en-GB"/>
        </w:rPr>
      </w:pPr>
      <w:r w:rsidRPr="009878B3">
        <w:rPr>
          <w:rFonts w:cs="Times New Roman"/>
          <w:smallCaps/>
          <w:lang w:val="en-GB"/>
        </w:rPr>
        <w:t>AT THE</w:t>
      </w:r>
    </w:p>
    <w:p w14:paraId="4AF033F1" w14:textId="77777777" w:rsidR="005323DB" w:rsidRPr="009878B3" w:rsidRDefault="005323DB" w:rsidP="005323DB">
      <w:pPr>
        <w:jc w:val="center"/>
        <w:rPr>
          <w:rFonts w:cs="Times New Roman"/>
          <w:smallCaps/>
          <w:lang w:val="en-GB"/>
        </w:rPr>
      </w:pPr>
      <w:r w:rsidRPr="009878B3">
        <w:rPr>
          <w:rFonts w:cs="Times New Roman"/>
          <w:smallCaps/>
          <w:lang w:val="en-GB"/>
        </w:rPr>
        <w:t>PEACE PALACE, THE HAGUE</w:t>
      </w:r>
    </w:p>
    <w:p w14:paraId="7C057CBD" w14:textId="77777777" w:rsidR="005323DB" w:rsidRPr="009878B3" w:rsidRDefault="005323DB" w:rsidP="005323DB">
      <w:pPr>
        <w:jc w:val="center"/>
        <w:rPr>
          <w:rFonts w:cs="Times New Roman"/>
          <w:smallCaps/>
          <w:lang w:val="en-GB"/>
        </w:rPr>
      </w:pPr>
      <w:r w:rsidRPr="009878B3">
        <w:rPr>
          <w:rFonts w:cs="Times New Roman"/>
          <w:smallCaps/>
          <w:lang w:val="en-GB"/>
        </w:rPr>
        <w:t>THE NETHERLANDS</w:t>
      </w:r>
    </w:p>
    <w:p w14:paraId="798F56D8" w14:textId="77777777" w:rsidR="005323DB" w:rsidRPr="009878B3" w:rsidRDefault="005323DB" w:rsidP="005323DB">
      <w:pPr>
        <w:pBdr>
          <w:bottom w:val="single" w:sz="18" w:space="1" w:color="auto"/>
        </w:pBdr>
        <w:jc w:val="center"/>
        <w:rPr>
          <w:rFonts w:cs="Times New Roman"/>
          <w:smallCaps/>
          <w:lang w:val="en-GB"/>
        </w:rPr>
      </w:pPr>
      <w:r w:rsidRPr="009878B3">
        <w:rPr>
          <w:rFonts w:cs="Times New Roman"/>
          <w:smallCaps/>
          <w:lang w:val="en-GB"/>
        </w:rPr>
        <w:t>202</w:t>
      </w:r>
      <w:r>
        <w:rPr>
          <w:rFonts w:cs="Times New Roman"/>
          <w:smallCaps/>
          <w:lang w:val="en-GB"/>
        </w:rPr>
        <w:t>5</w:t>
      </w:r>
    </w:p>
    <w:p w14:paraId="0B0383CC" w14:textId="77777777" w:rsidR="005323DB" w:rsidRPr="009878B3" w:rsidRDefault="005323DB" w:rsidP="005323DB">
      <w:pPr>
        <w:jc w:val="center"/>
        <w:rPr>
          <w:rFonts w:cs="Times New Roman"/>
          <w:lang w:val="en-GB"/>
        </w:rPr>
      </w:pPr>
    </w:p>
    <w:p w14:paraId="20E3EF2B" w14:textId="77777777" w:rsidR="005323DB" w:rsidRPr="009878B3" w:rsidRDefault="005323DB" w:rsidP="005323DB">
      <w:pPr>
        <w:pBdr>
          <w:bottom w:val="single" w:sz="18" w:space="1" w:color="auto"/>
        </w:pBdr>
        <w:jc w:val="center"/>
        <w:rPr>
          <w:rFonts w:cs="Times New Roman"/>
          <w:b/>
          <w:smallCaps/>
          <w:lang w:val="en-GB"/>
        </w:rPr>
      </w:pPr>
      <w:r w:rsidRPr="009878B3">
        <w:rPr>
          <w:rFonts w:cs="Times New Roman"/>
          <w:b/>
          <w:smallCaps/>
          <w:lang w:val="en-GB"/>
        </w:rPr>
        <w:t xml:space="preserve">CASE CONCERNING </w:t>
      </w:r>
      <w:r>
        <w:rPr>
          <w:rFonts w:cs="Times New Roman"/>
          <w:b/>
          <w:smallCaps/>
          <w:lang w:val="en-GB"/>
        </w:rPr>
        <w:t>THE NAEGEA SEA</w:t>
      </w:r>
    </w:p>
    <w:p w14:paraId="635B1817" w14:textId="77777777" w:rsidR="005323DB" w:rsidRPr="009878B3" w:rsidRDefault="005323DB" w:rsidP="005323DB">
      <w:pPr>
        <w:pBdr>
          <w:bottom w:val="single" w:sz="18" w:space="1" w:color="auto"/>
        </w:pBdr>
        <w:jc w:val="center"/>
        <w:rPr>
          <w:rFonts w:cs="Times New Roman"/>
          <w:b/>
          <w:smallCaps/>
          <w:lang w:val="en-GB"/>
        </w:rPr>
      </w:pPr>
      <w:r w:rsidRPr="009878B3">
        <w:rPr>
          <w:rFonts w:cs="Times New Roman"/>
          <w:b/>
          <w:smallCaps/>
          <w:lang w:val="en-GB"/>
        </w:rPr>
        <w:t xml:space="preserve">THE </w:t>
      </w:r>
      <w:r>
        <w:rPr>
          <w:rFonts w:cs="Times New Roman"/>
          <w:b/>
          <w:smallCaps/>
          <w:lang w:val="en-GB"/>
        </w:rPr>
        <w:t>UNION OF AMBROSIA</w:t>
      </w:r>
    </w:p>
    <w:p w14:paraId="38B81188" w14:textId="77777777" w:rsidR="005323DB" w:rsidRPr="009878B3" w:rsidRDefault="005323DB" w:rsidP="005323DB">
      <w:pPr>
        <w:pBdr>
          <w:bottom w:val="single" w:sz="18" w:space="1" w:color="auto"/>
        </w:pBdr>
        <w:jc w:val="center"/>
        <w:rPr>
          <w:rFonts w:cs="Times New Roman"/>
          <w:b/>
          <w:smallCaps/>
          <w:lang w:val="en-GB"/>
        </w:rPr>
      </w:pPr>
      <w:r w:rsidRPr="009878B3">
        <w:rPr>
          <w:rFonts w:cs="Times New Roman"/>
          <w:b/>
          <w:smallCaps/>
          <w:lang w:val="en-GB"/>
        </w:rPr>
        <w:t>V</w:t>
      </w:r>
      <w:r>
        <w:rPr>
          <w:rFonts w:cs="Times New Roman"/>
          <w:b/>
          <w:smallCaps/>
          <w:lang w:val="en-GB"/>
        </w:rPr>
        <w:t>.</w:t>
      </w:r>
    </w:p>
    <w:p w14:paraId="08856CD2" w14:textId="77777777" w:rsidR="005323DB" w:rsidRPr="009878B3" w:rsidRDefault="005323DB" w:rsidP="005323DB">
      <w:pPr>
        <w:pBdr>
          <w:bottom w:val="single" w:sz="18" w:space="1" w:color="auto"/>
        </w:pBdr>
        <w:spacing w:after="240"/>
        <w:jc w:val="center"/>
        <w:rPr>
          <w:rFonts w:cs="Times New Roman"/>
          <w:b/>
          <w:smallCaps/>
          <w:lang w:val="en-GB"/>
        </w:rPr>
      </w:pPr>
      <w:r w:rsidRPr="009878B3">
        <w:rPr>
          <w:rFonts w:cs="Times New Roman"/>
          <w:b/>
          <w:smallCaps/>
          <w:lang w:val="en-GB"/>
        </w:rPr>
        <w:t xml:space="preserve">THE </w:t>
      </w:r>
      <w:r>
        <w:rPr>
          <w:rFonts w:cs="Times New Roman"/>
          <w:b/>
          <w:smallCaps/>
          <w:lang w:val="en-GB"/>
        </w:rPr>
        <w:t>REPUBLIC OF ROVINIA</w:t>
      </w:r>
    </w:p>
    <w:p w14:paraId="01AC62AC" w14:textId="77777777" w:rsidR="005323DB" w:rsidRPr="009878B3" w:rsidRDefault="005323DB" w:rsidP="005323DB">
      <w:pPr>
        <w:pBdr>
          <w:bottom w:val="single" w:sz="18" w:space="1" w:color="auto"/>
        </w:pBdr>
        <w:spacing w:after="240"/>
        <w:jc w:val="center"/>
        <w:rPr>
          <w:rFonts w:cs="Times New Roman"/>
          <w:b/>
          <w:smallCaps/>
          <w:lang w:val="en-GB"/>
        </w:rPr>
      </w:pPr>
    </w:p>
    <w:p w14:paraId="4D5224AB" w14:textId="77777777" w:rsidR="005323DB" w:rsidRPr="009878B3" w:rsidRDefault="005323DB" w:rsidP="005323DB">
      <w:pPr>
        <w:jc w:val="center"/>
        <w:rPr>
          <w:rFonts w:cs="Times New Roman"/>
          <w:lang w:val="en-GB"/>
        </w:rPr>
      </w:pPr>
    </w:p>
    <w:p w14:paraId="63559933" w14:textId="551A68CC" w:rsidR="005323DB" w:rsidRPr="009878B3" w:rsidRDefault="005323DB" w:rsidP="005323DB">
      <w:pPr>
        <w:jc w:val="center"/>
        <w:rPr>
          <w:rFonts w:cs="Times New Roman"/>
          <w:b/>
          <w:lang w:val="en-GB"/>
        </w:rPr>
      </w:pPr>
      <w:bookmarkStart w:id="1" w:name="_Toc125229169"/>
      <w:r w:rsidRPr="009878B3">
        <w:rPr>
          <w:rFonts w:cs="Times New Roman"/>
          <w:b/>
          <w:lang w:val="en-GB"/>
        </w:rPr>
        <w:t xml:space="preserve">MEMORIAL </w:t>
      </w:r>
      <w:bookmarkEnd w:id="1"/>
      <w:r w:rsidRPr="009878B3">
        <w:rPr>
          <w:rFonts w:cs="Times New Roman"/>
          <w:b/>
          <w:lang w:val="en-GB"/>
        </w:rPr>
        <w:t>FOR THE</w:t>
      </w:r>
      <w:r w:rsidR="00C7658B">
        <w:rPr>
          <w:rFonts w:cs="Times New Roman"/>
          <w:b/>
          <w:lang w:val="en-GB"/>
        </w:rPr>
        <w:t xml:space="preserve"> </w:t>
      </w:r>
      <w:r w:rsidR="00AE165D">
        <w:rPr>
          <w:rFonts w:cs="Times New Roman"/>
          <w:b/>
          <w:lang w:val="en-GB"/>
        </w:rPr>
        <w:t>APPLICANT</w:t>
      </w:r>
    </w:p>
    <w:p w14:paraId="65E32BA4" w14:textId="5A45F1F2" w:rsidR="005323DB" w:rsidRPr="009878B3" w:rsidRDefault="00AE165D" w:rsidP="005323DB">
      <w:pPr>
        <w:jc w:val="center"/>
        <w:rPr>
          <w:rFonts w:cs="Times New Roman"/>
          <w:caps/>
          <w:lang w:val="en-GB"/>
        </w:rPr>
        <w:sectPr w:rsidR="005323DB" w:rsidRPr="009878B3" w:rsidSect="008779B1">
          <w:footerReference w:type="default" r:id="rId9"/>
          <w:pgSz w:w="11906" w:h="16838" w:code="9"/>
          <w:pgMar w:top="1469" w:right="1469" w:bottom="1469" w:left="1469" w:header="720" w:footer="720" w:gutter="0"/>
          <w:pgBorders w:offsetFrom="page">
            <w:top w:val="single" w:sz="12" w:space="24" w:color="auto"/>
            <w:left w:val="single" w:sz="12" w:space="24" w:color="auto"/>
            <w:bottom w:val="single" w:sz="12" w:space="24" w:color="auto"/>
            <w:right w:val="single" w:sz="12" w:space="24" w:color="auto"/>
          </w:pgBorders>
          <w:pgNumType w:fmt="upperRoman" w:start="1"/>
          <w:cols w:space="720"/>
          <w:titlePg/>
          <w:docGrid w:linePitch="360"/>
        </w:sectPr>
      </w:pPr>
      <w:r>
        <w:rPr>
          <w:rFonts w:cs="Times New Roman"/>
          <w:caps/>
          <w:lang w:val="en-GB"/>
        </w:rPr>
        <w:t>The Union of Ambrosia</w:t>
      </w:r>
    </w:p>
    <w:p w14:paraId="4CE34E5A" w14:textId="59074645" w:rsidR="008779B1" w:rsidRPr="003B6566" w:rsidRDefault="009E1E24" w:rsidP="005C5AE2">
      <w:pPr>
        <w:pStyle w:val="Ober-berschrift"/>
        <w:rPr>
          <w:lang w:val="en-GB"/>
        </w:rPr>
      </w:pPr>
      <w:bookmarkStart w:id="2" w:name="_Toc187486707"/>
      <w:bookmarkStart w:id="3" w:name="_Toc187487005"/>
      <w:bookmarkStart w:id="4" w:name="_Toc187487354"/>
      <w:bookmarkStart w:id="5" w:name="_Toc187681639"/>
      <w:bookmarkStart w:id="6" w:name="_Toc187692141"/>
      <w:r>
        <w:rPr>
          <w:lang w:val="en-GB"/>
        </w:rPr>
        <w:lastRenderedPageBreak/>
        <w:t>Table of Contents</w:t>
      </w:r>
      <w:bookmarkEnd w:id="2"/>
      <w:bookmarkEnd w:id="3"/>
      <w:bookmarkEnd w:id="4"/>
      <w:bookmarkEnd w:id="5"/>
      <w:bookmarkEnd w:id="6"/>
    </w:p>
    <w:p w14:paraId="38C9667C" w14:textId="4F7477F7"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Pr>
          <w:b w:val="0"/>
          <w:lang w:val="de-DE"/>
        </w:rPr>
        <w:fldChar w:fldCharType="begin"/>
      </w:r>
      <w:r w:rsidRPr="00A34D8B">
        <w:rPr>
          <w:b w:val="0"/>
        </w:rPr>
        <w:instrText xml:space="preserve"> TOC \o "1-7" \u </w:instrText>
      </w:r>
      <w:r>
        <w:rPr>
          <w:b w:val="0"/>
          <w:lang w:val="de-DE"/>
        </w:rPr>
        <w:fldChar w:fldCharType="separate"/>
      </w:r>
      <w:r w:rsidRPr="00A34D8B">
        <w:rPr>
          <w:b w:val="0"/>
          <w:caps w:val="0"/>
        </w:rPr>
        <w:t>Table of Contents</w:t>
      </w:r>
      <w:r w:rsidRPr="00A34D8B">
        <w:rPr>
          <w:b w:val="0"/>
          <w:caps w:val="0"/>
        </w:rPr>
        <w:tab/>
      </w:r>
      <w:r w:rsidRPr="00A34D8B">
        <w:rPr>
          <w:b w:val="0"/>
          <w:caps w:val="0"/>
        </w:rPr>
        <w:fldChar w:fldCharType="begin"/>
      </w:r>
      <w:r w:rsidRPr="00A34D8B">
        <w:rPr>
          <w:b w:val="0"/>
          <w:caps w:val="0"/>
        </w:rPr>
        <w:instrText xml:space="preserve"> PAGEREF _Toc187692141 \h </w:instrText>
      </w:r>
      <w:r w:rsidRPr="00A34D8B">
        <w:rPr>
          <w:b w:val="0"/>
          <w:caps w:val="0"/>
        </w:rPr>
      </w:r>
      <w:r w:rsidRPr="00A34D8B">
        <w:rPr>
          <w:b w:val="0"/>
          <w:caps w:val="0"/>
        </w:rPr>
        <w:fldChar w:fldCharType="separate"/>
      </w:r>
      <w:r w:rsidRPr="00A34D8B">
        <w:rPr>
          <w:b w:val="0"/>
          <w:caps w:val="0"/>
        </w:rPr>
        <w:t>I</w:t>
      </w:r>
      <w:r w:rsidRPr="00A34D8B">
        <w:rPr>
          <w:b w:val="0"/>
          <w:caps w:val="0"/>
        </w:rPr>
        <w:fldChar w:fldCharType="end"/>
      </w:r>
    </w:p>
    <w:p w14:paraId="216D74B9" w14:textId="65560341"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Index of Authorities</w:t>
      </w:r>
      <w:r w:rsidRPr="00A34D8B">
        <w:rPr>
          <w:b w:val="0"/>
          <w:caps w:val="0"/>
        </w:rPr>
        <w:tab/>
      </w:r>
      <w:r w:rsidRPr="00A34D8B">
        <w:rPr>
          <w:b w:val="0"/>
          <w:caps w:val="0"/>
        </w:rPr>
        <w:fldChar w:fldCharType="begin"/>
      </w:r>
      <w:r w:rsidRPr="00A34D8B">
        <w:rPr>
          <w:b w:val="0"/>
          <w:caps w:val="0"/>
        </w:rPr>
        <w:instrText xml:space="preserve"> PAGEREF _Toc187692142 \h </w:instrText>
      </w:r>
      <w:r w:rsidRPr="00A34D8B">
        <w:rPr>
          <w:b w:val="0"/>
          <w:caps w:val="0"/>
        </w:rPr>
      </w:r>
      <w:r w:rsidRPr="00A34D8B">
        <w:rPr>
          <w:b w:val="0"/>
          <w:caps w:val="0"/>
        </w:rPr>
        <w:fldChar w:fldCharType="separate"/>
      </w:r>
      <w:r w:rsidRPr="00A34D8B">
        <w:rPr>
          <w:b w:val="0"/>
          <w:caps w:val="0"/>
        </w:rPr>
        <w:t>V</w:t>
      </w:r>
      <w:r w:rsidRPr="00A34D8B">
        <w:rPr>
          <w:b w:val="0"/>
          <w:caps w:val="0"/>
        </w:rPr>
        <w:fldChar w:fldCharType="end"/>
      </w:r>
    </w:p>
    <w:p w14:paraId="7F23903B" w14:textId="0424BDAB"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Statement of Jurisdiction</w:t>
      </w:r>
      <w:r w:rsidRPr="00A34D8B">
        <w:rPr>
          <w:b w:val="0"/>
          <w:caps w:val="0"/>
        </w:rPr>
        <w:tab/>
      </w:r>
      <w:r w:rsidRPr="00A34D8B">
        <w:rPr>
          <w:b w:val="0"/>
          <w:caps w:val="0"/>
        </w:rPr>
        <w:fldChar w:fldCharType="begin"/>
      </w:r>
      <w:r w:rsidRPr="00A34D8B">
        <w:rPr>
          <w:b w:val="0"/>
          <w:caps w:val="0"/>
        </w:rPr>
        <w:instrText xml:space="preserve"> PAGEREF _Toc187692143 \h </w:instrText>
      </w:r>
      <w:r w:rsidRPr="00A34D8B">
        <w:rPr>
          <w:b w:val="0"/>
          <w:caps w:val="0"/>
        </w:rPr>
      </w:r>
      <w:r w:rsidRPr="00A34D8B">
        <w:rPr>
          <w:b w:val="0"/>
          <w:caps w:val="0"/>
        </w:rPr>
        <w:fldChar w:fldCharType="separate"/>
      </w:r>
      <w:r w:rsidRPr="00A34D8B">
        <w:rPr>
          <w:b w:val="0"/>
          <w:caps w:val="0"/>
        </w:rPr>
        <w:t>XV</w:t>
      </w:r>
      <w:r w:rsidRPr="00A34D8B">
        <w:rPr>
          <w:b w:val="0"/>
          <w:caps w:val="0"/>
        </w:rPr>
        <w:fldChar w:fldCharType="end"/>
      </w:r>
    </w:p>
    <w:p w14:paraId="12611C06" w14:textId="1AD40B7B"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Statement of Facts</w:t>
      </w:r>
      <w:r w:rsidRPr="00A34D8B">
        <w:rPr>
          <w:b w:val="0"/>
          <w:caps w:val="0"/>
        </w:rPr>
        <w:tab/>
      </w:r>
      <w:r w:rsidRPr="00A34D8B">
        <w:rPr>
          <w:b w:val="0"/>
          <w:caps w:val="0"/>
        </w:rPr>
        <w:fldChar w:fldCharType="begin"/>
      </w:r>
      <w:r w:rsidRPr="00A34D8B">
        <w:rPr>
          <w:b w:val="0"/>
          <w:caps w:val="0"/>
        </w:rPr>
        <w:instrText xml:space="preserve"> PAGEREF _Toc187692144 \h </w:instrText>
      </w:r>
      <w:r w:rsidRPr="00A34D8B">
        <w:rPr>
          <w:b w:val="0"/>
          <w:caps w:val="0"/>
        </w:rPr>
      </w:r>
      <w:r w:rsidRPr="00A34D8B">
        <w:rPr>
          <w:b w:val="0"/>
          <w:caps w:val="0"/>
        </w:rPr>
        <w:fldChar w:fldCharType="separate"/>
      </w:r>
      <w:r w:rsidRPr="00A34D8B">
        <w:rPr>
          <w:b w:val="0"/>
          <w:caps w:val="0"/>
        </w:rPr>
        <w:t>XVI</w:t>
      </w:r>
      <w:r w:rsidRPr="00A34D8B">
        <w:rPr>
          <w:b w:val="0"/>
          <w:caps w:val="0"/>
        </w:rPr>
        <w:fldChar w:fldCharType="end"/>
      </w:r>
    </w:p>
    <w:p w14:paraId="327CDDEF" w14:textId="04AA0161"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Summary of Pleadings</w:t>
      </w:r>
      <w:r w:rsidRPr="00A34D8B">
        <w:rPr>
          <w:b w:val="0"/>
          <w:caps w:val="0"/>
        </w:rPr>
        <w:tab/>
      </w:r>
      <w:r w:rsidRPr="00A34D8B">
        <w:rPr>
          <w:b w:val="0"/>
          <w:caps w:val="0"/>
        </w:rPr>
        <w:fldChar w:fldCharType="begin"/>
      </w:r>
      <w:r w:rsidRPr="00A34D8B">
        <w:rPr>
          <w:b w:val="0"/>
          <w:caps w:val="0"/>
        </w:rPr>
        <w:instrText xml:space="preserve"> PAGEREF _Toc187692145 \h </w:instrText>
      </w:r>
      <w:r w:rsidRPr="00A34D8B">
        <w:rPr>
          <w:b w:val="0"/>
          <w:caps w:val="0"/>
        </w:rPr>
      </w:r>
      <w:r w:rsidRPr="00A34D8B">
        <w:rPr>
          <w:b w:val="0"/>
          <w:caps w:val="0"/>
        </w:rPr>
        <w:fldChar w:fldCharType="separate"/>
      </w:r>
      <w:r w:rsidRPr="00A34D8B">
        <w:rPr>
          <w:b w:val="0"/>
          <w:caps w:val="0"/>
        </w:rPr>
        <w:t>XX</w:t>
      </w:r>
      <w:r w:rsidRPr="00A34D8B">
        <w:rPr>
          <w:b w:val="0"/>
          <w:caps w:val="0"/>
        </w:rPr>
        <w:fldChar w:fldCharType="end"/>
      </w:r>
    </w:p>
    <w:p w14:paraId="7B5AE5CC" w14:textId="3EC8A300"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Pleadings</w:t>
      </w:r>
      <w:r w:rsidRPr="00A34D8B">
        <w:rPr>
          <w:b w:val="0"/>
          <w:caps w:val="0"/>
        </w:rPr>
        <w:tab/>
      </w:r>
      <w:r w:rsidRPr="00A34D8B">
        <w:rPr>
          <w:b w:val="0"/>
          <w:caps w:val="0"/>
        </w:rPr>
        <w:fldChar w:fldCharType="begin"/>
      </w:r>
      <w:r w:rsidRPr="00A34D8B">
        <w:rPr>
          <w:b w:val="0"/>
          <w:caps w:val="0"/>
        </w:rPr>
        <w:instrText xml:space="preserve"> PAGEREF _Toc187692146 \h </w:instrText>
      </w:r>
      <w:r w:rsidRPr="00A34D8B">
        <w:rPr>
          <w:b w:val="0"/>
          <w:caps w:val="0"/>
        </w:rPr>
      </w:r>
      <w:r w:rsidRPr="00A34D8B">
        <w:rPr>
          <w:b w:val="0"/>
          <w:caps w:val="0"/>
        </w:rPr>
        <w:fldChar w:fldCharType="separate"/>
      </w:r>
      <w:r w:rsidRPr="00A34D8B">
        <w:rPr>
          <w:b w:val="0"/>
          <w:caps w:val="0"/>
        </w:rPr>
        <w:t>1</w:t>
      </w:r>
      <w:r w:rsidRPr="00A34D8B">
        <w:rPr>
          <w:b w:val="0"/>
          <w:caps w:val="0"/>
        </w:rPr>
        <w:fldChar w:fldCharType="end"/>
      </w:r>
    </w:p>
    <w:p w14:paraId="692ECA5A" w14:textId="4BC479B6"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A.</w:t>
      </w:r>
      <w:r w:rsidRPr="00A34D8B">
        <w:rPr>
          <w:rFonts w:asciiTheme="minorHAnsi" w:eastAsiaTheme="minorEastAsia" w:hAnsiTheme="minorHAnsi" w:cstheme="minorBidi"/>
          <w:b w:val="0"/>
          <w:caps w:val="0"/>
          <w:sz w:val="22"/>
          <w:szCs w:val="22"/>
          <w:lang w:eastAsia="de-DE"/>
        </w:rPr>
        <w:tab/>
      </w:r>
      <w:r w:rsidRPr="00A34D8B">
        <w:rPr>
          <w:b w:val="0"/>
          <w:caps w:val="0"/>
        </w:rPr>
        <w:t>The Court has jurisdiction to entertain Ambrosia’s submission (b).</w:t>
      </w:r>
      <w:r w:rsidRPr="00A34D8B">
        <w:rPr>
          <w:b w:val="0"/>
          <w:caps w:val="0"/>
        </w:rPr>
        <w:tab/>
      </w:r>
      <w:r w:rsidRPr="00A34D8B">
        <w:rPr>
          <w:b w:val="0"/>
          <w:caps w:val="0"/>
        </w:rPr>
        <w:fldChar w:fldCharType="begin"/>
      </w:r>
      <w:r w:rsidRPr="00A34D8B">
        <w:rPr>
          <w:b w:val="0"/>
          <w:caps w:val="0"/>
        </w:rPr>
        <w:instrText xml:space="preserve"> PAGEREF _Toc187692147 \h </w:instrText>
      </w:r>
      <w:r w:rsidRPr="00A34D8B">
        <w:rPr>
          <w:b w:val="0"/>
          <w:caps w:val="0"/>
        </w:rPr>
      </w:r>
      <w:r w:rsidRPr="00A34D8B">
        <w:rPr>
          <w:b w:val="0"/>
          <w:caps w:val="0"/>
        </w:rPr>
        <w:fldChar w:fldCharType="separate"/>
      </w:r>
      <w:r w:rsidRPr="00A34D8B">
        <w:rPr>
          <w:b w:val="0"/>
          <w:caps w:val="0"/>
        </w:rPr>
        <w:t>1</w:t>
      </w:r>
      <w:r w:rsidRPr="00A34D8B">
        <w:rPr>
          <w:b w:val="0"/>
          <w:caps w:val="0"/>
        </w:rPr>
        <w:fldChar w:fldCharType="end"/>
      </w:r>
    </w:p>
    <w:p w14:paraId="4315D9A7" w14:textId="52056A5A"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The dispute did not arise out of facts or situations occurring prior to 17 March 2021.</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_Toc187692148 \h </w:instrText>
      </w:r>
      <w:r w:rsidRPr="00A34D8B">
        <w:rPr>
          <w:b w:val="0"/>
          <w:smallCaps w:val="0"/>
          <w:noProof/>
        </w:rPr>
      </w:r>
      <w:r w:rsidRPr="00A34D8B">
        <w:rPr>
          <w:b w:val="0"/>
          <w:smallCaps w:val="0"/>
          <w:noProof/>
        </w:rPr>
        <w:fldChar w:fldCharType="separate"/>
      </w:r>
      <w:r w:rsidRPr="00A34D8B">
        <w:rPr>
          <w:b w:val="0"/>
          <w:smallCaps w:val="0"/>
          <w:noProof/>
        </w:rPr>
        <w:t>1</w:t>
      </w:r>
      <w:r w:rsidRPr="00A34D8B">
        <w:rPr>
          <w:b w:val="0"/>
          <w:smallCaps w:val="0"/>
          <w:noProof/>
        </w:rPr>
        <w:fldChar w:fldCharType="end"/>
      </w:r>
    </w:p>
    <w:p w14:paraId="384BB848" w14:textId="36BA78F1"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The dispute does not relate to judicial proceedings on matters essentially within Rovinia’s domestic jurisdiction.</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_Toc187692149 \h </w:instrText>
      </w:r>
      <w:r w:rsidRPr="00A34D8B">
        <w:rPr>
          <w:b w:val="0"/>
          <w:smallCaps w:val="0"/>
          <w:noProof/>
        </w:rPr>
      </w:r>
      <w:r w:rsidRPr="00A34D8B">
        <w:rPr>
          <w:b w:val="0"/>
          <w:smallCaps w:val="0"/>
          <w:noProof/>
        </w:rPr>
        <w:fldChar w:fldCharType="separate"/>
      </w:r>
      <w:r w:rsidRPr="00A34D8B">
        <w:rPr>
          <w:b w:val="0"/>
          <w:smallCaps w:val="0"/>
          <w:noProof/>
        </w:rPr>
        <w:t>3</w:t>
      </w:r>
      <w:r w:rsidRPr="00A34D8B">
        <w:rPr>
          <w:b w:val="0"/>
          <w:smallCaps w:val="0"/>
          <w:noProof/>
        </w:rPr>
        <w:fldChar w:fldCharType="end"/>
      </w:r>
    </w:p>
    <w:p w14:paraId="4BE9691D" w14:textId="5447AAD4"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B.</w:t>
      </w:r>
      <w:r w:rsidRPr="00A34D8B">
        <w:rPr>
          <w:rFonts w:asciiTheme="minorHAnsi" w:eastAsiaTheme="minorEastAsia" w:hAnsiTheme="minorHAnsi" w:cstheme="minorBidi"/>
          <w:b w:val="0"/>
          <w:caps w:val="0"/>
          <w:sz w:val="22"/>
          <w:szCs w:val="22"/>
          <w:lang w:eastAsia="de-DE"/>
        </w:rPr>
        <w:tab/>
      </w:r>
      <w:r w:rsidRPr="00A34D8B">
        <w:rPr>
          <w:b w:val="0"/>
          <w:caps w:val="0"/>
        </w:rPr>
        <w:t>Rovinia violated the international legal rules on jurisdiction and immunity by arresting and prosecuting Ms. Gertrude Cross.</w:t>
      </w:r>
      <w:r w:rsidRPr="00A34D8B">
        <w:rPr>
          <w:b w:val="0"/>
          <w:caps w:val="0"/>
        </w:rPr>
        <w:tab/>
      </w:r>
      <w:r w:rsidRPr="00A34D8B">
        <w:rPr>
          <w:b w:val="0"/>
          <w:caps w:val="0"/>
        </w:rPr>
        <w:fldChar w:fldCharType="begin"/>
      </w:r>
      <w:r w:rsidRPr="00A34D8B">
        <w:rPr>
          <w:b w:val="0"/>
          <w:caps w:val="0"/>
        </w:rPr>
        <w:instrText xml:space="preserve"> PAGEREF _Toc187692150 \h </w:instrText>
      </w:r>
      <w:r w:rsidRPr="00A34D8B">
        <w:rPr>
          <w:b w:val="0"/>
          <w:caps w:val="0"/>
        </w:rPr>
      </w:r>
      <w:r w:rsidRPr="00A34D8B">
        <w:rPr>
          <w:b w:val="0"/>
          <w:caps w:val="0"/>
        </w:rPr>
        <w:fldChar w:fldCharType="separate"/>
      </w:r>
      <w:r w:rsidRPr="00A34D8B">
        <w:rPr>
          <w:b w:val="0"/>
          <w:caps w:val="0"/>
        </w:rPr>
        <w:t>6</w:t>
      </w:r>
      <w:r w:rsidRPr="00A34D8B">
        <w:rPr>
          <w:b w:val="0"/>
          <w:caps w:val="0"/>
        </w:rPr>
        <w:fldChar w:fldCharType="end"/>
      </w:r>
    </w:p>
    <w:p w14:paraId="547257E6" w14:textId="2537D10E"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Rovinia violated the international legal rules on jurisdiction.</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_Toc187692151 \h </w:instrText>
      </w:r>
      <w:r w:rsidRPr="00A34D8B">
        <w:rPr>
          <w:b w:val="0"/>
          <w:smallCaps w:val="0"/>
          <w:noProof/>
        </w:rPr>
      </w:r>
      <w:r w:rsidRPr="00A34D8B">
        <w:rPr>
          <w:b w:val="0"/>
          <w:smallCaps w:val="0"/>
          <w:noProof/>
        </w:rPr>
        <w:fldChar w:fldCharType="separate"/>
      </w:r>
      <w:r w:rsidRPr="00A34D8B">
        <w:rPr>
          <w:b w:val="0"/>
          <w:smallCaps w:val="0"/>
          <w:noProof/>
        </w:rPr>
        <w:t>6</w:t>
      </w:r>
      <w:r w:rsidRPr="00A34D8B">
        <w:rPr>
          <w:b w:val="0"/>
          <w:smallCaps w:val="0"/>
          <w:noProof/>
        </w:rPr>
        <w:fldChar w:fldCharType="end"/>
      </w:r>
    </w:p>
    <w:p w14:paraId="41A2EEA4" w14:textId="14549000"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1.</w:t>
      </w:r>
      <w:r w:rsidRPr="00A34D8B">
        <w:rPr>
          <w:rFonts w:asciiTheme="minorHAnsi" w:eastAsiaTheme="minorEastAsia" w:hAnsiTheme="minorHAnsi" w:cstheme="minorBidi"/>
          <w:b w:val="0"/>
          <w:noProof/>
          <w:sz w:val="22"/>
          <w:szCs w:val="22"/>
          <w:lang w:val="en-GB" w:eastAsia="de-DE"/>
        </w:rPr>
        <w:tab/>
      </w:r>
      <w:r w:rsidRPr="00A34D8B">
        <w:rPr>
          <w:b w:val="0"/>
          <w:noProof/>
        </w:rPr>
        <w:t>Rovinia needs a jurisdictional link to prosecute Minister Cross.</w:t>
      </w:r>
      <w:r w:rsidRPr="00A34D8B">
        <w:rPr>
          <w:b w:val="0"/>
          <w:noProof/>
        </w:rPr>
        <w:tab/>
      </w:r>
      <w:r w:rsidRPr="00A34D8B">
        <w:rPr>
          <w:b w:val="0"/>
          <w:noProof/>
        </w:rPr>
        <w:fldChar w:fldCharType="begin"/>
      </w:r>
      <w:r w:rsidRPr="00A34D8B">
        <w:rPr>
          <w:b w:val="0"/>
          <w:noProof/>
        </w:rPr>
        <w:instrText xml:space="preserve"> PAGEREF _Toc187692152 \h </w:instrText>
      </w:r>
      <w:r w:rsidRPr="00A34D8B">
        <w:rPr>
          <w:b w:val="0"/>
          <w:noProof/>
        </w:rPr>
      </w:r>
      <w:r w:rsidRPr="00A34D8B">
        <w:rPr>
          <w:b w:val="0"/>
          <w:noProof/>
        </w:rPr>
        <w:fldChar w:fldCharType="separate"/>
      </w:r>
      <w:r w:rsidRPr="00A34D8B">
        <w:rPr>
          <w:b w:val="0"/>
          <w:noProof/>
        </w:rPr>
        <w:t>6</w:t>
      </w:r>
      <w:r w:rsidRPr="00A34D8B">
        <w:rPr>
          <w:b w:val="0"/>
          <w:noProof/>
        </w:rPr>
        <w:fldChar w:fldCharType="end"/>
      </w:r>
    </w:p>
    <w:p w14:paraId="22A9EC7C" w14:textId="2F99E9DE"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2.</w:t>
      </w:r>
      <w:r w:rsidRPr="00A34D8B">
        <w:rPr>
          <w:rFonts w:asciiTheme="minorHAnsi" w:eastAsiaTheme="minorEastAsia" w:hAnsiTheme="minorHAnsi" w:cstheme="minorBidi"/>
          <w:b w:val="0"/>
          <w:noProof/>
          <w:sz w:val="22"/>
          <w:szCs w:val="22"/>
          <w:lang w:val="en-GB" w:eastAsia="de-DE"/>
        </w:rPr>
        <w:tab/>
      </w:r>
      <w:r w:rsidRPr="00A34D8B">
        <w:rPr>
          <w:b w:val="0"/>
          <w:noProof/>
        </w:rPr>
        <w:t>Rovinia does not have a jurisdictional link to the alleged crime committed by Minister Cross.</w:t>
      </w:r>
      <w:r w:rsidRPr="00A34D8B">
        <w:rPr>
          <w:b w:val="0"/>
          <w:noProof/>
        </w:rPr>
        <w:tab/>
      </w:r>
      <w:r w:rsidRPr="00A34D8B">
        <w:rPr>
          <w:b w:val="0"/>
          <w:noProof/>
        </w:rPr>
        <w:fldChar w:fldCharType="begin"/>
      </w:r>
      <w:r w:rsidRPr="00A34D8B">
        <w:rPr>
          <w:b w:val="0"/>
          <w:noProof/>
        </w:rPr>
        <w:instrText xml:space="preserve"> PAGEREF _Toc187692153 \h </w:instrText>
      </w:r>
      <w:r w:rsidRPr="00A34D8B">
        <w:rPr>
          <w:b w:val="0"/>
          <w:noProof/>
        </w:rPr>
      </w:r>
      <w:r w:rsidRPr="00A34D8B">
        <w:rPr>
          <w:b w:val="0"/>
          <w:noProof/>
        </w:rPr>
        <w:fldChar w:fldCharType="separate"/>
      </w:r>
      <w:r w:rsidRPr="00A34D8B">
        <w:rPr>
          <w:b w:val="0"/>
          <w:noProof/>
        </w:rPr>
        <w:t>6</w:t>
      </w:r>
      <w:r w:rsidRPr="00A34D8B">
        <w:rPr>
          <w:b w:val="0"/>
          <w:noProof/>
        </w:rPr>
        <w:fldChar w:fldCharType="end"/>
      </w:r>
    </w:p>
    <w:p w14:paraId="6BE221E4" w14:textId="2580E6E5"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3.</w:t>
      </w:r>
      <w:r w:rsidRPr="00A34D8B">
        <w:rPr>
          <w:rFonts w:asciiTheme="minorHAnsi" w:eastAsiaTheme="minorEastAsia" w:hAnsiTheme="minorHAnsi" w:cstheme="minorBidi"/>
          <w:b w:val="0"/>
          <w:noProof/>
          <w:sz w:val="22"/>
          <w:szCs w:val="22"/>
          <w:lang w:val="en-GB" w:eastAsia="de-DE"/>
        </w:rPr>
        <w:tab/>
      </w:r>
      <w:r w:rsidRPr="00A34D8B">
        <w:rPr>
          <w:b w:val="0"/>
          <w:noProof/>
        </w:rPr>
        <w:t>Rovinia does not have universal jurisdiction over Minister Cross.</w:t>
      </w:r>
      <w:r w:rsidRPr="00A34D8B">
        <w:rPr>
          <w:b w:val="0"/>
          <w:noProof/>
        </w:rPr>
        <w:tab/>
      </w:r>
      <w:r w:rsidRPr="00A34D8B">
        <w:rPr>
          <w:b w:val="0"/>
          <w:noProof/>
        </w:rPr>
        <w:fldChar w:fldCharType="begin"/>
      </w:r>
      <w:r w:rsidRPr="00A34D8B">
        <w:rPr>
          <w:b w:val="0"/>
          <w:noProof/>
        </w:rPr>
        <w:instrText xml:space="preserve"> PAGEREF _Toc187692154 \h </w:instrText>
      </w:r>
      <w:r w:rsidRPr="00A34D8B">
        <w:rPr>
          <w:b w:val="0"/>
          <w:noProof/>
        </w:rPr>
      </w:r>
      <w:r w:rsidRPr="00A34D8B">
        <w:rPr>
          <w:b w:val="0"/>
          <w:noProof/>
        </w:rPr>
        <w:fldChar w:fldCharType="separate"/>
      </w:r>
      <w:r w:rsidRPr="00A34D8B">
        <w:rPr>
          <w:b w:val="0"/>
          <w:noProof/>
        </w:rPr>
        <w:t>7</w:t>
      </w:r>
      <w:r w:rsidRPr="00A34D8B">
        <w:rPr>
          <w:b w:val="0"/>
          <w:noProof/>
        </w:rPr>
        <w:fldChar w:fldCharType="end"/>
      </w:r>
    </w:p>
    <w:p w14:paraId="5D3B27A8" w14:textId="4AC1A28F"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a.</w:t>
      </w:r>
      <w:r w:rsidRPr="00A34D8B">
        <w:rPr>
          <w:rFonts w:asciiTheme="minorHAnsi" w:eastAsiaTheme="minorEastAsia" w:hAnsiTheme="minorHAnsi" w:cstheme="minorBidi"/>
          <w:noProof/>
          <w:sz w:val="22"/>
          <w:szCs w:val="22"/>
          <w:lang w:val="en-GB" w:eastAsia="de-DE"/>
        </w:rPr>
        <w:tab/>
      </w:r>
      <w:r w:rsidRPr="00A34D8B">
        <w:rPr>
          <w:noProof/>
        </w:rPr>
        <w:t>Rovinia cannot assert universal jurisdiction over Minister Cross under customary international law.</w:t>
      </w:r>
      <w:r w:rsidRPr="00A34D8B">
        <w:rPr>
          <w:noProof/>
        </w:rPr>
        <w:tab/>
      </w:r>
      <w:r w:rsidRPr="00A34D8B">
        <w:rPr>
          <w:noProof/>
        </w:rPr>
        <w:fldChar w:fldCharType="begin"/>
      </w:r>
      <w:r w:rsidRPr="00A34D8B">
        <w:rPr>
          <w:noProof/>
        </w:rPr>
        <w:instrText xml:space="preserve"> PAGEREF _Toc187692155 \h </w:instrText>
      </w:r>
      <w:r w:rsidRPr="00A34D8B">
        <w:rPr>
          <w:noProof/>
        </w:rPr>
      </w:r>
      <w:r w:rsidRPr="00A34D8B">
        <w:rPr>
          <w:noProof/>
        </w:rPr>
        <w:fldChar w:fldCharType="separate"/>
      </w:r>
      <w:r w:rsidRPr="00A34D8B">
        <w:rPr>
          <w:noProof/>
        </w:rPr>
        <w:t>7</w:t>
      </w:r>
      <w:r w:rsidRPr="00A34D8B">
        <w:rPr>
          <w:noProof/>
        </w:rPr>
        <w:fldChar w:fldCharType="end"/>
      </w:r>
    </w:p>
    <w:p w14:paraId="416D2D60" w14:textId="1CBD6179"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b.</w:t>
      </w:r>
      <w:r w:rsidRPr="00A34D8B">
        <w:rPr>
          <w:rFonts w:asciiTheme="minorHAnsi" w:eastAsiaTheme="minorEastAsia" w:hAnsiTheme="minorHAnsi" w:cstheme="minorBidi"/>
          <w:noProof/>
          <w:sz w:val="22"/>
          <w:szCs w:val="22"/>
          <w:lang w:val="en-GB" w:eastAsia="de-DE"/>
        </w:rPr>
        <w:tab/>
      </w:r>
      <w:r w:rsidRPr="00A34D8B">
        <w:rPr>
          <w:noProof/>
        </w:rPr>
        <w:t>The ICPPED does not provide universal jurisdiction.</w:t>
      </w:r>
      <w:r w:rsidRPr="00A34D8B">
        <w:rPr>
          <w:noProof/>
        </w:rPr>
        <w:tab/>
      </w:r>
      <w:r w:rsidRPr="00A34D8B">
        <w:rPr>
          <w:noProof/>
        </w:rPr>
        <w:fldChar w:fldCharType="begin"/>
      </w:r>
      <w:r w:rsidRPr="00A34D8B">
        <w:rPr>
          <w:noProof/>
        </w:rPr>
        <w:instrText xml:space="preserve"> PAGEREF _Toc187692156 \h </w:instrText>
      </w:r>
      <w:r w:rsidRPr="00A34D8B">
        <w:rPr>
          <w:noProof/>
        </w:rPr>
      </w:r>
      <w:r w:rsidRPr="00A34D8B">
        <w:rPr>
          <w:noProof/>
        </w:rPr>
        <w:fldChar w:fldCharType="separate"/>
      </w:r>
      <w:r w:rsidRPr="00A34D8B">
        <w:rPr>
          <w:noProof/>
        </w:rPr>
        <w:t>8</w:t>
      </w:r>
      <w:r w:rsidRPr="00A34D8B">
        <w:rPr>
          <w:noProof/>
        </w:rPr>
        <w:fldChar w:fldCharType="end"/>
      </w:r>
    </w:p>
    <w:p w14:paraId="14729172" w14:textId="0288A120"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c.</w:t>
      </w:r>
      <w:r w:rsidRPr="00A34D8B">
        <w:rPr>
          <w:rFonts w:asciiTheme="minorHAnsi" w:eastAsiaTheme="minorEastAsia" w:hAnsiTheme="minorHAnsi" w:cstheme="minorBidi"/>
          <w:noProof/>
          <w:sz w:val="22"/>
          <w:szCs w:val="22"/>
          <w:lang w:val="en-GB" w:eastAsia="de-DE"/>
        </w:rPr>
        <w:tab/>
      </w:r>
      <w:r w:rsidRPr="00A34D8B">
        <w:rPr>
          <w:noProof/>
        </w:rPr>
        <w:t>Even if Rovinia had universal jurisdiction over Minister Cross, it would be subsidiary to Ambrosia’s jurisdiction.</w:t>
      </w:r>
      <w:r w:rsidRPr="00A34D8B">
        <w:rPr>
          <w:noProof/>
        </w:rPr>
        <w:tab/>
      </w:r>
      <w:r w:rsidRPr="00A34D8B">
        <w:rPr>
          <w:noProof/>
        </w:rPr>
        <w:fldChar w:fldCharType="begin"/>
      </w:r>
      <w:r w:rsidRPr="00A34D8B">
        <w:rPr>
          <w:noProof/>
        </w:rPr>
        <w:instrText xml:space="preserve"> PAGEREF _Toc187692157 \h </w:instrText>
      </w:r>
      <w:r w:rsidRPr="00A34D8B">
        <w:rPr>
          <w:noProof/>
        </w:rPr>
      </w:r>
      <w:r w:rsidRPr="00A34D8B">
        <w:rPr>
          <w:noProof/>
        </w:rPr>
        <w:fldChar w:fldCharType="separate"/>
      </w:r>
      <w:r w:rsidRPr="00A34D8B">
        <w:rPr>
          <w:noProof/>
        </w:rPr>
        <w:t>9</w:t>
      </w:r>
      <w:r w:rsidRPr="00A34D8B">
        <w:rPr>
          <w:noProof/>
        </w:rPr>
        <w:fldChar w:fldCharType="end"/>
      </w:r>
    </w:p>
    <w:p w14:paraId="0A428687" w14:textId="6738969D"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lastRenderedPageBreak/>
        <w:t>II.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Further, Rovinia violated the international legal rules on immunity.</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_Toc187692158 \h </w:instrText>
      </w:r>
      <w:r w:rsidRPr="00A34D8B">
        <w:rPr>
          <w:b w:val="0"/>
          <w:smallCaps w:val="0"/>
          <w:noProof/>
        </w:rPr>
      </w:r>
      <w:r w:rsidRPr="00A34D8B">
        <w:rPr>
          <w:b w:val="0"/>
          <w:smallCaps w:val="0"/>
          <w:noProof/>
        </w:rPr>
        <w:fldChar w:fldCharType="separate"/>
      </w:r>
      <w:r w:rsidRPr="00A34D8B">
        <w:rPr>
          <w:b w:val="0"/>
          <w:smallCaps w:val="0"/>
          <w:noProof/>
        </w:rPr>
        <w:t>9</w:t>
      </w:r>
      <w:r w:rsidRPr="00A34D8B">
        <w:rPr>
          <w:b w:val="0"/>
          <w:smallCaps w:val="0"/>
          <w:noProof/>
        </w:rPr>
        <w:fldChar w:fldCharType="end"/>
      </w:r>
    </w:p>
    <w:p w14:paraId="352FA0CA" w14:textId="165BDAE2"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1.</w:t>
      </w:r>
      <w:r w:rsidRPr="00A34D8B">
        <w:rPr>
          <w:rFonts w:asciiTheme="minorHAnsi" w:eastAsiaTheme="minorEastAsia" w:hAnsiTheme="minorHAnsi" w:cstheme="minorBidi"/>
          <w:b w:val="0"/>
          <w:noProof/>
          <w:sz w:val="22"/>
          <w:szCs w:val="22"/>
          <w:lang w:val="en-GB" w:eastAsia="de-DE"/>
        </w:rPr>
        <w:tab/>
      </w:r>
      <w:r w:rsidRPr="00A34D8B">
        <w:rPr>
          <w:b w:val="0"/>
          <w:noProof/>
        </w:rPr>
        <w:t>Minister Cross is entitled to functional immunity as she acted in official capacity.</w:t>
      </w:r>
      <w:r w:rsidRPr="00A34D8B">
        <w:rPr>
          <w:b w:val="0"/>
          <w:noProof/>
        </w:rPr>
        <w:tab/>
      </w:r>
      <w:r w:rsidRPr="00A34D8B">
        <w:rPr>
          <w:b w:val="0"/>
          <w:noProof/>
        </w:rPr>
        <w:fldChar w:fldCharType="begin"/>
      </w:r>
      <w:r w:rsidRPr="00A34D8B">
        <w:rPr>
          <w:b w:val="0"/>
          <w:noProof/>
        </w:rPr>
        <w:instrText xml:space="preserve"> PAGEREF _Toc187692159 \h </w:instrText>
      </w:r>
      <w:r w:rsidRPr="00A34D8B">
        <w:rPr>
          <w:b w:val="0"/>
          <w:noProof/>
        </w:rPr>
      </w:r>
      <w:r w:rsidRPr="00A34D8B">
        <w:rPr>
          <w:b w:val="0"/>
          <w:noProof/>
        </w:rPr>
        <w:fldChar w:fldCharType="separate"/>
      </w:r>
      <w:r w:rsidRPr="00A34D8B">
        <w:rPr>
          <w:b w:val="0"/>
          <w:noProof/>
        </w:rPr>
        <w:t>9</w:t>
      </w:r>
      <w:r w:rsidRPr="00A34D8B">
        <w:rPr>
          <w:b w:val="0"/>
          <w:noProof/>
        </w:rPr>
        <w:fldChar w:fldCharType="end"/>
      </w:r>
    </w:p>
    <w:p w14:paraId="7F38449D" w14:textId="4915DD37"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2.</w:t>
      </w:r>
      <w:r w:rsidRPr="00A34D8B">
        <w:rPr>
          <w:rFonts w:asciiTheme="minorHAnsi" w:eastAsiaTheme="minorEastAsia" w:hAnsiTheme="minorHAnsi" w:cstheme="minorBidi"/>
          <w:b w:val="0"/>
          <w:noProof/>
          <w:sz w:val="22"/>
          <w:szCs w:val="22"/>
          <w:lang w:val="en-GB" w:eastAsia="de-DE"/>
        </w:rPr>
        <w:tab/>
      </w:r>
      <w:r w:rsidRPr="00A34D8B">
        <w:rPr>
          <w:b w:val="0"/>
          <w:noProof/>
        </w:rPr>
        <w:t>There are no applicable limitations or exceptions to functional immunity.</w:t>
      </w:r>
      <w:r w:rsidRPr="00A34D8B">
        <w:rPr>
          <w:b w:val="0"/>
          <w:noProof/>
        </w:rPr>
        <w:tab/>
      </w:r>
      <w:r w:rsidRPr="00A34D8B">
        <w:rPr>
          <w:b w:val="0"/>
          <w:noProof/>
        </w:rPr>
        <w:fldChar w:fldCharType="begin"/>
      </w:r>
      <w:r w:rsidRPr="00A34D8B">
        <w:rPr>
          <w:b w:val="0"/>
          <w:noProof/>
        </w:rPr>
        <w:instrText xml:space="preserve"> PAGEREF _Toc187692160 \h </w:instrText>
      </w:r>
      <w:r w:rsidRPr="00A34D8B">
        <w:rPr>
          <w:b w:val="0"/>
          <w:noProof/>
        </w:rPr>
      </w:r>
      <w:r w:rsidRPr="00A34D8B">
        <w:rPr>
          <w:b w:val="0"/>
          <w:noProof/>
        </w:rPr>
        <w:fldChar w:fldCharType="separate"/>
      </w:r>
      <w:r w:rsidRPr="00A34D8B">
        <w:rPr>
          <w:b w:val="0"/>
          <w:noProof/>
        </w:rPr>
        <w:t>10</w:t>
      </w:r>
      <w:r w:rsidRPr="00A34D8B">
        <w:rPr>
          <w:b w:val="0"/>
          <w:noProof/>
        </w:rPr>
        <w:fldChar w:fldCharType="end"/>
      </w:r>
    </w:p>
    <w:p w14:paraId="2CAD3612" w14:textId="79BD1020"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a.</w:t>
      </w:r>
      <w:r w:rsidRPr="00A34D8B">
        <w:rPr>
          <w:rFonts w:asciiTheme="minorHAnsi" w:eastAsiaTheme="minorEastAsia" w:hAnsiTheme="minorHAnsi" w:cstheme="minorBidi"/>
          <w:noProof/>
          <w:sz w:val="22"/>
          <w:szCs w:val="22"/>
          <w:lang w:val="en-GB" w:eastAsia="de-DE"/>
        </w:rPr>
        <w:tab/>
      </w:r>
      <w:r w:rsidRPr="00A34D8B">
        <w:rPr>
          <w:noProof/>
        </w:rPr>
        <w:t>Minister Cross’ immunity is not limited by the superior nature of jus cogens norms.</w:t>
      </w:r>
      <w:r w:rsidRPr="00A34D8B">
        <w:rPr>
          <w:noProof/>
        </w:rPr>
        <w:tab/>
      </w:r>
      <w:r w:rsidRPr="00A34D8B">
        <w:rPr>
          <w:noProof/>
        </w:rPr>
        <w:fldChar w:fldCharType="begin"/>
      </w:r>
      <w:r w:rsidRPr="00A34D8B">
        <w:rPr>
          <w:noProof/>
        </w:rPr>
        <w:instrText xml:space="preserve"> PAGEREF _Toc187692161 \h </w:instrText>
      </w:r>
      <w:r w:rsidRPr="00A34D8B">
        <w:rPr>
          <w:noProof/>
        </w:rPr>
      </w:r>
      <w:r w:rsidRPr="00A34D8B">
        <w:rPr>
          <w:noProof/>
        </w:rPr>
        <w:fldChar w:fldCharType="separate"/>
      </w:r>
      <w:r w:rsidRPr="00A34D8B">
        <w:rPr>
          <w:noProof/>
        </w:rPr>
        <w:t>10</w:t>
      </w:r>
      <w:r w:rsidRPr="00A34D8B">
        <w:rPr>
          <w:noProof/>
        </w:rPr>
        <w:fldChar w:fldCharType="end"/>
      </w:r>
    </w:p>
    <w:p w14:paraId="0C000DE9" w14:textId="461EA4EC" w:rsidR="00A34D8B" w:rsidRPr="00A34D8B" w:rsidRDefault="00A34D8B" w:rsidP="00A34D8B">
      <w:pPr>
        <w:pStyle w:val="Verzeichnis5"/>
        <w:spacing w:before="200" w:line="360" w:lineRule="auto"/>
        <w:rPr>
          <w:rFonts w:asciiTheme="minorHAnsi" w:eastAsiaTheme="minorEastAsia" w:hAnsiTheme="minorHAnsi" w:cstheme="minorBidi"/>
          <w:noProof/>
          <w:sz w:val="22"/>
          <w:szCs w:val="22"/>
          <w:lang w:val="en-GB" w:eastAsia="de-DE"/>
        </w:rPr>
      </w:pPr>
      <w:r w:rsidRPr="00A34D8B">
        <w:rPr>
          <w:noProof/>
        </w:rPr>
        <w:t>i.</w:t>
      </w:r>
      <w:r w:rsidRPr="00A34D8B">
        <w:rPr>
          <w:rFonts w:asciiTheme="minorHAnsi" w:eastAsiaTheme="minorEastAsia" w:hAnsiTheme="minorHAnsi" w:cstheme="minorBidi"/>
          <w:noProof/>
          <w:sz w:val="22"/>
          <w:szCs w:val="22"/>
          <w:lang w:val="en-GB" w:eastAsia="de-DE"/>
        </w:rPr>
        <w:tab/>
      </w:r>
      <w:r w:rsidRPr="00A34D8B">
        <w:rPr>
          <w:noProof/>
        </w:rPr>
        <w:t xml:space="preserve">Functional immunity is not limited by the superior nature of </w:t>
      </w:r>
      <w:r w:rsidRPr="00A34D8B">
        <w:rPr>
          <w:noProof/>
          <w:lang w:val="en-GB"/>
        </w:rPr>
        <w:t>jus cogens norms</w:t>
      </w:r>
      <w:r w:rsidRPr="00A34D8B">
        <w:rPr>
          <w:noProof/>
        </w:rPr>
        <w:t>.</w:t>
      </w:r>
      <w:r w:rsidRPr="00A34D8B">
        <w:rPr>
          <w:noProof/>
        </w:rPr>
        <w:tab/>
      </w:r>
      <w:r w:rsidRPr="00A34D8B">
        <w:rPr>
          <w:noProof/>
        </w:rPr>
        <w:fldChar w:fldCharType="begin"/>
      </w:r>
      <w:r w:rsidRPr="00A34D8B">
        <w:rPr>
          <w:noProof/>
        </w:rPr>
        <w:instrText xml:space="preserve"> PAGEREF _Toc187692162 \h </w:instrText>
      </w:r>
      <w:r w:rsidRPr="00A34D8B">
        <w:rPr>
          <w:noProof/>
        </w:rPr>
      </w:r>
      <w:r w:rsidRPr="00A34D8B">
        <w:rPr>
          <w:noProof/>
        </w:rPr>
        <w:fldChar w:fldCharType="separate"/>
      </w:r>
      <w:r w:rsidRPr="00A34D8B">
        <w:rPr>
          <w:noProof/>
        </w:rPr>
        <w:t>10</w:t>
      </w:r>
      <w:r w:rsidRPr="00A34D8B">
        <w:rPr>
          <w:noProof/>
        </w:rPr>
        <w:fldChar w:fldCharType="end"/>
      </w:r>
    </w:p>
    <w:p w14:paraId="79224E0D" w14:textId="62D20ADB" w:rsidR="00A34D8B" w:rsidRPr="00A34D8B" w:rsidRDefault="00A34D8B" w:rsidP="00A34D8B">
      <w:pPr>
        <w:pStyle w:val="Verzeichnis5"/>
        <w:spacing w:before="200" w:line="360" w:lineRule="auto"/>
        <w:rPr>
          <w:rFonts w:asciiTheme="minorHAnsi" w:eastAsiaTheme="minorEastAsia" w:hAnsiTheme="minorHAnsi" w:cstheme="minorBidi"/>
          <w:noProof/>
          <w:sz w:val="22"/>
          <w:szCs w:val="22"/>
          <w:lang w:val="en-GB" w:eastAsia="de-DE"/>
        </w:rPr>
      </w:pPr>
      <w:r w:rsidRPr="00A34D8B">
        <w:rPr>
          <w:noProof/>
        </w:rPr>
        <w:t>ii.</w:t>
      </w:r>
      <w:r w:rsidRPr="00A34D8B">
        <w:rPr>
          <w:rFonts w:asciiTheme="minorHAnsi" w:eastAsiaTheme="minorEastAsia" w:hAnsiTheme="minorHAnsi" w:cstheme="minorBidi"/>
          <w:noProof/>
          <w:sz w:val="22"/>
          <w:szCs w:val="22"/>
          <w:lang w:val="en-GB" w:eastAsia="de-DE"/>
        </w:rPr>
        <w:tab/>
      </w:r>
      <w:r w:rsidRPr="00A34D8B">
        <w:rPr>
          <w:noProof/>
        </w:rPr>
        <w:t>In any case, the prohibition of enforced disappearance is not a</w:t>
      </w:r>
      <w:r w:rsidRPr="00A34D8B">
        <w:rPr>
          <w:noProof/>
          <w:lang w:val="en-GB"/>
        </w:rPr>
        <w:t xml:space="preserve"> jus cogens norm.</w:t>
      </w:r>
      <w:r w:rsidRPr="00A34D8B">
        <w:rPr>
          <w:noProof/>
        </w:rPr>
        <w:tab/>
      </w:r>
      <w:r w:rsidRPr="00A34D8B">
        <w:rPr>
          <w:noProof/>
        </w:rPr>
        <w:fldChar w:fldCharType="begin"/>
      </w:r>
      <w:r w:rsidRPr="00A34D8B">
        <w:rPr>
          <w:noProof/>
        </w:rPr>
        <w:instrText xml:space="preserve"> PAGEREF _Toc187692163 \h </w:instrText>
      </w:r>
      <w:r w:rsidRPr="00A34D8B">
        <w:rPr>
          <w:noProof/>
        </w:rPr>
      </w:r>
      <w:r w:rsidRPr="00A34D8B">
        <w:rPr>
          <w:noProof/>
        </w:rPr>
        <w:fldChar w:fldCharType="separate"/>
      </w:r>
      <w:r w:rsidRPr="00A34D8B">
        <w:rPr>
          <w:noProof/>
        </w:rPr>
        <w:t>11</w:t>
      </w:r>
      <w:r w:rsidRPr="00A34D8B">
        <w:rPr>
          <w:noProof/>
        </w:rPr>
        <w:fldChar w:fldCharType="end"/>
      </w:r>
    </w:p>
    <w:p w14:paraId="34194195" w14:textId="382125BC"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b.</w:t>
      </w:r>
      <w:r w:rsidRPr="00A34D8B">
        <w:rPr>
          <w:rFonts w:asciiTheme="minorHAnsi" w:eastAsiaTheme="minorEastAsia" w:hAnsiTheme="minorHAnsi" w:cstheme="minorBidi"/>
          <w:noProof/>
          <w:sz w:val="22"/>
          <w:szCs w:val="22"/>
          <w:lang w:val="en-GB" w:eastAsia="de-DE"/>
        </w:rPr>
        <w:tab/>
      </w:r>
      <w:r w:rsidRPr="00A34D8B">
        <w:rPr>
          <w:noProof/>
        </w:rPr>
        <w:t>No applicable exception to functional immunity exists in customary international law.</w:t>
      </w:r>
      <w:r w:rsidRPr="00A34D8B">
        <w:rPr>
          <w:noProof/>
        </w:rPr>
        <w:tab/>
      </w:r>
      <w:r w:rsidRPr="00A34D8B">
        <w:rPr>
          <w:noProof/>
        </w:rPr>
        <w:fldChar w:fldCharType="begin"/>
      </w:r>
      <w:r w:rsidRPr="00A34D8B">
        <w:rPr>
          <w:noProof/>
        </w:rPr>
        <w:instrText xml:space="preserve"> PAGEREF _Toc187692164 \h </w:instrText>
      </w:r>
      <w:r w:rsidRPr="00A34D8B">
        <w:rPr>
          <w:noProof/>
        </w:rPr>
      </w:r>
      <w:r w:rsidRPr="00A34D8B">
        <w:rPr>
          <w:noProof/>
        </w:rPr>
        <w:fldChar w:fldCharType="separate"/>
      </w:r>
      <w:r w:rsidRPr="00A34D8B">
        <w:rPr>
          <w:noProof/>
        </w:rPr>
        <w:t>12</w:t>
      </w:r>
      <w:r w:rsidRPr="00A34D8B">
        <w:rPr>
          <w:noProof/>
        </w:rPr>
        <w:fldChar w:fldCharType="end"/>
      </w:r>
    </w:p>
    <w:p w14:paraId="47F5CA85" w14:textId="64F35873"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c.</w:t>
      </w:r>
      <w:r w:rsidRPr="00A34D8B">
        <w:rPr>
          <w:rFonts w:asciiTheme="minorHAnsi" w:eastAsiaTheme="minorEastAsia" w:hAnsiTheme="minorHAnsi" w:cstheme="minorBidi"/>
          <w:noProof/>
          <w:sz w:val="22"/>
          <w:szCs w:val="22"/>
          <w:lang w:val="en-GB" w:eastAsia="de-DE"/>
        </w:rPr>
        <w:tab/>
      </w:r>
      <w:r w:rsidRPr="00A34D8B">
        <w:rPr>
          <w:noProof/>
        </w:rPr>
        <w:t>No applicable exception to functional immunity exists in international treaty law.</w:t>
      </w:r>
      <w:r w:rsidRPr="00A34D8B">
        <w:rPr>
          <w:noProof/>
        </w:rPr>
        <w:tab/>
      </w:r>
      <w:r>
        <w:rPr>
          <w:noProof/>
        </w:rPr>
        <w:tab/>
      </w:r>
      <w:r w:rsidRPr="00A34D8B">
        <w:rPr>
          <w:noProof/>
        </w:rPr>
        <w:fldChar w:fldCharType="begin"/>
      </w:r>
      <w:r w:rsidRPr="00A34D8B">
        <w:rPr>
          <w:noProof/>
        </w:rPr>
        <w:instrText xml:space="preserve"> PAGEREF _Toc187692165 \h </w:instrText>
      </w:r>
      <w:r w:rsidRPr="00A34D8B">
        <w:rPr>
          <w:noProof/>
        </w:rPr>
      </w:r>
      <w:r w:rsidRPr="00A34D8B">
        <w:rPr>
          <w:noProof/>
        </w:rPr>
        <w:fldChar w:fldCharType="separate"/>
      </w:r>
      <w:r w:rsidRPr="00A34D8B">
        <w:rPr>
          <w:noProof/>
        </w:rPr>
        <w:t>13</w:t>
      </w:r>
      <w:r w:rsidRPr="00A34D8B">
        <w:rPr>
          <w:noProof/>
        </w:rPr>
        <w:fldChar w:fldCharType="end"/>
      </w:r>
    </w:p>
    <w:p w14:paraId="3B671E8B" w14:textId="7E78922B"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C.</w:t>
      </w:r>
      <w:r w:rsidRPr="00A34D8B">
        <w:rPr>
          <w:rFonts w:asciiTheme="minorHAnsi" w:eastAsiaTheme="minorEastAsia" w:hAnsiTheme="minorHAnsi" w:cstheme="minorBidi"/>
          <w:b w:val="0"/>
          <w:caps w:val="0"/>
          <w:sz w:val="22"/>
          <w:szCs w:val="22"/>
          <w:lang w:eastAsia="de-DE"/>
        </w:rPr>
        <w:tab/>
      </w:r>
      <w:r w:rsidRPr="00A34D8B">
        <w:rPr>
          <w:b w:val="0"/>
          <w:caps w:val="0"/>
        </w:rPr>
        <w:t>Rovinia’s issuance of licenses to fish in those parts of the Triton Shoal within 200 nautical miles of Ambrosia’s fixed baseline violates international law and must cease, with existing licenses revoked.</w:t>
      </w:r>
      <w:r w:rsidRPr="00A34D8B">
        <w:rPr>
          <w:b w:val="0"/>
          <w:caps w:val="0"/>
        </w:rPr>
        <w:tab/>
      </w:r>
      <w:r w:rsidRPr="00A34D8B">
        <w:rPr>
          <w:b w:val="0"/>
          <w:caps w:val="0"/>
        </w:rPr>
        <w:fldChar w:fldCharType="begin"/>
      </w:r>
      <w:r w:rsidRPr="00A34D8B">
        <w:rPr>
          <w:b w:val="0"/>
          <w:caps w:val="0"/>
        </w:rPr>
        <w:instrText xml:space="preserve"> PAGEREF _Toc187692166 \h </w:instrText>
      </w:r>
      <w:r w:rsidRPr="00A34D8B">
        <w:rPr>
          <w:b w:val="0"/>
          <w:caps w:val="0"/>
        </w:rPr>
      </w:r>
      <w:r w:rsidRPr="00A34D8B">
        <w:rPr>
          <w:b w:val="0"/>
          <w:caps w:val="0"/>
        </w:rPr>
        <w:fldChar w:fldCharType="separate"/>
      </w:r>
      <w:r w:rsidRPr="00A34D8B">
        <w:rPr>
          <w:b w:val="0"/>
          <w:caps w:val="0"/>
        </w:rPr>
        <w:t>14</w:t>
      </w:r>
      <w:r w:rsidRPr="00A34D8B">
        <w:rPr>
          <w:b w:val="0"/>
          <w:caps w:val="0"/>
        </w:rPr>
        <w:fldChar w:fldCharType="end"/>
      </w:r>
    </w:p>
    <w:p w14:paraId="7E0B863F" w14:textId="402E18BC"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Rovinia’s issuance of licenses to fish in Ambrosia’s EEZ violates Article 56(1)(a) UNCLOS.</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_Toc187692167 \h </w:instrText>
      </w:r>
      <w:r w:rsidRPr="00A34D8B">
        <w:rPr>
          <w:b w:val="0"/>
          <w:smallCaps w:val="0"/>
          <w:noProof/>
        </w:rPr>
      </w:r>
      <w:r w:rsidRPr="00A34D8B">
        <w:rPr>
          <w:b w:val="0"/>
          <w:smallCaps w:val="0"/>
          <w:noProof/>
        </w:rPr>
        <w:fldChar w:fldCharType="separate"/>
      </w:r>
      <w:r w:rsidRPr="00A34D8B">
        <w:rPr>
          <w:b w:val="0"/>
          <w:smallCaps w:val="0"/>
          <w:noProof/>
        </w:rPr>
        <w:t>14</w:t>
      </w:r>
      <w:r w:rsidRPr="00A34D8B">
        <w:rPr>
          <w:b w:val="0"/>
          <w:smallCaps w:val="0"/>
          <w:noProof/>
        </w:rPr>
        <w:fldChar w:fldCharType="end"/>
      </w:r>
    </w:p>
    <w:p w14:paraId="1B2A113B" w14:textId="2DF36D65"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1.</w:t>
      </w:r>
      <w:r w:rsidRPr="00A34D8B">
        <w:rPr>
          <w:rFonts w:asciiTheme="minorHAnsi" w:eastAsiaTheme="minorEastAsia" w:hAnsiTheme="minorHAnsi" w:cstheme="minorBidi"/>
          <w:b w:val="0"/>
          <w:noProof/>
          <w:sz w:val="22"/>
          <w:szCs w:val="22"/>
          <w:lang w:val="en-GB" w:eastAsia="de-DE"/>
        </w:rPr>
        <w:tab/>
      </w:r>
      <w:r w:rsidRPr="00A34D8B">
        <w:rPr>
          <w:b w:val="0"/>
          <w:noProof/>
        </w:rPr>
        <w:t>Ambrosia’s EEZ extends to those parts of the Triton Shoal within 200 nautical miles from its fixed baseline.</w:t>
      </w:r>
      <w:r w:rsidRPr="00A34D8B">
        <w:rPr>
          <w:b w:val="0"/>
          <w:noProof/>
        </w:rPr>
        <w:tab/>
      </w:r>
      <w:r w:rsidRPr="00A34D8B">
        <w:rPr>
          <w:b w:val="0"/>
          <w:noProof/>
        </w:rPr>
        <w:fldChar w:fldCharType="begin"/>
      </w:r>
      <w:r w:rsidRPr="00A34D8B">
        <w:rPr>
          <w:b w:val="0"/>
          <w:noProof/>
        </w:rPr>
        <w:instrText xml:space="preserve"> PAGEREF _Toc187692168 \h </w:instrText>
      </w:r>
      <w:r w:rsidRPr="00A34D8B">
        <w:rPr>
          <w:b w:val="0"/>
          <w:noProof/>
        </w:rPr>
      </w:r>
      <w:r w:rsidRPr="00A34D8B">
        <w:rPr>
          <w:b w:val="0"/>
          <w:noProof/>
        </w:rPr>
        <w:fldChar w:fldCharType="separate"/>
      </w:r>
      <w:r w:rsidRPr="00A34D8B">
        <w:rPr>
          <w:b w:val="0"/>
          <w:noProof/>
        </w:rPr>
        <w:t>14</w:t>
      </w:r>
      <w:r w:rsidRPr="00A34D8B">
        <w:rPr>
          <w:b w:val="0"/>
          <w:noProof/>
        </w:rPr>
        <w:fldChar w:fldCharType="end"/>
      </w:r>
    </w:p>
    <w:p w14:paraId="37E3BF1A" w14:textId="37B98FFF"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a.</w:t>
      </w:r>
      <w:r w:rsidRPr="00A34D8B">
        <w:rPr>
          <w:rFonts w:asciiTheme="minorHAnsi" w:eastAsiaTheme="minorEastAsia" w:hAnsiTheme="minorHAnsi" w:cstheme="minorBidi"/>
          <w:noProof/>
          <w:sz w:val="22"/>
          <w:szCs w:val="22"/>
          <w:lang w:val="en-GB" w:eastAsia="de-DE"/>
        </w:rPr>
        <w:tab/>
      </w:r>
      <w:r w:rsidRPr="00A34D8B">
        <w:rPr>
          <w:noProof/>
        </w:rPr>
        <w:t xml:space="preserve">The ordinary meaning of the terms of Article 5 UNCLOS, its context, the object and purpose of the Convention and the </w:t>
      </w:r>
      <w:r w:rsidRPr="00A34D8B">
        <w:rPr>
          <w:iCs/>
          <w:noProof/>
        </w:rPr>
        <w:t>travaux préparatoires</w:t>
      </w:r>
      <w:r w:rsidRPr="00A34D8B">
        <w:rPr>
          <w:noProof/>
        </w:rPr>
        <w:t xml:space="preserve"> confirm that Ambrosia’s fixed baselines are consistent with the Convention.</w:t>
      </w:r>
      <w:r w:rsidRPr="00A34D8B">
        <w:rPr>
          <w:noProof/>
        </w:rPr>
        <w:tab/>
      </w:r>
      <w:r w:rsidRPr="00A34D8B">
        <w:rPr>
          <w:noProof/>
        </w:rPr>
        <w:fldChar w:fldCharType="begin"/>
      </w:r>
      <w:r w:rsidRPr="00A34D8B">
        <w:rPr>
          <w:noProof/>
        </w:rPr>
        <w:instrText xml:space="preserve"> PAGEREF _Toc187692169 \h </w:instrText>
      </w:r>
      <w:r w:rsidRPr="00A34D8B">
        <w:rPr>
          <w:noProof/>
        </w:rPr>
      </w:r>
      <w:r w:rsidRPr="00A34D8B">
        <w:rPr>
          <w:noProof/>
        </w:rPr>
        <w:fldChar w:fldCharType="separate"/>
      </w:r>
      <w:r w:rsidRPr="00A34D8B">
        <w:rPr>
          <w:noProof/>
        </w:rPr>
        <w:t>15</w:t>
      </w:r>
      <w:r w:rsidRPr="00A34D8B">
        <w:rPr>
          <w:noProof/>
        </w:rPr>
        <w:fldChar w:fldCharType="end"/>
      </w:r>
    </w:p>
    <w:p w14:paraId="37272AE7" w14:textId="0EAA6434"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b.</w:t>
      </w:r>
      <w:r w:rsidRPr="00A34D8B">
        <w:rPr>
          <w:rFonts w:asciiTheme="minorHAnsi" w:eastAsiaTheme="minorEastAsia" w:hAnsiTheme="minorHAnsi" w:cstheme="minorBidi"/>
          <w:noProof/>
          <w:sz w:val="22"/>
          <w:szCs w:val="22"/>
          <w:lang w:val="en-GB" w:eastAsia="de-DE"/>
        </w:rPr>
        <w:tab/>
      </w:r>
      <w:r w:rsidRPr="00A34D8B">
        <w:rPr>
          <w:noProof/>
        </w:rPr>
        <w:t>Subsequent State practice further supports that Ambrosia’s fixed baselines are consistent with UNCLOS.</w:t>
      </w:r>
      <w:r w:rsidRPr="00A34D8B">
        <w:rPr>
          <w:noProof/>
        </w:rPr>
        <w:tab/>
      </w:r>
      <w:r w:rsidRPr="00A34D8B">
        <w:rPr>
          <w:noProof/>
        </w:rPr>
        <w:fldChar w:fldCharType="begin"/>
      </w:r>
      <w:r w:rsidRPr="00A34D8B">
        <w:rPr>
          <w:noProof/>
        </w:rPr>
        <w:instrText xml:space="preserve"> PAGEREF _Toc187692170 \h </w:instrText>
      </w:r>
      <w:r w:rsidRPr="00A34D8B">
        <w:rPr>
          <w:noProof/>
        </w:rPr>
      </w:r>
      <w:r w:rsidRPr="00A34D8B">
        <w:rPr>
          <w:noProof/>
        </w:rPr>
        <w:fldChar w:fldCharType="separate"/>
      </w:r>
      <w:r w:rsidRPr="00A34D8B">
        <w:rPr>
          <w:noProof/>
        </w:rPr>
        <w:t>16</w:t>
      </w:r>
      <w:r w:rsidRPr="00A34D8B">
        <w:rPr>
          <w:noProof/>
        </w:rPr>
        <w:fldChar w:fldCharType="end"/>
      </w:r>
    </w:p>
    <w:p w14:paraId="74A5AD51" w14:textId="68B48E5E"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2.</w:t>
      </w:r>
      <w:r w:rsidRPr="00A34D8B">
        <w:rPr>
          <w:rFonts w:asciiTheme="minorHAnsi" w:eastAsiaTheme="minorEastAsia" w:hAnsiTheme="minorHAnsi" w:cstheme="minorBidi"/>
          <w:b w:val="0"/>
          <w:noProof/>
          <w:sz w:val="22"/>
          <w:szCs w:val="22"/>
          <w:lang w:val="en-GB" w:eastAsia="de-DE"/>
        </w:rPr>
        <w:tab/>
      </w:r>
      <w:r w:rsidRPr="00A34D8B">
        <w:rPr>
          <w:b w:val="0"/>
          <w:noProof/>
        </w:rPr>
        <w:t>Rovinia’s issuance of licenses to fish in Ambrosia’s EEZ is prohibited under Article 56(1)(a) UNCLOS.</w:t>
      </w:r>
      <w:r w:rsidRPr="00A34D8B">
        <w:rPr>
          <w:b w:val="0"/>
          <w:noProof/>
        </w:rPr>
        <w:tab/>
      </w:r>
      <w:r w:rsidRPr="00A34D8B">
        <w:rPr>
          <w:b w:val="0"/>
          <w:noProof/>
        </w:rPr>
        <w:fldChar w:fldCharType="begin"/>
      </w:r>
      <w:r w:rsidRPr="00A34D8B">
        <w:rPr>
          <w:b w:val="0"/>
          <w:noProof/>
        </w:rPr>
        <w:instrText xml:space="preserve"> PAGEREF _Toc187692171 \h </w:instrText>
      </w:r>
      <w:r w:rsidRPr="00A34D8B">
        <w:rPr>
          <w:b w:val="0"/>
          <w:noProof/>
        </w:rPr>
      </w:r>
      <w:r w:rsidRPr="00A34D8B">
        <w:rPr>
          <w:b w:val="0"/>
          <w:noProof/>
        </w:rPr>
        <w:fldChar w:fldCharType="separate"/>
      </w:r>
      <w:r w:rsidRPr="00A34D8B">
        <w:rPr>
          <w:b w:val="0"/>
          <w:noProof/>
        </w:rPr>
        <w:t>18</w:t>
      </w:r>
      <w:r w:rsidRPr="00A34D8B">
        <w:rPr>
          <w:b w:val="0"/>
          <w:noProof/>
        </w:rPr>
        <w:fldChar w:fldCharType="end"/>
      </w:r>
    </w:p>
    <w:p w14:paraId="12F6EE9F" w14:textId="10459AFF"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lastRenderedPageBreak/>
        <w:t>II.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Further, Rovinia violates general customary international law.</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_Toc187692172 \h </w:instrText>
      </w:r>
      <w:r w:rsidRPr="00A34D8B">
        <w:rPr>
          <w:b w:val="0"/>
          <w:smallCaps w:val="0"/>
          <w:noProof/>
        </w:rPr>
      </w:r>
      <w:r w:rsidRPr="00A34D8B">
        <w:rPr>
          <w:b w:val="0"/>
          <w:smallCaps w:val="0"/>
          <w:noProof/>
        </w:rPr>
        <w:fldChar w:fldCharType="separate"/>
      </w:r>
      <w:r w:rsidRPr="00A34D8B">
        <w:rPr>
          <w:b w:val="0"/>
          <w:smallCaps w:val="0"/>
          <w:noProof/>
        </w:rPr>
        <w:t>18</w:t>
      </w:r>
      <w:r w:rsidRPr="00A34D8B">
        <w:rPr>
          <w:b w:val="0"/>
          <w:smallCaps w:val="0"/>
          <w:noProof/>
        </w:rPr>
        <w:fldChar w:fldCharType="end"/>
      </w:r>
    </w:p>
    <w:p w14:paraId="262CF659" w14:textId="70AEEA60"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III.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In any case, Rovinia violates regional customary international law on the Paine Peninsula.</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_Toc187692173 \h </w:instrText>
      </w:r>
      <w:r w:rsidRPr="00A34D8B">
        <w:rPr>
          <w:b w:val="0"/>
          <w:smallCaps w:val="0"/>
          <w:noProof/>
        </w:rPr>
      </w:r>
      <w:r w:rsidRPr="00A34D8B">
        <w:rPr>
          <w:b w:val="0"/>
          <w:smallCaps w:val="0"/>
          <w:noProof/>
        </w:rPr>
        <w:fldChar w:fldCharType="separate"/>
      </w:r>
      <w:r w:rsidRPr="00A34D8B">
        <w:rPr>
          <w:b w:val="0"/>
          <w:smallCaps w:val="0"/>
          <w:noProof/>
        </w:rPr>
        <w:t>19</w:t>
      </w:r>
      <w:r w:rsidRPr="00A34D8B">
        <w:rPr>
          <w:b w:val="0"/>
          <w:smallCaps w:val="0"/>
          <w:noProof/>
        </w:rPr>
        <w:fldChar w:fldCharType="end"/>
      </w:r>
    </w:p>
    <w:p w14:paraId="25F36ABB" w14:textId="19A51914"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1.</w:t>
      </w:r>
      <w:r w:rsidRPr="00A34D8B">
        <w:rPr>
          <w:rFonts w:asciiTheme="minorHAnsi" w:eastAsiaTheme="minorEastAsia" w:hAnsiTheme="minorHAnsi" w:cstheme="minorBidi"/>
          <w:b w:val="0"/>
          <w:noProof/>
          <w:sz w:val="22"/>
          <w:szCs w:val="22"/>
          <w:lang w:val="en-GB" w:eastAsia="de-DE"/>
        </w:rPr>
        <w:tab/>
      </w:r>
      <w:r w:rsidRPr="00A34D8B">
        <w:rPr>
          <w:b w:val="0"/>
          <w:noProof/>
        </w:rPr>
        <w:t>Under regional customary international law on the Paine Peninsula, maritime zones may be measured from fixed baselines.</w:t>
      </w:r>
      <w:r w:rsidRPr="00A34D8B">
        <w:rPr>
          <w:b w:val="0"/>
          <w:noProof/>
        </w:rPr>
        <w:tab/>
      </w:r>
      <w:r w:rsidRPr="00A34D8B">
        <w:rPr>
          <w:b w:val="0"/>
          <w:noProof/>
        </w:rPr>
        <w:fldChar w:fldCharType="begin"/>
      </w:r>
      <w:r w:rsidRPr="00A34D8B">
        <w:rPr>
          <w:b w:val="0"/>
          <w:noProof/>
        </w:rPr>
        <w:instrText xml:space="preserve"> PAGEREF _Toc187692174 \h </w:instrText>
      </w:r>
      <w:r w:rsidRPr="00A34D8B">
        <w:rPr>
          <w:b w:val="0"/>
          <w:noProof/>
        </w:rPr>
      </w:r>
      <w:r w:rsidRPr="00A34D8B">
        <w:rPr>
          <w:b w:val="0"/>
          <w:noProof/>
        </w:rPr>
        <w:fldChar w:fldCharType="separate"/>
      </w:r>
      <w:r w:rsidRPr="00A34D8B">
        <w:rPr>
          <w:b w:val="0"/>
          <w:noProof/>
        </w:rPr>
        <w:t>19</w:t>
      </w:r>
      <w:r w:rsidRPr="00A34D8B">
        <w:rPr>
          <w:b w:val="0"/>
          <w:noProof/>
        </w:rPr>
        <w:fldChar w:fldCharType="end"/>
      </w:r>
    </w:p>
    <w:p w14:paraId="06525CD5" w14:textId="6DF6CD7E"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2.</w:t>
      </w:r>
      <w:r w:rsidRPr="00A34D8B">
        <w:rPr>
          <w:rFonts w:asciiTheme="minorHAnsi" w:eastAsiaTheme="minorEastAsia" w:hAnsiTheme="minorHAnsi" w:cstheme="minorBidi"/>
          <w:b w:val="0"/>
          <w:noProof/>
          <w:sz w:val="22"/>
          <w:szCs w:val="22"/>
          <w:lang w:val="en-GB" w:eastAsia="de-DE"/>
        </w:rPr>
        <w:tab/>
      </w:r>
      <w:r w:rsidRPr="00A34D8B">
        <w:rPr>
          <w:b w:val="0"/>
          <w:noProof/>
        </w:rPr>
        <w:t>Rovinia is not a persistent objector.</w:t>
      </w:r>
      <w:r w:rsidRPr="00A34D8B">
        <w:rPr>
          <w:b w:val="0"/>
          <w:noProof/>
        </w:rPr>
        <w:tab/>
      </w:r>
      <w:r w:rsidRPr="00A34D8B">
        <w:rPr>
          <w:b w:val="0"/>
          <w:noProof/>
        </w:rPr>
        <w:fldChar w:fldCharType="begin"/>
      </w:r>
      <w:r w:rsidRPr="00A34D8B">
        <w:rPr>
          <w:b w:val="0"/>
          <w:noProof/>
        </w:rPr>
        <w:instrText xml:space="preserve"> PAGEREF _Toc187692175 \h </w:instrText>
      </w:r>
      <w:r w:rsidRPr="00A34D8B">
        <w:rPr>
          <w:b w:val="0"/>
          <w:noProof/>
        </w:rPr>
      </w:r>
      <w:r w:rsidRPr="00A34D8B">
        <w:rPr>
          <w:b w:val="0"/>
          <w:noProof/>
        </w:rPr>
        <w:fldChar w:fldCharType="separate"/>
      </w:r>
      <w:r w:rsidRPr="00A34D8B">
        <w:rPr>
          <w:b w:val="0"/>
          <w:noProof/>
        </w:rPr>
        <w:t>20</w:t>
      </w:r>
      <w:r w:rsidRPr="00A34D8B">
        <w:rPr>
          <w:b w:val="0"/>
          <w:noProof/>
        </w:rPr>
        <w:fldChar w:fldCharType="end"/>
      </w:r>
    </w:p>
    <w:p w14:paraId="20C00324" w14:textId="3270617D"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IV.</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Rovinia is obligated to cease issuing fishing licenses for those parts of the Triton Shoal in Ambrosia’s EEZ and to revoke existing licenses.</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_Toc187692176 \h </w:instrText>
      </w:r>
      <w:r w:rsidRPr="00A34D8B">
        <w:rPr>
          <w:b w:val="0"/>
          <w:smallCaps w:val="0"/>
          <w:noProof/>
        </w:rPr>
      </w:r>
      <w:r w:rsidRPr="00A34D8B">
        <w:rPr>
          <w:b w:val="0"/>
          <w:smallCaps w:val="0"/>
          <w:noProof/>
        </w:rPr>
        <w:fldChar w:fldCharType="separate"/>
      </w:r>
      <w:r w:rsidRPr="00A34D8B">
        <w:rPr>
          <w:b w:val="0"/>
          <w:smallCaps w:val="0"/>
          <w:noProof/>
        </w:rPr>
        <w:t>20</w:t>
      </w:r>
      <w:r w:rsidRPr="00A34D8B">
        <w:rPr>
          <w:b w:val="0"/>
          <w:smallCaps w:val="0"/>
          <w:noProof/>
        </w:rPr>
        <w:fldChar w:fldCharType="end"/>
      </w:r>
    </w:p>
    <w:p w14:paraId="0145328E" w14:textId="1D3DEA70" w:rsidR="00A34D8B" w:rsidRPr="00A34D8B" w:rsidRDefault="00A34D8B" w:rsidP="00A34D8B">
      <w:pPr>
        <w:pStyle w:val="Verzeichnis1"/>
        <w:spacing w:before="200" w:after="0"/>
        <w:rPr>
          <w:rFonts w:asciiTheme="minorHAnsi" w:eastAsiaTheme="minorEastAsia" w:hAnsiTheme="minorHAnsi" w:cstheme="minorBidi"/>
          <w:b w:val="0"/>
          <w:caps w:val="0"/>
          <w:sz w:val="22"/>
          <w:szCs w:val="22"/>
          <w:lang w:eastAsia="de-DE"/>
        </w:rPr>
      </w:pPr>
      <w:r w:rsidRPr="00A34D8B">
        <w:rPr>
          <w:b w:val="0"/>
          <w:caps w:val="0"/>
        </w:rPr>
        <w:t>D.</w:t>
      </w:r>
      <w:r w:rsidRPr="00A34D8B">
        <w:rPr>
          <w:rFonts w:asciiTheme="minorHAnsi" w:eastAsiaTheme="minorEastAsia" w:hAnsiTheme="minorHAnsi" w:cstheme="minorBidi"/>
          <w:b w:val="0"/>
          <w:caps w:val="0"/>
          <w:sz w:val="22"/>
          <w:szCs w:val="22"/>
          <w:lang w:eastAsia="de-DE"/>
        </w:rPr>
        <w:tab/>
      </w:r>
      <w:r w:rsidRPr="00A34D8B">
        <w:rPr>
          <w:b w:val="0"/>
          <w:caps w:val="0"/>
        </w:rPr>
        <w:t>Rovinia’s seizure and sale of Ambrosia’s aircraft pursuant to the Permola court’s decision on 14 July 2023 on the basis of the Transitional Council’s purported waiver of immunity violated international law.</w:t>
      </w:r>
      <w:r w:rsidRPr="00A34D8B">
        <w:rPr>
          <w:b w:val="0"/>
          <w:caps w:val="0"/>
        </w:rPr>
        <w:tab/>
      </w:r>
      <w:r w:rsidRPr="00A34D8B">
        <w:rPr>
          <w:b w:val="0"/>
          <w:caps w:val="0"/>
        </w:rPr>
        <w:fldChar w:fldCharType="begin"/>
      </w:r>
      <w:r w:rsidRPr="00A34D8B">
        <w:rPr>
          <w:b w:val="0"/>
          <w:caps w:val="0"/>
        </w:rPr>
        <w:instrText xml:space="preserve"> PAGEREF _Toc187692177 \h </w:instrText>
      </w:r>
      <w:r w:rsidRPr="00A34D8B">
        <w:rPr>
          <w:b w:val="0"/>
          <w:caps w:val="0"/>
        </w:rPr>
      </w:r>
      <w:r w:rsidRPr="00A34D8B">
        <w:rPr>
          <w:b w:val="0"/>
          <w:caps w:val="0"/>
        </w:rPr>
        <w:fldChar w:fldCharType="separate"/>
      </w:r>
      <w:r w:rsidRPr="00A34D8B">
        <w:rPr>
          <w:b w:val="0"/>
          <w:caps w:val="0"/>
        </w:rPr>
        <w:t>22</w:t>
      </w:r>
      <w:r w:rsidRPr="00A34D8B">
        <w:rPr>
          <w:b w:val="0"/>
          <w:caps w:val="0"/>
        </w:rPr>
        <w:fldChar w:fldCharType="end"/>
      </w:r>
    </w:p>
    <w:p w14:paraId="56B12715" w14:textId="18B27774"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lang w:val="en-GB"/>
        </w:rPr>
        <w:t>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lang w:val="en-GB"/>
        </w:rPr>
        <w:t>Rovinia’s seizure and sale of Ambrosia’s aircraft The Falcon violated its immunity from enforcement under customary international law.</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_Toc187692178 \h </w:instrText>
      </w:r>
      <w:r w:rsidRPr="00A34D8B">
        <w:rPr>
          <w:b w:val="0"/>
          <w:smallCaps w:val="0"/>
          <w:noProof/>
        </w:rPr>
      </w:r>
      <w:r w:rsidRPr="00A34D8B">
        <w:rPr>
          <w:b w:val="0"/>
          <w:smallCaps w:val="0"/>
          <w:noProof/>
        </w:rPr>
        <w:fldChar w:fldCharType="separate"/>
      </w:r>
      <w:r w:rsidRPr="00A34D8B">
        <w:rPr>
          <w:b w:val="0"/>
          <w:smallCaps w:val="0"/>
          <w:noProof/>
        </w:rPr>
        <w:t>22</w:t>
      </w:r>
      <w:r w:rsidRPr="00A34D8B">
        <w:rPr>
          <w:b w:val="0"/>
          <w:smallCaps w:val="0"/>
          <w:noProof/>
        </w:rPr>
        <w:fldChar w:fldCharType="end"/>
      </w:r>
    </w:p>
    <w:p w14:paraId="653544FE" w14:textId="6A7E894D"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1.</w:t>
      </w:r>
      <w:r w:rsidRPr="00A34D8B">
        <w:rPr>
          <w:rFonts w:asciiTheme="minorHAnsi" w:eastAsiaTheme="minorEastAsia" w:hAnsiTheme="minorHAnsi" w:cstheme="minorBidi"/>
          <w:b w:val="0"/>
          <w:noProof/>
          <w:sz w:val="22"/>
          <w:szCs w:val="22"/>
          <w:lang w:val="en-GB" w:eastAsia="de-DE"/>
        </w:rPr>
        <w:tab/>
      </w:r>
      <w:r w:rsidRPr="00A34D8B">
        <w:rPr>
          <w:b w:val="0"/>
          <w:noProof/>
        </w:rPr>
        <w:t>The seizure and sale of The Falcon was a measure of constraint against property entitled to immunity from enforcement.</w:t>
      </w:r>
      <w:r w:rsidRPr="00A34D8B">
        <w:rPr>
          <w:b w:val="0"/>
          <w:noProof/>
        </w:rPr>
        <w:tab/>
      </w:r>
      <w:r w:rsidRPr="00A34D8B">
        <w:rPr>
          <w:b w:val="0"/>
          <w:noProof/>
        </w:rPr>
        <w:fldChar w:fldCharType="begin"/>
      </w:r>
      <w:r w:rsidRPr="00A34D8B">
        <w:rPr>
          <w:b w:val="0"/>
          <w:noProof/>
        </w:rPr>
        <w:instrText xml:space="preserve"> PAGEREF _Toc187692179 \h </w:instrText>
      </w:r>
      <w:r w:rsidRPr="00A34D8B">
        <w:rPr>
          <w:b w:val="0"/>
          <w:noProof/>
        </w:rPr>
      </w:r>
      <w:r w:rsidRPr="00A34D8B">
        <w:rPr>
          <w:b w:val="0"/>
          <w:noProof/>
        </w:rPr>
        <w:fldChar w:fldCharType="separate"/>
      </w:r>
      <w:r w:rsidRPr="00A34D8B">
        <w:rPr>
          <w:b w:val="0"/>
          <w:noProof/>
        </w:rPr>
        <w:t>22</w:t>
      </w:r>
      <w:r w:rsidRPr="00A34D8B">
        <w:rPr>
          <w:b w:val="0"/>
          <w:noProof/>
        </w:rPr>
        <w:fldChar w:fldCharType="end"/>
      </w:r>
    </w:p>
    <w:p w14:paraId="47A4ACF3" w14:textId="73F9E6F2" w:rsidR="00A34D8B" w:rsidRPr="00A34D8B" w:rsidRDefault="00A34D8B" w:rsidP="00A34D8B">
      <w:pPr>
        <w:pStyle w:val="Verzeichnis3"/>
        <w:spacing w:before="200" w:after="0"/>
        <w:rPr>
          <w:rFonts w:asciiTheme="minorHAnsi" w:eastAsiaTheme="minorEastAsia" w:hAnsiTheme="minorHAnsi" w:cstheme="minorBidi"/>
          <w:b w:val="0"/>
          <w:noProof/>
          <w:sz w:val="22"/>
          <w:szCs w:val="22"/>
          <w:lang w:val="en-GB" w:eastAsia="de-DE"/>
        </w:rPr>
      </w:pPr>
      <w:r w:rsidRPr="00A34D8B">
        <w:rPr>
          <w:b w:val="0"/>
          <w:noProof/>
        </w:rPr>
        <w:t>2.</w:t>
      </w:r>
      <w:r w:rsidRPr="00A34D8B">
        <w:rPr>
          <w:rFonts w:asciiTheme="minorHAnsi" w:eastAsiaTheme="minorEastAsia" w:hAnsiTheme="minorHAnsi" w:cstheme="minorBidi"/>
          <w:b w:val="0"/>
          <w:noProof/>
          <w:sz w:val="22"/>
          <w:szCs w:val="22"/>
          <w:lang w:val="en-GB" w:eastAsia="de-DE"/>
        </w:rPr>
        <w:tab/>
      </w:r>
      <w:r w:rsidRPr="00A34D8B">
        <w:rPr>
          <w:b w:val="0"/>
          <w:noProof/>
        </w:rPr>
        <w:t>The immunity of The Falcon was not effectively waived.</w:t>
      </w:r>
      <w:r w:rsidRPr="00A34D8B">
        <w:rPr>
          <w:b w:val="0"/>
          <w:noProof/>
        </w:rPr>
        <w:tab/>
      </w:r>
      <w:r w:rsidRPr="00A34D8B">
        <w:rPr>
          <w:b w:val="0"/>
          <w:noProof/>
        </w:rPr>
        <w:fldChar w:fldCharType="begin"/>
      </w:r>
      <w:r w:rsidRPr="00A34D8B">
        <w:rPr>
          <w:b w:val="0"/>
          <w:noProof/>
        </w:rPr>
        <w:instrText xml:space="preserve"> PAGEREF _Toc187692180 \h </w:instrText>
      </w:r>
      <w:r w:rsidRPr="00A34D8B">
        <w:rPr>
          <w:b w:val="0"/>
          <w:noProof/>
        </w:rPr>
      </w:r>
      <w:r w:rsidRPr="00A34D8B">
        <w:rPr>
          <w:b w:val="0"/>
          <w:noProof/>
        </w:rPr>
        <w:fldChar w:fldCharType="separate"/>
      </w:r>
      <w:r w:rsidRPr="00A34D8B">
        <w:rPr>
          <w:b w:val="0"/>
          <w:noProof/>
        </w:rPr>
        <w:t>22</w:t>
      </w:r>
      <w:r w:rsidRPr="00A34D8B">
        <w:rPr>
          <w:b w:val="0"/>
          <w:noProof/>
        </w:rPr>
        <w:fldChar w:fldCharType="end"/>
      </w:r>
    </w:p>
    <w:p w14:paraId="138BB69A" w14:textId="5FB7F120"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a.</w:t>
      </w:r>
      <w:r w:rsidRPr="00A34D8B">
        <w:rPr>
          <w:rFonts w:asciiTheme="minorHAnsi" w:eastAsiaTheme="minorEastAsia" w:hAnsiTheme="minorHAnsi" w:cstheme="minorBidi"/>
          <w:noProof/>
          <w:sz w:val="22"/>
          <w:szCs w:val="22"/>
          <w:lang w:val="en-GB" w:eastAsia="de-DE"/>
        </w:rPr>
        <w:tab/>
      </w:r>
      <w:r w:rsidRPr="00A34D8B">
        <w:rPr>
          <w:noProof/>
        </w:rPr>
        <w:t>Acting President Zavala’s government was the government of Ambrosia under customary international law.</w:t>
      </w:r>
      <w:r w:rsidRPr="00A34D8B">
        <w:rPr>
          <w:noProof/>
        </w:rPr>
        <w:tab/>
      </w:r>
      <w:r w:rsidRPr="00A34D8B">
        <w:rPr>
          <w:noProof/>
        </w:rPr>
        <w:fldChar w:fldCharType="begin"/>
      </w:r>
      <w:r w:rsidRPr="00A34D8B">
        <w:rPr>
          <w:noProof/>
        </w:rPr>
        <w:instrText xml:space="preserve"> PAGEREF _Toc187692181 \h </w:instrText>
      </w:r>
      <w:r w:rsidRPr="00A34D8B">
        <w:rPr>
          <w:noProof/>
        </w:rPr>
      </w:r>
      <w:r w:rsidRPr="00A34D8B">
        <w:rPr>
          <w:noProof/>
        </w:rPr>
        <w:fldChar w:fldCharType="separate"/>
      </w:r>
      <w:r w:rsidRPr="00A34D8B">
        <w:rPr>
          <w:noProof/>
        </w:rPr>
        <w:t>23</w:t>
      </w:r>
      <w:r w:rsidRPr="00A34D8B">
        <w:rPr>
          <w:noProof/>
        </w:rPr>
        <w:fldChar w:fldCharType="end"/>
      </w:r>
    </w:p>
    <w:p w14:paraId="71E900FE" w14:textId="7EE7A58E" w:rsidR="00A34D8B" w:rsidRPr="00A34D8B" w:rsidRDefault="00A34D8B" w:rsidP="00A34D8B">
      <w:pPr>
        <w:pStyle w:val="Verzeichnis4"/>
        <w:spacing w:before="200" w:after="0"/>
        <w:rPr>
          <w:rFonts w:asciiTheme="minorHAnsi" w:eastAsiaTheme="minorEastAsia" w:hAnsiTheme="minorHAnsi" w:cstheme="minorBidi"/>
          <w:noProof/>
          <w:sz w:val="22"/>
          <w:szCs w:val="22"/>
          <w:lang w:val="en-GB" w:eastAsia="de-DE"/>
        </w:rPr>
      </w:pPr>
      <w:r w:rsidRPr="00A34D8B">
        <w:rPr>
          <w:noProof/>
        </w:rPr>
        <w:t>b.</w:t>
      </w:r>
      <w:r w:rsidRPr="00A34D8B">
        <w:rPr>
          <w:rFonts w:asciiTheme="minorHAnsi" w:eastAsiaTheme="minorEastAsia" w:hAnsiTheme="minorHAnsi" w:cstheme="minorBidi"/>
          <w:noProof/>
          <w:sz w:val="22"/>
          <w:szCs w:val="22"/>
          <w:lang w:val="en-GB" w:eastAsia="de-DE"/>
        </w:rPr>
        <w:tab/>
      </w:r>
      <w:r w:rsidRPr="00A34D8B">
        <w:rPr>
          <w:noProof/>
        </w:rPr>
        <w:t>Even if the Transitional Council was Ambrosia’s government under international law, Rovinia was obligated under Article I(a) OCDP Charter to withhold recognition from it.</w:t>
      </w:r>
      <w:r w:rsidRPr="00A34D8B">
        <w:rPr>
          <w:noProof/>
        </w:rPr>
        <w:tab/>
      </w:r>
      <w:r w:rsidRPr="00A34D8B">
        <w:rPr>
          <w:noProof/>
        </w:rPr>
        <w:fldChar w:fldCharType="begin"/>
      </w:r>
      <w:r w:rsidRPr="00A34D8B">
        <w:rPr>
          <w:noProof/>
        </w:rPr>
        <w:instrText xml:space="preserve"> PAGEREF _Toc187692182 \h </w:instrText>
      </w:r>
      <w:r w:rsidRPr="00A34D8B">
        <w:rPr>
          <w:noProof/>
        </w:rPr>
      </w:r>
      <w:r w:rsidRPr="00A34D8B">
        <w:rPr>
          <w:noProof/>
        </w:rPr>
        <w:fldChar w:fldCharType="separate"/>
      </w:r>
      <w:r w:rsidRPr="00A34D8B">
        <w:rPr>
          <w:noProof/>
        </w:rPr>
        <w:t>25</w:t>
      </w:r>
      <w:r w:rsidRPr="00A34D8B">
        <w:rPr>
          <w:noProof/>
        </w:rPr>
        <w:fldChar w:fldCharType="end"/>
      </w:r>
    </w:p>
    <w:p w14:paraId="12D80251" w14:textId="18423FAE" w:rsidR="00A34D8B" w:rsidRPr="00A34D8B" w:rsidRDefault="00A34D8B" w:rsidP="00A34D8B">
      <w:pPr>
        <w:pStyle w:val="Verzeichnis2"/>
        <w:spacing w:before="200" w:after="0"/>
        <w:rPr>
          <w:rFonts w:asciiTheme="minorHAnsi" w:eastAsiaTheme="minorEastAsia" w:hAnsiTheme="minorHAnsi" w:cstheme="minorBidi"/>
          <w:b w:val="0"/>
          <w:smallCaps w:val="0"/>
          <w:noProof/>
          <w:sz w:val="22"/>
          <w:szCs w:val="22"/>
          <w:lang w:val="en-GB" w:eastAsia="de-DE"/>
        </w:rPr>
      </w:pPr>
      <w:r w:rsidRPr="00A34D8B">
        <w:rPr>
          <w:b w:val="0"/>
          <w:smallCaps w:val="0"/>
          <w:noProof/>
        </w:rPr>
        <w:t>II.</w:t>
      </w:r>
      <w:r w:rsidRPr="00A34D8B">
        <w:rPr>
          <w:rFonts w:asciiTheme="minorHAnsi" w:eastAsiaTheme="minorEastAsia" w:hAnsiTheme="minorHAnsi" w:cstheme="minorBidi"/>
          <w:b w:val="0"/>
          <w:smallCaps w:val="0"/>
          <w:noProof/>
          <w:sz w:val="22"/>
          <w:szCs w:val="22"/>
          <w:lang w:val="en-GB" w:eastAsia="de-DE"/>
        </w:rPr>
        <w:tab/>
      </w:r>
      <w:r w:rsidRPr="00A34D8B">
        <w:rPr>
          <w:b w:val="0"/>
          <w:smallCaps w:val="0"/>
          <w:noProof/>
        </w:rPr>
        <w:t>Rovinia’s seizure and sale of The Falcon violated Article 18(b) VCLT.</w:t>
      </w:r>
      <w:r w:rsidRPr="00A34D8B">
        <w:rPr>
          <w:b w:val="0"/>
          <w:smallCaps w:val="0"/>
          <w:noProof/>
        </w:rPr>
        <w:tab/>
      </w:r>
      <w:r w:rsidRPr="00A34D8B">
        <w:rPr>
          <w:b w:val="0"/>
          <w:smallCaps w:val="0"/>
          <w:noProof/>
        </w:rPr>
        <w:fldChar w:fldCharType="begin"/>
      </w:r>
      <w:r w:rsidRPr="00A34D8B">
        <w:rPr>
          <w:b w:val="0"/>
          <w:smallCaps w:val="0"/>
          <w:noProof/>
        </w:rPr>
        <w:instrText xml:space="preserve"> PAGEREF _Toc187692183 \h </w:instrText>
      </w:r>
      <w:r w:rsidRPr="00A34D8B">
        <w:rPr>
          <w:b w:val="0"/>
          <w:smallCaps w:val="0"/>
          <w:noProof/>
        </w:rPr>
      </w:r>
      <w:r w:rsidRPr="00A34D8B">
        <w:rPr>
          <w:b w:val="0"/>
          <w:smallCaps w:val="0"/>
          <w:noProof/>
        </w:rPr>
        <w:fldChar w:fldCharType="separate"/>
      </w:r>
      <w:r w:rsidRPr="00A34D8B">
        <w:rPr>
          <w:b w:val="0"/>
          <w:smallCaps w:val="0"/>
          <w:noProof/>
        </w:rPr>
        <w:t>26</w:t>
      </w:r>
      <w:r w:rsidRPr="00A34D8B">
        <w:rPr>
          <w:b w:val="0"/>
          <w:smallCaps w:val="0"/>
          <w:noProof/>
        </w:rPr>
        <w:fldChar w:fldCharType="end"/>
      </w:r>
    </w:p>
    <w:p w14:paraId="03DDA297" w14:textId="5BD64607" w:rsidR="00A34D8B" w:rsidRPr="00CF4FEC" w:rsidRDefault="00A34D8B" w:rsidP="00A34D8B">
      <w:pPr>
        <w:pStyle w:val="Verzeichnis1"/>
        <w:spacing w:before="200" w:after="0"/>
        <w:rPr>
          <w:rFonts w:asciiTheme="minorHAnsi" w:eastAsiaTheme="minorEastAsia" w:hAnsiTheme="minorHAnsi" w:cstheme="minorBidi"/>
          <w:b w:val="0"/>
          <w:caps w:val="0"/>
          <w:sz w:val="22"/>
          <w:szCs w:val="22"/>
          <w:lang w:val="en-US" w:eastAsia="de-DE"/>
        </w:rPr>
      </w:pPr>
      <w:r w:rsidRPr="00A34D8B">
        <w:rPr>
          <w:b w:val="0"/>
          <w:caps w:val="0"/>
        </w:rPr>
        <w:t>Prayer for Relief</w:t>
      </w:r>
      <w:r w:rsidRPr="00A34D8B">
        <w:rPr>
          <w:b w:val="0"/>
          <w:caps w:val="0"/>
        </w:rPr>
        <w:tab/>
      </w:r>
      <w:r w:rsidRPr="00A34D8B">
        <w:rPr>
          <w:b w:val="0"/>
          <w:caps w:val="0"/>
        </w:rPr>
        <w:fldChar w:fldCharType="begin"/>
      </w:r>
      <w:r w:rsidRPr="00A34D8B">
        <w:rPr>
          <w:b w:val="0"/>
          <w:caps w:val="0"/>
        </w:rPr>
        <w:instrText xml:space="preserve"> PAGEREF _Toc187692184 \h </w:instrText>
      </w:r>
      <w:r w:rsidRPr="00A34D8B">
        <w:rPr>
          <w:b w:val="0"/>
          <w:caps w:val="0"/>
        </w:rPr>
      </w:r>
      <w:r w:rsidRPr="00A34D8B">
        <w:rPr>
          <w:b w:val="0"/>
          <w:caps w:val="0"/>
        </w:rPr>
        <w:fldChar w:fldCharType="separate"/>
      </w:r>
      <w:r w:rsidRPr="00A34D8B">
        <w:rPr>
          <w:b w:val="0"/>
          <w:caps w:val="0"/>
        </w:rPr>
        <w:t>28</w:t>
      </w:r>
      <w:r w:rsidRPr="00A34D8B">
        <w:rPr>
          <w:b w:val="0"/>
          <w:caps w:val="0"/>
        </w:rPr>
        <w:fldChar w:fldCharType="end"/>
      </w:r>
    </w:p>
    <w:p w14:paraId="54AB2C41" w14:textId="003847E1" w:rsidR="00A34D8B" w:rsidRPr="00CF4FEC" w:rsidRDefault="00A34D8B" w:rsidP="00D32A0F">
      <w:pPr>
        <w:pStyle w:val="Memo"/>
        <w:ind w:firstLine="0"/>
        <w:rPr>
          <w:b/>
        </w:rPr>
        <w:sectPr w:rsidR="00A34D8B" w:rsidRPr="00CF4FEC" w:rsidSect="005A2A91">
          <w:headerReference w:type="default" r:id="rId10"/>
          <w:footerReference w:type="default" r:id="rId11"/>
          <w:pgSz w:w="11906" w:h="16838" w:code="9"/>
          <w:pgMar w:top="1474" w:right="1474" w:bottom="1474" w:left="1474" w:header="720" w:footer="720" w:gutter="0"/>
          <w:pgNumType w:fmt="upperRoman" w:start="1"/>
          <w:cols w:space="720"/>
          <w:docGrid w:linePitch="360"/>
        </w:sectPr>
      </w:pPr>
      <w:r>
        <w:rPr>
          <w:b/>
          <w:lang w:val="de-DE"/>
        </w:rPr>
        <w:fldChar w:fldCharType="end"/>
      </w:r>
    </w:p>
    <w:p w14:paraId="07AECFE6" w14:textId="77777777" w:rsidR="00C33996" w:rsidRDefault="00C33996" w:rsidP="00C33996">
      <w:pPr>
        <w:pStyle w:val="Ober-berschrift"/>
      </w:pPr>
      <w:bookmarkStart w:id="7" w:name="_Toc187487355"/>
      <w:bookmarkStart w:id="8" w:name="_Toc187487006"/>
      <w:bookmarkStart w:id="9" w:name="_Toc187486708"/>
      <w:bookmarkStart w:id="10" w:name="_Toc187681640"/>
      <w:bookmarkStart w:id="11" w:name="_Toc187692142"/>
      <w:bookmarkStart w:id="12" w:name="_Hlk187661316"/>
      <w:r>
        <w:lastRenderedPageBreak/>
        <w:t>Index of Authorities</w:t>
      </w:r>
      <w:bookmarkEnd w:id="7"/>
      <w:bookmarkEnd w:id="8"/>
      <w:bookmarkEnd w:id="9"/>
      <w:bookmarkEnd w:id="10"/>
      <w:bookmarkEnd w:id="11"/>
    </w:p>
    <w:p w14:paraId="586A6DB0" w14:textId="77777777" w:rsidR="00C33996" w:rsidRDefault="00C33996" w:rsidP="00C33996">
      <w:pPr>
        <w:tabs>
          <w:tab w:val="right" w:leader="dot" w:pos="11340"/>
        </w:tabs>
        <w:spacing w:line="240" w:lineRule="auto"/>
        <w:ind w:firstLine="0"/>
        <w:rPr>
          <w:rFonts w:eastAsia="Times New Roman" w:cs="Times New Roman"/>
          <w:b/>
          <w:bCs/>
          <w:u w:val="single"/>
          <w:lang w:val="en"/>
        </w:rPr>
      </w:pPr>
      <w:bookmarkStart w:id="13" w:name="_Hlk187649334"/>
      <w:r>
        <w:rPr>
          <w:rFonts w:eastAsia="Times New Roman" w:cs="Times New Roman"/>
          <w:b/>
          <w:bCs/>
          <w:u w:val="single"/>
          <w:lang w:val="en"/>
        </w:rPr>
        <w:t>I. Treaties and Conventions</w:t>
      </w:r>
    </w:p>
    <w:p w14:paraId="05FEEF8E" w14:textId="77777777" w:rsidR="00C33996" w:rsidRDefault="00C33996" w:rsidP="00C33996">
      <w:pPr>
        <w:tabs>
          <w:tab w:val="right" w:leader="dot" w:pos="11340"/>
        </w:tabs>
        <w:spacing w:line="240" w:lineRule="auto"/>
        <w:ind w:firstLine="0"/>
        <w:rPr>
          <w:rFonts w:eastAsia="Times New Roman" w:cs="Times New Roman"/>
          <w:lang w:val="en"/>
        </w:rPr>
      </w:pPr>
    </w:p>
    <w:p w14:paraId="2038BC4E" w14:textId="2C8FE952"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Charter of the United Nations and Statute of the International Court of Justice (signed 26 June 1945, entered into force 24 October 1945) XV United Nations Conference on International Organization 335, amendments in 557 UN Treaty Series 143, 638 UN Treaty Series 308 and 892 UN Treaty Series 119</w:t>
      </w:r>
      <w:r>
        <w:rPr>
          <w:rFonts w:eastAsia="Times New Roman" w:cs="Times New Roman"/>
          <w:lang w:val="en"/>
        </w:rPr>
        <w:tab/>
        <w:t>X</w:t>
      </w:r>
      <w:r w:rsidR="00B8549F">
        <w:rPr>
          <w:rFonts w:eastAsia="Times New Roman" w:cs="Times New Roman"/>
          <w:lang w:val="en"/>
        </w:rPr>
        <w:t>I</w:t>
      </w:r>
      <w:r>
        <w:rPr>
          <w:rFonts w:eastAsia="Times New Roman" w:cs="Times New Roman"/>
          <w:lang w:val="en"/>
        </w:rPr>
        <w:t>V, 1, 4</w:t>
      </w:r>
    </w:p>
    <w:p w14:paraId="3B9CCC23" w14:textId="77777777" w:rsidR="00C33996" w:rsidRDefault="00C33996" w:rsidP="00C33996">
      <w:pPr>
        <w:tabs>
          <w:tab w:val="right" w:leader="dot" w:pos="11340"/>
        </w:tabs>
        <w:spacing w:line="240" w:lineRule="auto"/>
        <w:ind w:firstLine="0"/>
        <w:rPr>
          <w:rFonts w:eastAsia="Times New Roman" w:cs="Times New Roman"/>
          <w:lang w:val="en"/>
        </w:rPr>
      </w:pPr>
    </w:p>
    <w:p w14:paraId="09501F5A"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Convention against Torture and Other Cruel, Inhuman or Degrading Treatment or Punishment (adopted 10 December 1984, entered into force 26 June 1987) 1465 UN Treaty </w:t>
      </w:r>
      <w:r>
        <w:rPr>
          <w:rFonts w:eastAsia="Times New Roman" w:cs="Times New Roman"/>
          <w:lang w:val="en"/>
        </w:rPr>
        <w:br/>
        <w:t>Series 85</w:t>
      </w:r>
      <w:r>
        <w:rPr>
          <w:rFonts w:eastAsia="Times New Roman" w:cs="Times New Roman"/>
          <w:lang w:val="en"/>
        </w:rPr>
        <w:tab/>
        <w:t>8</w:t>
      </w:r>
    </w:p>
    <w:p w14:paraId="61CF81DB" w14:textId="77777777" w:rsidR="00C33996" w:rsidRDefault="00C33996" w:rsidP="00C33996">
      <w:pPr>
        <w:tabs>
          <w:tab w:val="right" w:leader="dot" w:pos="11340"/>
        </w:tabs>
        <w:spacing w:line="240" w:lineRule="auto"/>
        <w:ind w:firstLine="0"/>
        <w:rPr>
          <w:rFonts w:eastAsia="Times New Roman" w:cs="Times New Roman"/>
          <w:lang w:val="en"/>
        </w:rPr>
      </w:pPr>
    </w:p>
    <w:p w14:paraId="70B5974E" w14:textId="27F6BBBE"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International Convention for the Protection of All Persons from Enforced Disappearance (adopted 20 December 2006, entered into force 23 December 2010) 2716 UN Treaty </w:t>
      </w:r>
      <w:r>
        <w:rPr>
          <w:rFonts w:eastAsia="Times New Roman" w:cs="Times New Roman"/>
          <w:lang w:val="en"/>
        </w:rPr>
        <w:br/>
        <w:t>Series 3</w:t>
      </w:r>
      <w:r>
        <w:rPr>
          <w:rFonts w:eastAsia="Times New Roman" w:cs="Times New Roman"/>
          <w:lang w:val="en"/>
        </w:rPr>
        <w:tab/>
      </w:r>
      <w:r w:rsidR="00B8549F">
        <w:rPr>
          <w:rFonts w:eastAsia="Times New Roman" w:cs="Times New Roman"/>
          <w:lang w:val="en"/>
        </w:rPr>
        <w:t>I</w:t>
      </w:r>
      <w:r>
        <w:rPr>
          <w:rFonts w:eastAsia="Times New Roman" w:cs="Times New Roman"/>
          <w:lang w:val="en"/>
        </w:rPr>
        <w:t>XX, 4, 7, 8, 12, 13</w:t>
      </w:r>
    </w:p>
    <w:p w14:paraId="017A88FF" w14:textId="77777777" w:rsidR="00C33996" w:rsidRDefault="00C33996" w:rsidP="00C33996">
      <w:pPr>
        <w:tabs>
          <w:tab w:val="right" w:leader="dot" w:pos="11340"/>
        </w:tabs>
        <w:spacing w:line="240" w:lineRule="auto"/>
        <w:ind w:firstLine="0"/>
        <w:rPr>
          <w:rFonts w:eastAsia="Times New Roman" w:cs="Times New Roman"/>
          <w:lang w:val="en"/>
        </w:rPr>
      </w:pPr>
    </w:p>
    <w:p w14:paraId="54E64347" w14:textId="3F8D3068"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United Nations Convention on Jurisdictional Immunities of States and Their Property (adopted 2 December 2004, not yet entered into force) UN Doc A/RES/59/38</w:t>
      </w:r>
      <w:r>
        <w:rPr>
          <w:rFonts w:eastAsia="Times New Roman" w:cs="Times New Roman"/>
          <w:lang w:val="en"/>
        </w:rPr>
        <w:tab/>
        <w:t>XX, 22, 27</w:t>
      </w:r>
    </w:p>
    <w:p w14:paraId="20AFCDD1" w14:textId="77777777" w:rsidR="00C33996" w:rsidRDefault="00C33996" w:rsidP="00C33996">
      <w:pPr>
        <w:tabs>
          <w:tab w:val="right" w:leader="dot" w:pos="11340"/>
        </w:tabs>
        <w:spacing w:line="240" w:lineRule="auto"/>
        <w:ind w:firstLine="0"/>
        <w:rPr>
          <w:rFonts w:eastAsia="Times New Roman" w:cs="Times New Roman"/>
          <w:lang w:val="en"/>
        </w:rPr>
      </w:pPr>
    </w:p>
    <w:p w14:paraId="137793C2" w14:textId="2686CB18"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United Nations Convention on the Law of the Sea (concluded 10 December 1982, entered into force 16 November 1994) 1833 UN Treaty Series 3</w:t>
      </w:r>
      <w:r>
        <w:rPr>
          <w:rFonts w:eastAsia="Times New Roman" w:cs="Times New Roman"/>
          <w:lang w:val="en"/>
        </w:rPr>
        <w:tab/>
        <w:t>XX, 14-19, 21</w:t>
      </w:r>
    </w:p>
    <w:p w14:paraId="6D6C423B" w14:textId="77777777" w:rsidR="00C33996" w:rsidRDefault="00C33996" w:rsidP="00C33996">
      <w:pPr>
        <w:tabs>
          <w:tab w:val="right" w:leader="dot" w:pos="11340"/>
        </w:tabs>
        <w:spacing w:line="240" w:lineRule="auto"/>
        <w:ind w:firstLine="0"/>
        <w:rPr>
          <w:rFonts w:eastAsia="Times New Roman" w:cs="Times New Roman"/>
          <w:lang w:val="en"/>
        </w:rPr>
      </w:pPr>
    </w:p>
    <w:p w14:paraId="6D35B99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Vienna Convention on the Law of Treaties (adopted 23 May 1969, entered into force 27 January 1980) 1155 UN Treaty Series 331</w:t>
      </w:r>
      <w:r>
        <w:rPr>
          <w:rFonts w:eastAsia="Times New Roman" w:cs="Times New Roman"/>
          <w:lang w:val="en"/>
        </w:rPr>
        <w:tab/>
        <w:t>Claim A, B, C</w:t>
      </w:r>
    </w:p>
    <w:p w14:paraId="411D758D" w14:textId="77777777" w:rsidR="00C33996" w:rsidRDefault="00C33996" w:rsidP="00C33996">
      <w:pPr>
        <w:tabs>
          <w:tab w:val="right" w:leader="dot" w:pos="11340"/>
        </w:tabs>
        <w:spacing w:line="240" w:lineRule="auto"/>
        <w:ind w:firstLine="0"/>
        <w:rPr>
          <w:rFonts w:eastAsia="Times New Roman" w:cs="Times New Roman"/>
          <w:lang w:val="en"/>
        </w:rPr>
      </w:pPr>
    </w:p>
    <w:p w14:paraId="223375C5" w14:textId="77777777" w:rsidR="00C33996" w:rsidRDefault="00C33996" w:rsidP="00C33996">
      <w:pPr>
        <w:tabs>
          <w:tab w:val="right" w:leader="dot" w:pos="11340"/>
        </w:tabs>
        <w:spacing w:line="240" w:lineRule="auto"/>
        <w:ind w:firstLine="0"/>
        <w:rPr>
          <w:rFonts w:eastAsia="Times New Roman" w:cs="Times New Roman"/>
          <w:b/>
          <w:bCs/>
          <w:u w:val="single"/>
          <w:lang w:val="en"/>
        </w:rPr>
      </w:pPr>
      <w:r>
        <w:rPr>
          <w:rFonts w:eastAsia="Times New Roman" w:cs="Times New Roman"/>
          <w:b/>
          <w:bCs/>
          <w:u w:val="single"/>
          <w:lang w:val="en"/>
        </w:rPr>
        <w:t>II. International Judicial Bodies</w:t>
      </w:r>
    </w:p>
    <w:p w14:paraId="2B39CE59" w14:textId="77777777" w:rsidR="00C33996" w:rsidRDefault="00C33996" w:rsidP="00C33996">
      <w:pPr>
        <w:tabs>
          <w:tab w:val="right" w:leader="dot" w:pos="11340"/>
        </w:tabs>
        <w:spacing w:line="240" w:lineRule="auto"/>
        <w:ind w:firstLine="0"/>
        <w:rPr>
          <w:rFonts w:eastAsia="Times New Roman" w:cs="Times New Roman"/>
          <w:b/>
          <w:bCs/>
          <w:u w:val="single"/>
          <w:lang w:val="en"/>
        </w:rPr>
      </w:pPr>
    </w:p>
    <w:p w14:paraId="63AE069E"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1. International Court of Justice</w:t>
      </w:r>
    </w:p>
    <w:p w14:paraId="2640D6E2" w14:textId="77777777" w:rsidR="00C33996" w:rsidRDefault="00C33996" w:rsidP="00C33996">
      <w:pPr>
        <w:tabs>
          <w:tab w:val="right" w:leader="dot" w:pos="11340"/>
        </w:tabs>
        <w:spacing w:line="240" w:lineRule="auto"/>
        <w:ind w:firstLine="0"/>
        <w:rPr>
          <w:rFonts w:eastAsia="Times New Roman" w:cs="Times New Roman"/>
          <w:lang w:val="en"/>
        </w:rPr>
      </w:pPr>
    </w:p>
    <w:p w14:paraId="20805CC4"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Allegations of Genocide under the Convention on the Prevention and Punishment of the Crime of Genocide</w:t>
      </w:r>
      <w:r>
        <w:rPr>
          <w:rFonts w:eastAsia="Times New Roman" w:cs="Times New Roman"/>
          <w:lang w:val="en"/>
        </w:rPr>
        <w:t xml:space="preserve"> (</w:t>
      </w:r>
      <w:r>
        <w:rPr>
          <w:rFonts w:eastAsia="Times New Roman" w:cs="Times New Roman"/>
          <w:i/>
          <w:lang w:val="en"/>
        </w:rPr>
        <w:t>Ukraine v Russia: 32 States intervening</w:t>
      </w:r>
      <w:r>
        <w:rPr>
          <w:rFonts w:eastAsia="Times New Roman" w:cs="Times New Roman"/>
          <w:lang w:val="en"/>
        </w:rPr>
        <w:t>) (Preliminary Objections) [2024] ICJ General List No 182</w:t>
      </w:r>
      <w:r>
        <w:rPr>
          <w:rFonts w:eastAsia="Times New Roman" w:cs="Times New Roman"/>
          <w:lang w:val="en"/>
        </w:rPr>
        <w:tab/>
        <w:t>1</w:t>
      </w:r>
    </w:p>
    <w:p w14:paraId="77739BAC" w14:textId="6DBB3BE3" w:rsidR="00C33996" w:rsidRDefault="00C33996" w:rsidP="00C33996">
      <w:pPr>
        <w:tabs>
          <w:tab w:val="right" w:leader="dot" w:pos="11340"/>
        </w:tabs>
        <w:spacing w:line="240" w:lineRule="auto"/>
        <w:ind w:firstLine="0"/>
        <w:rPr>
          <w:rFonts w:eastAsia="Times New Roman" w:cs="Times New Roman"/>
          <w:lang w:val="en"/>
        </w:rPr>
      </w:pPr>
    </w:p>
    <w:p w14:paraId="42F56415" w14:textId="7B989BAC" w:rsidR="002B76BC" w:rsidRDefault="002B76BC" w:rsidP="00C33996">
      <w:pPr>
        <w:tabs>
          <w:tab w:val="right" w:leader="dot" w:pos="11340"/>
        </w:tabs>
        <w:spacing w:line="240" w:lineRule="auto"/>
        <w:ind w:firstLine="0"/>
        <w:rPr>
          <w:rFonts w:eastAsia="Times New Roman" w:cs="Times New Roman"/>
          <w:lang w:val="en"/>
        </w:rPr>
      </w:pPr>
      <w:r w:rsidRPr="002F4E2F">
        <w:rPr>
          <w:i/>
          <w:color w:val="000000" w:themeColor="text1"/>
          <w:lang w:val="en-GB"/>
        </w:rPr>
        <w:t xml:space="preserve">Alleged Violations of Sovereign Rights and Maritime Spaces in the </w:t>
      </w:r>
      <w:r w:rsidR="00966CE4" w:rsidRPr="002F4E2F">
        <w:rPr>
          <w:i/>
          <w:color w:val="000000" w:themeColor="text1"/>
          <w:lang w:val="en-GB"/>
        </w:rPr>
        <w:t>Caribbean</w:t>
      </w:r>
      <w:r w:rsidRPr="002F4E2F">
        <w:rPr>
          <w:i/>
          <w:color w:val="000000" w:themeColor="text1"/>
          <w:lang w:val="en-GB"/>
        </w:rPr>
        <w:t xml:space="preserve"> Sea</w:t>
      </w:r>
      <w:r w:rsidRPr="002F4E2F">
        <w:rPr>
          <w:color w:val="000000" w:themeColor="text1"/>
          <w:lang w:val="en-GB"/>
        </w:rPr>
        <w:t xml:space="preserve"> (</w:t>
      </w:r>
      <w:r w:rsidRPr="002F4E2F">
        <w:rPr>
          <w:i/>
          <w:color w:val="000000" w:themeColor="text1"/>
          <w:lang w:val="en-GB"/>
        </w:rPr>
        <w:t>Nicaragua v Colombia</w:t>
      </w:r>
      <w:r w:rsidRPr="002F4E2F">
        <w:rPr>
          <w:color w:val="000000" w:themeColor="text1"/>
          <w:lang w:val="en-GB"/>
        </w:rPr>
        <w:t>) (Judgment) [2022] ICJ Rep 266</w:t>
      </w:r>
      <w:r>
        <w:rPr>
          <w:color w:val="000000" w:themeColor="text1"/>
          <w:lang w:val="en-GB"/>
        </w:rPr>
        <w:tab/>
        <w:t>18</w:t>
      </w:r>
    </w:p>
    <w:p w14:paraId="295373C0" w14:textId="77777777" w:rsidR="002B76BC" w:rsidRDefault="002B76BC" w:rsidP="00C33996">
      <w:pPr>
        <w:tabs>
          <w:tab w:val="right" w:leader="dot" w:pos="11340"/>
        </w:tabs>
        <w:spacing w:line="240" w:lineRule="auto"/>
        <w:ind w:firstLine="0"/>
        <w:rPr>
          <w:rFonts w:eastAsia="Times New Roman" w:cs="Times New Roman"/>
          <w:lang w:val="en"/>
        </w:rPr>
      </w:pPr>
    </w:p>
    <w:p w14:paraId="292818D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Asylum Case</w:t>
      </w:r>
      <w:r>
        <w:rPr>
          <w:rFonts w:eastAsia="Times New Roman" w:cs="Times New Roman"/>
          <w:lang w:val="en"/>
        </w:rPr>
        <w:t xml:space="preserve"> (</w:t>
      </w:r>
      <w:r>
        <w:rPr>
          <w:rFonts w:eastAsia="Times New Roman" w:cs="Times New Roman"/>
          <w:i/>
          <w:lang w:val="en"/>
        </w:rPr>
        <w:t>Colombia v Peru</w:t>
      </w:r>
      <w:r>
        <w:rPr>
          <w:rFonts w:eastAsia="Times New Roman" w:cs="Times New Roman"/>
          <w:lang w:val="en"/>
        </w:rPr>
        <w:t>) (Judgment) [1950] ICJ Rep 266</w:t>
      </w:r>
      <w:r>
        <w:rPr>
          <w:rFonts w:eastAsia="Times New Roman" w:cs="Times New Roman"/>
          <w:lang w:val="en"/>
        </w:rPr>
        <w:tab/>
        <w:t>19</w:t>
      </w:r>
    </w:p>
    <w:p w14:paraId="024D8D42" w14:textId="77777777" w:rsidR="00C33996" w:rsidRDefault="00C33996" w:rsidP="00C33996">
      <w:pPr>
        <w:tabs>
          <w:tab w:val="right" w:leader="dot" w:pos="11340"/>
        </w:tabs>
        <w:spacing w:line="240" w:lineRule="auto"/>
        <w:ind w:firstLine="0"/>
        <w:rPr>
          <w:rFonts w:eastAsia="Times New Roman" w:cs="Times New Roman"/>
          <w:lang w:val="en"/>
        </w:rPr>
      </w:pPr>
    </w:p>
    <w:p w14:paraId="7430C35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Armed Activities on the Territory of the Congo (New Application: 2002) </w:t>
      </w:r>
      <w:r>
        <w:rPr>
          <w:rFonts w:eastAsia="Times New Roman" w:cs="Times New Roman"/>
          <w:lang w:val="en"/>
        </w:rPr>
        <w:t>(</w:t>
      </w:r>
      <w:r>
        <w:rPr>
          <w:rFonts w:eastAsia="Times New Roman" w:cs="Times New Roman"/>
          <w:i/>
          <w:lang w:val="en"/>
        </w:rPr>
        <w:t>Democratic Republic of the Congo v Rwanda</w:t>
      </w:r>
      <w:r>
        <w:rPr>
          <w:rFonts w:eastAsia="Times New Roman" w:cs="Times New Roman"/>
          <w:lang w:val="en"/>
        </w:rPr>
        <w:t xml:space="preserve">) (Judgment) [2006] ICJ Rep 6 </w:t>
      </w:r>
      <w:r>
        <w:rPr>
          <w:rFonts w:eastAsia="Times New Roman" w:cs="Times New Roman"/>
          <w:lang w:val="en"/>
        </w:rPr>
        <w:tab/>
        <w:t>23</w:t>
      </w:r>
    </w:p>
    <w:p w14:paraId="0DC2BA73" w14:textId="77777777" w:rsidR="00C33996" w:rsidRDefault="00C33996" w:rsidP="00C33996">
      <w:pPr>
        <w:tabs>
          <w:tab w:val="right" w:leader="dot" w:pos="11340"/>
        </w:tabs>
        <w:spacing w:line="240" w:lineRule="auto"/>
        <w:ind w:firstLine="0"/>
        <w:rPr>
          <w:rFonts w:eastAsia="Times New Roman" w:cs="Times New Roman"/>
          <w:lang w:val="en"/>
        </w:rPr>
      </w:pPr>
    </w:p>
    <w:p w14:paraId="02779018"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Certain Property </w:t>
      </w:r>
      <w:r>
        <w:rPr>
          <w:rFonts w:eastAsia="Times New Roman" w:cs="Times New Roman"/>
          <w:lang w:val="en"/>
        </w:rPr>
        <w:t>(</w:t>
      </w:r>
      <w:r>
        <w:rPr>
          <w:rFonts w:eastAsia="Times New Roman" w:cs="Times New Roman"/>
          <w:i/>
          <w:lang w:val="en"/>
        </w:rPr>
        <w:t>Liechtenstein v Germany</w:t>
      </w:r>
      <w:r>
        <w:rPr>
          <w:rFonts w:eastAsia="Times New Roman" w:cs="Times New Roman"/>
          <w:lang w:val="en"/>
        </w:rPr>
        <w:t>)</w:t>
      </w:r>
      <w:r>
        <w:rPr>
          <w:rFonts w:eastAsia="Times New Roman" w:cs="Times New Roman"/>
          <w:i/>
          <w:lang w:val="en"/>
        </w:rPr>
        <w:t xml:space="preserve"> </w:t>
      </w:r>
      <w:r>
        <w:rPr>
          <w:rFonts w:eastAsia="Times New Roman" w:cs="Times New Roman"/>
          <w:lang w:val="en"/>
        </w:rPr>
        <w:t xml:space="preserve">(Preliminary Objections) [2005] ICJ Rep 6 </w:t>
      </w:r>
      <w:r>
        <w:rPr>
          <w:rFonts w:eastAsia="Times New Roman" w:cs="Times New Roman"/>
          <w:lang w:val="en"/>
        </w:rPr>
        <w:tab/>
        <w:t>2</w:t>
      </w:r>
    </w:p>
    <w:p w14:paraId="3FDF92AE" w14:textId="77777777" w:rsidR="00C33996" w:rsidRDefault="00C33996" w:rsidP="00C33996">
      <w:pPr>
        <w:tabs>
          <w:tab w:val="right" w:leader="dot" w:pos="11340"/>
        </w:tabs>
        <w:spacing w:line="240" w:lineRule="auto"/>
        <w:ind w:firstLine="0"/>
        <w:rPr>
          <w:rFonts w:eastAsia="Times New Roman" w:cs="Times New Roman"/>
          <w:lang w:val="en"/>
        </w:rPr>
      </w:pPr>
    </w:p>
    <w:p w14:paraId="7F0AEC4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Military and Paramilitary Activities in and against Nicaragua </w:t>
      </w:r>
      <w:r>
        <w:rPr>
          <w:rFonts w:eastAsia="Times New Roman" w:cs="Times New Roman"/>
          <w:lang w:val="en"/>
        </w:rPr>
        <w:t>(</w:t>
      </w:r>
      <w:r>
        <w:rPr>
          <w:rFonts w:eastAsia="Times New Roman" w:cs="Times New Roman"/>
          <w:i/>
          <w:lang w:val="en"/>
        </w:rPr>
        <w:t>Nicaragua v United States</w:t>
      </w:r>
      <w:r>
        <w:rPr>
          <w:rFonts w:eastAsia="Times New Roman" w:cs="Times New Roman"/>
          <w:lang w:val="en"/>
        </w:rPr>
        <w:t>) (Judgment) [1984] ICJ Rep 392</w:t>
      </w:r>
      <w:r>
        <w:rPr>
          <w:rFonts w:eastAsia="Times New Roman" w:cs="Times New Roman"/>
          <w:lang w:val="en"/>
        </w:rPr>
        <w:tab/>
        <w:t>17</w:t>
      </w:r>
    </w:p>
    <w:p w14:paraId="6116A905" w14:textId="77777777" w:rsidR="00C33996" w:rsidRDefault="00C33996" w:rsidP="00C33996">
      <w:pPr>
        <w:tabs>
          <w:tab w:val="right" w:leader="dot" w:pos="11340"/>
        </w:tabs>
        <w:spacing w:line="240" w:lineRule="auto"/>
        <w:ind w:firstLine="0"/>
        <w:rPr>
          <w:rFonts w:eastAsia="Times New Roman" w:cs="Times New Roman"/>
          <w:lang w:val="en"/>
        </w:rPr>
      </w:pPr>
    </w:p>
    <w:p w14:paraId="3D5F073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lastRenderedPageBreak/>
        <w:t xml:space="preserve">Case Concerning Military and Paramilitary Activities in and against Nicaragua </w:t>
      </w:r>
      <w:r>
        <w:rPr>
          <w:rFonts w:eastAsia="Times New Roman" w:cs="Times New Roman"/>
          <w:lang w:val="en"/>
        </w:rPr>
        <w:t>(</w:t>
      </w:r>
      <w:r>
        <w:rPr>
          <w:rFonts w:eastAsia="Times New Roman" w:cs="Times New Roman"/>
          <w:i/>
          <w:lang w:val="en"/>
        </w:rPr>
        <w:t>Nicaragua v United States</w:t>
      </w:r>
      <w:r>
        <w:rPr>
          <w:rFonts w:eastAsia="Times New Roman" w:cs="Times New Roman"/>
          <w:lang w:val="en"/>
        </w:rPr>
        <w:t>)</w:t>
      </w:r>
      <w:r>
        <w:rPr>
          <w:rFonts w:eastAsia="Times New Roman" w:cs="Times New Roman"/>
          <w:i/>
          <w:lang w:val="en"/>
        </w:rPr>
        <w:t xml:space="preserve"> </w:t>
      </w:r>
      <w:r>
        <w:rPr>
          <w:rFonts w:eastAsia="Times New Roman" w:cs="Times New Roman"/>
          <w:lang w:val="en"/>
        </w:rPr>
        <w:t>(Merits) [1986] ICJ Rep 14</w:t>
      </w:r>
      <w:r>
        <w:rPr>
          <w:rFonts w:eastAsia="Times New Roman" w:cs="Times New Roman"/>
          <w:lang w:val="en"/>
        </w:rPr>
        <w:tab/>
        <w:t>3</w:t>
      </w:r>
    </w:p>
    <w:p w14:paraId="0A1FAE52" w14:textId="77777777" w:rsidR="00C33996" w:rsidRDefault="00C33996" w:rsidP="00C33996">
      <w:pPr>
        <w:tabs>
          <w:tab w:val="right" w:leader="dot" w:pos="11340"/>
        </w:tabs>
        <w:spacing w:line="240" w:lineRule="auto"/>
        <w:ind w:firstLine="0"/>
        <w:rPr>
          <w:rFonts w:eastAsia="Times New Roman" w:cs="Times New Roman"/>
          <w:lang w:val="en"/>
        </w:rPr>
      </w:pPr>
    </w:p>
    <w:p w14:paraId="7C6F2BF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Case Concerning Pulp Mills on the River Uruguay</w:t>
      </w:r>
      <w:r>
        <w:rPr>
          <w:rFonts w:eastAsia="Times New Roman" w:cs="Times New Roman"/>
          <w:lang w:val="en"/>
        </w:rPr>
        <w:t xml:space="preserve"> (</w:t>
      </w:r>
      <w:r>
        <w:rPr>
          <w:rFonts w:eastAsia="Times New Roman" w:cs="Times New Roman"/>
          <w:i/>
          <w:lang w:val="en"/>
        </w:rPr>
        <w:t>Argentina v Uruguay</w:t>
      </w:r>
      <w:r>
        <w:rPr>
          <w:rFonts w:eastAsia="Times New Roman" w:cs="Times New Roman"/>
          <w:lang w:val="en"/>
        </w:rPr>
        <w:t xml:space="preserve">) (Judgment) [2010] </w:t>
      </w:r>
      <w:r>
        <w:rPr>
          <w:rFonts w:eastAsia="Times New Roman" w:cs="Times New Roman"/>
          <w:lang w:val="en"/>
        </w:rPr>
        <w:br/>
        <w:t>ICJ Rep 14</w:t>
      </w:r>
      <w:r>
        <w:rPr>
          <w:rFonts w:eastAsia="Times New Roman" w:cs="Times New Roman"/>
          <w:lang w:val="en"/>
        </w:rPr>
        <w:tab/>
        <w:t>20</w:t>
      </w:r>
    </w:p>
    <w:p w14:paraId="4FF7C16C" w14:textId="77777777" w:rsidR="00C33996" w:rsidRDefault="00C33996" w:rsidP="00C33996">
      <w:pPr>
        <w:tabs>
          <w:tab w:val="right" w:leader="dot" w:pos="11340"/>
        </w:tabs>
        <w:spacing w:line="240" w:lineRule="auto"/>
        <w:ind w:firstLine="0"/>
        <w:rPr>
          <w:rFonts w:eastAsia="Times New Roman" w:cs="Times New Roman"/>
          <w:lang w:val="en"/>
        </w:rPr>
      </w:pPr>
    </w:p>
    <w:p w14:paraId="6EC41E2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Right of Passage over Indian Territory </w:t>
      </w:r>
      <w:r>
        <w:rPr>
          <w:rFonts w:eastAsia="Times New Roman" w:cs="Times New Roman"/>
          <w:lang w:val="en"/>
        </w:rPr>
        <w:t>(</w:t>
      </w:r>
      <w:r>
        <w:rPr>
          <w:rFonts w:eastAsia="Times New Roman" w:cs="Times New Roman"/>
          <w:i/>
          <w:lang w:val="en"/>
        </w:rPr>
        <w:t>Portugal v India</w:t>
      </w:r>
      <w:r>
        <w:rPr>
          <w:rFonts w:eastAsia="Times New Roman" w:cs="Times New Roman"/>
          <w:lang w:val="en"/>
        </w:rPr>
        <w:t>)</w:t>
      </w:r>
      <w:r>
        <w:rPr>
          <w:rFonts w:eastAsia="Times New Roman" w:cs="Times New Roman"/>
          <w:i/>
          <w:lang w:val="en"/>
        </w:rPr>
        <w:t xml:space="preserve"> </w:t>
      </w:r>
      <w:r>
        <w:rPr>
          <w:rFonts w:eastAsia="Times New Roman" w:cs="Times New Roman"/>
          <w:lang w:val="en"/>
        </w:rPr>
        <w:t>(Merits) [1960] ICJ Rep 6</w:t>
      </w:r>
      <w:r>
        <w:rPr>
          <w:rFonts w:eastAsia="Times New Roman" w:cs="Times New Roman"/>
          <w:lang w:val="en"/>
        </w:rPr>
        <w:tab/>
        <w:t>2, 4</w:t>
      </w:r>
    </w:p>
    <w:p w14:paraId="74C4C648" w14:textId="77777777" w:rsidR="00C33996" w:rsidRDefault="00C33996" w:rsidP="00C33996">
      <w:pPr>
        <w:tabs>
          <w:tab w:val="right" w:leader="dot" w:pos="11340"/>
        </w:tabs>
        <w:spacing w:line="240" w:lineRule="auto"/>
        <w:ind w:firstLine="0"/>
        <w:rPr>
          <w:rFonts w:eastAsia="Times New Roman" w:cs="Times New Roman"/>
          <w:lang w:val="en"/>
        </w:rPr>
      </w:pPr>
    </w:p>
    <w:p w14:paraId="3BF7A06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the Arrest Warrant of 11 April 2000 </w:t>
      </w:r>
      <w:r>
        <w:rPr>
          <w:rFonts w:eastAsia="Times New Roman" w:cs="Times New Roman"/>
          <w:lang w:val="en"/>
        </w:rPr>
        <w:t>(</w:t>
      </w:r>
      <w:r>
        <w:rPr>
          <w:rFonts w:eastAsia="Times New Roman" w:cs="Times New Roman"/>
          <w:i/>
          <w:lang w:val="en"/>
        </w:rPr>
        <w:t>Democratic Republic of the Congo v Belgium</w:t>
      </w:r>
      <w:r>
        <w:rPr>
          <w:rFonts w:eastAsia="Times New Roman" w:cs="Times New Roman"/>
          <w:lang w:val="en"/>
        </w:rPr>
        <w:t>)</w:t>
      </w:r>
      <w:r>
        <w:rPr>
          <w:rFonts w:eastAsia="Times New Roman" w:cs="Times New Roman"/>
          <w:i/>
          <w:lang w:val="en"/>
        </w:rPr>
        <w:t xml:space="preserve"> </w:t>
      </w:r>
      <w:r>
        <w:rPr>
          <w:rFonts w:eastAsia="Times New Roman" w:cs="Times New Roman"/>
          <w:lang w:val="en"/>
        </w:rPr>
        <w:t>(Judgment) [2002] ICJ Rep 3</w:t>
      </w:r>
      <w:r>
        <w:rPr>
          <w:rFonts w:eastAsia="Times New Roman" w:cs="Times New Roman"/>
          <w:lang w:val="en"/>
        </w:rPr>
        <w:tab/>
        <w:t>4, 9, 11, 13</w:t>
      </w:r>
    </w:p>
    <w:p w14:paraId="25D09C8E" w14:textId="77777777" w:rsidR="00C33996" w:rsidRDefault="00C33996" w:rsidP="00C33996">
      <w:pPr>
        <w:tabs>
          <w:tab w:val="right" w:leader="dot" w:pos="11340"/>
        </w:tabs>
        <w:spacing w:line="240" w:lineRule="auto"/>
        <w:ind w:firstLine="0"/>
        <w:rPr>
          <w:rFonts w:eastAsia="Times New Roman" w:cs="Times New Roman"/>
          <w:lang w:val="en"/>
        </w:rPr>
      </w:pPr>
    </w:p>
    <w:p w14:paraId="4F12BBF7" w14:textId="77777777" w:rsidR="00C33996" w:rsidRDefault="00C33996" w:rsidP="00C33996">
      <w:pPr>
        <w:tabs>
          <w:tab w:val="right" w:leader="dot" w:pos="11340"/>
        </w:tabs>
        <w:spacing w:line="240" w:lineRule="auto"/>
        <w:ind w:left="397" w:firstLine="0"/>
        <w:rPr>
          <w:rFonts w:eastAsia="Times New Roman" w:cs="Times New Roman"/>
          <w:lang w:val="en"/>
        </w:rPr>
      </w:pPr>
      <w:r>
        <w:rPr>
          <w:rFonts w:eastAsia="Times New Roman" w:cs="Times New Roman"/>
          <w:i/>
          <w:lang w:val="en"/>
        </w:rPr>
        <w:t xml:space="preserve">Case Concerning the Arrest Warrant of 11 April 2000 </w:t>
      </w:r>
      <w:r>
        <w:rPr>
          <w:rFonts w:eastAsia="Times New Roman" w:cs="Times New Roman"/>
          <w:lang w:val="en"/>
        </w:rPr>
        <w:t>(</w:t>
      </w:r>
      <w:r>
        <w:rPr>
          <w:rFonts w:eastAsia="Times New Roman" w:cs="Times New Roman"/>
          <w:i/>
          <w:lang w:val="en"/>
        </w:rPr>
        <w:t>Democratic Republic of the Congo v Belgium</w:t>
      </w:r>
      <w:r>
        <w:rPr>
          <w:rFonts w:eastAsia="Times New Roman" w:cs="Times New Roman"/>
          <w:lang w:val="en"/>
        </w:rPr>
        <w:t>) [2002]</w:t>
      </w:r>
      <w:r>
        <w:rPr>
          <w:rFonts w:eastAsia="Times New Roman" w:cs="Times New Roman"/>
          <w:i/>
          <w:lang w:val="en"/>
        </w:rPr>
        <w:t xml:space="preserve"> </w:t>
      </w:r>
      <w:r>
        <w:rPr>
          <w:rFonts w:eastAsia="Times New Roman" w:cs="Times New Roman"/>
          <w:lang w:val="en"/>
        </w:rPr>
        <w:t xml:space="preserve">(Joint Separate Opinion of Judges Higgins, </w:t>
      </w:r>
      <w:proofErr w:type="spellStart"/>
      <w:r>
        <w:rPr>
          <w:rFonts w:eastAsia="Times New Roman" w:cs="Times New Roman"/>
          <w:lang w:val="en"/>
        </w:rPr>
        <w:t>Kooijmans</w:t>
      </w:r>
      <w:proofErr w:type="spellEnd"/>
      <w:r>
        <w:rPr>
          <w:rFonts w:eastAsia="Times New Roman" w:cs="Times New Roman"/>
          <w:lang w:val="en"/>
        </w:rPr>
        <w:t xml:space="preserve"> and </w:t>
      </w:r>
      <w:proofErr w:type="spellStart"/>
      <w:r>
        <w:rPr>
          <w:rFonts w:eastAsia="Times New Roman" w:cs="Times New Roman"/>
          <w:lang w:val="en"/>
        </w:rPr>
        <w:t>Buergenthal</w:t>
      </w:r>
      <w:proofErr w:type="spellEnd"/>
      <w:r>
        <w:rPr>
          <w:rFonts w:eastAsia="Times New Roman" w:cs="Times New Roman"/>
          <w:lang w:val="en"/>
        </w:rPr>
        <w:t>) ICJ Rep 63</w:t>
      </w:r>
      <w:r>
        <w:rPr>
          <w:rFonts w:eastAsia="Times New Roman" w:cs="Times New Roman"/>
          <w:lang w:val="en"/>
        </w:rPr>
        <w:tab/>
        <w:t>7</w:t>
      </w:r>
    </w:p>
    <w:p w14:paraId="1CC1DE68" w14:textId="77777777" w:rsidR="00C33996" w:rsidRDefault="00C33996" w:rsidP="00C33996">
      <w:pPr>
        <w:tabs>
          <w:tab w:val="right" w:leader="dot" w:pos="11340"/>
        </w:tabs>
        <w:spacing w:line="240" w:lineRule="auto"/>
        <w:ind w:left="397" w:firstLine="0"/>
        <w:rPr>
          <w:rFonts w:eastAsia="Times New Roman" w:cs="Times New Roman"/>
          <w:lang w:val="en"/>
        </w:rPr>
      </w:pPr>
    </w:p>
    <w:p w14:paraId="547DEFEE" w14:textId="77777777" w:rsidR="00C33996" w:rsidRDefault="00C33996" w:rsidP="00C33996">
      <w:pPr>
        <w:tabs>
          <w:tab w:val="right" w:leader="dot" w:pos="11340"/>
        </w:tabs>
        <w:spacing w:line="240" w:lineRule="auto"/>
        <w:ind w:left="397" w:firstLine="0"/>
        <w:rPr>
          <w:rFonts w:eastAsia="Times New Roman" w:cs="Times New Roman"/>
          <w:lang w:val="en"/>
        </w:rPr>
      </w:pPr>
      <w:r>
        <w:rPr>
          <w:rFonts w:eastAsia="Times New Roman" w:cs="Times New Roman"/>
          <w:i/>
          <w:lang w:val="en"/>
        </w:rPr>
        <w:t xml:space="preserve">Case Concerning the Arrest Warrant of 11 April 2000 </w:t>
      </w:r>
      <w:r>
        <w:rPr>
          <w:rFonts w:eastAsia="Times New Roman" w:cs="Times New Roman"/>
          <w:lang w:val="en"/>
        </w:rPr>
        <w:t>(</w:t>
      </w:r>
      <w:r>
        <w:rPr>
          <w:rFonts w:eastAsia="Times New Roman" w:cs="Times New Roman"/>
          <w:i/>
          <w:lang w:val="en"/>
        </w:rPr>
        <w:t>Democratic Republic of the Congo v Belgium</w:t>
      </w:r>
      <w:r>
        <w:rPr>
          <w:rFonts w:eastAsia="Times New Roman" w:cs="Times New Roman"/>
          <w:lang w:val="en"/>
        </w:rPr>
        <w:t>) [2002]</w:t>
      </w:r>
      <w:r>
        <w:rPr>
          <w:rFonts w:eastAsia="Times New Roman" w:cs="Times New Roman"/>
          <w:i/>
          <w:lang w:val="en"/>
        </w:rPr>
        <w:t xml:space="preserve"> </w:t>
      </w:r>
      <w:r>
        <w:rPr>
          <w:rFonts w:eastAsia="Times New Roman" w:cs="Times New Roman"/>
          <w:lang w:val="en"/>
        </w:rPr>
        <w:t>(Separate Opinion of Judge Guillaume) ICJ Rep 35</w:t>
      </w:r>
      <w:r>
        <w:rPr>
          <w:rFonts w:eastAsia="Times New Roman" w:cs="Times New Roman"/>
          <w:lang w:val="en"/>
        </w:rPr>
        <w:tab/>
        <w:t>6</w:t>
      </w:r>
    </w:p>
    <w:p w14:paraId="7E6A677B" w14:textId="77777777" w:rsidR="00C33996" w:rsidRDefault="00C33996" w:rsidP="00C33996">
      <w:pPr>
        <w:tabs>
          <w:tab w:val="right" w:leader="dot" w:pos="11340"/>
        </w:tabs>
        <w:spacing w:line="240" w:lineRule="auto"/>
        <w:ind w:firstLine="0"/>
        <w:rPr>
          <w:rFonts w:eastAsia="Times New Roman" w:cs="Times New Roman"/>
          <w:lang w:val="en"/>
        </w:rPr>
      </w:pPr>
    </w:p>
    <w:p w14:paraId="5310DAB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the Continental Shelf </w:t>
      </w:r>
      <w:r>
        <w:rPr>
          <w:rFonts w:eastAsia="Times New Roman" w:cs="Times New Roman"/>
          <w:lang w:val="en"/>
        </w:rPr>
        <w:t>(</w:t>
      </w:r>
      <w:r>
        <w:rPr>
          <w:rFonts w:eastAsia="Times New Roman" w:cs="Times New Roman"/>
          <w:i/>
          <w:lang w:val="en"/>
        </w:rPr>
        <w:t>Libya v Malta</w:t>
      </w:r>
      <w:r>
        <w:rPr>
          <w:rFonts w:eastAsia="Times New Roman" w:cs="Times New Roman"/>
          <w:lang w:val="en"/>
        </w:rPr>
        <w:t xml:space="preserve">) (Judgment) [1985] ICJ </w:t>
      </w:r>
      <w:r>
        <w:rPr>
          <w:rFonts w:eastAsia="Times New Roman" w:cs="Times New Roman"/>
          <w:lang w:val="en"/>
        </w:rPr>
        <w:br/>
        <w:t>Rep 13</w:t>
      </w:r>
      <w:r>
        <w:rPr>
          <w:rFonts w:eastAsia="Times New Roman" w:cs="Times New Roman"/>
          <w:lang w:val="en"/>
        </w:rPr>
        <w:tab/>
        <w:t>18</w:t>
      </w:r>
    </w:p>
    <w:p w14:paraId="48A349DD" w14:textId="77777777" w:rsidR="00C33996" w:rsidRDefault="00C33996" w:rsidP="00C33996">
      <w:pPr>
        <w:tabs>
          <w:tab w:val="right" w:leader="dot" w:pos="11340"/>
        </w:tabs>
        <w:spacing w:line="240" w:lineRule="auto"/>
        <w:ind w:firstLine="0"/>
        <w:rPr>
          <w:rFonts w:eastAsia="Times New Roman" w:cs="Times New Roman"/>
          <w:lang w:val="en"/>
        </w:rPr>
      </w:pPr>
    </w:p>
    <w:p w14:paraId="3B5583A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the Temple of Preah </w:t>
      </w:r>
      <w:proofErr w:type="spellStart"/>
      <w:r>
        <w:rPr>
          <w:rFonts w:eastAsia="Times New Roman" w:cs="Times New Roman"/>
          <w:i/>
          <w:lang w:val="en"/>
        </w:rPr>
        <w:t>Vihear</w:t>
      </w:r>
      <w:proofErr w:type="spellEnd"/>
      <w:r>
        <w:rPr>
          <w:rFonts w:eastAsia="Times New Roman" w:cs="Times New Roman"/>
          <w:i/>
          <w:lang w:val="en"/>
        </w:rPr>
        <w:t xml:space="preserve"> </w:t>
      </w:r>
      <w:r>
        <w:rPr>
          <w:rFonts w:eastAsia="Times New Roman" w:cs="Times New Roman"/>
          <w:lang w:val="en"/>
        </w:rPr>
        <w:t>(</w:t>
      </w:r>
      <w:r>
        <w:rPr>
          <w:rFonts w:eastAsia="Times New Roman" w:cs="Times New Roman"/>
          <w:i/>
          <w:lang w:val="en"/>
        </w:rPr>
        <w:t>Cambodia v Thailand</w:t>
      </w:r>
      <w:r>
        <w:rPr>
          <w:rFonts w:eastAsia="Times New Roman" w:cs="Times New Roman"/>
          <w:lang w:val="en"/>
        </w:rPr>
        <w:t xml:space="preserve">) (Merits) [1962] </w:t>
      </w:r>
      <w:r>
        <w:rPr>
          <w:rFonts w:eastAsia="Times New Roman" w:cs="Times New Roman"/>
          <w:lang w:val="en"/>
        </w:rPr>
        <w:br/>
        <w:t>ICJ Rep 6</w:t>
      </w:r>
      <w:r>
        <w:rPr>
          <w:rFonts w:eastAsia="Times New Roman" w:cs="Times New Roman"/>
          <w:lang w:val="en"/>
        </w:rPr>
        <w:tab/>
        <w:t>17</w:t>
      </w:r>
    </w:p>
    <w:p w14:paraId="5AA81B0B" w14:textId="77777777" w:rsidR="00C33996" w:rsidRDefault="00C33996" w:rsidP="00C33996">
      <w:pPr>
        <w:tabs>
          <w:tab w:val="right" w:leader="dot" w:pos="11340"/>
        </w:tabs>
        <w:spacing w:line="240" w:lineRule="auto"/>
        <w:ind w:firstLine="0"/>
        <w:rPr>
          <w:rFonts w:eastAsia="Times New Roman" w:cs="Times New Roman"/>
          <w:lang w:val="en"/>
        </w:rPr>
      </w:pPr>
    </w:p>
    <w:p w14:paraId="7E22677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Delimitation of the Maritime Boundary in the Gulf of Maine Area</w:t>
      </w:r>
      <w:r>
        <w:rPr>
          <w:rFonts w:eastAsia="Times New Roman" w:cs="Times New Roman"/>
          <w:lang w:val="en"/>
        </w:rPr>
        <w:t xml:space="preserve"> (</w:t>
      </w:r>
      <w:r>
        <w:rPr>
          <w:rFonts w:eastAsia="Times New Roman" w:cs="Times New Roman"/>
          <w:i/>
          <w:lang w:val="en"/>
        </w:rPr>
        <w:t>Canada v United States</w:t>
      </w:r>
      <w:r>
        <w:rPr>
          <w:rFonts w:eastAsia="Times New Roman" w:cs="Times New Roman"/>
          <w:lang w:val="en"/>
        </w:rPr>
        <w:t>) (Judgment) [1984] ICJ Rep 246</w:t>
      </w:r>
      <w:r>
        <w:rPr>
          <w:rFonts w:eastAsia="Times New Roman" w:cs="Times New Roman"/>
          <w:lang w:val="en"/>
        </w:rPr>
        <w:tab/>
        <w:t>15, 16</w:t>
      </w:r>
    </w:p>
    <w:p w14:paraId="08E8EEDF" w14:textId="77777777" w:rsidR="00C33996" w:rsidRDefault="00C33996" w:rsidP="00C33996">
      <w:pPr>
        <w:tabs>
          <w:tab w:val="right" w:leader="dot" w:pos="11340"/>
        </w:tabs>
        <w:spacing w:line="240" w:lineRule="auto"/>
        <w:ind w:firstLine="0"/>
        <w:rPr>
          <w:rFonts w:eastAsia="Times New Roman" w:cs="Times New Roman"/>
          <w:lang w:val="en"/>
        </w:rPr>
      </w:pPr>
    </w:p>
    <w:p w14:paraId="6B208700"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Fisheries Case (United Kingdom v Norway)</w:t>
      </w:r>
      <w:r>
        <w:rPr>
          <w:rFonts w:eastAsia="Times New Roman" w:cs="Times New Roman"/>
          <w:lang w:val="en"/>
        </w:rPr>
        <w:t xml:space="preserve"> (Judgment) [1951] ICJ Rep 116</w:t>
      </w:r>
      <w:r>
        <w:rPr>
          <w:rFonts w:eastAsia="Times New Roman" w:cs="Times New Roman"/>
          <w:lang w:val="en"/>
        </w:rPr>
        <w:tab/>
        <w:t>20</w:t>
      </w:r>
    </w:p>
    <w:p w14:paraId="59E7E85C" w14:textId="77777777" w:rsidR="00C33996" w:rsidRDefault="00C33996" w:rsidP="00C33996">
      <w:pPr>
        <w:tabs>
          <w:tab w:val="right" w:leader="dot" w:pos="11340"/>
        </w:tabs>
        <w:spacing w:line="240" w:lineRule="auto"/>
        <w:ind w:firstLine="0"/>
        <w:rPr>
          <w:rFonts w:eastAsia="Times New Roman" w:cs="Times New Roman"/>
          <w:lang w:val="en"/>
        </w:rPr>
      </w:pPr>
    </w:p>
    <w:p w14:paraId="30C9F7DA"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Interpretation of the Agreement of 15 March 1951 between the WHO and Egypt</w:t>
      </w:r>
      <w:r>
        <w:rPr>
          <w:rFonts w:eastAsia="Times New Roman" w:cs="Times New Roman"/>
          <w:lang w:val="en"/>
        </w:rPr>
        <w:t xml:space="preserve"> (Advisory Opinion) [1980] ICJ Rep 73</w:t>
      </w:r>
      <w:r>
        <w:rPr>
          <w:rFonts w:eastAsia="Times New Roman" w:cs="Times New Roman"/>
          <w:lang w:val="en"/>
        </w:rPr>
        <w:tab/>
        <w:t>2</w:t>
      </w:r>
    </w:p>
    <w:p w14:paraId="4F362549" w14:textId="77777777" w:rsidR="00C33996" w:rsidRDefault="00C33996" w:rsidP="00C33996">
      <w:pPr>
        <w:tabs>
          <w:tab w:val="right" w:leader="dot" w:pos="11340"/>
        </w:tabs>
        <w:spacing w:line="240" w:lineRule="auto"/>
        <w:ind w:firstLine="0"/>
        <w:rPr>
          <w:rFonts w:eastAsia="Times New Roman" w:cs="Times New Roman"/>
          <w:lang w:val="en"/>
        </w:rPr>
      </w:pPr>
    </w:p>
    <w:p w14:paraId="6B41391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Jadhav Case</w:t>
      </w:r>
      <w:r>
        <w:rPr>
          <w:rFonts w:eastAsia="Times New Roman" w:cs="Times New Roman"/>
          <w:lang w:val="en"/>
        </w:rPr>
        <w:t xml:space="preserve"> (</w:t>
      </w:r>
      <w:r>
        <w:rPr>
          <w:rFonts w:eastAsia="Times New Roman" w:cs="Times New Roman"/>
          <w:i/>
          <w:lang w:val="en"/>
        </w:rPr>
        <w:t>India v Pakistan</w:t>
      </w:r>
      <w:r>
        <w:rPr>
          <w:rFonts w:eastAsia="Times New Roman" w:cs="Times New Roman"/>
          <w:lang w:val="en"/>
        </w:rPr>
        <w:t>) (Merits) [2019] ICJ Rep 418</w:t>
      </w:r>
      <w:r>
        <w:rPr>
          <w:rFonts w:eastAsia="Times New Roman" w:cs="Times New Roman"/>
          <w:lang w:val="en"/>
        </w:rPr>
        <w:tab/>
        <w:t>15</w:t>
      </w:r>
    </w:p>
    <w:p w14:paraId="4038CDF9" w14:textId="77777777" w:rsidR="00C33996" w:rsidRDefault="00C33996" w:rsidP="00C33996">
      <w:pPr>
        <w:tabs>
          <w:tab w:val="right" w:leader="dot" w:pos="11340"/>
        </w:tabs>
        <w:spacing w:line="240" w:lineRule="auto"/>
        <w:ind w:firstLine="0"/>
        <w:rPr>
          <w:rFonts w:eastAsia="Times New Roman" w:cs="Times New Roman"/>
          <w:i/>
          <w:lang w:val="en"/>
        </w:rPr>
      </w:pPr>
    </w:p>
    <w:p w14:paraId="5E42AB6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Jurisdictional Immunities of the State </w:t>
      </w:r>
      <w:r>
        <w:rPr>
          <w:rFonts w:eastAsia="Times New Roman" w:cs="Times New Roman"/>
          <w:lang w:val="en"/>
        </w:rPr>
        <w:t>(</w:t>
      </w:r>
      <w:r>
        <w:rPr>
          <w:rFonts w:eastAsia="Times New Roman" w:cs="Times New Roman"/>
          <w:i/>
          <w:lang w:val="en"/>
        </w:rPr>
        <w:t>Germany v Italy: Greece intervening</w:t>
      </w:r>
      <w:r>
        <w:rPr>
          <w:rFonts w:eastAsia="Times New Roman" w:cs="Times New Roman"/>
          <w:lang w:val="en"/>
        </w:rPr>
        <w:t>)</w:t>
      </w:r>
      <w:r>
        <w:rPr>
          <w:rFonts w:eastAsia="Times New Roman" w:cs="Times New Roman"/>
          <w:i/>
          <w:lang w:val="en"/>
        </w:rPr>
        <w:t xml:space="preserve"> </w:t>
      </w:r>
      <w:r>
        <w:rPr>
          <w:rFonts w:eastAsia="Times New Roman" w:cs="Times New Roman"/>
          <w:lang w:val="en"/>
        </w:rPr>
        <w:t>(Judgment) [2012] ICJ Rep 99</w:t>
      </w:r>
      <w:r>
        <w:rPr>
          <w:rFonts w:eastAsia="Times New Roman" w:cs="Times New Roman"/>
          <w:lang w:val="en"/>
        </w:rPr>
        <w:tab/>
        <w:t>2, 10, 11, 22, 23, 27</w:t>
      </w:r>
    </w:p>
    <w:p w14:paraId="3EB5DE50" w14:textId="77777777" w:rsidR="00C33996" w:rsidRDefault="00C33996" w:rsidP="00C33996">
      <w:pPr>
        <w:tabs>
          <w:tab w:val="right" w:leader="dot" w:pos="11340"/>
        </w:tabs>
        <w:spacing w:line="240" w:lineRule="auto"/>
        <w:ind w:firstLine="0"/>
        <w:rPr>
          <w:rFonts w:eastAsia="Times New Roman" w:cs="Times New Roman"/>
          <w:i/>
          <w:lang w:val="en"/>
        </w:rPr>
      </w:pPr>
    </w:p>
    <w:p w14:paraId="621E8BB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Questions relating to the Obligation to Prosecute or Extradite </w:t>
      </w:r>
      <w:r>
        <w:rPr>
          <w:rFonts w:eastAsia="Times New Roman" w:cs="Times New Roman"/>
          <w:lang w:val="en"/>
        </w:rPr>
        <w:t>(</w:t>
      </w:r>
      <w:r>
        <w:rPr>
          <w:rFonts w:eastAsia="Times New Roman" w:cs="Times New Roman"/>
          <w:i/>
          <w:lang w:val="en"/>
        </w:rPr>
        <w:t>Belgium v Senegal</w:t>
      </w:r>
      <w:r>
        <w:rPr>
          <w:rFonts w:eastAsia="Times New Roman" w:cs="Times New Roman"/>
          <w:lang w:val="en"/>
        </w:rPr>
        <w:t>)</w:t>
      </w:r>
      <w:r>
        <w:rPr>
          <w:rFonts w:eastAsia="Times New Roman" w:cs="Times New Roman"/>
          <w:i/>
          <w:lang w:val="en"/>
        </w:rPr>
        <w:t xml:space="preserve"> </w:t>
      </w:r>
      <w:r>
        <w:rPr>
          <w:rFonts w:eastAsia="Times New Roman" w:cs="Times New Roman"/>
          <w:lang w:val="en"/>
        </w:rPr>
        <w:t xml:space="preserve">(Merits) [2012] ICJ Rep 422 </w:t>
      </w:r>
      <w:r>
        <w:rPr>
          <w:rFonts w:eastAsia="Times New Roman" w:cs="Times New Roman"/>
          <w:lang w:val="en"/>
        </w:rPr>
        <w:tab/>
        <w:t>8, 11</w:t>
      </w:r>
    </w:p>
    <w:p w14:paraId="48E3A1FC" w14:textId="77777777" w:rsidR="00C33996" w:rsidRDefault="00C33996" w:rsidP="00C33996">
      <w:pPr>
        <w:tabs>
          <w:tab w:val="right" w:leader="dot" w:pos="11340"/>
        </w:tabs>
        <w:spacing w:line="240" w:lineRule="auto"/>
        <w:ind w:firstLine="0"/>
        <w:rPr>
          <w:rFonts w:eastAsia="Times New Roman" w:cs="Times New Roman"/>
          <w:lang w:val="en"/>
        </w:rPr>
      </w:pPr>
    </w:p>
    <w:p w14:paraId="5FCA0F98"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North Sea Continental Shelf Cases</w:t>
      </w:r>
      <w:r>
        <w:rPr>
          <w:rFonts w:eastAsia="Times New Roman" w:cs="Times New Roman"/>
          <w:lang w:val="en"/>
        </w:rPr>
        <w:t xml:space="preserve"> (</w:t>
      </w:r>
      <w:r>
        <w:rPr>
          <w:rFonts w:eastAsia="Times New Roman" w:cs="Times New Roman"/>
          <w:i/>
          <w:lang w:val="en"/>
        </w:rPr>
        <w:t>Germany v Denmark; Germany v Netherlands</w:t>
      </w:r>
      <w:r>
        <w:rPr>
          <w:rFonts w:eastAsia="Times New Roman" w:cs="Times New Roman"/>
          <w:lang w:val="en"/>
        </w:rPr>
        <w:t>) (Merits) [1969] ICJ Rep 3</w:t>
      </w:r>
      <w:r>
        <w:rPr>
          <w:rFonts w:eastAsia="Times New Roman" w:cs="Times New Roman"/>
          <w:lang w:val="en"/>
        </w:rPr>
        <w:tab/>
        <w:t>6, 18</w:t>
      </w:r>
    </w:p>
    <w:p w14:paraId="65C52C42" w14:textId="77777777" w:rsidR="00C33996" w:rsidRDefault="00C33996" w:rsidP="00C33996">
      <w:pPr>
        <w:tabs>
          <w:tab w:val="right" w:leader="dot" w:pos="11340"/>
        </w:tabs>
        <w:spacing w:line="240" w:lineRule="auto"/>
        <w:ind w:firstLine="0"/>
        <w:rPr>
          <w:rFonts w:eastAsia="Times New Roman" w:cs="Times New Roman"/>
          <w:lang w:val="en"/>
        </w:rPr>
      </w:pPr>
    </w:p>
    <w:p w14:paraId="583FCB5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Nuclear Tests Cases</w:t>
      </w:r>
      <w:r>
        <w:rPr>
          <w:rFonts w:eastAsia="Times New Roman" w:cs="Times New Roman"/>
          <w:lang w:val="en"/>
        </w:rPr>
        <w:t xml:space="preserve"> (</w:t>
      </w:r>
      <w:r>
        <w:rPr>
          <w:rFonts w:eastAsia="Times New Roman" w:cs="Times New Roman"/>
          <w:i/>
          <w:lang w:val="en"/>
        </w:rPr>
        <w:t>Australia v France</w:t>
      </w:r>
      <w:r>
        <w:rPr>
          <w:rFonts w:eastAsia="Times New Roman" w:cs="Times New Roman"/>
          <w:lang w:val="en"/>
        </w:rPr>
        <w:t>) (</w:t>
      </w:r>
      <w:r>
        <w:rPr>
          <w:rFonts w:eastAsia="Times New Roman" w:cs="Times New Roman"/>
          <w:i/>
          <w:lang w:val="en"/>
        </w:rPr>
        <w:t>New Zealand v France</w:t>
      </w:r>
      <w:r>
        <w:rPr>
          <w:rFonts w:eastAsia="Times New Roman" w:cs="Times New Roman"/>
          <w:lang w:val="en"/>
        </w:rPr>
        <w:t xml:space="preserve">) (Judgment) [1974] </w:t>
      </w:r>
      <w:r>
        <w:rPr>
          <w:rFonts w:eastAsia="Times New Roman" w:cs="Times New Roman"/>
          <w:lang w:val="en"/>
        </w:rPr>
        <w:br/>
        <w:t>ICJ Rep 253 and 457</w:t>
      </w:r>
      <w:r>
        <w:rPr>
          <w:rFonts w:eastAsia="Times New Roman" w:cs="Times New Roman"/>
          <w:lang w:val="en"/>
        </w:rPr>
        <w:tab/>
        <w:t>23</w:t>
      </w:r>
    </w:p>
    <w:p w14:paraId="2268FA56" w14:textId="77777777" w:rsidR="00C33996" w:rsidRDefault="00C33996" w:rsidP="00C33996">
      <w:pPr>
        <w:tabs>
          <w:tab w:val="right" w:leader="dot" w:pos="11340"/>
        </w:tabs>
        <w:spacing w:line="240" w:lineRule="auto"/>
        <w:ind w:firstLine="0"/>
        <w:rPr>
          <w:rFonts w:eastAsia="Times New Roman" w:cs="Times New Roman"/>
          <w:lang w:val="en"/>
        </w:rPr>
      </w:pPr>
    </w:p>
    <w:p w14:paraId="3058896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Territorial and Maritime Dispute </w:t>
      </w:r>
      <w:r>
        <w:rPr>
          <w:rFonts w:eastAsia="Times New Roman" w:cs="Times New Roman"/>
          <w:lang w:val="en"/>
        </w:rPr>
        <w:t>(</w:t>
      </w:r>
      <w:r>
        <w:rPr>
          <w:rFonts w:eastAsia="Times New Roman" w:cs="Times New Roman"/>
          <w:i/>
          <w:lang w:val="en"/>
        </w:rPr>
        <w:t>Nicaragua v Colombia</w:t>
      </w:r>
      <w:r>
        <w:rPr>
          <w:rFonts w:eastAsia="Times New Roman" w:cs="Times New Roman"/>
          <w:lang w:val="en"/>
        </w:rPr>
        <w:t>)</w:t>
      </w:r>
      <w:r>
        <w:rPr>
          <w:rFonts w:eastAsia="Times New Roman" w:cs="Times New Roman"/>
          <w:i/>
          <w:lang w:val="en"/>
        </w:rPr>
        <w:t xml:space="preserve"> </w:t>
      </w:r>
      <w:r>
        <w:rPr>
          <w:rFonts w:eastAsia="Times New Roman" w:cs="Times New Roman"/>
          <w:lang w:val="en"/>
        </w:rPr>
        <w:t xml:space="preserve">(Judgment) [2012] ICJ </w:t>
      </w:r>
      <w:r>
        <w:rPr>
          <w:rFonts w:eastAsia="Times New Roman" w:cs="Times New Roman"/>
          <w:lang w:val="en"/>
        </w:rPr>
        <w:br/>
        <w:t>Rep 624</w:t>
      </w:r>
      <w:r>
        <w:rPr>
          <w:rFonts w:eastAsia="Times New Roman" w:cs="Times New Roman"/>
          <w:lang w:val="en"/>
        </w:rPr>
        <w:tab/>
        <w:t>18</w:t>
      </w:r>
    </w:p>
    <w:p w14:paraId="4F9B7421" w14:textId="61838AFF" w:rsidR="00C33996" w:rsidRDefault="00C33996" w:rsidP="00C33996">
      <w:pPr>
        <w:tabs>
          <w:tab w:val="right" w:leader="dot" w:pos="11340"/>
        </w:tabs>
        <w:spacing w:line="240" w:lineRule="auto"/>
        <w:ind w:firstLine="0"/>
        <w:rPr>
          <w:rFonts w:eastAsia="Times New Roman" w:cs="Times New Roman"/>
          <w:lang w:val="en"/>
        </w:rPr>
      </w:pPr>
    </w:p>
    <w:p w14:paraId="19C2F5AD"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lastRenderedPageBreak/>
        <w:t>2. Permanent Court of International Justice</w:t>
      </w:r>
    </w:p>
    <w:p w14:paraId="67579F99" w14:textId="77777777" w:rsidR="00C33996" w:rsidRDefault="00C33996" w:rsidP="00C33996">
      <w:pPr>
        <w:tabs>
          <w:tab w:val="right" w:leader="dot" w:pos="11340"/>
        </w:tabs>
        <w:spacing w:line="240" w:lineRule="auto"/>
        <w:ind w:firstLine="0"/>
        <w:rPr>
          <w:rFonts w:eastAsia="Times New Roman" w:cs="Times New Roman"/>
          <w:lang w:val="en"/>
        </w:rPr>
      </w:pPr>
    </w:p>
    <w:p w14:paraId="2792A1CD"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Nationality Decrees Issued in Tunis and Morocco </w:t>
      </w:r>
      <w:r>
        <w:rPr>
          <w:rFonts w:eastAsia="Times New Roman" w:cs="Times New Roman"/>
          <w:lang w:val="en"/>
        </w:rPr>
        <w:t>(Advisory Opinion) [1923] PCIJ Rep Series B No 4</w:t>
      </w:r>
      <w:r>
        <w:rPr>
          <w:rFonts w:eastAsia="Times New Roman" w:cs="Times New Roman"/>
          <w:lang w:val="en"/>
        </w:rPr>
        <w:tab/>
        <w:t>3</w:t>
      </w:r>
    </w:p>
    <w:p w14:paraId="3F55FA8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Phosphates in Morocco </w:t>
      </w:r>
      <w:r>
        <w:rPr>
          <w:rFonts w:eastAsia="Times New Roman" w:cs="Times New Roman"/>
          <w:lang w:val="en"/>
        </w:rPr>
        <w:t>(</w:t>
      </w:r>
      <w:r>
        <w:rPr>
          <w:rFonts w:eastAsia="Times New Roman" w:cs="Times New Roman"/>
          <w:i/>
          <w:lang w:val="en"/>
        </w:rPr>
        <w:t>Italy v France</w:t>
      </w:r>
      <w:r>
        <w:rPr>
          <w:rFonts w:eastAsia="Times New Roman" w:cs="Times New Roman"/>
          <w:lang w:val="en"/>
        </w:rPr>
        <w:t>)</w:t>
      </w:r>
      <w:r>
        <w:rPr>
          <w:rFonts w:eastAsia="Times New Roman" w:cs="Times New Roman"/>
          <w:i/>
          <w:lang w:val="en"/>
        </w:rPr>
        <w:t xml:space="preserve"> </w:t>
      </w:r>
      <w:r>
        <w:rPr>
          <w:rFonts w:eastAsia="Times New Roman" w:cs="Times New Roman"/>
          <w:lang w:val="en"/>
        </w:rPr>
        <w:t>(Preliminary Objections) [1938] PCIJ Rep Series A/B No 74</w:t>
      </w:r>
      <w:r>
        <w:rPr>
          <w:rFonts w:eastAsia="Times New Roman" w:cs="Times New Roman"/>
          <w:lang w:val="en"/>
        </w:rPr>
        <w:tab/>
        <w:t>2</w:t>
      </w:r>
    </w:p>
    <w:p w14:paraId="607A058E" w14:textId="77777777" w:rsidR="00C33996" w:rsidRDefault="00C33996" w:rsidP="00C33996">
      <w:pPr>
        <w:tabs>
          <w:tab w:val="right" w:leader="dot" w:pos="11340"/>
        </w:tabs>
        <w:spacing w:line="240" w:lineRule="auto"/>
        <w:ind w:firstLine="0"/>
        <w:rPr>
          <w:rFonts w:eastAsia="Times New Roman" w:cs="Times New Roman"/>
          <w:lang w:val="en"/>
        </w:rPr>
      </w:pPr>
    </w:p>
    <w:p w14:paraId="44340EF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The Electricity Company of Sofia and Bulgaria </w:t>
      </w:r>
      <w:r>
        <w:rPr>
          <w:rFonts w:eastAsia="Times New Roman" w:cs="Times New Roman"/>
          <w:lang w:val="en"/>
        </w:rPr>
        <w:t>(</w:t>
      </w:r>
      <w:r>
        <w:rPr>
          <w:rFonts w:eastAsia="Times New Roman" w:cs="Times New Roman"/>
          <w:i/>
          <w:lang w:val="en"/>
        </w:rPr>
        <w:t>Belgium v Bulgaria</w:t>
      </w:r>
      <w:r>
        <w:rPr>
          <w:rFonts w:eastAsia="Times New Roman" w:cs="Times New Roman"/>
          <w:lang w:val="en"/>
        </w:rPr>
        <w:t>)</w:t>
      </w:r>
      <w:r>
        <w:rPr>
          <w:rFonts w:eastAsia="Times New Roman" w:cs="Times New Roman"/>
          <w:i/>
          <w:lang w:val="en"/>
        </w:rPr>
        <w:t xml:space="preserve"> </w:t>
      </w:r>
      <w:r>
        <w:rPr>
          <w:rFonts w:eastAsia="Times New Roman" w:cs="Times New Roman"/>
          <w:lang w:val="en"/>
        </w:rPr>
        <w:t>(Preliminary Objection) [1939] PCIJ Rep Series A/B No 77</w:t>
      </w:r>
      <w:r>
        <w:rPr>
          <w:rFonts w:eastAsia="Times New Roman" w:cs="Times New Roman"/>
          <w:lang w:val="en"/>
        </w:rPr>
        <w:tab/>
        <w:t>2</w:t>
      </w:r>
    </w:p>
    <w:p w14:paraId="1C2F4000" w14:textId="77777777" w:rsidR="00C33996" w:rsidRDefault="00C33996" w:rsidP="00C33996">
      <w:pPr>
        <w:tabs>
          <w:tab w:val="right" w:leader="dot" w:pos="11340"/>
        </w:tabs>
        <w:spacing w:line="240" w:lineRule="auto"/>
        <w:ind w:firstLine="0"/>
        <w:rPr>
          <w:rFonts w:eastAsia="Times New Roman" w:cs="Times New Roman"/>
          <w:lang w:val="en"/>
        </w:rPr>
      </w:pPr>
    </w:p>
    <w:p w14:paraId="5BB6F5C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The Case of the S.S. “Lotus” (French Republic v Turkish Republic) </w:t>
      </w:r>
      <w:r>
        <w:rPr>
          <w:rFonts w:eastAsia="Times New Roman" w:cs="Times New Roman"/>
          <w:lang w:val="en"/>
        </w:rPr>
        <w:t>(Merits) [1927] PCIJ Rep Series A No 10</w:t>
      </w:r>
      <w:r>
        <w:rPr>
          <w:rFonts w:eastAsia="Times New Roman" w:cs="Times New Roman"/>
          <w:lang w:val="en"/>
        </w:rPr>
        <w:tab/>
        <w:t>6</w:t>
      </w:r>
    </w:p>
    <w:p w14:paraId="15007CFC" w14:textId="77777777" w:rsidR="00C33996" w:rsidRDefault="00C33996" w:rsidP="00C33996">
      <w:pPr>
        <w:tabs>
          <w:tab w:val="right" w:leader="dot" w:pos="11340"/>
        </w:tabs>
        <w:spacing w:line="240" w:lineRule="auto"/>
        <w:ind w:firstLine="0"/>
        <w:rPr>
          <w:rFonts w:eastAsia="Times New Roman" w:cs="Times New Roman"/>
          <w:lang w:val="en"/>
        </w:rPr>
      </w:pPr>
    </w:p>
    <w:p w14:paraId="4EC79C46"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3. European Court of Human Rights</w:t>
      </w:r>
    </w:p>
    <w:p w14:paraId="5AC30344" w14:textId="77777777" w:rsidR="00C33996" w:rsidRDefault="00C33996" w:rsidP="00C33996">
      <w:pPr>
        <w:tabs>
          <w:tab w:val="right" w:leader="dot" w:pos="11340"/>
        </w:tabs>
        <w:spacing w:line="240" w:lineRule="auto"/>
        <w:ind w:firstLine="0"/>
        <w:rPr>
          <w:rFonts w:eastAsia="Times New Roman" w:cs="Times New Roman"/>
          <w:lang w:val="en"/>
        </w:rPr>
      </w:pPr>
    </w:p>
    <w:p w14:paraId="06613FBE"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Jones et al v The United Kingdom </w:t>
      </w:r>
      <w:r>
        <w:rPr>
          <w:rFonts w:eastAsia="Times New Roman" w:cs="Times New Roman"/>
          <w:lang w:val="en"/>
        </w:rPr>
        <w:t>(2006) App No 34356/06 and App No 40528/06 (European Court of Human Rights)</w:t>
      </w:r>
      <w:r>
        <w:rPr>
          <w:rFonts w:eastAsia="Times New Roman" w:cs="Times New Roman"/>
          <w:lang w:val="en"/>
        </w:rPr>
        <w:tab/>
        <w:t>10</w:t>
      </w:r>
    </w:p>
    <w:p w14:paraId="5BD70F0C" w14:textId="77777777" w:rsidR="00C33996" w:rsidRDefault="00C33996" w:rsidP="00C33996">
      <w:pPr>
        <w:tabs>
          <w:tab w:val="right" w:leader="dot" w:pos="11340"/>
        </w:tabs>
        <w:spacing w:line="240" w:lineRule="auto"/>
        <w:ind w:firstLine="0"/>
        <w:rPr>
          <w:rFonts w:eastAsia="Times New Roman" w:cs="Times New Roman"/>
          <w:lang w:val="en"/>
        </w:rPr>
      </w:pPr>
    </w:p>
    <w:p w14:paraId="646933F2"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i/>
          <w:lang w:val="en"/>
        </w:rPr>
        <w:t>Loizidou</w:t>
      </w:r>
      <w:proofErr w:type="spellEnd"/>
      <w:r>
        <w:rPr>
          <w:rFonts w:eastAsia="Times New Roman" w:cs="Times New Roman"/>
          <w:i/>
          <w:lang w:val="en"/>
        </w:rPr>
        <w:t xml:space="preserve"> v Turkey</w:t>
      </w:r>
      <w:r>
        <w:rPr>
          <w:rFonts w:eastAsia="Times New Roman" w:cs="Times New Roman"/>
          <w:lang w:val="en"/>
        </w:rPr>
        <w:t xml:space="preserve"> (1995) App No 15318/89 (European Court of Human Rights)</w:t>
      </w:r>
      <w:r>
        <w:rPr>
          <w:rFonts w:eastAsia="Times New Roman" w:cs="Times New Roman"/>
          <w:lang w:val="en"/>
        </w:rPr>
        <w:tab/>
        <w:t>17</w:t>
      </w:r>
    </w:p>
    <w:p w14:paraId="32FABD08" w14:textId="77777777" w:rsidR="00C33996" w:rsidRDefault="00C33996" w:rsidP="00C33996">
      <w:pPr>
        <w:tabs>
          <w:tab w:val="right" w:leader="dot" w:pos="11340"/>
        </w:tabs>
        <w:spacing w:line="240" w:lineRule="auto"/>
        <w:ind w:firstLine="0"/>
        <w:rPr>
          <w:rFonts w:eastAsia="Times New Roman" w:cs="Times New Roman"/>
          <w:lang w:val="en"/>
        </w:rPr>
      </w:pPr>
    </w:p>
    <w:p w14:paraId="5832A7E2"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i/>
          <w:lang w:val="en"/>
        </w:rPr>
        <w:t>Öcalan</w:t>
      </w:r>
      <w:proofErr w:type="spellEnd"/>
      <w:r>
        <w:rPr>
          <w:rFonts w:eastAsia="Times New Roman" w:cs="Times New Roman"/>
          <w:i/>
          <w:lang w:val="en"/>
        </w:rPr>
        <w:t xml:space="preserve"> v Turkey </w:t>
      </w:r>
      <w:r>
        <w:rPr>
          <w:rFonts w:eastAsia="Times New Roman" w:cs="Times New Roman"/>
          <w:lang w:val="en"/>
        </w:rPr>
        <w:t>(2003) App No 46221/99 (European Court of Human Rights)</w:t>
      </w:r>
      <w:r>
        <w:rPr>
          <w:rFonts w:eastAsia="Times New Roman" w:cs="Times New Roman"/>
          <w:lang w:val="en"/>
        </w:rPr>
        <w:tab/>
        <w:t>26</w:t>
      </w:r>
    </w:p>
    <w:p w14:paraId="2A5F69FC" w14:textId="77777777" w:rsidR="00C33996" w:rsidRDefault="00C33996" w:rsidP="00C33996">
      <w:pPr>
        <w:tabs>
          <w:tab w:val="right" w:leader="dot" w:pos="11340"/>
        </w:tabs>
        <w:spacing w:line="240" w:lineRule="auto"/>
        <w:ind w:firstLine="0"/>
        <w:rPr>
          <w:rFonts w:eastAsia="Times New Roman" w:cs="Times New Roman"/>
          <w:lang w:val="en"/>
        </w:rPr>
      </w:pPr>
    </w:p>
    <w:p w14:paraId="2971BD11"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4. Other Judgments and Decisions</w:t>
      </w:r>
    </w:p>
    <w:p w14:paraId="0B6F0AD3" w14:textId="77777777" w:rsidR="00C33996" w:rsidRDefault="00C33996" w:rsidP="00C33996">
      <w:pPr>
        <w:tabs>
          <w:tab w:val="right" w:leader="dot" w:pos="11340"/>
        </w:tabs>
        <w:spacing w:line="240" w:lineRule="auto"/>
        <w:ind w:firstLine="0"/>
        <w:rPr>
          <w:rFonts w:eastAsia="Times New Roman" w:cs="Times New Roman"/>
          <w:lang w:val="en"/>
        </w:rPr>
      </w:pPr>
    </w:p>
    <w:p w14:paraId="3DFEE55E"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Case Concerning a Dispute between Argentina and Chile Concerning the Beagle Channel</w:t>
      </w:r>
      <w:r>
        <w:rPr>
          <w:rFonts w:eastAsia="Times New Roman" w:cs="Times New Roman"/>
          <w:lang w:val="en"/>
        </w:rPr>
        <w:t xml:space="preserve"> (1977) 11(2) Reports of International Arbitral Awards 55</w:t>
      </w:r>
      <w:r>
        <w:rPr>
          <w:rFonts w:eastAsia="Times New Roman" w:cs="Times New Roman"/>
          <w:lang w:val="en"/>
        </w:rPr>
        <w:tab/>
        <w:t>17</w:t>
      </w:r>
    </w:p>
    <w:p w14:paraId="76B22122" w14:textId="77777777" w:rsidR="00C33996" w:rsidRDefault="00C33996" w:rsidP="00C33996">
      <w:pPr>
        <w:tabs>
          <w:tab w:val="right" w:leader="dot" w:pos="11340"/>
        </w:tabs>
        <w:spacing w:line="240" w:lineRule="auto"/>
        <w:ind w:firstLine="0"/>
        <w:rPr>
          <w:rFonts w:eastAsia="Times New Roman" w:cs="Times New Roman"/>
          <w:lang w:val="en"/>
        </w:rPr>
      </w:pPr>
    </w:p>
    <w:p w14:paraId="2AAE1B5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Case Concerning the Differences Between New Zealand and France Arising </w:t>
      </w:r>
      <w:proofErr w:type="gramStart"/>
      <w:r>
        <w:rPr>
          <w:rFonts w:eastAsia="Times New Roman" w:cs="Times New Roman"/>
          <w:i/>
          <w:lang w:val="en"/>
        </w:rPr>
        <w:t>From</w:t>
      </w:r>
      <w:proofErr w:type="gramEnd"/>
      <w:r>
        <w:rPr>
          <w:rFonts w:eastAsia="Times New Roman" w:cs="Times New Roman"/>
          <w:i/>
          <w:lang w:val="en"/>
        </w:rPr>
        <w:t xml:space="preserve"> the Rainbow Warrior Affair</w:t>
      </w:r>
      <w:r>
        <w:rPr>
          <w:rFonts w:eastAsia="Times New Roman" w:cs="Times New Roman"/>
          <w:lang w:val="en"/>
        </w:rPr>
        <w:t xml:space="preserve"> (</w:t>
      </w:r>
      <w:r>
        <w:rPr>
          <w:rFonts w:eastAsia="Times New Roman" w:cs="Times New Roman"/>
          <w:i/>
          <w:lang w:val="en"/>
        </w:rPr>
        <w:t>New Zealand v France</w:t>
      </w:r>
      <w:r>
        <w:rPr>
          <w:rFonts w:eastAsia="Times New Roman" w:cs="Times New Roman"/>
          <w:lang w:val="en"/>
        </w:rPr>
        <w:t xml:space="preserve">) (1990) 20 Reports of International Arbitral </w:t>
      </w:r>
      <w:r>
        <w:rPr>
          <w:rFonts w:eastAsia="Times New Roman" w:cs="Times New Roman"/>
          <w:lang w:val="en"/>
        </w:rPr>
        <w:br/>
        <w:t>Awards 215</w:t>
      </w:r>
      <w:r>
        <w:rPr>
          <w:rFonts w:eastAsia="Times New Roman" w:cs="Times New Roman"/>
          <w:lang w:val="en"/>
        </w:rPr>
        <w:tab/>
        <w:t>20</w:t>
      </w:r>
    </w:p>
    <w:p w14:paraId="745B104C" w14:textId="77777777" w:rsidR="00C33996" w:rsidRDefault="00C33996" w:rsidP="00C33996">
      <w:pPr>
        <w:tabs>
          <w:tab w:val="right" w:leader="dot" w:pos="11340"/>
        </w:tabs>
        <w:spacing w:line="240" w:lineRule="auto"/>
        <w:ind w:firstLine="0"/>
        <w:rPr>
          <w:rFonts w:eastAsia="Times New Roman" w:cs="Times New Roman"/>
          <w:lang w:val="en"/>
        </w:rPr>
      </w:pPr>
    </w:p>
    <w:p w14:paraId="648D28F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European Communities – Customs Classification of Frozen Boneless Chicken Cuts </w:t>
      </w:r>
      <w:r>
        <w:rPr>
          <w:rFonts w:eastAsia="Times New Roman" w:cs="Times New Roman"/>
          <w:lang w:val="en"/>
        </w:rPr>
        <w:t xml:space="preserve">(2005) World Trade </w:t>
      </w:r>
      <w:proofErr w:type="spellStart"/>
      <w:r>
        <w:rPr>
          <w:rFonts w:eastAsia="Times New Roman" w:cs="Times New Roman"/>
          <w:lang w:val="en"/>
        </w:rPr>
        <w:t>Organisation</w:t>
      </w:r>
      <w:proofErr w:type="spellEnd"/>
      <w:r>
        <w:rPr>
          <w:rFonts w:eastAsia="Times New Roman" w:cs="Times New Roman"/>
          <w:lang w:val="en"/>
        </w:rPr>
        <w:t xml:space="preserve"> Appellate Body Report WT/DS269/AB/R </w:t>
      </w:r>
      <w:r>
        <w:rPr>
          <w:rFonts w:eastAsia="Times New Roman" w:cs="Times New Roman"/>
          <w:lang w:val="en"/>
        </w:rPr>
        <w:br/>
        <w:t>and WT/DS286/AB/R</w:t>
      </w:r>
      <w:r>
        <w:rPr>
          <w:rFonts w:eastAsia="Times New Roman" w:cs="Times New Roman"/>
          <w:lang w:val="en"/>
        </w:rPr>
        <w:tab/>
        <w:t>17</w:t>
      </w:r>
    </w:p>
    <w:p w14:paraId="1668B724" w14:textId="77777777" w:rsidR="00C33996" w:rsidRDefault="00C33996" w:rsidP="00C33996">
      <w:pPr>
        <w:tabs>
          <w:tab w:val="right" w:leader="dot" w:pos="11340"/>
        </w:tabs>
        <w:spacing w:line="240" w:lineRule="auto"/>
        <w:ind w:firstLine="0"/>
        <w:rPr>
          <w:rFonts w:eastAsia="Times New Roman" w:cs="Times New Roman"/>
          <w:lang w:val="en"/>
        </w:rPr>
      </w:pPr>
    </w:p>
    <w:p w14:paraId="4A4690C8" w14:textId="77777777" w:rsidR="00C33996" w:rsidRDefault="00C33996" w:rsidP="00C33996">
      <w:pPr>
        <w:tabs>
          <w:tab w:val="right" w:leader="dot" w:pos="11340"/>
        </w:tabs>
        <w:spacing w:line="240" w:lineRule="auto"/>
        <w:ind w:firstLine="0"/>
        <w:rPr>
          <w:lang w:val="en-GB"/>
        </w:rPr>
      </w:pPr>
      <w:r>
        <w:rPr>
          <w:i/>
          <w:lang w:val="en-GB"/>
        </w:rPr>
        <w:t>Opinion No 10 of the Conference on Yugoslavia Arbitration Commission</w:t>
      </w:r>
      <w:r>
        <w:rPr>
          <w:lang w:val="en-GB"/>
        </w:rPr>
        <w:t xml:space="preserve"> (1992) 92 International Law Reports 206</w:t>
      </w:r>
      <w:r>
        <w:rPr>
          <w:lang w:val="en-GB"/>
        </w:rPr>
        <w:tab/>
        <w:t>25</w:t>
      </w:r>
    </w:p>
    <w:p w14:paraId="102D250C" w14:textId="77777777" w:rsidR="00C33996" w:rsidRDefault="00C33996" w:rsidP="00C33996">
      <w:pPr>
        <w:tabs>
          <w:tab w:val="right" w:leader="dot" w:pos="11340"/>
        </w:tabs>
        <w:spacing w:line="240" w:lineRule="auto"/>
        <w:ind w:firstLine="0"/>
        <w:rPr>
          <w:lang w:val="en-GB"/>
        </w:rPr>
      </w:pPr>
    </w:p>
    <w:p w14:paraId="2EF2EF6A"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Prosecutor v Tadic </w:t>
      </w:r>
      <w:r>
        <w:rPr>
          <w:rFonts w:eastAsia="Times New Roman" w:cs="Times New Roman"/>
          <w:lang w:val="en"/>
        </w:rPr>
        <w:t>(Opinion Judgment) (1997) International Criminal Tribunal for the former Yugoslavia Case No IT-94-1-T</w:t>
      </w:r>
      <w:r>
        <w:rPr>
          <w:rFonts w:eastAsia="Times New Roman" w:cs="Times New Roman"/>
          <w:lang w:val="en"/>
        </w:rPr>
        <w:tab/>
        <w:t>7</w:t>
      </w:r>
    </w:p>
    <w:p w14:paraId="38D775DF" w14:textId="77777777" w:rsidR="00C33996" w:rsidRDefault="00C33996" w:rsidP="00C33996">
      <w:pPr>
        <w:tabs>
          <w:tab w:val="right" w:leader="dot" w:pos="11340"/>
        </w:tabs>
        <w:spacing w:line="240" w:lineRule="auto"/>
        <w:ind w:firstLine="0"/>
        <w:rPr>
          <w:rFonts w:eastAsia="Times New Roman" w:cs="Times New Roman"/>
          <w:lang w:val="en"/>
        </w:rPr>
      </w:pPr>
    </w:p>
    <w:p w14:paraId="3CD1C6FA" w14:textId="77777777" w:rsidR="00C33996" w:rsidRDefault="00C33996" w:rsidP="00C33996">
      <w:pPr>
        <w:tabs>
          <w:tab w:val="right" w:leader="dot" w:pos="11340"/>
        </w:tabs>
        <w:spacing w:line="240" w:lineRule="auto"/>
        <w:ind w:firstLine="0"/>
        <w:rPr>
          <w:rFonts w:eastAsia="Times New Roman" w:cs="Times New Roman"/>
          <w:b/>
          <w:bCs/>
          <w:u w:val="single"/>
          <w:lang w:val="en"/>
        </w:rPr>
      </w:pPr>
      <w:r>
        <w:rPr>
          <w:rFonts w:eastAsia="Times New Roman" w:cs="Times New Roman"/>
          <w:b/>
          <w:bCs/>
          <w:u w:val="single"/>
          <w:lang w:val="en"/>
        </w:rPr>
        <w:t>III. United Nations Documents</w:t>
      </w:r>
    </w:p>
    <w:p w14:paraId="56CB2BED" w14:textId="77777777" w:rsidR="00C33996" w:rsidRDefault="00C33996" w:rsidP="00C33996">
      <w:pPr>
        <w:tabs>
          <w:tab w:val="right" w:leader="dot" w:pos="11340"/>
        </w:tabs>
        <w:spacing w:line="240" w:lineRule="auto"/>
        <w:ind w:firstLine="0"/>
        <w:rPr>
          <w:rFonts w:eastAsia="Times New Roman" w:cs="Times New Roman"/>
          <w:b/>
          <w:bCs/>
          <w:u w:val="single"/>
          <w:lang w:val="en"/>
        </w:rPr>
      </w:pPr>
    </w:p>
    <w:p w14:paraId="4B610B66"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1. United Nations General Assembly</w:t>
      </w:r>
    </w:p>
    <w:p w14:paraId="64FF1BE6" w14:textId="77777777" w:rsidR="00C33996" w:rsidRDefault="00C33996" w:rsidP="00C33996">
      <w:pPr>
        <w:tabs>
          <w:tab w:val="right" w:leader="dot" w:pos="11340"/>
        </w:tabs>
        <w:spacing w:line="240" w:lineRule="auto"/>
        <w:ind w:firstLine="0"/>
        <w:rPr>
          <w:rFonts w:eastAsia="Times New Roman" w:cs="Times New Roman"/>
          <w:lang w:val="en"/>
        </w:rPr>
      </w:pPr>
    </w:p>
    <w:p w14:paraId="29DE2A3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‘Responsibility of States for internationally wrongful acts’ Resolution 56/83 (28 January 2002) UN Doc A/RES/56/83</w:t>
      </w:r>
      <w:r>
        <w:rPr>
          <w:rFonts w:eastAsia="Times New Roman" w:cs="Times New Roman"/>
          <w:lang w:val="en"/>
        </w:rPr>
        <w:tab/>
        <w:t>20</w:t>
      </w:r>
    </w:p>
    <w:p w14:paraId="4B06236C" w14:textId="16EE477D" w:rsidR="00C33996" w:rsidRDefault="00C33996" w:rsidP="00C33996">
      <w:pPr>
        <w:tabs>
          <w:tab w:val="right" w:leader="dot" w:pos="11340"/>
        </w:tabs>
        <w:spacing w:line="240" w:lineRule="auto"/>
        <w:ind w:firstLine="0"/>
        <w:rPr>
          <w:rFonts w:eastAsia="Times New Roman" w:cs="Times New Roman"/>
          <w:lang w:val="en"/>
        </w:rPr>
      </w:pPr>
    </w:p>
    <w:p w14:paraId="4E393158" w14:textId="0326D9E2" w:rsidR="00C33996" w:rsidRDefault="00C33996" w:rsidP="00C33996">
      <w:pPr>
        <w:tabs>
          <w:tab w:val="right" w:leader="dot" w:pos="11340"/>
        </w:tabs>
        <w:spacing w:line="240" w:lineRule="auto"/>
        <w:ind w:firstLine="0"/>
        <w:rPr>
          <w:rFonts w:eastAsia="Times New Roman" w:cs="Times New Roman"/>
          <w:lang w:val="en"/>
        </w:rPr>
      </w:pPr>
    </w:p>
    <w:p w14:paraId="04816F93" w14:textId="77777777" w:rsidR="00C33996" w:rsidRDefault="00C33996" w:rsidP="00C33996">
      <w:pPr>
        <w:tabs>
          <w:tab w:val="right" w:leader="dot" w:pos="11340"/>
        </w:tabs>
        <w:spacing w:line="240" w:lineRule="auto"/>
        <w:ind w:firstLine="0"/>
        <w:rPr>
          <w:rFonts w:eastAsia="Times New Roman" w:cs="Times New Roman"/>
          <w:lang w:val="en"/>
        </w:rPr>
      </w:pPr>
    </w:p>
    <w:p w14:paraId="4589BCDA" w14:textId="7899311E" w:rsidR="00C33996" w:rsidRDefault="00C33996" w:rsidP="00C33996">
      <w:pPr>
        <w:tabs>
          <w:tab w:val="right" w:leader="dot" w:pos="11340"/>
        </w:tabs>
        <w:spacing w:line="240" w:lineRule="auto"/>
        <w:ind w:firstLine="0"/>
        <w:rPr>
          <w:lang w:val="en-GB"/>
        </w:rPr>
      </w:pPr>
      <w:r>
        <w:rPr>
          <w:rFonts w:eastAsia="Times New Roman" w:cs="Times New Roman"/>
        </w:rPr>
        <w:lastRenderedPageBreak/>
        <w:t xml:space="preserve">Statement made during the Sixth Committee’s </w:t>
      </w:r>
      <w:r w:rsidR="00E630CB">
        <w:rPr>
          <w:rFonts w:eastAsia="Times New Roman" w:cs="Times New Roman"/>
        </w:rPr>
        <w:t>S</w:t>
      </w:r>
      <w:r>
        <w:rPr>
          <w:rFonts w:eastAsia="Times New Roman" w:cs="Times New Roman"/>
        </w:rPr>
        <w:t xml:space="preserve">eventy-seventh </w:t>
      </w:r>
      <w:r w:rsidR="00E630CB">
        <w:rPr>
          <w:rFonts w:eastAsia="Times New Roman" w:cs="Times New Roman"/>
        </w:rPr>
        <w:t>S</w:t>
      </w:r>
      <w:r>
        <w:rPr>
          <w:rFonts w:eastAsia="Times New Roman" w:cs="Times New Roman"/>
        </w:rPr>
        <w:t xml:space="preserve">ession by Pakistan (2022) </w:t>
      </w:r>
      <w:r>
        <w:rPr>
          <w:lang w:val="en-GB"/>
        </w:rPr>
        <w:t>&lt;</w:t>
      </w:r>
      <w:r>
        <w:t>https://www.un.org/en/ga/sixth/77/pdfs/statements/universal_jurisdiction/12mtg_pakistan</w:t>
      </w:r>
      <w:r>
        <w:br/>
        <w:t>.pdf</w:t>
      </w:r>
      <w:r>
        <w:rPr>
          <w:lang w:val="en-GB"/>
        </w:rPr>
        <w:t>&gt; accessed 12 January 2025</w:t>
      </w:r>
      <w:r>
        <w:rPr>
          <w:lang w:val="en-GB"/>
        </w:rPr>
        <w:tab/>
        <w:t>9</w:t>
      </w:r>
    </w:p>
    <w:p w14:paraId="501ED022" w14:textId="77777777" w:rsidR="00C33996" w:rsidRDefault="00C33996" w:rsidP="00C33996">
      <w:pPr>
        <w:tabs>
          <w:tab w:val="right" w:leader="dot" w:pos="11340"/>
        </w:tabs>
        <w:spacing w:line="240" w:lineRule="auto"/>
        <w:ind w:firstLine="0"/>
        <w:rPr>
          <w:rFonts w:eastAsia="Times New Roman" w:cs="Times New Roman"/>
        </w:rPr>
      </w:pPr>
    </w:p>
    <w:p w14:paraId="4923997E" w14:textId="6A2A142E" w:rsidR="00C33996" w:rsidRDefault="00C33996" w:rsidP="00C33996">
      <w:pPr>
        <w:tabs>
          <w:tab w:val="right" w:leader="dot" w:pos="11340"/>
        </w:tabs>
        <w:spacing w:line="240" w:lineRule="auto"/>
        <w:ind w:firstLine="0"/>
        <w:rPr>
          <w:rFonts w:eastAsia="Times New Roman" w:cs="Times New Roman"/>
        </w:rPr>
      </w:pPr>
      <w:r>
        <w:rPr>
          <w:rFonts w:eastAsia="Times New Roman" w:cs="Times New Roman"/>
        </w:rPr>
        <w:t xml:space="preserve">Statement made during the Sixth Committee’s </w:t>
      </w:r>
      <w:r w:rsidR="00E630CB">
        <w:rPr>
          <w:rFonts w:eastAsia="Times New Roman" w:cs="Times New Roman"/>
        </w:rPr>
        <w:t>S</w:t>
      </w:r>
      <w:r>
        <w:rPr>
          <w:rFonts w:eastAsia="Times New Roman" w:cs="Times New Roman"/>
        </w:rPr>
        <w:t xml:space="preserve">eventy-seventh </w:t>
      </w:r>
      <w:r w:rsidR="00E630CB">
        <w:rPr>
          <w:rFonts w:eastAsia="Times New Roman" w:cs="Times New Roman"/>
        </w:rPr>
        <w:t>S</w:t>
      </w:r>
      <w:r>
        <w:rPr>
          <w:rFonts w:eastAsia="Times New Roman" w:cs="Times New Roman"/>
        </w:rPr>
        <w:t xml:space="preserve">ession by Iran (2022) </w:t>
      </w:r>
      <w:r>
        <w:rPr>
          <w:lang w:val="en-GB"/>
        </w:rPr>
        <w:t>&lt;https://www.un.org/en/ga/sixth/77/pdfs/statements/universal_jurisdiction/12mtg_nam.pdf&gt; accessed 12 January 2025</w:t>
      </w:r>
      <w:r>
        <w:rPr>
          <w:lang w:val="en-GB"/>
        </w:rPr>
        <w:tab/>
        <w:t>9</w:t>
      </w:r>
    </w:p>
    <w:p w14:paraId="75C45B40" w14:textId="77777777" w:rsidR="00C33996" w:rsidRDefault="00C33996" w:rsidP="00C33996">
      <w:pPr>
        <w:tabs>
          <w:tab w:val="right" w:leader="dot" w:pos="11340"/>
        </w:tabs>
        <w:spacing w:line="240" w:lineRule="auto"/>
        <w:ind w:firstLine="0"/>
        <w:rPr>
          <w:rFonts w:eastAsia="Times New Roman" w:cs="Times New Roman"/>
        </w:rPr>
      </w:pPr>
    </w:p>
    <w:p w14:paraId="08ED9659" w14:textId="1C117881" w:rsidR="00C33996" w:rsidRDefault="00C33996" w:rsidP="00C33996">
      <w:pPr>
        <w:tabs>
          <w:tab w:val="right" w:leader="dot" w:pos="11340"/>
        </w:tabs>
        <w:spacing w:line="240" w:lineRule="auto"/>
        <w:ind w:firstLine="0"/>
        <w:rPr>
          <w:rFonts w:eastAsia="Times New Roman" w:cs="Times New Roman"/>
        </w:rPr>
      </w:pPr>
      <w:r>
        <w:rPr>
          <w:rFonts w:eastAsia="Times New Roman" w:cs="Times New Roman"/>
        </w:rPr>
        <w:t xml:space="preserve">Statement made during the Sixth Committee’s </w:t>
      </w:r>
      <w:r w:rsidR="00E630CB">
        <w:rPr>
          <w:rFonts w:eastAsia="Times New Roman" w:cs="Times New Roman"/>
        </w:rPr>
        <w:t>S</w:t>
      </w:r>
      <w:r>
        <w:rPr>
          <w:rFonts w:eastAsia="Times New Roman" w:cs="Times New Roman"/>
        </w:rPr>
        <w:t xml:space="preserve">eventy-seventh </w:t>
      </w:r>
      <w:r w:rsidR="00E630CB">
        <w:rPr>
          <w:rFonts w:eastAsia="Times New Roman" w:cs="Times New Roman"/>
        </w:rPr>
        <w:t>S</w:t>
      </w:r>
      <w:r>
        <w:rPr>
          <w:rFonts w:eastAsia="Times New Roman" w:cs="Times New Roman"/>
        </w:rPr>
        <w:t xml:space="preserve">ession by Singapore (2022) </w:t>
      </w:r>
      <w:r>
        <w:rPr>
          <w:lang w:val="en-GB"/>
        </w:rPr>
        <w:t>&lt;</w:t>
      </w:r>
      <w:r>
        <w:rPr>
          <w:bCs/>
          <w:lang w:val="en-GB"/>
        </w:rPr>
        <w:t>https://www.un.org/en/ga/sixth/77/pdfs/statements/universal_jurisdiction/12mtg_singapore.pdf&gt; accessed 12 January 2025</w:t>
      </w:r>
      <w:r>
        <w:rPr>
          <w:bCs/>
          <w:lang w:val="en-GB"/>
        </w:rPr>
        <w:tab/>
        <w:t>9</w:t>
      </w:r>
    </w:p>
    <w:p w14:paraId="1DAD7D9F" w14:textId="77777777" w:rsidR="00C33996" w:rsidRDefault="00C33996" w:rsidP="00C33996">
      <w:pPr>
        <w:tabs>
          <w:tab w:val="right" w:leader="dot" w:pos="11340"/>
        </w:tabs>
        <w:spacing w:line="240" w:lineRule="auto"/>
        <w:ind w:firstLine="0"/>
        <w:rPr>
          <w:rFonts w:eastAsia="Times New Roman" w:cs="Times New Roman"/>
        </w:rPr>
      </w:pPr>
    </w:p>
    <w:p w14:paraId="23B8F376" w14:textId="42FF87DE" w:rsidR="00C33996" w:rsidRDefault="00C33996" w:rsidP="00C33996">
      <w:pPr>
        <w:tabs>
          <w:tab w:val="right" w:leader="dot" w:pos="11340"/>
        </w:tabs>
        <w:spacing w:line="240" w:lineRule="auto"/>
        <w:ind w:firstLine="0"/>
        <w:rPr>
          <w:rFonts w:eastAsia="Times New Roman" w:cs="Times New Roman"/>
        </w:rPr>
      </w:pPr>
      <w:r>
        <w:rPr>
          <w:rFonts w:eastAsia="Times New Roman" w:cs="Times New Roman"/>
        </w:rPr>
        <w:t xml:space="preserve">Statement made during the Sixth Committee’s </w:t>
      </w:r>
      <w:r w:rsidR="00E630CB">
        <w:rPr>
          <w:rFonts w:eastAsia="Times New Roman" w:cs="Times New Roman"/>
        </w:rPr>
        <w:t>S</w:t>
      </w:r>
      <w:r>
        <w:rPr>
          <w:rFonts w:eastAsia="Times New Roman" w:cs="Times New Roman"/>
        </w:rPr>
        <w:t xml:space="preserve">eventy-seventh </w:t>
      </w:r>
      <w:r w:rsidR="00E630CB">
        <w:rPr>
          <w:rFonts w:eastAsia="Times New Roman" w:cs="Times New Roman"/>
        </w:rPr>
        <w:t>S</w:t>
      </w:r>
      <w:r>
        <w:rPr>
          <w:rFonts w:eastAsia="Times New Roman" w:cs="Times New Roman"/>
        </w:rPr>
        <w:t xml:space="preserve">ession by the Czech Republic (2022) </w:t>
      </w:r>
      <w:r>
        <w:t>&lt;</w:t>
      </w:r>
      <w:r>
        <w:rPr>
          <w:lang w:val="en-GB"/>
        </w:rPr>
        <w:t>https://www.un.org/en/ga/sixth/77/pdfs/statements/universal_jurisdiction/</w:t>
      </w:r>
      <w:r w:rsidR="00E630CB">
        <w:rPr>
          <w:lang w:val="en-GB"/>
        </w:rPr>
        <w:br/>
      </w:r>
      <w:r>
        <w:rPr>
          <w:lang w:val="en-GB"/>
        </w:rPr>
        <w:t>12mtg_czech.pdf&gt; accessed 12 January 2025</w:t>
      </w:r>
      <w:r>
        <w:rPr>
          <w:lang w:val="en-GB"/>
        </w:rPr>
        <w:tab/>
        <w:t>9</w:t>
      </w:r>
    </w:p>
    <w:p w14:paraId="0960C046" w14:textId="77777777" w:rsidR="00C33996" w:rsidRDefault="00C33996" w:rsidP="00C33996">
      <w:pPr>
        <w:tabs>
          <w:tab w:val="right" w:leader="dot" w:pos="11340"/>
        </w:tabs>
        <w:spacing w:line="240" w:lineRule="auto"/>
        <w:ind w:firstLine="0"/>
        <w:rPr>
          <w:rFonts w:eastAsia="Times New Roman" w:cs="Times New Roman"/>
          <w:lang w:val="en"/>
        </w:rPr>
      </w:pPr>
    </w:p>
    <w:p w14:paraId="5FBCFF1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Official Records (30 June 2000) UN Doc A/63/PV.93</w:t>
      </w:r>
      <w:r>
        <w:rPr>
          <w:rFonts w:eastAsia="Times New Roman" w:cs="Times New Roman"/>
          <w:lang w:val="en"/>
        </w:rPr>
        <w:tab/>
        <w:t>24</w:t>
      </w:r>
    </w:p>
    <w:p w14:paraId="70920D82" w14:textId="77777777" w:rsidR="00C33996" w:rsidRDefault="00C33996" w:rsidP="00C33996">
      <w:pPr>
        <w:tabs>
          <w:tab w:val="right" w:leader="dot" w:pos="11340"/>
        </w:tabs>
        <w:spacing w:line="240" w:lineRule="auto"/>
        <w:ind w:firstLine="0"/>
        <w:rPr>
          <w:rFonts w:eastAsia="Times New Roman" w:cs="Times New Roman"/>
          <w:lang w:val="en"/>
        </w:rPr>
      </w:pPr>
    </w:p>
    <w:p w14:paraId="2E1D285E"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Provisional Verbatim Records (11 October 1991) UN Doc A/46/PV.31</w:t>
      </w:r>
      <w:r>
        <w:rPr>
          <w:rFonts w:eastAsia="Times New Roman" w:cs="Times New Roman"/>
          <w:lang w:val="en"/>
        </w:rPr>
        <w:tab/>
        <w:t>24</w:t>
      </w:r>
    </w:p>
    <w:p w14:paraId="2FA2669B" w14:textId="77777777" w:rsidR="00C33996" w:rsidRDefault="00C33996" w:rsidP="00C33996">
      <w:pPr>
        <w:tabs>
          <w:tab w:val="right" w:leader="dot" w:pos="11340"/>
        </w:tabs>
        <w:spacing w:line="240" w:lineRule="auto"/>
        <w:ind w:firstLine="0"/>
        <w:rPr>
          <w:rFonts w:eastAsia="Times New Roman" w:cs="Times New Roman"/>
          <w:lang w:val="en"/>
        </w:rPr>
      </w:pPr>
    </w:p>
    <w:p w14:paraId="04471497"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UNGA ‘Report of the Credentials Committee’ (20 October 1993) UN </w:t>
      </w:r>
      <w:r>
        <w:rPr>
          <w:rFonts w:eastAsia="Times New Roman" w:cs="Times New Roman"/>
          <w:lang w:val="en"/>
        </w:rPr>
        <w:br/>
        <w:t>Doc A/48/512</w:t>
      </w:r>
      <w:r>
        <w:rPr>
          <w:rFonts w:eastAsia="Times New Roman" w:cs="Times New Roman"/>
          <w:lang w:val="en"/>
        </w:rPr>
        <w:tab/>
        <w:t>24</w:t>
      </w:r>
    </w:p>
    <w:p w14:paraId="35ED94E3" w14:textId="77777777" w:rsidR="00C33996" w:rsidRDefault="00C33996" w:rsidP="00C33996">
      <w:pPr>
        <w:tabs>
          <w:tab w:val="right" w:leader="dot" w:pos="11340"/>
        </w:tabs>
        <w:spacing w:line="240" w:lineRule="auto"/>
        <w:ind w:firstLine="0"/>
        <w:rPr>
          <w:rFonts w:eastAsia="Times New Roman" w:cs="Times New Roman"/>
          <w:lang w:val="en"/>
        </w:rPr>
      </w:pPr>
    </w:p>
    <w:p w14:paraId="76758C7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UNGA ‘Report of the Credentials Committee’ (11 December 1997) UN </w:t>
      </w:r>
      <w:r>
        <w:rPr>
          <w:rFonts w:eastAsia="Times New Roman" w:cs="Times New Roman"/>
          <w:lang w:val="en"/>
        </w:rPr>
        <w:br/>
        <w:t>Doc A/52/719</w:t>
      </w:r>
      <w:r>
        <w:rPr>
          <w:rFonts w:eastAsia="Times New Roman" w:cs="Times New Roman"/>
          <w:lang w:val="en"/>
        </w:rPr>
        <w:tab/>
        <w:t>24</w:t>
      </w:r>
    </w:p>
    <w:p w14:paraId="169BE1A5" w14:textId="77777777" w:rsidR="00C33996" w:rsidRDefault="00C33996" w:rsidP="00C33996">
      <w:pPr>
        <w:tabs>
          <w:tab w:val="right" w:leader="dot" w:pos="11340"/>
        </w:tabs>
        <w:spacing w:line="240" w:lineRule="auto"/>
        <w:ind w:firstLine="0"/>
        <w:rPr>
          <w:rFonts w:eastAsia="Times New Roman" w:cs="Times New Roman"/>
          <w:lang w:val="en"/>
        </w:rPr>
      </w:pPr>
    </w:p>
    <w:p w14:paraId="752C340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UNGA ‘Report of the Credentials Committee’ (17 December 2009) UN </w:t>
      </w:r>
      <w:r>
        <w:rPr>
          <w:rFonts w:eastAsia="Times New Roman" w:cs="Times New Roman"/>
          <w:lang w:val="en"/>
        </w:rPr>
        <w:br/>
        <w:t>Doc A/64/571</w:t>
      </w:r>
      <w:r>
        <w:rPr>
          <w:rFonts w:eastAsia="Times New Roman" w:cs="Times New Roman"/>
          <w:lang w:val="en"/>
        </w:rPr>
        <w:tab/>
        <w:t>24</w:t>
      </w:r>
    </w:p>
    <w:p w14:paraId="3BD40BFD" w14:textId="77777777" w:rsidR="00C33996" w:rsidRDefault="00C33996" w:rsidP="00C33996">
      <w:pPr>
        <w:tabs>
          <w:tab w:val="right" w:leader="dot" w:pos="11340"/>
        </w:tabs>
        <w:spacing w:line="240" w:lineRule="auto"/>
        <w:ind w:firstLine="0"/>
        <w:rPr>
          <w:rFonts w:eastAsia="Times New Roman" w:cs="Times New Roman"/>
          <w:lang w:val="en"/>
        </w:rPr>
      </w:pPr>
    </w:p>
    <w:p w14:paraId="50DCCC0A"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UNGA ‘Report of the Credentials Committee’ (22 December 2010) UN </w:t>
      </w:r>
      <w:r>
        <w:rPr>
          <w:rFonts w:eastAsia="Times New Roman" w:cs="Times New Roman"/>
          <w:lang w:val="en"/>
        </w:rPr>
        <w:br/>
        <w:t>Doc A/65/583/Rev.1</w:t>
      </w:r>
      <w:r>
        <w:rPr>
          <w:rFonts w:eastAsia="Times New Roman" w:cs="Times New Roman"/>
          <w:lang w:val="en"/>
        </w:rPr>
        <w:tab/>
        <w:t>24</w:t>
      </w:r>
    </w:p>
    <w:p w14:paraId="418C8163" w14:textId="77777777" w:rsidR="00C33996" w:rsidRDefault="00C33996" w:rsidP="00C33996">
      <w:pPr>
        <w:tabs>
          <w:tab w:val="right" w:leader="dot" w:pos="11340"/>
        </w:tabs>
        <w:spacing w:line="240" w:lineRule="auto"/>
        <w:ind w:firstLine="0"/>
        <w:rPr>
          <w:rFonts w:eastAsia="Times New Roman" w:cs="Times New Roman"/>
          <w:lang w:val="en"/>
        </w:rPr>
      </w:pPr>
    </w:p>
    <w:p w14:paraId="464C801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46/7 (11 October 1991) UN Doc A/RES/46/7</w:t>
      </w:r>
      <w:r>
        <w:rPr>
          <w:rFonts w:eastAsia="Times New Roman" w:cs="Times New Roman"/>
          <w:lang w:val="en"/>
        </w:rPr>
        <w:tab/>
        <w:t>24</w:t>
      </w:r>
    </w:p>
    <w:p w14:paraId="7FD9E27D" w14:textId="77777777" w:rsidR="00C33996" w:rsidRDefault="00C33996" w:rsidP="00C33996">
      <w:pPr>
        <w:tabs>
          <w:tab w:val="right" w:leader="dot" w:pos="11340"/>
        </w:tabs>
        <w:spacing w:line="240" w:lineRule="auto"/>
        <w:ind w:firstLine="0"/>
        <w:rPr>
          <w:rFonts w:eastAsia="Times New Roman" w:cs="Times New Roman"/>
          <w:lang w:val="en"/>
        </w:rPr>
      </w:pPr>
    </w:p>
    <w:p w14:paraId="64D2DF34"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48/12 (28 October 1993) UN Doc A/RES/48/12</w:t>
      </w:r>
      <w:r>
        <w:rPr>
          <w:rFonts w:eastAsia="Times New Roman" w:cs="Times New Roman"/>
          <w:lang w:val="en"/>
        </w:rPr>
        <w:tab/>
        <w:t>24</w:t>
      </w:r>
    </w:p>
    <w:p w14:paraId="08C9A93B" w14:textId="77777777" w:rsidR="00C33996" w:rsidRDefault="00C33996" w:rsidP="00C33996">
      <w:pPr>
        <w:tabs>
          <w:tab w:val="right" w:leader="dot" w:pos="11340"/>
        </w:tabs>
        <w:spacing w:line="240" w:lineRule="auto"/>
        <w:ind w:firstLine="0"/>
        <w:rPr>
          <w:rFonts w:eastAsia="Times New Roman" w:cs="Times New Roman"/>
          <w:lang w:val="en"/>
        </w:rPr>
      </w:pPr>
    </w:p>
    <w:p w14:paraId="3B6E000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52/129 (12 December 1997) UN Doc A/RES/52/129</w:t>
      </w:r>
      <w:r>
        <w:rPr>
          <w:rFonts w:eastAsia="Times New Roman" w:cs="Times New Roman"/>
          <w:lang w:val="en"/>
        </w:rPr>
        <w:tab/>
        <w:t>24</w:t>
      </w:r>
    </w:p>
    <w:p w14:paraId="06039384" w14:textId="77777777" w:rsidR="00C33996" w:rsidRDefault="00C33996" w:rsidP="00C33996">
      <w:pPr>
        <w:tabs>
          <w:tab w:val="right" w:leader="dot" w:pos="11340"/>
        </w:tabs>
        <w:spacing w:line="240" w:lineRule="auto"/>
        <w:ind w:firstLine="0"/>
        <w:rPr>
          <w:rFonts w:eastAsia="Times New Roman" w:cs="Times New Roman"/>
          <w:lang w:val="en"/>
        </w:rPr>
      </w:pPr>
    </w:p>
    <w:p w14:paraId="523EDE4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52/178 (18 December 1997) UN Doc A/RES/52/178</w:t>
      </w:r>
      <w:r>
        <w:rPr>
          <w:rFonts w:eastAsia="Times New Roman" w:cs="Times New Roman"/>
          <w:lang w:val="en"/>
        </w:rPr>
        <w:tab/>
        <w:t>24</w:t>
      </w:r>
    </w:p>
    <w:p w14:paraId="50E34EBF" w14:textId="77777777" w:rsidR="00C33996" w:rsidRDefault="00C33996" w:rsidP="00C33996">
      <w:pPr>
        <w:tabs>
          <w:tab w:val="right" w:leader="dot" w:pos="11340"/>
        </w:tabs>
        <w:spacing w:line="240" w:lineRule="auto"/>
        <w:ind w:firstLine="0"/>
        <w:rPr>
          <w:rFonts w:eastAsia="Times New Roman" w:cs="Times New Roman"/>
          <w:lang w:val="en"/>
        </w:rPr>
      </w:pPr>
    </w:p>
    <w:p w14:paraId="3B50CB4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63/301 (30 June 2009) UN Doc A/RES/63/301</w:t>
      </w:r>
      <w:r>
        <w:rPr>
          <w:rFonts w:eastAsia="Times New Roman" w:cs="Times New Roman"/>
          <w:lang w:val="en"/>
        </w:rPr>
        <w:tab/>
        <w:t>24</w:t>
      </w:r>
    </w:p>
    <w:p w14:paraId="25925C99" w14:textId="77777777" w:rsidR="00C33996" w:rsidRDefault="00C33996" w:rsidP="00C33996">
      <w:pPr>
        <w:tabs>
          <w:tab w:val="right" w:leader="dot" w:pos="11340"/>
        </w:tabs>
        <w:spacing w:line="240" w:lineRule="auto"/>
        <w:ind w:firstLine="0"/>
        <w:rPr>
          <w:rFonts w:eastAsia="Times New Roman" w:cs="Times New Roman"/>
          <w:lang w:val="en"/>
        </w:rPr>
      </w:pPr>
    </w:p>
    <w:p w14:paraId="7AF72734"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64/126 (16 December 2009) UN Doc A/RES/64/126</w:t>
      </w:r>
      <w:r>
        <w:rPr>
          <w:rFonts w:eastAsia="Times New Roman" w:cs="Times New Roman"/>
          <w:lang w:val="en"/>
        </w:rPr>
        <w:tab/>
        <w:t>24</w:t>
      </w:r>
    </w:p>
    <w:p w14:paraId="76A7FCFC" w14:textId="77777777" w:rsidR="00C33996" w:rsidRDefault="00C33996" w:rsidP="00C33996">
      <w:pPr>
        <w:tabs>
          <w:tab w:val="right" w:leader="dot" w:pos="11340"/>
        </w:tabs>
        <w:spacing w:line="240" w:lineRule="auto"/>
        <w:ind w:firstLine="0"/>
        <w:rPr>
          <w:rFonts w:eastAsia="Times New Roman" w:cs="Times New Roman"/>
          <w:lang w:val="en"/>
        </w:rPr>
      </w:pPr>
    </w:p>
    <w:p w14:paraId="25A13C9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65/237 (23 December 2010) UN Doc A/RES/65/237</w:t>
      </w:r>
      <w:r>
        <w:rPr>
          <w:rFonts w:eastAsia="Times New Roman" w:cs="Times New Roman"/>
          <w:lang w:val="en"/>
        </w:rPr>
        <w:tab/>
        <w:t>24</w:t>
      </w:r>
    </w:p>
    <w:p w14:paraId="359D6B9B" w14:textId="77777777" w:rsidR="00C33996" w:rsidRDefault="00C33996" w:rsidP="00C33996">
      <w:pPr>
        <w:tabs>
          <w:tab w:val="right" w:leader="dot" w:pos="11340"/>
        </w:tabs>
        <w:spacing w:line="240" w:lineRule="auto"/>
        <w:ind w:firstLine="0"/>
        <w:rPr>
          <w:rFonts w:eastAsia="Times New Roman" w:cs="Times New Roman"/>
          <w:lang w:val="en"/>
        </w:rPr>
      </w:pPr>
    </w:p>
    <w:p w14:paraId="7335E67B"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74/186 (18 December 2019) UN Doc A/RES/74/186</w:t>
      </w:r>
      <w:r>
        <w:rPr>
          <w:rFonts w:eastAsia="Times New Roman" w:cs="Times New Roman"/>
          <w:lang w:val="en"/>
        </w:rPr>
        <w:tab/>
        <w:t>17</w:t>
      </w:r>
    </w:p>
    <w:p w14:paraId="75D80054" w14:textId="77777777" w:rsidR="00C33996" w:rsidRDefault="00C33996" w:rsidP="00C33996">
      <w:pPr>
        <w:tabs>
          <w:tab w:val="right" w:leader="dot" w:pos="11340"/>
        </w:tabs>
        <w:spacing w:line="240" w:lineRule="auto"/>
        <w:ind w:firstLine="0"/>
        <w:rPr>
          <w:rFonts w:eastAsia="Times New Roman" w:cs="Times New Roman"/>
          <w:lang w:val="en"/>
        </w:rPr>
      </w:pPr>
    </w:p>
    <w:p w14:paraId="7A919C4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78/108 (7 December 2023) UN Doc A/RES/78/108</w:t>
      </w:r>
      <w:r>
        <w:rPr>
          <w:rFonts w:eastAsia="Times New Roman" w:cs="Times New Roman"/>
          <w:lang w:val="en"/>
        </w:rPr>
        <w:tab/>
        <w:t>17</w:t>
      </w:r>
    </w:p>
    <w:p w14:paraId="3F249905" w14:textId="77777777" w:rsidR="00C33996" w:rsidRDefault="00C33996" w:rsidP="00C33996">
      <w:pPr>
        <w:tabs>
          <w:tab w:val="right" w:leader="dot" w:pos="11340"/>
        </w:tabs>
        <w:spacing w:line="240" w:lineRule="auto"/>
        <w:ind w:firstLine="0"/>
        <w:rPr>
          <w:rFonts w:eastAsia="Times New Roman" w:cs="Times New Roman"/>
          <w:lang w:val="en"/>
        </w:rPr>
      </w:pPr>
    </w:p>
    <w:p w14:paraId="7A0F373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lastRenderedPageBreak/>
        <w:t>UNGA Resolution 44(I) (8 December 1946) UN Doc A/RES/44(I)</w:t>
      </w:r>
      <w:r>
        <w:rPr>
          <w:rFonts w:eastAsia="Times New Roman" w:cs="Times New Roman"/>
          <w:lang w:val="en"/>
        </w:rPr>
        <w:tab/>
        <w:t>4</w:t>
      </w:r>
    </w:p>
    <w:p w14:paraId="34C565F6" w14:textId="77777777" w:rsidR="00C33996" w:rsidRDefault="00C33996" w:rsidP="00C33996">
      <w:pPr>
        <w:tabs>
          <w:tab w:val="right" w:leader="dot" w:pos="11340"/>
        </w:tabs>
        <w:spacing w:line="240" w:lineRule="auto"/>
        <w:ind w:firstLine="0"/>
        <w:rPr>
          <w:rFonts w:eastAsia="Times New Roman" w:cs="Times New Roman"/>
          <w:lang w:val="en"/>
        </w:rPr>
      </w:pPr>
    </w:p>
    <w:p w14:paraId="13E55E5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Resolution 294(IV) (22 October 1949) UN Doc A/RES/294(IV)</w:t>
      </w:r>
      <w:r>
        <w:rPr>
          <w:rFonts w:eastAsia="Times New Roman" w:cs="Times New Roman"/>
          <w:lang w:val="en"/>
        </w:rPr>
        <w:tab/>
        <w:t>4</w:t>
      </w:r>
    </w:p>
    <w:p w14:paraId="61601BFF" w14:textId="77777777" w:rsidR="00C33996" w:rsidRDefault="00C33996" w:rsidP="00C33996">
      <w:pPr>
        <w:tabs>
          <w:tab w:val="right" w:leader="dot" w:pos="11340"/>
        </w:tabs>
        <w:spacing w:line="240" w:lineRule="auto"/>
        <w:ind w:firstLine="0"/>
        <w:rPr>
          <w:rFonts w:eastAsia="Times New Roman" w:cs="Times New Roman"/>
          <w:lang w:val="en"/>
        </w:rPr>
      </w:pPr>
    </w:p>
    <w:p w14:paraId="3F1EE5EC" w14:textId="6BB61112"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Sixth Committee (77</w:t>
      </w:r>
      <w:r>
        <w:rPr>
          <w:rFonts w:eastAsia="Times New Roman" w:cs="Times New Roman"/>
          <w:vertAlign w:val="superscript"/>
          <w:lang w:val="en"/>
        </w:rPr>
        <w:t>th</w:t>
      </w:r>
      <w:r>
        <w:rPr>
          <w:rFonts w:eastAsia="Times New Roman" w:cs="Times New Roman"/>
          <w:lang w:val="en"/>
        </w:rPr>
        <w:t xml:space="preserve"> </w:t>
      </w:r>
      <w:r w:rsidR="005605CF">
        <w:rPr>
          <w:rFonts w:eastAsia="Times New Roman" w:cs="Times New Roman"/>
          <w:lang w:val="en"/>
        </w:rPr>
        <w:t>S</w:t>
      </w:r>
      <w:r>
        <w:rPr>
          <w:rFonts w:eastAsia="Times New Roman" w:cs="Times New Roman"/>
          <w:lang w:val="en"/>
        </w:rPr>
        <w:t>ession) ‘Summary Record of the 27</w:t>
      </w:r>
      <w:r>
        <w:rPr>
          <w:rFonts w:eastAsia="Times New Roman" w:cs="Times New Roman"/>
          <w:vertAlign w:val="superscript"/>
          <w:lang w:val="en"/>
        </w:rPr>
        <w:t>th</w:t>
      </w:r>
      <w:r>
        <w:rPr>
          <w:rFonts w:eastAsia="Times New Roman" w:cs="Times New Roman"/>
          <w:lang w:val="en"/>
        </w:rPr>
        <w:t xml:space="preserve"> meeting’ (28 October 2022) UN Doc A/ C.6/77/SR.27</w:t>
      </w:r>
      <w:r>
        <w:rPr>
          <w:rFonts w:eastAsia="Times New Roman" w:cs="Times New Roman"/>
          <w:lang w:val="en"/>
        </w:rPr>
        <w:tab/>
        <w:t>19</w:t>
      </w:r>
    </w:p>
    <w:p w14:paraId="59BCA842" w14:textId="77777777" w:rsidR="00C33996" w:rsidRDefault="00C33996" w:rsidP="00C33996">
      <w:pPr>
        <w:tabs>
          <w:tab w:val="right" w:leader="dot" w:pos="11340"/>
        </w:tabs>
        <w:spacing w:line="240" w:lineRule="auto"/>
        <w:ind w:firstLine="0"/>
        <w:rPr>
          <w:rFonts w:eastAsia="Times New Roman" w:cs="Times New Roman"/>
          <w:lang w:val="en"/>
        </w:rPr>
      </w:pPr>
    </w:p>
    <w:p w14:paraId="358FDA6C" w14:textId="6D11B89B"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UNGA Sixth Committee (78</w:t>
      </w:r>
      <w:r>
        <w:rPr>
          <w:rFonts w:eastAsia="Times New Roman" w:cs="Times New Roman"/>
          <w:vertAlign w:val="superscript"/>
          <w:lang w:val="en"/>
        </w:rPr>
        <w:t>th</w:t>
      </w:r>
      <w:r>
        <w:rPr>
          <w:rFonts w:eastAsia="Times New Roman" w:cs="Times New Roman"/>
          <w:lang w:val="en"/>
        </w:rPr>
        <w:t xml:space="preserve"> </w:t>
      </w:r>
      <w:r w:rsidR="005605CF">
        <w:rPr>
          <w:rFonts w:eastAsia="Times New Roman" w:cs="Times New Roman"/>
          <w:lang w:val="en"/>
        </w:rPr>
        <w:t>S</w:t>
      </w:r>
      <w:r>
        <w:rPr>
          <w:rFonts w:eastAsia="Times New Roman" w:cs="Times New Roman"/>
          <w:lang w:val="en"/>
        </w:rPr>
        <w:t>ession) ‘Summary Record of the 23</w:t>
      </w:r>
      <w:r>
        <w:rPr>
          <w:rFonts w:eastAsia="Times New Roman" w:cs="Times New Roman"/>
          <w:vertAlign w:val="superscript"/>
          <w:lang w:val="en"/>
        </w:rPr>
        <w:t>rd</w:t>
      </w:r>
      <w:r>
        <w:rPr>
          <w:rFonts w:eastAsia="Times New Roman" w:cs="Times New Roman"/>
          <w:lang w:val="en"/>
        </w:rPr>
        <w:t xml:space="preserve"> meeting’ (23 October 2023) UN Doc A/C.6/78/SR.23</w:t>
      </w:r>
      <w:r>
        <w:rPr>
          <w:rFonts w:eastAsia="Times New Roman" w:cs="Times New Roman"/>
          <w:lang w:val="en"/>
        </w:rPr>
        <w:tab/>
        <w:t>17</w:t>
      </w:r>
    </w:p>
    <w:p w14:paraId="6ABB3108" w14:textId="77777777" w:rsidR="00C33996" w:rsidRDefault="00C33996" w:rsidP="00C33996">
      <w:pPr>
        <w:tabs>
          <w:tab w:val="right" w:leader="dot" w:pos="11340"/>
        </w:tabs>
        <w:spacing w:line="240" w:lineRule="auto"/>
        <w:ind w:firstLine="0"/>
        <w:rPr>
          <w:rFonts w:eastAsia="Times New Roman" w:cs="Times New Roman"/>
          <w:lang w:val="en"/>
        </w:rPr>
      </w:pPr>
    </w:p>
    <w:p w14:paraId="2A54EAE8" w14:textId="52B35672" w:rsidR="00C33996" w:rsidRDefault="00C33996" w:rsidP="00C33996">
      <w:pPr>
        <w:tabs>
          <w:tab w:val="right" w:leader="dot" w:pos="11340"/>
        </w:tabs>
        <w:spacing w:line="240" w:lineRule="auto"/>
        <w:ind w:firstLine="0"/>
        <w:rPr>
          <w:rFonts w:eastAsia="Times New Roman" w:cs="Times New Roman"/>
        </w:rPr>
      </w:pPr>
      <w:r>
        <w:rPr>
          <w:rFonts w:eastAsia="Times New Roman" w:cs="Times New Roman"/>
        </w:rPr>
        <w:t>UNGA Sixth Committee (78</w:t>
      </w:r>
      <w:r>
        <w:rPr>
          <w:rFonts w:eastAsia="Times New Roman" w:cs="Times New Roman"/>
          <w:vertAlign w:val="superscript"/>
        </w:rPr>
        <w:t>th</w:t>
      </w:r>
      <w:r>
        <w:rPr>
          <w:rFonts w:eastAsia="Times New Roman" w:cs="Times New Roman"/>
        </w:rPr>
        <w:t xml:space="preserve"> </w:t>
      </w:r>
      <w:r w:rsidR="005605CF">
        <w:rPr>
          <w:rFonts w:eastAsia="Times New Roman" w:cs="Times New Roman"/>
        </w:rPr>
        <w:t>S</w:t>
      </w:r>
      <w:r>
        <w:rPr>
          <w:rFonts w:eastAsia="Times New Roman" w:cs="Times New Roman"/>
        </w:rPr>
        <w:t>ession) ‘Summary Record of the 24</w:t>
      </w:r>
      <w:r>
        <w:rPr>
          <w:rFonts w:eastAsia="Times New Roman" w:cs="Times New Roman"/>
          <w:vertAlign w:val="superscript"/>
        </w:rPr>
        <w:t>th</w:t>
      </w:r>
      <w:r>
        <w:rPr>
          <w:rFonts w:eastAsia="Times New Roman" w:cs="Times New Roman"/>
        </w:rPr>
        <w:t xml:space="preserve"> meeting’ (24 October 2024´3) UN Doc A/C.6/78/SR.24</w:t>
      </w:r>
      <w:r>
        <w:rPr>
          <w:rFonts w:eastAsia="Times New Roman" w:cs="Times New Roman"/>
        </w:rPr>
        <w:tab/>
        <w:t>17</w:t>
      </w:r>
    </w:p>
    <w:p w14:paraId="16C48872" w14:textId="77777777" w:rsidR="00C33996" w:rsidRDefault="00C33996" w:rsidP="00C33996">
      <w:pPr>
        <w:tabs>
          <w:tab w:val="right" w:leader="dot" w:pos="11340"/>
        </w:tabs>
        <w:spacing w:line="240" w:lineRule="auto"/>
        <w:ind w:firstLine="0"/>
        <w:rPr>
          <w:rFonts w:eastAsia="Times New Roman" w:cs="Times New Roman"/>
          <w:lang w:val="en"/>
        </w:rPr>
      </w:pPr>
    </w:p>
    <w:p w14:paraId="0CB33FCE"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2. United Nations Security Council</w:t>
      </w:r>
    </w:p>
    <w:p w14:paraId="53A372C3" w14:textId="77777777" w:rsidR="00C33996" w:rsidRDefault="00C33996" w:rsidP="00C33996">
      <w:pPr>
        <w:tabs>
          <w:tab w:val="right" w:leader="dot" w:pos="11340"/>
        </w:tabs>
        <w:spacing w:line="240" w:lineRule="auto"/>
        <w:ind w:firstLine="0"/>
        <w:rPr>
          <w:rFonts w:eastAsia="Times New Roman" w:cs="Times New Roman"/>
          <w:lang w:val="en"/>
        </w:rPr>
      </w:pPr>
    </w:p>
    <w:p w14:paraId="4076942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Records (8 October 1997) UN Doc S/PV.3822</w:t>
      </w:r>
      <w:r>
        <w:rPr>
          <w:rFonts w:eastAsia="Times New Roman" w:cs="Times New Roman"/>
          <w:lang w:val="en"/>
        </w:rPr>
        <w:tab/>
        <w:t>24</w:t>
      </w:r>
    </w:p>
    <w:p w14:paraId="201DA868" w14:textId="77777777" w:rsidR="00C33996" w:rsidRDefault="00C33996" w:rsidP="00C33996">
      <w:pPr>
        <w:tabs>
          <w:tab w:val="right" w:leader="dot" w:pos="11340"/>
        </w:tabs>
        <w:spacing w:line="240" w:lineRule="auto"/>
        <w:ind w:firstLine="0"/>
        <w:rPr>
          <w:rFonts w:eastAsia="Times New Roman" w:cs="Times New Roman"/>
          <w:lang w:val="en"/>
        </w:rPr>
      </w:pPr>
    </w:p>
    <w:p w14:paraId="2CD25F4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Records (30 March 2011) UN Doc S/PV.6508</w:t>
      </w:r>
      <w:r>
        <w:rPr>
          <w:rFonts w:eastAsia="Times New Roman" w:cs="Times New Roman"/>
          <w:lang w:val="en"/>
        </w:rPr>
        <w:tab/>
        <w:t>24</w:t>
      </w:r>
    </w:p>
    <w:p w14:paraId="1D9DAA78" w14:textId="77777777" w:rsidR="00C33996" w:rsidRDefault="00C33996" w:rsidP="00C33996">
      <w:pPr>
        <w:tabs>
          <w:tab w:val="right" w:leader="dot" w:pos="11340"/>
        </w:tabs>
        <w:spacing w:line="240" w:lineRule="auto"/>
        <w:ind w:firstLine="0"/>
        <w:rPr>
          <w:rFonts w:eastAsia="Times New Roman" w:cs="Times New Roman"/>
          <w:lang w:val="en"/>
        </w:rPr>
      </w:pPr>
    </w:p>
    <w:p w14:paraId="44A16D40"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Records (19 January 2017) UN Doc S/PV.7866</w:t>
      </w:r>
      <w:r>
        <w:rPr>
          <w:rFonts w:eastAsia="Times New Roman" w:cs="Times New Roman"/>
          <w:lang w:val="en"/>
        </w:rPr>
        <w:tab/>
        <w:t>24</w:t>
      </w:r>
    </w:p>
    <w:p w14:paraId="7FE8F7CE" w14:textId="77777777" w:rsidR="00C33996" w:rsidRDefault="00C33996" w:rsidP="00C33996">
      <w:pPr>
        <w:tabs>
          <w:tab w:val="right" w:leader="dot" w:pos="11340"/>
        </w:tabs>
        <w:spacing w:line="240" w:lineRule="auto"/>
        <w:ind w:firstLine="0"/>
        <w:rPr>
          <w:rFonts w:eastAsia="Times New Roman" w:cs="Times New Roman"/>
          <w:lang w:val="en"/>
        </w:rPr>
      </w:pPr>
    </w:p>
    <w:p w14:paraId="2777859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Records (14 February 2023) UN Doc S/PV.9260</w:t>
      </w:r>
      <w:r>
        <w:rPr>
          <w:rFonts w:eastAsia="Times New Roman" w:cs="Times New Roman"/>
          <w:lang w:val="en"/>
        </w:rPr>
        <w:tab/>
        <w:t>17</w:t>
      </w:r>
    </w:p>
    <w:p w14:paraId="2F4C86C3" w14:textId="77777777" w:rsidR="00C33996" w:rsidRDefault="00C33996" w:rsidP="00C33996">
      <w:pPr>
        <w:tabs>
          <w:tab w:val="right" w:leader="dot" w:pos="11340"/>
        </w:tabs>
        <w:spacing w:line="240" w:lineRule="auto"/>
        <w:ind w:firstLine="0"/>
        <w:rPr>
          <w:rFonts w:eastAsia="Times New Roman" w:cs="Times New Roman"/>
          <w:lang w:val="en"/>
        </w:rPr>
      </w:pPr>
    </w:p>
    <w:p w14:paraId="25DAB45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Verbatim Records (3 October 1991) UN Doc S/PV.3011</w:t>
      </w:r>
      <w:r>
        <w:rPr>
          <w:rFonts w:eastAsia="Times New Roman" w:cs="Times New Roman"/>
          <w:lang w:val="en"/>
        </w:rPr>
        <w:tab/>
        <w:t>24</w:t>
      </w:r>
    </w:p>
    <w:p w14:paraId="52445A39" w14:textId="77777777" w:rsidR="00C33996" w:rsidRDefault="00C33996" w:rsidP="00C33996">
      <w:pPr>
        <w:tabs>
          <w:tab w:val="right" w:leader="dot" w:pos="11340"/>
        </w:tabs>
        <w:spacing w:line="240" w:lineRule="auto"/>
        <w:ind w:firstLine="0"/>
        <w:rPr>
          <w:rFonts w:eastAsia="Times New Roman" w:cs="Times New Roman"/>
          <w:lang w:val="en"/>
        </w:rPr>
      </w:pPr>
    </w:p>
    <w:p w14:paraId="23460B8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Provisional Verbatim Records (16 June 1993) UN Doc S/PV.3238</w:t>
      </w:r>
      <w:r>
        <w:rPr>
          <w:rFonts w:eastAsia="Times New Roman" w:cs="Times New Roman"/>
          <w:lang w:val="en"/>
        </w:rPr>
        <w:tab/>
        <w:t>24</w:t>
      </w:r>
    </w:p>
    <w:p w14:paraId="51353D8B" w14:textId="77777777" w:rsidR="00C33996" w:rsidRDefault="00C33996" w:rsidP="00C33996">
      <w:pPr>
        <w:tabs>
          <w:tab w:val="right" w:leader="dot" w:pos="11340"/>
        </w:tabs>
        <w:spacing w:line="240" w:lineRule="auto"/>
        <w:ind w:firstLine="0"/>
        <w:rPr>
          <w:rFonts w:eastAsia="Times New Roman" w:cs="Times New Roman"/>
          <w:lang w:val="en"/>
        </w:rPr>
      </w:pPr>
    </w:p>
    <w:p w14:paraId="0286CED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Resolution 841 (16 June 1993) UN Doc S/RES/841</w:t>
      </w:r>
      <w:r>
        <w:rPr>
          <w:rFonts w:eastAsia="Times New Roman" w:cs="Times New Roman"/>
          <w:lang w:val="en"/>
        </w:rPr>
        <w:tab/>
        <w:t>24</w:t>
      </w:r>
    </w:p>
    <w:p w14:paraId="08BAFE88" w14:textId="77777777" w:rsidR="00C33996" w:rsidRDefault="00C33996" w:rsidP="00C33996">
      <w:pPr>
        <w:tabs>
          <w:tab w:val="right" w:leader="dot" w:pos="11340"/>
        </w:tabs>
        <w:spacing w:line="240" w:lineRule="auto"/>
        <w:ind w:firstLine="0"/>
        <w:rPr>
          <w:rFonts w:eastAsia="Times New Roman" w:cs="Times New Roman"/>
          <w:lang w:val="en"/>
        </w:rPr>
      </w:pPr>
    </w:p>
    <w:p w14:paraId="08C35FC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Resolution 1332 (8 October 1997) UN Doc S/RES/1332</w:t>
      </w:r>
      <w:r>
        <w:rPr>
          <w:rFonts w:eastAsia="Times New Roman" w:cs="Times New Roman"/>
          <w:lang w:val="en"/>
        </w:rPr>
        <w:tab/>
        <w:t>24</w:t>
      </w:r>
    </w:p>
    <w:p w14:paraId="4A3D505C" w14:textId="77777777" w:rsidR="00C33996" w:rsidRDefault="00C33996" w:rsidP="00C33996">
      <w:pPr>
        <w:tabs>
          <w:tab w:val="right" w:leader="dot" w:pos="11340"/>
        </w:tabs>
        <w:spacing w:line="240" w:lineRule="auto"/>
        <w:ind w:firstLine="0"/>
        <w:rPr>
          <w:rFonts w:eastAsia="Times New Roman" w:cs="Times New Roman"/>
          <w:lang w:val="en"/>
        </w:rPr>
      </w:pPr>
    </w:p>
    <w:p w14:paraId="2D40C187"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Resolution 1975 (30 March 2011) UN Doc S/RES/1975</w:t>
      </w:r>
      <w:r>
        <w:rPr>
          <w:rFonts w:eastAsia="Times New Roman" w:cs="Times New Roman"/>
          <w:lang w:val="en"/>
        </w:rPr>
        <w:tab/>
        <w:t>24</w:t>
      </w:r>
    </w:p>
    <w:p w14:paraId="284D1E67" w14:textId="77777777" w:rsidR="00C33996" w:rsidRDefault="00C33996" w:rsidP="00C33996">
      <w:pPr>
        <w:tabs>
          <w:tab w:val="right" w:leader="dot" w:pos="11340"/>
        </w:tabs>
        <w:spacing w:line="240" w:lineRule="auto"/>
        <w:ind w:firstLine="0"/>
        <w:rPr>
          <w:rFonts w:eastAsia="Times New Roman" w:cs="Times New Roman"/>
          <w:lang w:val="en"/>
        </w:rPr>
      </w:pPr>
    </w:p>
    <w:p w14:paraId="31941E6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UNSC Resolution 2337 (19 January 2017) UN Doc S/RES/2337</w:t>
      </w:r>
      <w:r>
        <w:rPr>
          <w:rFonts w:eastAsia="Times New Roman" w:cs="Times New Roman"/>
          <w:lang w:val="en"/>
        </w:rPr>
        <w:tab/>
        <w:t>24</w:t>
      </w:r>
    </w:p>
    <w:p w14:paraId="1A5F05C0" w14:textId="77777777" w:rsidR="00C33996" w:rsidRDefault="00C33996" w:rsidP="00C33996">
      <w:pPr>
        <w:tabs>
          <w:tab w:val="right" w:leader="dot" w:pos="11340"/>
        </w:tabs>
        <w:spacing w:line="240" w:lineRule="auto"/>
        <w:ind w:firstLine="0"/>
        <w:rPr>
          <w:rFonts w:eastAsia="Times New Roman" w:cs="Times New Roman"/>
          <w:lang w:val="en"/>
        </w:rPr>
      </w:pPr>
    </w:p>
    <w:p w14:paraId="4A6C504B"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3. International Law Commission</w:t>
      </w:r>
    </w:p>
    <w:p w14:paraId="38513A44" w14:textId="77777777" w:rsidR="00C33996" w:rsidRDefault="00C33996" w:rsidP="00C33996">
      <w:pPr>
        <w:tabs>
          <w:tab w:val="right" w:leader="dot" w:pos="11340"/>
        </w:tabs>
        <w:spacing w:line="240" w:lineRule="auto"/>
        <w:ind w:firstLine="0"/>
      </w:pPr>
    </w:p>
    <w:p w14:paraId="1F35278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 ‘Draft Code of Crimes against the Peace and Security of Mankind’ (1996) </w:t>
      </w:r>
      <w:r>
        <w:rPr>
          <w:rFonts w:eastAsia="Times New Roman" w:cs="Times New Roman"/>
          <w:lang w:val="en"/>
        </w:rPr>
        <w:br/>
        <w:t>UN Doc A/51/10</w:t>
      </w:r>
      <w:r>
        <w:rPr>
          <w:rFonts w:eastAsia="Times New Roman" w:cs="Times New Roman"/>
          <w:lang w:val="en"/>
        </w:rPr>
        <w:tab/>
        <w:t>7</w:t>
      </w:r>
    </w:p>
    <w:p w14:paraId="553B5F28" w14:textId="77777777" w:rsidR="00C33996" w:rsidRDefault="00C33996" w:rsidP="00C33996">
      <w:pPr>
        <w:tabs>
          <w:tab w:val="right" w:leader="dot" w:pos="11340"/>
        </w:tabs>
        <w:spacing w:line="240" w:lineRule="auto"/>
        <w:ind w:firstLine="0"/>
        <w:rPr>
          <w:rFonts w:eastAsia="Times New Roman" w:cs="Times New Roman"/>
          <w:lang w:val="en"/>
        </w:rPr>
      </w:pPr>
    </w:p>
    <w:p w14:paraId="61BE62F0"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 ‘Immunity of State officials from foreign criminal jurisdiction: Comments and observations received from Governments’ (29 April-31 May and 1 July-2 August 2024) UN Doc A/CN.4/771</w:t>
      </w:r>
      <w:r>
        <w:rPr>
          <w:rFonts w:eastAsia="Times New Roman" w:cs="Times New Roman"/>
          <w:lang w:val="en"/>
        </w:rPr>
        <w:tab/>
        <w:t>12</w:t>
      </w:r>
    </w:p>
    <w:p w14:paraId="5FE6701F" w14:textId="77777777" w:rsidR="00C33996" w:rsidRDefault="00C33996" w:rsidP="00C33996">
      <w:pPr>
        <w:tabs>
          <w:tab w:val="right" w:leader="dot" w:pos="11340"/>
        </w:tabs>
        <w:spacing w:line="240" w:lineRule="auto"/>
        <w:ind w:firstLine="0"/>
        <w:rPr>
          <w:rFonts w:eastAsia="Times New Roman" w:cs="Times New Roman"/>
          <w:lang w:val="en"/>
        </w:rPr>
      </w:pPr>
    </w:p>
    <w:p w14:paraId="2668346C" w14:textId="77777777" w:rsidR="00C33996" w:rsidRDefault="00C33996" w:rsidP="00C33996">
      <w:pPr>
        <w:tabs>
          <w:tab w:val="right" w:leader="dot" w:pos="11340"/>
        </w:tabs>
        <w:spacing w:line="240" w:lineRule="auto"/>
        <w:ind w:firstLine="0"/>
      </w:pPr>
      <w:r>
        <w:t xml:space="preserve">‘Report of the International Law Commission to the General Assembly on the work of its </w:t>
      </w:r>
      <w:proofErr w:type="spellStart"/>
      <w:r>
        <w:t>Fourty</w:t>
      </w:r>
      <w:proofErr w:type="spellEnd"/>
      <w:r>
        <w:t>-third Session’ [1991] vol 2(2) Yearbook of the International Law Commission [28]</w:t>
      </w:r>
      <w:r>
        <w:tab/>
        <w:t>22</w:t>
      </w:r>
    </w:p>
    <w:p w14:paraId="06AFE0F0" w14:textId="77777777" w:rsidR="00C33996" w:rsidRDefault="00C33996" w:rsidP="00C33996">
      <w:pPr>
        <w:tabs>
          <w:tab w:val="right" w:leader="dot" w:pos="11340"/>
        </w:tabs>
        <w:spacing w:line="240" w:lineRule="auto"/>
        <w:ind w:firstLine="0"/>
        <w:rPr>
          <w:rFonts w:eastAsia="Times New Roman" w:cs="Times New Roman"/>
          <w:lang w:val="en"/>
        </w:rPr>
      </w:pPr>
    </w:p>
    <w:p w14:paraId="24551887" w14:textId="77777777" w:rsidR="00C33996" w:rsidRDefault="00C33996" w:rsidP="00C33996">
      <w:pPr>
        <w:tabs>
          <w:tab w:val="right" w:leader="dot" w:pos="11340"/>
        </w:tabs>
        <w:spacing w:line="240" w:lineRule="auto"/>
        <w:ind w:firstLine="0"/>
        <w:rPr>
          <w:rFonts w:eastAsia="Times New Roman" w:cs="Times New Roman"/>
          <w:lang w:val="en"/>
        </w:rPr>
      </w:pPr>
      <w:r>
        <w:rPr>
          <w:color w:val="000000" w:themeColor="text1"/>
        </w:rPr>
        <w:t xml:space="preserve">‘Report of the International Law Commission on the work of its Fifty-third Session’ [2001] vol </w:t>
      </w:r>
      <w:r>
        <w:rPr>
          <w:color w:val="000000" w:themeColor="text1"/>
          <w:lang w:val="en-GB"/>
        </w:rPr>
        <w:t xml:space="preserve">2(2) </w:t>
      </w:r>
      <w:r>
        <w:rPr>
          <w:color w:val="000000" w:themeColor="text1"/>
        </w:rPr>
        <w:t>Yearbook of the International Law Commission 31</w:t>
      </w:r>
      <w:r>
        <w:rPr>
          <w:rFonts w:eastAsia="Times New Roman" w:cs="Times New Roman"/>
          <w:lang w:val="en"/>
        </w:rPr>
        <w:tab/>
        <w:t>20</w:t>
      </w:r>
    </w:p>
    <w:p w14:paraId="6F9AB580" w14:textId="77777777" w:rsidR="00C33996" w:rsidRDefault="00C33996" w:rsidP="00C33996">
      <w:pPr>
        <w:tabs>
          <w:tab w:val="right" w:leader="dot" w:pos="11340"/>
        </w:tabs>
        <w:spacing w:line="240" w:lineRule="auto"/>
        <w:ind w:firstLine="0"/>
        <w:rPr>
          <w:rFonts w:eastAsia="Times New Roman" w:cs="Times New Roman"/>
          <w:lang w:val="en"/>
        </w:rPr>
      </w:pPr>
    </w:p>
    <w:p w14:paraId="1D31F420" w14:textId="77777777" w:rsidR="00C33996" w:rsidRDefault="00C33996" w:rsidP="00C33996">
      <w:pPr>
        <w:tabs>
          <w:tab w:val="right" w:leader="dot" w:pos="11340"/>
        </w:tabs>
        <w:spacing w:line="240" w:lineRule="auto"/>
        <w:ind w:firstLine="0"/>
        <w:rPr>
          <w:rFonts w:eastAsia="Times New Roman" w:cs="Times New Roman"/>
          <w:lang w:val="en"/>
        </w:rPr>
      </w:pPr>
      <w:r>
        <w:rPr>
          <w:noProof/>
          <w:lang w:val="en-GB"/>
        </w:rPr>
        <w:lastRenderedPageBreak/>
        <w:t>‘Report of the International Law Commission on the work of its Fifty-eighth Session’ [2006] vol 2(2) Yearbook of the International Law Commission 161</w:t>
      </w:r>
      <w:r>
        <w:rPr>
          <w:rFonts w:eastAsia="Times New Roman" w:cs="Times New Roman"/>
          <w:lang w:val="en"/>
        </w:rPr>
        <w:tab/>
        <w:t>23</w:t>
      </w:r>
    </w:p>
    <w:p w14:paraId="206F3696" w14:textId="77777777" w:rsidR="00C33996" w:rsidRDefault="00C33996" w:rsidP="00C33996">
      <w:pPr>
        <w:tabs>
          <w:tab w:val="right" w:leader="dot" w:pos="11340"/>
        </w:tabs>
        <w:spacing w:line="240" w:lineRule="auto"/>
        <w:ind w:firstLine="0"/>
        <w:rPr>
          <w:rFonts w:eastAsia="Times New Roman" w:cs="Times New Roman"/>
          <w:lang w:val="en"/>
        </w:rPr>
      </w:pPr>
    </w:p>
    <w:p w14:paraId="658DCC7E" w14:textId="77777777" w:rsidR="00C33996" w:rsidRDefault="00C33996" w:rsidP="00C33996">
      <w:pPr>
        <w:tabs>
          <w:tab w:val="right" w:leader="dot" w:pos="11340"/>
        </w:tabs>
        <w:spacing w:line="240" w:lineRule="auto"/>
        <w:ind w:firstLine="0"/>
        <w:rPr>
          <w:rFonts w:eastAsia="Times New Roman" w:cs="Times New Roman"/>
          <w:lang w:val="en"/>
        </w:rPr>
      </w:pPr>
      <w:r>
        <w:t>‘Report of the International Law Commission on the work of its Seventieth Session’ [2018] vol 2(2) Yearbook of the International Law Commission [52]</w:t>
      </w:r>
      <w:r>
        <w:rPr>
          <w:rFonts w:eastAsia="Times New Roman" w:cs="Times New Roman"/>
          <w:lang w:val="en"/>
        </w:rPr>
        <w:tab/>
        <w:t>16, 17</w:t>
      </w:r>
    </w:p>
    <w:p w14:paraId="0BEAD9DD" w14:textId="77777777" w:rsidR="00C33996" w:rsidRDefault="00C33996" w:rsidP="00C33996">
      <w:pPr>
        <w:tabs>
          <w:tab w:val="right" w:leader="dot" w:pos="11340"/>
        </w:tabs>
        <w:spacing w:line="240" w:lineRule="auto"/>
        <w:ind w:firstLine="0"/>
        <w:rPr>
          <w:rFonts w:eastAsia="Times New Roman" w:cs="Times New Roman"/>
          <w:lang w:val="en"/>
        </w:rPr>
      </w:pPr>
      <w:r>
        <w:t>‘Report of the International Law Commission on the work of its Seventieth Session’ [2018] vol 2(2) Yearbook of the International Law Commission [66]</w:t>
      </w:r>
      <w:r>
        <w:rPr>
          <w:rFonts w:eastAsia="Times New Roman" w:cs="Times New Roman"/>
          <w:lang w:val="en"/>
        </w:rPr>
        <w:tab/>
        <w:t>18</w:t>
      </w:r>
    </w:p>
    <w:p w14:paraId="4BB4AFD4" w14:textId="77777777" w:rsidR="00C33996" w:rsidRDefault="00C33996" w:rsidP="00C33996">
      <w:pPr>
        <w:tabs>
          <w:tab w:val="right" w:leader="dot" w:pos="11340"/>
        </w:tabs>
        <w:spacing w:line="240" w:lineRule="auto"/>
        <w:ind w:firstLine="0"/>
        <w:rPr>
          <w:rFonts w:eastAsia="Times New Roman" w:cs="Times New Roman"/>
          <w:lang w:val="en"/>
        </w:rPr>
      </w:pPr>
    </w:p>
    <w:p w14:paraId="6DCA28D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‘Report of the International Law Commission on the work of its Seventy-third Session’ (18 April-3 June and 4 July-5 August 2022) UN Doc A/77/10</w:t>
      </w:r>
      <w:r>
        <w:rPr>
          <w:rFonts w:eastAsia="Times New Roman" w:cs="Times New Roman"/>
          <w:lang w:val="en"/>
        </w:rPr>
        <w:tab/>
        <w:t>10</w:t>
      </w:r>
    </w:p>
    <w:p w14:paraId="7F8E7FBF" w14:textId="77777777" w:rsidR="00C33996" w:rsidRDefault="00C33996" w:rsidP="00C33996">
      <w:pPr>
        <w:tabs>
          <w:tab w:val="right" w:leader="dot" w:pos="11340"/>
        </w:tabs>
        <w:spacing w:line="240" w:lineRule="auto"/>
        <w:ind w:firstLine="0"/>
        <w:rPr>
          <w:rFonts w:eastAsia="Times New Roman" w:cs="Times New Roman"/>
          <w:lang w:val="en"/>
        </w:rPr>
      </w:pPr>
    </w:p>
    <w:p w14:paraId="18C7BE19" w14:textId="77777777" w:rsidR="00C33996" w:rsidRDefault="00C33996" w:rsidP="00C33996">
      <w:pPr>
        <w:tabs>
          <w:tab w:val="right" w:leader="dot" w:pos="11340"/>
        </w:tabs>
        <w:spacing w:line="240" w:lineRule="auto"/>
        <w:ind w:firstLine="0"/>
        <w:rPr>
          <w:rFonts w:eastAsia="Times New Roman" w:cs="Times New Roman"/>
          <w:lang w:val="en"/>
        </w:rPr>
      </w:pPr>
      <w:r>
        <w:rPr>
          <w:lang w:val="en-GB"/>
        </w:rPr>
        <w:t xml:space="preserve">‘Report of the International Law Commission on the Work of its Seventy-fourth Session’ </w:t>
      </w:r>
      <w:r>
        <w:t>(24 April-2 June and 3 July-4 August 2023)</w:t>
      </w:r>
      <w:r>
        <w:rPr>
          <w:lang w:val="en-GB"/>
        </w:rPr>
        <w:t xml:space="preserve"> UN Doc A/78/10</w:t>
      </w:r>
      <w:r>
        <w:rPr>
          <w:rFonts w:eastAsia="Times New Roman" w:cs="Times New Roman"/>
          <w:lang w:val="en"/>
        </w:rPr>
        <w:tab/>
        <w:t>18</w:t>
      </w:r>
    </w:p>
    <w:p w14:paraId="41D4745D" w14:textId="77777777" w:rsidR="00C33996" w:rsidRDefault="00C33996" w:rsidP="00C33996">
      <w:pPr>
        <w:tabs>
          <w:tab w:val="right" w:leader="dot" w:pos="11340"/>
        </w:tabs>
        <w:spacing w:line="240" w:lineRule="auto"/>
        <w:ind w:firstLine="0"/>
        <w:rPr>
          <w:rFonts w:eastAsia="Times New Roman" w:cs="Times New Roman"/>
          <w:lang w:val="en"/>
        </w:rPr>
      </w:pPr>
    </w:p>
    <w:p w14:paraId="0E80DEDE" w14:textId="77777777" w:rsidR="00C33996" w:rsidRDefault="00C33996" w:rsidP="00C33996">
      <w:pPr>
        <w:tabs>
          <w:tab w:val="right" w:leader="dot" w:pos="11340"/>
        </w:tabs>
        <w:spacing w:line="240" w:lineRule="auto"/>
        <w:ind w:firstLine="0"/>
        <w:rPr>
          <w:rFonts w:eastAsia="Times New Roman" w:cs="Times New Roman"/>
          <w:lang w:val="en"/>
        </w:rPr>
      </w:pPr>
      <w:r>
        <w:rPr>
          <w:lang w:val="en-GB"/>
        </w:rPr>
        <w:t xml:space="preserve">‘Reports of the International Law Commission on the second part of its Seventeenth Session and on its Eighteenth Session’ [1966] vol 2(2) Yearbook of the International Law </w:t>
      </w:r>
      <w:r>
        <w:rPr>
          <w:lang w:val="en-GB"/>
        </w:rPr>
        <w:br/>
        <w:t>Commission 187</w:t>
      </w:r>
      <w:r>
        <w:rPr>
          <w:rFonts w:eastAsia="Times New Roman" w:cs="Times New Roman"/>
          <w:lang w:val="en"/>
        </w:rPr>
        <w:tab/>
        <w:t>17</w:t>
      </w:r>
    </w:p>
    <w:p w14:paraId="00F29E47" w14:textId="77777777" w:rsidR="00C33996" w:rsidRDefault="00C33996" w:rsidP="00C33996">
      <w:pPr>
        <w:tabs>
          <w:tab w:val="right" w:leader="dot" w:pos="11340"/>
        </w:tabs>
        <w:spacing w:line="240" w:lineRule="auto"/>
        <w:ind w:firstLine="0"/>
        <w:rPr>
          <w:rFonts w:eastAsia="Times New Roman" w:cs="Times New Roman"/>
          <w:lang w:val="en"/>
        </w:rPr>
      </w:pPr>
    </w:p>
    <w:p w14:paraId="76AEC30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‘Sea-level rise in relation to international law: Additional paper to the first issues paper (2020), by Bogdan </w:t>
      </w:r>
      <w:proofErr w:type="spellStart"/>
      <w:r>
        <w:rPr>
          <w:rFonts w:eastAsia="Times New Roman" w:cs="Times New Roman"/>
          <w:lang w:val="en"/>
        </w:rPr>
        <w:t>Aurescu</w:t>
      </w:r>
      <w:proofErr w:type="spellEnd"/>
      <w:r>
        <w:rPr>
          <w:rFonts w:eastAsia="Times New Roman" w:cs="Times New Roman"/>
          <w:lang w:val="en"/>
        </w:rPr>
        <w:t xml:space="preserve"> and </w:t>
      </w:r>
      <w:proofErr w:type="spellStart"/>
      <w:r>
        <w:rPr>
          <w:rFonts w:eastAsia="Times New Roman" w:cs="Times New Roman"/>
          <w:lang w:val="en"/>
        </w:rPr>
        <w:t>Nilüfer</w:t>
      </w:r>
      <w:proofErr w:type="spellEnd"/>
      <w:r>
        <w:rPr>
          <w:rFonts w:eastAsia="Times New Roman" w:cs="Times New Roman"/>
          <w:lang w:val="en"/>
        </w:rPr>
        <w:t xml:space="preserve"> Oral, Co-Chairs of the Study Group on sea-level rise in relation to international law’ (13 February 2023) UN Doc A/CN.4/761</w:t>
      </w:r>
      <w:r>
        <w:rPr>
          <w:rFonts w:eastAsia="Times New Roman" w:cs="Times New Roman"/>
          <w:lang w:val="en"/>
        </w:rPr>
        <w:tab/>
        <w:t>16</w:t>
      </w:r>
    </w:p>
    <w:p w14:paraId="297D27C8" w14:textId="77777777" w:rsidR="00C33996" w:rsidRDefault="00C33996" w:rsidP="00C33996">
      <w:pPr>
        <w:tabs>
          <w:tab w:val="right" w:leader="dot" w:pos="11340"/>
        </w:tabs>
        <w:spacing w:line="240" w:lineRule="auto"/>
        <w:ind w:firstLine="0"/>
        <w:rPr>
          <w:rFonts w:eastAsia="Times New Roman" w:cs="Times New Roman"/>
          <w:lang w:val="en"/>
        </w:rPr>
      </w:pPr>
    </w:p>
    <w:p w14:paraId="416BFE3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‘Sea-level rise in relation to international law: First issues paper by Bogdan </w:t>
      </w:r>
      <w:proofErr w:type="spellStart"/>
      <w:r>
        <w:rPr>
          <w:rFonts w:eastAsia="Times New Roman" w:cs="Times New Roman"/>
          <w:lang w:val="en"/>
        </w:rPr>
        <w:t>Aurescu</w:t>
      </w:r>
      <w:proofErr w:type="spellEnd"/>
      <w:r>
        <w:rPr>
          <w:rFonts w:eastAsia="Times New Roman" w:cs="Times New Roman"/>
          <w:lang w:val="en"/>
        </w:rPr>
        <w:t xml:space="preserve"> and </w:t>
      </w:r>
      <w:proofErr w:type="spellStart"/>
      <w:r>
        <w:rPr>
          <w:rFonts w:eastAsia="Times New Roman" w:cs="Times New Roman"/>
          <w:lang w:val="en"/>
        </w:rPr>
        <w:t>Nilüfer</w:t>
      </w:r>
      <w:proofErr w:type="spellEnd"/>
      <w:r>
        <w:rPr>
          <w:rFonts w:eastAsia="Times New Roman" w:cs="Times New Roman"/>
          <w:lang w:val="en"/>
        </w:rPr>
        <w:t xml:space="preserve"> Oral, Co-Chairs of the Study Group on sea-level rise in relation to international law’ (28 February 2020) UN Doc A/CN.4/740</w:t>
      </w:r>
      <w:r>
        <w:rPr>
          <w:rFonts w:eastAsia="Times New Roman" w:cs="Times New Roman"/>
          <w:lang w:val="en"/>
        </w:rPr>
        <w:tab/>
        <w:t>15, 16</w:t>
      </w:r>
    </w:p>
    <w:p w14:paraId="67058183" w14:textId="77777777" w:rsidR="00C33996" w:rsidRDefault="00C33996" w:rsidP="00C33996">
      <w:pPr>
        <w:tabs>
          <w:tab w:val="right" w:leader="dot" w:pos="11340"/>
        </w:tabs>
        <w:spacing w:line="240" w:lineRule="auto"/>
        <w:ind w:firstLine="0"/>
        <w:rPr>
          <w:rFonts w:eastAsia="Times New Roman" w:cs="Times New Roman"/>
          <w:lang w:val="en"/>
        </w:rPr>
      </w:pPr>
    </w:p>
    <w:p w14:paraId="59467B7E"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‘Sixth report on unilateral acts of States, by Victor Rodriguez Cedeno, Special Rapporteur’ (30 May 2003) UN Doc A/CN.4/534</w:t>
      </w:r>
      <w:r>
        <w:rPr>
          <w:rFonts w:eastAsia="Times New Roman" w:cs="Times New Roman"/>
          <w:lang w:val="en"/>
        </w:rPr>
        <w:tab/>
        <w:t>25</w:t>
      </w:r>
    </w:p>
    <w:p w14:paraId="7FFC891B" w14:textId="77777777" w:rsidR="00C33996" w:rsidRDefault="00C33996" w:rsidP="00C33996">
      <w:pPr>
        <w:tabs>
          <w:tab w:val="right" w:leader="dot" w:pos="11340"/>
        </w:tabs>
        <w:spacing w:line="240" w:lineRule="auto"/>
        <w:ind w:firstLine="0"/>
        <w:rPr>
          <w:rFonts w:eastAsia="Times New Roman" w:cs="Times New Roman"/>
          <w:lang w:val="en"/>
        </w:rPr>
      </w:pPr>
    </w:p>
    <w:p w14:paraId="1624C61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Submission of Colombia (74</w:t>
      </w:r>
      <w:r>
        <w:rPr>
          <w:rFonts w:eastAsia="Times New Roman" w:cs="Times New Roman"/>
          <w:vertAlign w:val="superscript"/>
          <w:lang w:val="en"/>
        </w:rPr>
        <w:t>th</w:t>
      </w:r>
      <w:r>
        <w:rPr>
          <w:rFonts w:eastAsia="Times New Roman" w:cs="Times New Roman"/>
          <w:lang w:val="en"/>
        </w:rPr>
        <w:t xml:space="preserve"> Session of the ILC, 2023) &lt;https://legal.un.org/</w:t>
      </w:r>
      <w:r>
        <w:rPr>
          <w:rFonts w:eastAsia="Times New Roman" w:cs="Times New Roman"/>
          <w:lang w:val="en"/>
        </w:rPr>
        <w:br/>
      </w:r>
      <w:proofErr w:type="spellStart"/>
      <w:r>
        <w:rPr>
          <w:rFonts w:eastAsia="Times New Roman" w:cs="Times New Roman"/>
          <w:lang w:val="en"/>
        </w:rPr>
        <w:t>ilc</w:t>
      </w:r>
      <w:proofErr w:type="spellEnd"/>
      <w:r>
        <w:rPr>
          <w:rFonts w:eastAsia="Times New Roman" w:cs="Times New Roman"/>
          <w:lang w:val="en"/>
        </w:rPr>
        <w:t>/sessions/74/pdfs/</w:t>
      </w:r>
      <w:proofErr w:type="spellStart"/>
      <w:r>
        <w:rPr>
          <w:rFonts w:eastAsia="Times New Roman" w:cs="Times New Roman"/>
          <w:lang w:val="en"/>
        </w:rPr>
        <w:t>english</w:t>
      </w:r>
      <w:proofErr w:type="spellEnd"/>
      <w:r>
        <w:rPr>
          <w:rFonts w:eastAsia="Times New Roman" w:cs="Times New Roman"/>
          <w:lang w:val="en"/>
        </w:rPr>
        <w:t>/slr_colombia.pdf&gt; accessed 12 January 2025</w:t>
      </w:r>
      <w:r>
        <w:rPr>
          <w:rFonts w:eastAsia="Times New Roman" w:cs="Times New Roman"/>
          <w:lang w:val="en"/>
        </w:rPr>
        <w:tab/>
        <w:t>19</w:t>
      </w:r>
    </w:p>
    <w:p w14:paraId="1BCF84B9" w14:textId="77777777" w:rsidR="00C33996" w:rsidRDefault="00C33996" w:rsidP="00C33996">
      <w:pPr>
        <w:tabs>
          <w:tab w:val="right" w:leader="dot" w:pos="11340"/>
        </w:tabs>
        <w:spacing w:line="240" w:lineRule="auto"/>
        <w:ind w:firstLine="0"/>
        <w:rPr>
          <w:rFonts w:eastAsia="Times New Roman" w:cs="Times New Roman"/>
          <w:lang w:val="en"/>
        </w:rPr>
      </w:pPr>
    </w:p>
    <w:p w14:paraId="03235B11" w14:textId="2B605BCC"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Submission of the Pacific Island Forum (75</w:t>
      </w:r>
      <w:r>
        <w:rPr>
          <w:rFonts w:eastAsia="Times New Roman" w:cs="Times New Roman"/>
          <w:vertAlign w:val="superscript"/>
          <w:lang w:val="en"/>
        </w:rPr>
        <w:t>th</w:t>
      </w:r>
      <w:r>
        <w:rPr>
          <w:rFonts w:eastAsia="Times New Roman" w:cs="Times New Roman"/>
          <w:lang w:val="en"/>
        </w:rPr>
        <w:t xml:space="preserve"> Session of the ILC, 2021) &lt;https://legal.un.org/</w:t>
      </w:r>
      <w:r>
        <w:rPr>
          <w:rFonts w:eastAsia="Times New Roman" w:cs="Times New Roman"/>
          <w:lang w:val="en"/>
        </w:rPr>
        <w:br/>
      </w:r>
      <w:proofErr w:type="spellStart"/>
      <w:r>
        <w:rPr>
          <w:rFonts w:eastAsia="Times New Roman" w:cs="Times New Roman"/>
          <w:lang w:val="en"/>
        </w:rPr>
        <w:t>ilc</w:t>
      </w:r>
      <w:proofErr w:type="spellEnd"/>
      <w:r>
        <w:rPr>
          <w:rFonts w:eastAsia="Times New Roman" w:cs="Times New Roman"/>
          <w:lang w:val="en"/>
        </w:rPr>
        <w:t>/sessions/75/pdfs/</w:t>
      </w:r>
      <w:proofErr w:type="spellStart"/>
      <w:r>
        <w:rPr>
          <w:rFonts w:eastAsia="Times New Roman" w:cs="Times New Roman"/>
          <w:lang w:val="en"/>
        </w:rPr>
        <w:t>english</w:t>
      </w:r>
      <w:proofErr w:type="spellEnd"/>
      <w:r>
        <w:rPr>
          <w:rFonts w:eastAsia="Times New Roman" w:cs="Times New Roman"/>
          <w:lang w:val="en"/>
        </w:rPr>
        <w:t>/slr_pif.pdf&gt; accessed 12 January 2025</w:t>
      </w:r>
      <w:r>
        <w:rPr>
          <w:rFonts w:eastAsia="Times New Roman" w:cs="Times New Roman"/>
          <w:lang w:val="en"/>
        </w:rPr>
        <w:tab/>
        <w:t>17</w:t>
      </w:r>
      <w:r w:rsidR="00C04D10">
        <w:rPr>
          <w:rFonts w:eastAsia="Times New Roman" w:cs="Times New Roman"/>
          <w:lang w:val="en"/>
        </w:rPr>
        <w:t>, 19</w:t>
      </w:r>
    </w:p>
    <w:p w14:paraId="7E6954F1" w14:textId="77777777" w:rsidR="00C33996" w:rsidRDefault="00C33996" w:rsidP="00C33996">
      <w:pPr>
        <w:tabs>
          <w:tab w:val="right" w:leader="dot" w:pos="11340"/>
        </w:tabs>
        <w:spacing w:line="240" w:lineRule="auto"/>
        <w:ind w:firstLine="0"/>
        <w:rPr>
          <w:rFonts w:eastAsia="Times New Roman" w:cs="Times New Roman"/>
          <w:lang w:val="en"/>
        </w:rPr>
      </w:pPr>
    </w:p>
    <w:p w14:paraId="29ECA37B" w14:textId="77777777" w:rsidR="00C33996" w:rsidRDefault="00C33996" w:rsidP="00C33996">
      <w:pPr>
        <w:tabs>
          <w:tab w:val="right" w:leader="dot" w:pos="11340"/>
        </w:tabs>
        <w:spacing w:line="240" w:lineRule="auto"/>
        <w:ind w:firstLine="0"/>
        <w:rPr>
          <w:rFonts w:eastAsia="Times New Roman" w:cs="Times New Roman"/>
          <w:lang w:val="en"/>
        </w:rPr>
      </w:pPr>
      <w:r>
        <w:t>‘Summary Record of the 3365th meeting’ (</w:t>
      </w:r>
      <w:r>
        <w:rPr>
          <w:lang w:val="en-GB"/>
        </w:rPr>
        <w:t>69</w:t>
      </w:r>
      <w:r>
        <w:rPr>
          <w:vertAlign w:val="superscript"/>
          <w:lang w:val="en-GB"/>
        </w:rPr>
        <w:t>th</w:t>
      </w:r>
      <w:r>
        <w:rPr>
          <w:lang w:val="en-GB"/>
        </w:rPr>
        <w:t xml:space="preserve"> Session, </w:t>
      </w:r>
      <w:r>
        <w:t>30 May 2017) UN Doc A/CN.4/3365</w:t>
      </w:r>
      <w:r>
        <w:tab/>
        <w:t>12</w:t>
      </w:r>
    </w:p>
    <w:p w14:paraId="76486EE3" w14:textId="77777777" w:rsidR="00C33996" w:rsidRDefault="00C33996" w:rsidP="00C33996">
      <w:pPr>
        <w:tabs>
          <w:tab w:val="right" w:leader="dot" w:pos="11340"/>
        </w:tabs>
        <w:spacing w:line="240" w:lineRule="auto"/>
        <w:ind w:firstLine="0"/>
        <w:rPr>
          <w:rFonts w:eastAsia="Times New Roman" w:cs="Times New Roman"/>
          <w:lang w:val="en"/>
        </w:rPr>
      </w:pPr>
    </w:p>
    <w:p w14:paraId="53D2E610" w14:textId="77777777" w:rsidR="00C33996" w:rsidRDefault="00C33996" w:rsidP="00C33996">
      <w:pPr>
        <w:tabs>
          <w:tab w:val="right" w:leader="dot" w:pos="11340"/>
        </w:tabs>
        <w:spacing w:line="240" w:lineRule="auto"/>
        <w:ind w:firstLine="0"/>
        <w:rPr>
          <w:rFonts w:eastAsia="Times New Roman" w:cs="Times New Roman"/>
          <w:b/>
          <w:bCs/>
          <w:lang w:val="en"/>
        </w:rPr>
      </w:pPr>
      <w:r>
        <w:rPr>
          <w:rFonts w:eastAsia="Times New Roman" w:cs="Times New Roman"/>
          <w:b/>
          <w:bCs/>
          <w:lang w:val="en"/>
        </w:rPr>
        <w:t>4. Other United Nations Documents</w:t>
      </w:r>
    </w:p>
    <w:p w14:paraId="5CD0C75B" w14:textId="77777777" w:rsidR="00C33996" w:rsidRDefault="00C33996" w:rsidP="00C33996">
      <w:pPr>
        <w:tabs>
          <w:tab w:val="right" w:leader="dot" w:pos="11340"/>
        </w:tabs>
        <w:spacing w:line="240" w:lineRule="auto"/>
        <w:ind w:firstLine="0"/>
        <w:rPr>
          <w:rFonts w:eastAsia="Times New Roman" w:cs="Times New Roman"/>
          <w:bCs/>
          <w:lang w:val="en"/>
        </w:rPr>
      </w:pPr>
    </w:p>
    <w:p w14:paraId="507CDC34" w14:textId="59F5D76F"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Commission on Human Rights, ‘Civil and Political Rights, including the Question of Enforced or Involuntary Disappearances’ (12 February 2003) UN Doc E/CN.4/2003/71</w:t>
      </w:r>
      <w:r>
        <w:rPr>
          <w:rFonts w:eastAsia="Times New Roman" w:cs="Times New Roman"/>
          <w:lang w:val="en"/>
        </w:rPr>
        <w:tab/>
        <w:t>13</w:t>
      </w:r>
    </w:p>
    <w:p w14:paraId="6118912D" w14:textId="77777777" w:rsidR="00C33996" w:rsidRDefault="00C33996" w:rsidP="00C33996">
      <w:pPr>
        <w:tabs>
          <w:tab w:val="right" w:leader="dot" w:pos="11340"/>
        </w:tabs>
        <w:spacing w:line="240" w:lineRule="auto"/>
        <w:ind w:firstLine="0"/>
        <w:rPr>
          <w:rFonts w:eastAsia="Times New Roman" w:cs="Times New Roman"/>
          <w:bCs/>
          <w:lang w:val="en"/>
        </w:rPr>
      </w:pPr>
    </w:p>
    <w:p w14:paraId="068666D5" w14:textId="4756B2E3" w:rsidR="00C33996" w:rsidRDefault="00C33996" w:rsidP="00C33996">
      <w:pPr>
        <w:tabs>
          <w:tab w:val="right" w:leader="dot" w:pos="11340"/>
        </w:tabs>
        <w:spacing w:line="240" w:lineRule="auto"/>
        <w:ind w:firstLine="0"/>
        <w:rPr>
          <w:rFonts w:eastAsia="Times New Roman" w:cs="Times New Roman"/>
          <w:bCs/>
          <w:lang w:val="en"/>
        </w:rPr>
      </w:pPr>
      <w:r>
        <w:rPr>
          <w:lang w:val="en-GB"/>
        </w:rPr>
        <w:t xml:space="preserve">Commission on Human Rights, </w:t>
      </w:r>
      <w:r>
        <w:t>‘Civil and Political Rights, including the Question of Enforced or Involuntary Disappearances’ (10 March 2005) UN Doc E/CN.4/2005/66</w:t>
      </w:r>
      <w:r>
        <w:tab/>
        <w:t>8</w:t>
      </w:r>
    </w:p>
    <w:p w14:paraId="6D23BA0A" w14:textId="77777777" w:rsidR="00C33996" w:rsidRDefault="00C33996" w:rsidP="00C33996">
      <w:pPr>
        <w:tabs>
          <w:tab w:val="right" w:leader="dot" w:pos="11340"/>
        </w:tabs>
        <w:spacing w:line="240" w:lineRule="auto"/>
        <w:ind w:firstLine="0"/>
        <w:rPr>
          <w:rFonts w:eastAsia="Times New Roman" w:cs="Times New Roman"/>
          <w:bCs/>
          <w:lang w:val="en"/>
        </w:rPr>
      </w:pPr>
    </w:p>
    <w:p w14:paraId="0EA5087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Human Rights Committee, ‘General Comment No. 25: The Right to Participate in Public Affairs, Voting Rights and the Right of Equal Access to Public Service (Art. 25)’ (27 August 1996) UN Doc </w:t>
      </w:r>
      <w:bookmarkStart w:id="14" w:name="_Hlk187661220"/>
      <w:r>
        <w:rPr>
          <w:rFonts w:eastAsia="Times New Roman" w:cs="Times New Roman"/>
          <w:lang w:val="en"/>
        </w:rPr>
        <w:t>CCPR/C/21/REV.1/ADD.7</w:t>
      </w:r>
      <w:bookmarkEnd w:id="14"/>
      <w:r>
        <w:rPr>
          <w:rFonts w:eastAsia="Times New Roman" w:cs="Times New Roman"/>
          <w:lang w:val="en"/>
        </w:rPr>
        <w:tab/>
        <w:t>26</w:t>
      </w:r>
    </w:p>
    <w:p w14:paraId="6C42C0BA" w14:textId="77777777" w:rsidR="00C33996" w:rsidRDefault="00C33996" w:rsidP="00C33996">
      <w:pPr>
        <w:tabs>
          <w:tab w:val="right" w:leader="dot" w:pos="11340"/>
        </w:tabs>
        <w:spacing w:line="240" w:lineRule="auto"/>
        <w:ind w:firstLine="0"/>
        <w:rPr>
          <w:rFonts w:eastAsia="Times New Roman" w:cs="Times New Roman"/>
          <w:lang w:val="en"/>
        </w:rPr>
      </w:pPr>
    </w:p>
    <w:p w14:paraId="11016F5E" w14:textId="64198814"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lastRenderedPageBreak/>
        <w:t>‘Support by the United Nations System of the Efforts of Governments to Promote and Consolidate New or Restored Democracies: Report of the Secretary General’ (21 October 1997) UN Doc A/52/513</w:t>
      </w:r>
      <w:r>
        <w:rPr>
          <w:rFonts w:eastAsia="Times New Roman" w:cs="Times New Roman"/>
          <w:lang w:val="en"/>
        </w:rPr>
        <w:tab/>
        <w:t>26</w:t>
      </w:r>
      <w:bookmarkEnd w:id="12"/>
    </w:p>
    <w:p w14:paraId="7F1A2F6D" w14:textId="77777777" w:rsidR="00C33996" w:rsidRDefault="00C33996" w:rsidP="00C33996">
      <w:pPr>
        <w:tabs>
          <w:tab w:val="right" w:leader="dot" w:pos="11340"/>
        </w:tabs>
        <w:spacing w:line="240" w:lineRule="auto"/>
        <w:ind w:firstLine="0"/>
        <w:rPr>
          <w:rFonts w:eastAsia="Times New Roman" w:cs="Times New Roman"/>
          <w:lang w:val="en"/>
        </w:rPr>
      </w:pPr>
    </w:p>
    <w:p w14:paraId="2A9A7756" w14:textId="77777777" w:rsidR="00C33996" w:rsidRDefault="00C33996" w:rsidP="00C33996">
      <w:pPr>
        <w:tabs>
          <w:tab w:val="right" w:leader="dot" w:pos="11340"/>
        </w:tabs>
        <w:spacing w:line="240" w:lineRule="auto"/>
        <w:ind w:firstLine="0"/>
        <w:rPr>
          <w:rFonts w:eastAsia="Times New Roman" w:cs="Times New Roman"/>
          <w:b/>
          <w:bCs/>
          <w:u w:val="single"/>
          <w:lang w:val="en"/>
        </w:rPr>
      </w:pPr>
      <w:r>
        <w:rPr>
          <w:rFonts w:eastAsia="Times New Roman" w:cs="Times New Roman"/>
          <w:b/>
          <w:bCs/>
          <w:u w:val="single"/>
          <w:lang w:val="en"/>
        </w:rPr>
        <w:t>IV. Domestic Judicial Decisions</w:t>
      </w:r>
    </w:p>
    <w:p w14:paraId="02E0F922" w14:textId="77777777" w:rsidR="00C33996" w:rsidRDefault="00C33996" w:rsidP="00C33996">
      <w:pPr>
        <w:tabs>
          <w:tab w:val="right" w:leader="dot" w:pos="11340"/>
        </w:tabs>
        <w:spacing w:line="240" w:lineRule="auto"/>
        <w:ind w:firstLine="0"/>
        <w:rPr>
          <w:rFonts w:eastAsia="Times New Roman" w:cs="Times New Roman"/>
          <w:i/>
          <w:lang w:val="en"/>
        </w:rPr>
      </w:pPr>
    </w:p>
    <w:p w14:paraId="0BC24D7E"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GB"/>
        </w:rPr>
        <w:t>Attorney-General of the Government of Israel v Adolf Eichmann</w:t>
      </w:r>
      <w:r>
        <w:rPr>
          <w:rFonts w:eastAsia="Times New Roman" w:cs="Times New Roman"/>
          <w:lang w:val="en-GB"/>
        </w:rPr>
        <w:t xml:space="preserve"> (1962) 36 International Law Reports 277 (Supreme Court of Israel)</w:t>
      </w:r>
      <w:r>
        <w:rPr>
          <w:rFonts w:eastAsia="Times New Roman" w:cs="Times New Roman"/>
          <w:lang w:val="en"/>
        </w:rPr>
        <w:tab/>
        <w:t>12</w:t>
      </w:r>
    </w:p>
    <w:p w14:paraId="3823A0D6" w14:textId="77777777" w:rsidR="00C33996" w:rsidRDefault="00C33996" w:rsidP="00C33996">
      <w:pPr>
        <w:tabs>
          <w:tab w:val="right" w:leader="dot" w:pos="11340"/>
        </w:tabs>
        <w:spacing w:line="240" w:lineRule="auto"/>
        <w:ind w:firstLine="0"/>
        <w:rPr>
          <w:rFonts w:eastAsia="Times New Roman" w:cs="Times New Roman"/>
          <w:lang w:val="en"/>
        </w:rPr>
      </w:pPr>
    </w:p>
    <w:p w14:paraId="49DDF5D8" w14:textId="77777777" w:rsidR="00C33996" w:rsidRDefault="00C33996" w:rsidP="00C33996">
      <w:pPr>
        <w:tabs>
          <w:tab w:val="right" w:leader="dot" w:pos="11340"/>
        </w:tabs>
        <w:spacing w:line="240" w:lineRule="auto"/>
        <w:ind w:firstLine="0"/>
        <w:rPr>
          <w:rFonts w:eastAsia="Times New Roman" w:cs="Times New Roman"/>
          <w:lang w:val="en"/>
        </w:rPr>
      </w:pPr>
      <w:bookmarkStart w:id="15" w:name="_Hlk187640631"/>
      <w:r>
        <w:rPr>
          <w:rFonts w:eastAsia="Times New Roman" w:cs="Times New Roman"/>
          <w:i/>
          <w:lang w:val="en"/>
        </w:rPr>
        <w:t xml:space="preserve">Center for Constitutional Rights et al v Donald Rumsfeld et al </w:t>
      </w:r>
      <w:r>
        <w:rPr>
          <w:rFonts w:eastAsia="Times New Roman" w:cs="Times New Roman"/>
          <w:lang w:val="en"/>
        </w:rPr>
        <w:t>(2005) 45 International Legal Materials 119 (Decision of the General Federal Prosecutor at the German Federal Court of Justice)</w:t>
      </w:r>
      <w:bookmarkEnd w:id="15"/>
      <w:r>
        <w:rPr>
          <w:rFonts w:eastAsia="Times New Roman" w:cs="Times New Roman"/>
          <w:lang w:val="en"/>
        </w:rPr>
        <w:tab/>
        <w:t>9</w:t>
      </w:r>
    </w:p>
    <w:p w14:paraId="632D2E4B" w14:textId="77777777" w:rsidR="00C33996" w:rsidRDefault="00C33996" w:rsidP="00C33996">
      <w:pPr>
        <w:tabs>
          <w:tab w:val="right" w:leader="dot" w:pos="11340"/>
        </w:tabs>
        <w:spacing w:line="240" w:lineRule="auto"/>
        <w:ind w:firstLine="0"/>
        <w:rPr>
          <w:rFonts w:eastAsia="Times New Roman" w:cs="Times New Roman"/>
          <w:lang w:val="en"/>
        </w:rPr>
      </w:pPr>
    </w:p>
    <w:p w14:paraId="5755D06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Clarification of Paragraph 5 of Operative Constitutional Court Resolution No 3-P </w:t>
      </w:r>
      <w:r>
        <w:rPr>
          <w:rFonts w:eastAsia="Times New Roman" w:cs="Times New Roman"/>
          <w:lang w:val="en"/>
        </w:rPr>
        <w:t>(1999) 142 International Law Reports 383 (Russian Constitutional Court)</w:t>
      </w:r>
      <w:r>
        <w:rPr>
          <w:rFonts w:eastAsia="Times New Roman" w:cs="Times New Roman"/>
          <w:lang w:val="en"/>
        </w:rPr>
        <w:tab/>
        <w:t>26</w:t>
      </w:r>
    </w:p>
    <w:p w14:paraId="122810FA" w14:textId="77777777" w:rsidR="00C33996" w:rsidRDefault="00C33996" w:rsidP="00C33996">
      <w:pPr>
        <w:tabs>
          <w:tab w:val="right" w:leader="dot" w:pos="11340"/>
        </w:tabs>
        <w:spacing w:line="240" w:lineRule="auto"/>
        <w:ind w:firstLine="0"/>
        <w:rPr>
          <w:rFonts w:eastAsia="Times New Roman" w:cs="Times New Roman"/>
          <w:lang w:val="en"/>
        </w:rPr>
      </w:pPr>
    </w:p>
    <w:p w14:paraId="26200457" w14:textId="77777777" w:rsidR="00C33996" w:rsidRDefault="00C33996" w:rsidP="00C33996">
      <w:pPr>
        <w:tabs>
          <w:tab w:val="right" w:leader="dot" w:pos="11340"/>
        </w:tabs>
        <w:spacing w:line="240" w:lineRule="auto"/>
        <w:ind w:firstLine="0"/>
      </w:pPr>
      <w:r>
        <w:rPr>
          <w:i/>
        </w:rPr>
        <w:t xml:space="preserve">Decision of the Supreme Court </w:t>
      </w:r>
      <w:r>
        <w:rPr>
          <w:i/>
          <w:lang w:val="en-GB"/>
        </w:rPr>
        <w:t>C</w:t>
      </w:r>
      <w:proofErr w:type="spellStart"/>
      <w:r>
        <w:rPr>
          <w:i/>
        </w:rPr>
        <w:t>oncerning</w:t>
      </w:r>
      <w:proofErr w:type="spellEnd"/>
      <w:r>
        <w:rPr>
          <w:i/>
        </w:rPr>
        <w:t xml:space="preserve"> the Guatemala Genocide </w:t>
      </w:r>
      <w:r>
        <w:t>(2003) 42 International Legal Materials 686 (Spanish Supreme Court)</w:t>
      </w:r>
      <w:r>
        <w:tab/>
        <w:t>9</w:t>
      </w:r>
    </w:p>
    <w:p w14:paraId="355335F4" w14:textId="77777777" w:rsidR="00C33996" w:rsidRDefault="00C33996" w:rsidP="00C33996">
      <w:pPr>
        <w:tabs>
          <w:tab w:val="right" w:leader="dot" w:pos="11340"/>
        </w:tabs>
        <w:spacing w:line="240" w:lineRule="auto"/>
        <w:ind w:firstLine="0"/>
        <w:rPr>
          <w:rFonts w:eastAsia="Times New Roman" w:cs="Times New Roman"/>
          <w:lang w:val="en"/>
        </w:rPr>
      </w:pPr>
    </w:p>
    <w:p w14:paraId="54499BE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Fang v Jiang</w:t>
      </w:r>
      <w:r>
        <w:rPr>
          <w:rFonts w:eastAsia="Times New Roman" w:cs="Times New Roman"/>
          <w:lang w:val="en"/>
        </w:rPr>
        <w:t xml:space="preserve"> (2007) Case No CIV 2004-404-5843 (New Zealand High Court)</w:t>
      </w:r>
      <w:r>
        <w:rPr>
          <w:rFonts w:eastAsia="Times New Roman" w:cs="Times New Roman"/>
          <w:lang w:val="en"/>
        </w:rPr>
        <w:tab/>
        <w:t>11, 13</w:t>
      </w:r>
    </w:p>
    <w:p w14:paraId="26EE7A42" w14:textId="77777777" w:rsidR="00C33996" w:rsidRDefault="00C33996" w:rsidP="00C33996">
      <w:pPr>
        <w:tabs>
          <w:tab w:val="right" w:leader="dot" w:pos="11340"/>
        </w:tabs>
        <w:spacing w:line="240" w:lineRule="auto"/>
        <w:ind w:firstLine="0"/>
        <w:rPr>
          <w:rFonts w:eastAsia="Times New Roman" w:cs="Times New Roman"/>
          <w:lang w:val="en"/>
        </w:rPr>
      </w:pPr>
    </w:p>
    <w:p w14:paraId="25D4F63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Jaffe v Miller et al </w:t>
      </w:r>
      <w:r>
        <w:rPr>
          <w:rFonts w:eastAsia="Times New Roman" w:cs="Times New Roman"/>
          <w:lang w:val="en"/>
        </w:rPr>
        <w:t xml:space="preserve">(1993) 64 Ontario Court of Appeal 20 (Ontario Court of </w:t>
      </w:r>
      <w:r>
        <w:rPr>
          <w:rFonts w:eastAsia="Times New Roman" w:cs="Times New Roman"/>
          <w:lang w:val="en"/>
        </w:rPr>
        <w:br/>
        <w:t>Appeal)</w:t>
      </w:r>
      <w:r>
        <w:rPr>
          <w:rFonts w:eastAsia="Times New Roman" w:cs="Times New Roman"/>
          <w:lang w:val="en"/>
        </w:rPr>
        <w:tab/>
        <w:t>10</w:t>
      </w:r>
    </w:p>
    <w:p w14:paraId="75F582D3" w14:textId="77777777" w:rsidR="00C33996" w:rsidRDefault="00C33996" w:rsidP="00C33996">
      <w:pPr>
        <w:tabs>
          <w:tab w:val="right" w:leader="dot" w:pos="11340"/>
        </w:tabs>
        <w:spacing w:line="240" w:lineRule="auto"/>
        <w:ind w:firstLine="0"/>
        <w:rPr>
          <w:rFonts w:eastAsia="Times New Roman" w:cs="Times New Roman"/>
          <w:lang w:val="en"/>
        </w:rPr>
      </w:pPr>
    </w:p>
    <w:p w14:paraId="66A8CE5D"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Jones et al v Saudi Arabia</w:t>
      </w:r>
      <w:r>
        <w:rPr>
          <w:rFonts w:eastAsia="Times New Roman" w:cs="Times New Roman"/>
          <w:lang w:val="en"/>
        </w:rPr>
        <w:t xml:space="preserve"> [2006] United Kingdom House of Lords 26 (House of Lords of the United Kingdom)</w:t>
      </w:r>
      <w:r>
        <w:rPr>
          <w:rFonts w:eastAsia="Times New Roman" w:cs="Times New Roman"/>
          <w:lang w:val="en"/>
        </w:rPr>
        <w:tab/>
        <w:t>10, 11, 13</w:t>
      </w:r>
    </w:p>
    <w:p w14:paraId="7501AD68" w14:textId="77777777" w:rsidR="00C33996" w:rsidRDefault="00C33996" w:rsidP="00C33996">
      <w:pPr>
        <w:tabs>
          <w:tab w:val="right" w:leader="dot" w:pos="11340"/>
        </w:tabs>
        <w:spacing w:line="240" w:lineRule="auto"/>
        <w:ind w:firstLine="0"/>
        <w:rPr>
          <w:rFonts w:eastAsia="Times New Roman" w:cs="Times New Roman"/>
          <w:i/>
          <w:lang w:val="en"/>
        </w:rPr>
      </w:pPr>
    </w:p>
    <w:p w14:paraId="5C667700"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GB"/>
        </w:rPr>
        <w:t>Judgment of 28 January 2021</w:t>
      </w:r>
      <w:r>
        <w:rPr>
          <w:rFonts w:eastAsia="Times New Roman" w:cs="Times New Roman"/>
          <w:lang w:val="en-GB"/>
        </w:rPr>
        <w:t xml:space="preserve"> (2021) 3 </w:t>
      </w:r>
      <w:proofErr w:type="spellStart"/>
      <w:r>
        <w:rPr>
          <w:rFonts w:eastAsia="Times New Roman" w:cs="Times New Roman"/>
          <w:lang w:val="en-GB"/>
        </w:rPr>
        <w:t>StR</w:t>
      </w:r>
      <w:proofErr w:type="spellEnd"/>
      <w:r>
        <w:rPr>
          <w:rFonts w:eastAsia="Times New Roman" w:cs="Times New Roman"/>
          <w:lang w:val="en-GB"/>
        </w:rPr>
        <w:t xml:space="preserve"> 564/19 (Federal Court of Justice of </w:t>
      </w:r>
      <w:r>
        <w:rPr>
          <w:rFonts w:eastAsia="Times New Roman" w:cs="Times New Roman"/>
          <w:lang w:val="en-GB"/>
        </w:rPr>
        <w:br/>
        <w:t>Germany)</w:t>
      </w:r>
      <w:r>
        <w:rPr>
          <w:rFonts w:eastAsia="Times New Roman" w:cs="Times New Roman"/>
          <w:lang w:val="en"/>
        </w:rPr>
        <w:tab/>
        <w:t>12</w:t>
      </w:r>
    </w:p>
    <w:p w14:paraId="61F01D87" w14:textId="77777777" w:rsidR="00C33996" w:rsidRDefault="00C33996" w:rsidP="00C33996">
      <w:pPr>
        <w:tabs>
          <w:tab w:val="right" w:leader="dot" w:pos="11340"/>
        </w:tabs>
        <w:spacing w:line="240" w:lineRule="auto"/>
        <w:ind w:firstLine="0"/>
        <w:rPr>
          <w:rFonts w:eastAsia="Times New Roman" w:cs="Times New Roman"/>
          <w:lang w:val="en"/>
        </w:rPr>
      </w:pPr>
    </w:p>
    <w:p w14:paraId="53A9BEC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Judgment of the Criminal Chamber</w:t>
      </w:r>
      <w:r>
        <w:rPr>
          <w:rFonts w:eastAsia="Times New Roman" w:cs="Times New Roman"/>
          <w:lang w:val="en"/>
        </w:rPr>
        <w:t xml:space="preserve"> (2021) Case No 20-80.511 (French Court of </w:t>
      </w:r>
      <w:r>
        <w:rPr>
          <w:rFonts w:eastAsia="Times New Roman" w:cs="Times New Roman"/>
          <w:lang w:val="en"/>
        </w:rPr>
        <w:br/>
        <w:t>Cassation)</w:t>
      </w:r>
      <w:r>
        <w:rPr>
          <w:rFonts w:eastAsia="Times New Roman" w:cs="Times New Roman"/>
          <w:lang w:val="en"/>
        </w:rPr>
        <w:tab/>
        <w:t>13</w:t>
      </w:r>
      <w:r>
        <w:rPr>
          <w:rFonts w:eastAsia="Times New Roman" w:cs="Times New Roman"/>
          <w:lang w:val="en"/>
        </w:rPr>
        <w:br/>
      </w:r>
    </w:p>
    <w:p w14:paraId="3208A000"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“Maduro Board” of the Central Bank of Venezuela v “</w:t>
      </w:r>
      <w:proofErr w:type="spellStart"/>
      <w:r>
        <w:rPr>
          <w:rFonts w:eastAsia="Times New Roman" w:cs="Times New Roman"/>
          <w:i/>
          <w:lang w:val="en"/>
        </w:rPr>
        <w:t>Guaido</w:t>
      </w:r>
      <w:proofErr w:type="spellEnd"/>
      <w:r>
        <w:rPr>
          <w:rFonts w:eastAsia="Times New Roman" w:cs="Times New Roman"/>
          <w:i/>
          <w:lang w:val="en"/>
        </w:rPr>
        <w:t xml:space="preserve"> Board” of the Central Bank of Venezuela</w:t>
      </w:r>
      <w:r>
        <w:rPr>
          <w:rFonts w:eastAsia="Times New Roman" w:cs="Times New Roman"/>
          <w:lang w:val="en"/>
        </w:rPr>
        <w:t xml:space="preserve"> (2021) 2 Weekly Law Reports 167 (United Kingdom Supreme Court)</w:t>
      </w:r>
      <w:r>
        <w:rPr>
          <w:rFonts w:eastAsia="Times New Roman" w:cs="Times New Roman"/>
          <w:lang w:val="en"/>
        </w:rPr>
        <w:tab/>
        <w:t>23</w:t>
      </w:r>
    </w:p>
    <w:p w14:paraId="0FEEF353" w14:textId="77777777" w:rsidR="00C33996" w:rsidRDefault="00C33996" w:rsidP="00C33996">
      <w:pPr>
        <w:tabs>
          <w:tab w:val="right" w:leader="dot" w:pos="11340"/>
        </w:tabs>
        <w:spacing w:line="240" w:lineRule="auto"/>
        <w:ind w:firstLine="0"/>
        <w:rPr>
          <w:rFonts w:eastAsia="Times New Roman" w:cs="Times New Roman"/>
          <w:lang w:val="en"/>
        </w:rPr>
      </w:pPr>
    </w:p>
    <w:p w14:paraId="5CF96A07"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i/>
          <w:lang w:val="en"/>
        </w:rPr>
        <w:t>Sabbithi</w:t>
      </w:r>
      <w:proofErr w:type="spellEnd"/>
      <w:r>
        <w:rPr>
          <w:rFonts w:eastAsia="Times New Roman" w:cs="Times New Roman"/>
          <w:i/>
          <w:lang w:val="en"/>
        </w:rPr>
        <w:t xml:space="preserve"> v Al Saleh </w:t>
      </w:r>
      <w:r>
        <w:rPr>
          <w:rFonts w:eastAsia="Times New Roman" w:cs="Times New Roman"/>
          <w:lang w:val="en"/>
        </w:rPr>
        <w:t>(2009) 605 Federal Supplements 2d 122 (United States District Court, District of Columbia)</w:t>
      </w:r>
      <w:r>
        <w:rPr>
          <w:rFonts w:eastAsia="Times New Roman" w:cs="Times New Roman"/>
          <w:lang w:val="en"/>
        </w:rPr>
        <w:tab/>
        <w:t>11</w:t>
      </w:r>
    </w:p>
    <w:p w14:paraId="67657531" w14:textId="77777777" w:rsidR="00C33996" w:rsidRDefault="00C33996" w:rsidP="00C33996">
      <w:pPr>
        <w:tabs>
          <w:tab w:val="right" w:leader="dot" w:pos="11340"/>
        </w:tabs>
        <w:spacing w:line="240" w:lineRule="auto"/>
        <w:ind w:firstLine="0"/>
        <w:rPr>
          <w:rFonts w:eastAsia="Times New Roman" w:cs="Times New Roman"/>
          <w:lang w:val="en"/>
        </w:rPr>
      </w:pPr>
    </w:p>
    <w:p w14:paraId="3A4DD32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Sharon v </w:t>
      </w:r>
      <w:proofErr w:type="spellStart"/>
      <w:r>
        <w:rPr>
          <w:rFonts w:eastAsia="Times New Roman" w:cs="Times New Roman"/>
          <w:i/>
          <w:lang w:val="en"/>
        </w:rPr>
        <w:t>Yaron</w:t>
      </w:r>
      <w:proofErr w:type="spellEnd"/>
      <w:r>
        <w:rPr>
          <w:rFonts w:eastAsia="Times New Roman" w:cs="Times New Roman"/>
          <w:i/>
          <w:lang w:val="en"/>
        </w:rPr>
        <w:t xml:space="preserve"> </w:t>
      </w:r>
      <w:r>
        <w:rPr>
          <w:rFonts w:eastAsia="Times New Roman" w:cs="Times New Roman"/>
          <w:lang w:val="en"/>
        </w:rPr>
        <w:t xml:space="preserve">(2003) 42 International Legal Materials 596 (Belgian Court of </w:t>
      </w:r>
      <w:r>
        <w:rPr>
          <w:rFonts w:eastAsia="Times New Roman" w:cs="Times New Roman"/>
          <w:lang w:val="en"/>
        </w:rPr>
        <w:br/>
        <w:t>Cassation)</w:t>
      </w:r>
      <w:r>
        <w:rPr>
          <w:rFonts w:eastAsia="Times New Roman" w:cs="Times New Roman"/>
          <w:lang w:val="en"/>
        </w:rPr>
        <w:tab/>
        <w:t>13</w:t>
      </w:r>
    </w:p>
    <w:p w14:paraId="56AA971F" w14:textId="77777777" w:rsidR="00C33996" w:rsidRDefault="00C33996" w:rsidP="00C33996">
      <w:pPr>
        <w:tabs>
          <w:tab w:val="right" w:leader="dot" w:pos="11340"/>
        </w:tabs>
        <w:spacing w:line="240" w:lineRule="auto"/>
        <w:ind w:firstLine="0"/>
        <w:rPr>
          <w:rFonts w:eastAsia="Times New Roman" w:cs="Times New Roman"/>
          <w:lang w:val="en"/>
        </w:rPr>
      </w:pPr>
    </w:p>
    <w:p w14:paraId="6974682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Special Prosecutor v Hailemariam et al </w:t>
      </w:r>
      <w:r>
        <w:rPr>
          <w:rFonts w:eastAsia="Times New Roman" w:cs="Times New Roman"/>
          <w:lang w:val="en"/>
        </w:rPr>
        <w:t>(Preliminary Objections)</w:t>
      </w:r>
      <w:r>
        <w:rPr>
          <w:rFonts w:eastAsia="Times New Roman" w:cs="Times New Roman"/>
          <w:i/>
          <w:lang w:val="en"/>
        </w:rPr>
        <w:t xml:space="preserve"> </w:t>
      </w:r>
      <w:r>
        <w:rPr>
          <w:rFonts w:eastAsia="Times New Roman" w:cs="Times New Roman"/>
          <w:lang w:val="en"/>
        </w:rPr>
        <w:t>(1995) Criminal File No 1/87 ILDC 555 (ET 1995) (Ethiopian Federal High Court)</w:t>
      </w:r>
      <w:r>
        <w:rPr>
          <w:rFonts w:eastAsia="Times New Roman" w:cs="Times New Roman"/>
          <w:lang w:val="en"/>
        </w:rPr>
        <w:tab/>
        <w:t>12</w:t>
      </w:r>
    </w:p>
    <w:p w14:paraId="31CDD0CE" w14:textId="77777777" w:rsidR="00C33996" w:rsidRDefault="00C33996" w:rsidP="00C33996">
      <w:pPr>
        <w:tabs>
          <w:tab w:val="right" w:leader="dot" w:pos="11340"/>
        </w:tabs>
        <w:spacing w:line="240" w:lineRule="auto"/>
        <w:ind w:firstLine="0"/>
        <w:rPr>
          <w:rFonts w:eastAsia="Times New Roman" w:cs="Times New Roman"/>
          <w:lang w:val="en"/>
        </w:rPr>
      </w:pPr>
    </w:p>
    <w:p w14:paraId="3FD040B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Ye v Zemin </w:t>
      </w:r>
      <w:r>
        <w:rPr>
          <w:rFonts w:eastAsia="Times New Roman" w:cs="Times New Roman"/>
          <w:lang w:val="en"/>
        </w:rPr>
        <w:t>(2004) 383 F.3d 620 (United States Court of Appeals)</w:t>
      </w:r>
      <w:r>
        <w:rPr>
          <w:rFonts w:eastAsia="Times New Roman" w:cs="Times New Roman"/>
          <w:lang w:val="en"/>
        </w:rPr>
        <w:tab/>
        <w:t>13</w:t>
      </w:r>
    </w:p>
    <w:p w14:paraId="3350343B" w14:textId="77777777" w:rsidR="00C33996" w:rsidRDefault="00C33996" w:rsidP="00C33996">
      <w:pPr>
        <w:tabs>
          <w:tab w:val="right" w:leader="dot" w:pos="11340"/>
        </w:tabs>
        <w:spacing w:line="240" w:lineRule="auto"/>
        <w:ind w:firstLine="0"/>
        <w:rPr>
          <w:rFonts w:eastAsia="Times New Roman" w:cs="Times New Roman"/>
          <w:lang w:val="en"/>
        </w:rPr>
      </w:pPr>
    </w:p>
    <w:p w14:paraId="26F07D4C"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i/>
          <w:lang w:val="en"/>
        </w:rPr>
        <w:t xml:space="preserve">Zhang v Jiang Zemin </w:t>
      </w:r>
      <w:r>
        <w:rPr>
          <w:rFonts w:eastAsia="Times New Roman" w:cs="Times New Roman"/>
          <w:lang w:val="en"/>
        </w:rPr>
        <w:t>(2008) 141 International Law Reports 542 (New South Wales Supreme Court)</w:t>
      </w:r>
      <w:r>
        <w:rPr>
          <w:rFonts w:eastAsia="Times New Roman" w:cs="Times New Roman"/>
          <w:lang w:val="en"/>
        </w:rPr>
        <w:tab/>
        <w:t>13</w:t>
      </w:r>
      <w:r>
        <w:rPr>
          <w:rFonts w:eastAsia="Times New Roman" w:cs="Times New Roman"/>
          <w:lang w:val="en"/>
        </w:rPr>
        <w:br/>
      </w:r>
    </w:p>
    <w:p w14:paraId="7303997C" w14:textId="77777777" w:rsidR="00C33996" w:rsidRDefault="00C33996" w:rsidP="00C33996">
      <w:pPr>
        <w:tabs>
          <w:tab w:val="right" w:leader="dot" w:pos="11340"/>
        </w:tabs>
        <w:spacing w:line="240" w:lineRule="auto"/>
        <w:ind w:firstLine="0"/>
        <w:rPr>
          <w:rFonts w:eastAsia="Times New Roman" w:cs="Times New Roman"/>
          <w:b/>
          <w:u w:val="single"/>
          <w:lang w:val="en"/>
        </w:rPr>
      </w:pPr>
      <w:r>
        <w:rPr>
          <w:rFonts w:eastAsia="Times New Roman" w:cs="Times New Roman"/>
          <w:b/>
          <w:u w:val="single"/>
          <w:lang w:val="en"/>
        </w:rPr>
        <w:lastRenderedPageBreak/>
        <w:t>V. Domestic Legislation</w:t>
      </w:r>
    </w:p>
    <w:p w14:paraId="6C2411D2" w14:textId="77777777" w:rsidR="00C33996" w:rsidRDefault="00C33996" w:rsidP="00C33996">
      <w:pPr>
        <w:tabs>
          <w:tab w:val="right" w:leader="dot" w:pos="11340"/>
        </w:tabs>
        <w:spacing w:line="240" w:lineRule="auto"/>
        <w:ind w:firstLine="0"/>
        <w:rPr>
          <w:rFonts w:eastAsia="Times New Roman" w:cs="Times New Roman"/>
          <w:lang w:val="en"/>
        </w:rPr>
      </w:pPr>
    </w:p>
    <w:p w14:paraId="3ECC9528" w14:textId="77777777" w:rsidR="00C33996" w:rsidRDefault="00C33996" w:rsidP="00C33996">
      <w:pPr>
        <w:tabs>
          <w:tab w:val="right" w:leader="dot" w:pos="11340"/>
        </w:tabs>
        <w:spacing w:line="240" w:lineRule="auto"/>
        <w:ind w:firstLine="0"/>
      </w:pPr>
      <w:r>
        <w:t>Brazilian Penal Code (1984) &lt;https://www.planalto.gov.br/ccivil_03/decreto-lei/del</w:t>
      </w:r>
      <w:r>
        <w:br/>
        <w:t>2848compilado.htm&gt; accessed 12 January 2025</w:t>
      </w:r>
      <w:r>
        <w:tab/>
        <w:t>6</w:t>
      </w:r>
    </w:p>
    <w:p w14:paraId="498300B7" w14:textId="77777777" w:rsidR="00C33996" w:rsidRDefault="00C33996" w:rsidP="00C33996">
      <w:pPr>
        <w:tabs>
          <w:tab w:val="right" w:leader="dot" w:pos="11340"/>
        </w:tabs>
        <w:spacing w:line="240" w:lineRule="auto"/>
        <w:ind w:firstLine="0"/>
      </w:pPr>
    </w:p>
    <w:p w14:paraId="41BF3683" w14:textId="77777777" w:rsidR="00C33996" w:rsidRDefault="00C33996" w:rsidP="00C33996">
      <w:pPr>
        <w:tabs>
          <w:tab w:val="right" w:leader="dot" w:pos="11340"/>
        </w:tabs>
        <w:spacing w:line="240" w:lineRule="auto"/>
        <w:ind w:firstLine="0"/>
      </w:pPr>
      <w:r>
        <w:t>British</w:t>
      </w:r>
      <w:r>
        <w:rPr>
          <w:b/>
        </w:rPr>
        <w:t xml:space="preserve"> </w:t>
      </w:r>
      <w:r>
        <w:rPr>
          <w:bCs/>
        </w:rPr>
        <w:t xml:space="preserve">Bribery Act (2010) </w:t>
      </w:r>
      <w:r>
        <w:rPr>
          <w:b/>
        </w:rPr>
        <w:t>&lt;</w:t>
      </w:r>
      <w:r>
        <w:t>https://www.legislation.gov.uk/ukpga/2010/23/data.pdf&gt; accessed 12 January 2025</w:t>
      </w:r>
      <w:r>
        <w:tab/>
        <w:t>7</w:t>
      </w:r>
    </w:p>
    <w:p w14:paraId="5F9B04BF" w14:textId="77777777" w:rsidR="00C33996" w:rsidRDefault="00C33996" w:rsidP="00C33996">
      <w:pPr>
        <w:tabs>
          <w:tab w:val="right" w:leader="dot" w:pos="11340"/>
        </w:tabs>
        <w:spacing w:line="240" w:lineRule="auto"/>
        <w:ind w:firstLine="0"/>
        <w:rPr>
          <w:rFonts w:eastAsia="Times New Roman" w:cs="Times New Roman"/>
          <w:lang w:val="en"/>
        </w:rPr>
      </w:pPr>
    </w:p>
    <w:p w14:paraId="59120653" w14:textId="77777777" w:rsidR="00C33996" w:rsidRDefault="00C33996" w:rsidP="00C33996">
      <w:pPr>
        <w:tabs>
          <w:tab w:val="right" w:leader="dot" w:pos="11340"/>
        </w:tabs>
        <w:spacing w:line="240" w:lineRule="auto"/>
        <w:ind w:firstLine="0"/>
        <w:rPr>
          <w:lang w:val="en-GB"/>
        </w:rPr>
      </w:pPr>
      <w:r>
        <w:rPr>
          <w:rFonts w:eastAsia="Times New Roman" w:cs="Times New Roman"/>
          <w:lang w:val="en"/>
        </w:rPr>
        <w:t xml:space="preserve">German Criminal Code (2009) </w:t>
      </w:r>
      <w:r>
        <w:rPr>
          <w:lang w:val="en-GB"/>
        </w:rPr>
        <w:t>&lt;https://www.gesetze-im-internet.de/stgb/__5.html&gt; accessed 12 January 2025</w:t>
      </w:r>
      <w:r>
        <w:rPr>
          <w:lang w:val="en-GB"/>
        </w:rPr>
        <w:tab/>
        <w:t>6</w:t>
      </w:r>
    </w:p>
    <w:p w14:paraId="2389906C" w14:textId="77777777" w:rsidR="00C33996" w:rsidRDefault="00C33996" w:rsidP="00C33996">
      <w:pPr>
        <w:tabs>
          <w:tab w:val="right" w:leader="dot" w:pos="11340"/>
        </w:tabs>
        <w:spacing w:line="240" w:lineRule="auto"/>
        <w:ind w:firstLine="0"/>
        <w:rPr>
          <w:rFonts w:eastAsia="Times New Roman" w:cs="Times New Roman"/>
          <w:lang w:val="en"/>
        </w:rPr>
      </w:pPr>
    </w:p>
    <w:p w14:paraId="6F7632C8"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Japanese Penal Code (1907) </w:t>
      </w:r>
      <w:r>
        <w:t>&lt;https://www.japaneselawtranslation.go.jp/en/laws/view/</w:t>
      </w:r>
      <w:r>
        <w:br/>
        <w:t>3581/</w:t>
      </w:r>
      <w:proofErr w:type="spellStart"/>
      <w:r>
        <w:t>en</w:t>
      </w:r>
      <w:proofErr w:type="spellEnd"/>
      <w:r>
        <w:t>&gt; accessed 12 January 2025</w:t>
      </w:r>
      <w:r>
        <w:tab/>
        <w:t>6</w:t>
      </w:r>
    </w:p>
    <w:p w14:paraId="248721A9" w14:textId="77777777" w:rsidR="00C33996" w:rsidRDefault="00C33996" w:rsidP="00C33996">
      <w:pPr>
        <w:tabs>
          <w:tab w:val="right" w:leader="dot" w:pos="11340"/>
        </w:tabs>
        <w:spacing w:line="240" w:lineRule="auto"/>
        <w:ind w:firstLine="0"/>
        <w:rPr>
          <w:rFonts w:eastAsia="Times New Roman" w:cs="Times New Roman"/>
          <w:lang w:val="en"/>
        </w:rPr>
      </w:pPr>
    </w:p>
    <w:p w14:paraId="6F2325BC" w14:textId="77777777" w:rsidR="00C33996" w:rsidRDefault="00C33996" w:rsidP="00C33996">
      <w:pPr>
        <w:tabs>
          <w:tab w:val="right" w:leader="dot" w:pos="11340"/>
        </w:tabs>
        <w:spacing w:line="240" w:lineRule="auto"/>
        <w:ind w:firstLine="0"/>
      </w:pPr>
      <w:r>
        <w:rPr>
          <w:rFonts w:eastAsia="Times New Roman" w:cs="Times New Roman"/>
          <w:lang w:val="en"/>
        </w:rPr>
        <w:t xml:space="preserve">United States Code Title 18 - Crimes and Criminal Procedure (2022) </w:t>
      </w:r>
      <w:r>
        <w:t>&lt;https://www.law.cornell.</w:t>
      </w:r>
      <w:r>
        <w:br/>
      </w:r>
      <w:proofErr w:type="spellStart"/>
      <w:r>
        <w:t>edu</w:t>
      </w:r>
      <w:proofErr w:type="spellEnd"/>
      <w:r>
        <w:t>/</w:t>
      </w:r>
      <w:proofErr w:type="spellStart"/>
      <w:r>
        <w:t>uscode</w:t>
      </w:r>
      <w:proofErr w:type="spellEnd"/>
      <w:r>
        <w:t>/text/18/5&gt; accessed 12 January 2025</w:t>
      </w:r>
      <w:r>
        <w:tab/>
        <w:t>6</w:t>
      </w:r>
    </w:p>
    <w:p w14:paraId="326B993B" w14:textId="77777777" w:rsidR="00C33996" w:rsidRDefault="00C33996" w:rsidP="00C33996">
      <w:pPr>
        <w:tabs>
          <w:tab w:val="right" w:leader="dot" w:pos="11340"/>
        </w:tabs>
        <w:spacing w:line="240" w:lineRule="auto"/>
        <w:ind w:firstLine="0"/>
        <w:rPr>
          <w:rFonts w:eastAsia="Times New Roman" w:cs="Times New Roman"/>
          <w:lang w:val="en"/>
        </w:rPr>
      </w:pPr>
    </w:p>
    <w:p w14:paraId="64E230B1" w14:textId="77777777" w:rsidR="00C33996" w:rsidRDefault="00C33996" w:rsidP="00C33996">
      <w:pPr>
        <w:tabs>
          <w:tab w:val="right" w:leader="dot" w:pos="11340"/>
        </w:tabs>
        <w:spacing w:line="240" w:lineRule="auto"/>
        <w:ind w:firstLine="0"/>
        <w:rPr>
          <w:rFonts w:eastAsia="Times New Roman" w:cs="Times New Roman"/>
          <w:b/>
          <w:bCs/>
          <w:u w:val="single"/>
          <w:lang w:val="en"/>
        </w:rPr>
      </w:pPr>
      <w:r>
        <w:rPr>
          <w:rFonts w:eastAsia="Times New Roman" w:cs="Times New Roman"/>
          <w:b/>
          <w:bCs/>
          <w:u w:val="single"/>
          <w:lang w:val="en"/>
        </w:rPr>
        <w:t>VI. Scholarly Works</w:t>
      </w:r>
    </w:p>
    <w:p w14:paraId="5472E259" w14:textId="77777777" w:rsidR="00C33996" w:rsidRDefault="00C33996" w:rsidP="00C33996">
      <w:pPr>
        <w:tabs>
          <w:tab w:val="right" w:leader="dot" w:pos="11340"/>
        </w:tabs>
        <w:spacing w:line="240" w:lineRule="auto"/>
        <w:ind w:firstLine="0"/>
        <w:rPr>
          <w:rFonts w:eastAsia="Times New Roman" w:cs="Times New Roman"/>
          <w:b/>
          <w:bCs/>
          <w:u w:val="single"/>
          <w:lang w:val="en"/>
        </w:rPr>
      </w:pPr>
    </w:p>
    <w:p w14:paraId="56624753"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Brown, Chester/O’ Keefe, Roger ‘Article 19: State Immunity from post-judgment measures of constraint’ in Roger O’Keefe and Christian Tams (eds), </w:t>
      </w:r>
      <w:r>
        <w:rPr>
          <w:rFonts w:eastAsia="Times New Roman" w:cs="Times New Roman"/>
          <w:i/>
          <w:lang w:val="en"/>
        </w:rPr>
        <w:t xml:space="preserve">The United Nations Convention on Jurisdictional Immunities of States and Their Properties: A Commentary </w:t>
      </w:r>
      <w:r>
        <w:rPr>
          <w:rFonts w:eastAsia="Times New Roman" w:cs="Times New Roman"/>
          <w:lang w:val="en"/>
        </w:rPr>
        <w:t>(Oxford University Press 2013) 308</w:t>
      </w:r>
      <w:r>
        <w:rPr>
          <w:rFonts w:eastAsia="Times New Roman" w:cs="Times New Roman"/>
          <w:lang w:val="en"/>
        </w:rPr>
        <w:tab/>
        <w:t>27</w:t>
      </w:r>
    </w:p>
    <w:p w14:paraId="13571093" w14:textId="77777777" w:rsidR="00C33996" w:rsidRDefault="00C33996" w:rsidP="00C33996">
      <w:pPr>
        <w:tabs>
          <w:tab w:val="right" w:leader="dot" w:pos="11340"/>
        </w:tabs>
        <w:spacing w:line="240" w:lineRule="auto"/>
        <w:ind w:firstLine="0"/>
        <w:rPr>
          <w:rFonts w:eastAsia="Times New Roman" w:cs="Times New Roman"/>
          <w:lang w:val="en"/>
        </w:rPr>
      </w:pPr>
    </w:p>
    <w:p w14:paraId="0E238D94"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Caron, David ‘Climate Change, Sea Level Rise and the Coming Uncertainty in Oceanic Boundaries: A proposal to Avoid Conflict’ in </w:t>
      </w:r>
      <w:proofErr w:type="spellStart"/>
      <w:r>
        <w:rPr>
          <w:rFonts w:eastAsia="Times New Roman" w:cs="Times New Roman"/>
          <w:lang w:val="en"/>
        </w:rPr>
        <w:t>Seoung</w:t>
      </w:r>
      <w:proofErr w:type="spellEnd"/>
      <w:r>
        <w:rPr>
          <w:rFonts w:eastAsia="Times New Roman" w:cs="Times New Roman"/>
          <w:lang w:val="en"/>
        </w:rPr>
        <w:t xml:space="preserve">-Yong Hong and Jon Van Dyke (eds), </w:t>
      </w:r>
      <w:r>
        <w:rPr>
          <w:rFonts w:eastAsia="Times New Roman" w:cs="Times New Roman"/>
          <w:i/>
          <w:lang w:val="en"/>
        </w:rPr>
        <w:t>Maritime Boundary Disputes, Settlement Processes and the Law of the Sea</w:t>
      </w:r>
      <w:r>
        <w:rPr>
          <w:rFonts w:eastAsia="Times New Roman" w:cs="Times New Roman"/>
          <w:lang w:val="en"/>
        </w:rPr>
        <w:t xml:space="preserve"> (</w:t>
      </w:r>
      <w:proofErr w:type="spellStart"/>
      <w:r>
        <w:rPr>
          <w:rFonts w:eastAsia="Times New Roman" w:cs="Times New Roman"/>
          <w:lang w:val="en"/>
        </w:rPr>
        <w:t>Martinus</w:t>
      </w:r>
      <w:proofErr w:type="spellEnd"/>
      <w:r>
        <w:rPr>
          <w:rFonts w:eastAsia="Times New Roman" w:cs="Times New Roman"/>
          <w:lang w:val="en"/>
        </w:rPr>
        <w:t xml:space="preserve"> </w:t>
      </w:r>
      <w:proofErr w:type="spellStart"/>
      <w:r>
        <w:rPr>
          <w:rFonts w:eastAsia="Times New Roman" w:cs="Times New Roman"/>
          <w:lang w:val="en"/>
        </w:rPr>
        <w:t>Nijhoff</w:t>
      </w:r>
      <w:proofErr w:type="spellEnd"/>
      <w:r>
        <w:rPr>
          <w:rFonts w:eastAsia="Times New Roman" w:cs="Times New Roman"/>
          <w:lang w:val="en"/>
        </w:rPr>
        <w:t xml:space="preserve"> 2008) 1</w:t>
      </w:r>
      <w:r>
        <w:rPr>
          <w:rFonts w:eastAsia="Times New Roman" w:cs="Times New Roman"/>
          <w:lang w:val="en"/>
        </w:rPr>
        <w:tab/>
        <w:t>15</w:t>
      </w:r>
    </w:p>
    <w:p w14:paraId="04FB26C2" w14:textId="77777777" w:rsidR="00C33996" w:rsidRDefault="00C33996" w:rsidP="00C33996">
      <w:pPr>
        <w:tabs>
          <w:tab w:val="right" w:leader="dot" w:pos="11340"/>
        </w:tabs>
        <w:spacing w:line="240" w:lineRule="auto"/>
        <w:ind w:firstLine="0"/>
        <w:rPr>
          <w:rFonts w:eastAsia="Times New Roman" w:cs="Times New Roman"/>
          <w:lang w:val="en"/>
        </w:rPr>
      </w:pPr>
    </w:p>
    <w:p w14:paraId="320A989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Caron, David ‘When Law Makes Climate Change Worse: Rethinking the Law of Baselines in Light of a Rising Sea Level’ (1990) 17 Ecology Law Quarterly 621</w:t>
      </w:r>
      <w:r>
        <w:rPr>
          <w:rFonts w:eastAsia="Times New Roman" w:cs="Times New Roman"/>
          <w:lang w:val="en"/>
        </w:rPr>
        <w:tab/>
        <w:t>16</w:t>
      </w:r>
    </w:p>
    <w:p w14:paraId="5B8D014B" w14:textId="77777777" w:rsidR="00C33996" w:rsidRDefault="00C33996" w:rsidP="00C33996">
      <w:pPr>
        <w:tabs>
          <w:tab w:val="right" w:leader="dot" w:pos="11340"/>
        </w:tabs>
        <w:spacing w:line="240" w:lineRule="auto"/>
        <w:ind w:firstLine="0"/>
        <w:rPr>
          <w:rFonts w:eastAsia="Times New Roman" w:cs="Times New Roman"/>
          <w:lang w:val="en"/>
        </w:rPr>
      </w:pPr>
    </w:p>
    <w:p w14:paraId="4B7780AC" w14:textId="77777777" w:rsidR="00C33996" w:rsidRDefault="00C33996" w:rsidP="00C33996">
      <w:pPr>
        <w:tabs>
          <w:tab w:val="right" w:leader="dot" w:pos="11340"/>
        </w:tabs>
        <w:spacing w:line="240" w:lineRule="auto"/>
        <w:ind w:firstLine="0"/>
        <w:rPr>
          <w:rFonts w:eastAsia="Times New Roman" w:cs="Times New Roman"/>
          <w:lang w:val="en"/>
        </w:rPr>
      </w:pPr>
      <w:r>
        <w:t xml:space="preserve">Crawford, James </w:t>
      </w:r>
      <w:proofErr w:type="spellStart"/>
      <w:r>
        <w:rPr>
          <w:i/>
          <w:iCs/>
        </w:rPr>
        <w:t>Brownlie’s</w:t>
      </w:r>
      <w:proofErr w:type="spellEnd"/>
      <w:r>
        <w:rPr>
          <w:i/>
          <w:iCs/>
        </w:rPr>
        <w:t xml:space="preserve"> Principles of Public International Law </w:t>
      </w:r>
      <w:r>
        <w:t>(9</w:t>
      </w:r>
      <w:r>
        <w:rPr>
          <w:vertAlign w:val="superscript"/>
        </w:rPr>
        <w:t>th</w:t>
      </w:r>
      <w:r>
        <w:t xml:space="preserve"> </w:t>
      </w:r>
      <w:proofErr w:type="spellStart"/>
      <w:r>
        <w:t>edn</w:t>
      </w:r>
      <w:proofErr w:type="spellEnd"/>
      <w:r>
        <w:t>, Oxford University Press 2019)</w:t>
      </w:r>
      <w:r>
        <w:tab/>
        <w:t>7</w:t>
      </w:r>
    </w:p>
    <w:p w14:paraId="42902BF0" w14:textId="77777777" w:rsidR="00C33996" w:rsidRDefault="00C33996" w:rsidP="00C33996">
      <w:pPr>
        <w:tabs>
          <w:tab w:val="right" w:leader="dot" w:pos="11340"/>
        </w:tabs>
        <w:spacing w:line="240" w:lineRule="auto"/>
        <w:ind w:firstLine="0"/>
        <w:rPr>
          <w:rFonts w:eastAsia="Times New Roman" w:cs="Times New Roman"/>
          <w:lang w:val="en"/>
        </w:rPr>
      </w:pPr>
    </w:p>
    <w:p w14:paraId="2FF26DC8" w14:textId="77777777" w:rsidR="00C33996" w:rsidRDefault="00C33996" w:rsidP="00C33996">
      <w:pPr>
        <w:tabs>
          <w:tab w:val="right" w:leader="dot" w:pos="11340"/>
        </w:tabs>
        <w:spacing w:line="240" w:lineRule="auto"/>
        <w:ind w:firstLine="0"/>
        <w:rPr>
          <w:rFonts w:eastAsia="Times New Roman" w:cs="Times New Roman"/>
          <w:lang w:val="en"/>
        </w:rPr>
      </w:pPr>
      <w:r>
        <w:t>Committee on International Law and Sea Level Rise, ‘Final Report’ in International Law Association Report of the Eighty-first Conference (International Law Association, 2024) &lt;https://www.ila-hq.org/en/documents/final-report-committee-on-international-law-and-sea-level-rise-22-05-2024&gt; accessed 12 January 2025</w:t>
      </w:r>
      <w:r>
        <w:tab/>
        <w:t>15</w:t>
      </w:r>
    </w:p>
    <w:p w14:paraId="026A5219" w14:textId="77777777" w:rsidR="00C33996" w:rsidRDefault="00C33996" w:rsidP="00C33996">
      <w:pPr>
        <w:tabs>
          <w:tab w:val="right" w:leader="dot" w:pos="11340"/>
        </w:tabs>
        <w:spacing w:line="240" w:lineRule="auto"/>
        <w:ind w:firstLine="0"/>
        <w:rPr>
          <w:rFonts w:eastAsia="Times New Roman" w:cs="Times New Roman"/>
          <w:lang w:val="en"/>
        </w:rPr>
      </w:pPr>
    </w:p>
    <w:p w14:paraId="43DC44A6" w14:textId="77777777" w:rsidR="00C33996" w:rsidRDefault="00C33996" w:rsidP="00C33996">
      <w:pPr>
        <w:tabs>
          <w:tab w:val="right" w:leader="dot" w:pos="11340"/>
        </w:tabs>
        <w:spacing w:line="240" w:lineRule="auto"/>
        <w:ind w:firstLine="0"/>
        <w:rPr>
          <w:lang w:val="en-GB"/>
        </w:rPr>
      </w:pPr>
      <w:r>
        <w:t xml:space="preserve">Committee on Recognition/Non-Recognition in International Law, ‘Third Report’ in </w:t>
      </w:r>
      <w:r>
        <w:rPr>
          <w:lang w:val="en-GB"/>
        </w:rPr>
        <w:t xml:space="preserve">International Law Association </w:t>
      </w:r>
      <w:r>
        <w:t xml:space="preserve">Report of the </w:t>
      </w:r>
      <w:r>
        <w:rPr>
          <w:lang w:val="en-GB"/>
        </w:rPr>
        <w:t xml:space="preserve">Seventy-seventh Conference (Johannesburg 2016) </w:t>
      </w:r>
      <w:r>
        <w:t>(I</w:t>
      </w:r>
      <w:proofErr w:type="spellStart"/>
      <w:r>
        <w:rPr>
          <w:lang w:val="en-GB"/>
        </w:rPr>
        <w:t>nternational</w:t>
      </w:r>
      <w:proofErr w:type="spellEnd"/>
      <w:r>
        <w:rPr>
          <w:lang w:val="en-GB"/>
        </w:rPr>
        <w:t xml:space="preserve"> Law Association</w:t>
      </w:r>
      <w:r>
        <w:t xml:space="preserve">, Johannesburg 2016) </w:t>
      </w:r>
      <w:r>
        <w:rPr>
          <w:lang w:val="en-GB"/>
        </w:rPr>
        <w:t>533</w:t>
      </w:r>
      <w:r>
        <w:rPr>
          <w:lang w:val="en-GB"/>
        </w:rPr>
        <w:tab/>
        <w:t>25</w:t>
      </w:r>
    </w:p>
    <w:p w14:paraId="74427DA7" w14:textId="77777777" w:rsidR="00C33996" w:rsidRDefault="00C33996" w:rsidP="00C33996">
      <w:pPr>
        <w:tabs>
          <w:tab w:val="right" w:leader="dot" w:pos="11340"/>
        </w:tabs>
        <w:spacing w:line="240" w:lineRule="auto"/>
        <w:ind w:firstLine="0"/>
        <w:rPr>
          <w:rFonts w:eastAsia="Times New Roman" w:cs="Times New Roman"/>
          <w:lang w:val="en"/>
        </w:rPr>
      </w:pPr>
    </w:p>
    <w:p w14:paraId="35DB6F5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Dahl, Robert ‘What Political Institutions Does Large-Scale Democracy Require?’ (2005) 120 (2) Political Science Quarterly 187</w:t>
      </w:r>
      <w:r>
        <w:rPr>
          <w:rFonts w:eastAsia="Times New Roman" w:cs="Times New Roman"/>
          <w:lang w:val="en"/>
        </w:rPr>
        <w:tab/>
        <w:t>26</w:t>
      </w:r>
    </w:p>
    <w:p w14:paraId="3E4B7097" w14:textId="77777777" w:rsidR="00C33996" w:rsidRDefault="00C33996" w:rsidP="00C33996">
      <w:pPr>
        <w:tabs>
          <w:tab w:val="right" w:leader="dot" w:pos="11340"/>
        </w:tabs>
        <w:spacing w:line="240" w:lineRule="auto"/>
        <w:ind w:firstLine="0"/>
        <w:rPr>
          <w:rFonts w:eastAsia="Times New Roman" w:cs="Times New Roman"/>
          <w:lang w:val="en"/>
        </w:rPr>
      </w:pPr>
    </w:p>
    <w:p w14:paraId="6F2B20BA" w14:textId="77777777" w:rsidR="00C33996" w:rsidRDefault="00C33996" w:rsidP="00C33996">
      <w:pPr>
        <w:tabs>
          <w:tab w:val="right" w:leader="dot" w:pos="11340"/>
        </w:tabs>
        <w:spacing w:line="240" w:lineRule="auto"/>
        <w:ind w:firstLine="0"/>
      </w:pPr>
      <w:proofErr w:type="spellStart"/>
      <w:r>
        <w:t>Dopagne</w:t>
      </w:r>
      <w:proofErr w:type="spellEnd"/>
      <w:r>
        <w:t xml:space="preserve">, Frédéric ‘Waivers of Immunity from Execution’ in Tom </w:t>
      </w:r>
      <w:proofErr w:type="spellStart"/>
      <w:r>
        <w:t>Ruys</w:t>
      </w:r>
      <w:proofErr w:type="spellEnd"/>
      <w:r>
        <w:t xml:space="preserve"> et al (eds), </w:t>
      </w:r>
      <w:r>
        <w:rPr>
          <w:i/>
        </w:rPr>
        <w:t>The Cambridge Handbook of Immunities and International Law</w:t>
      </w:r>
      <w:r>
        <w:t xml:space="preserve"> (Cambridge University </w:t>
      </w:r>
      <w:r>
        <w:lastRenderedPageBreak/>
        <w:t>Press 2019) 389</w:t>
      </w:r>
      <w:r>
        <w:tab/>
        <w:t>23</w:t>
      </w:r>
    </w:p>
    <w:p w14:paraId="64937189" w14:textId="77777777" w:rsidR="00C33996" w:rsidRDefault="00C33996" w:rsidP="00C33996">
      <w:pPr>
        <w:tabs>
          <w:tab w:val="right" w:leader="dot" w:pos="11340"/>
        </w:tabs>
        <w:spacing w:line="240" w:lineRule="auto"/>
        <w:ind w:firstLine="0"/>
        <w:rPr>
          <w:rFonts w:eastAsia="Times New Roman" w:cs="Times New Roman"/>
        </w:rPr>
      </w:pPr>
    </w:p>
    <w:p w14:paraId="07777941" w14:textId="5CEC66B7" w:rsidR="00C33996" w:rsidRDefault="00C33996" w:rsidP="00C33996">
      <w:pPr>
        <w:tabs>
          <w:tab w:val="right" w:leader="dot" w:pos="11340"/>
        </w:tabs>
        <w:spacing w:line="240" w:lineRule="auto"/>
        <w:ind w:firstLine="0"/>
        <w:rPr>
          <w:rFonts w:eastAsia="Times New Roman" w:cs="Times New Roman"/>
          <w:lang w:val="en"/>
        </w:rPr>
      </w:pPr>
      <w:r>
        <w:rPr>
          <w:lang w:val="en-GB"/>
        </w:rPr>
        <w:t>Garner, Bryan</w:t>
      </w:r>
      <w:r w:rsidR="00333E68">
        <w:rPr>
          <w:lang w:val="en-GB"/>
        </w:rPr>
        <w:t xml:space="preserve"> (ed)</w:t>
      </w:r>
      <w:r>
        <w:rPr>
          <w:lang w:val="en-GB"/>
        </w:rPr>
        <w:t xml:space="preserve"> </w:t>
      </w:r>
      <w:r>
        <w:rPr>
          <w:i/>
          <w:lang w:val="en-GB"/>
        </w:rPr>
        <w:t>Black’s Law Dictionary</w:t>
      </w:r>
      <w:r>
        <w:rPr>
          <w:lang w:val="en-GB"/>
        </w:rPr>
        <w:t xml:space="preserve"> (11th </w:t>
      </w:r>
      <w:proofErr w:type="spellStart"/>
      <w:r>
        <w:rPr>
          <w:lang w:val="en-GB"/>
        </w:rPr>
        <w:t>edn</w:t>
      </w:r>
      <w:proofErr w:type="spellEnd"/>
      <w:r>
        <w:rPr>
          <w:lang w:val="en-GB"/>
        </w:rPr>
        <w:t>, Thomson Reuters 2019)</w:t>
      </w:r>
      <w:r>
        <w:rPr>
          <w:lang w:val="en-GB"/>
        </w:rPr>
        <w:tab/>
        <w:t>8</w:t>
      </w:r>
    </w:p>
    <w:p w14:paraId="0D7355FC" w14:textId="77777777" w:rsidR="00C33996" w:rsidRDefault="00C33996" w:rsidP="00C33996">
      <w:pPr>
        <w:tabs>
          <w:tab w:val="right" w:leader="dot" w:pos="11340"/>
        </w:tabs>
        <w:spacing w:line="240" w:lineRule="auto"/>
        <w:ind w:firstLine="0"/>
        <w:rPr>
          <w:rFonts w:eastAsia="Times New Roman" w:cs="Times New Roman"/>
          <w:lang w:val="en"/>
        </w:rPr>
      </w:pPr>
    </w:p>
    <w:p w14:paraId="1CB64DD6"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Green, James </w:t>
      </w:r>
      <w:r>
        <w:rPr>
          <w:rFonts w:eastAsia="Times New Roman" w:cs="Times New Roman"/>
          <w:i/>
          <w:lang w:val="en"/>
        </w:rPr>
        <w:t>The Persistent Objector in International Law</w:t>
      </w:r>
      <w:r>
        <w:rPr>
          <w:rFonts w:eastAsia="Times New Roman" w:cs="Times New Roman"/>
          <w:lang w:val="en"/>
        </w:rPr>
        <w:t xml:space="preserve"> (Oxford University </w:t>
      </w:r>
      <w:r>
        <w:rPr>
          <w:rFonts w:eastAsia="Times New Roman" w:cs="Times New Roman"/>
          <w:lang w:val="en"/>
        </w:rPr>
        <w:br/>
        <w:t>Press 2016)</w:t>
      </w:r>
      <w:r>
        <w:rPr>
          <w:rFonts w:eastAsia="Times New Roman" w:cs="Times New Roman"/>
          <w:lang w:val="en"/>
        </w:rPr>
        <w:tab/>
        <w:t>20</w:t>
      </w:r>
    </w:p>
    <w:p w14:paraId="18D4C171" w14:textId="77777777" w:rsidR="00C33996" w:rsidRDefault="00C33996" w:rsidP="00C33996">
      <w:pPr>
        <w:tabs>
          <w:tab w:val="right" w:leader="dot" w:pos="11340"/>
        </w:tabs>
        <w:spacing w:line="240" w:lineRule="auto"/>
        <w:ind w:firstLine="0"/>
        <w:rPr>
          <w:rFonts w:eastAsia="Times New Roman" w:cs="Times New Roman"/>
          <w:lang w:val="en"/>
        </w:rPr>
      </w:pPr>
    </w:p>
    <w:p w14:paraId="350DD675" w14:textId="77777777" w:rsidR="00C33996" w:rsidRDefault="00C33996" w:rsidP="00C33996">
      <w:pPr>
        <w:tabs>
          <w:tab w:val="right" w:leader="dot" w:pos="11340"/>
        </w:tabs>
        <w:spacing w:line="240" w:lineRule="auto"/>
        <w:ind w:firstLine="0"/>
      </w:pPr>
      <w:proofErr w:type="spellStart"/>
      <w:r>
        <w:rPr>
          <w:rFonts w:eastAsia="Times New Roman" w:cs="Times New Roman"/>
          <w:lang w:val="en"/>
        </w:rPr>
        <w:t>Institut</w:t>
      </w:r>
      <w:proofErr w:type="spellEnd"/>
      <w:r>
        <w:rPr>
          <w:rFonts w:eastAsia="Times New Roman" w:cs="Times New Roman"/>
          <w:lang w:val="en"/>
        </w:rPr>
        <w:t xml:space="preserve"> de Droit International, Resolution ‘Universal criminal jurisdiction with regard to the crime of genocide, crimes against humanity and war crimes’ (Krakow Session 2005) </w:t>
      </w:r>
      <w:r>
        <w:t xml:space="preserve">&lt;https://www.idi-iil.org/app/uploads/2017/06/2005_kra_03_en.pdf&gt; accessed 12 </w:t>
      </w:r>
      <w:r>
        <w:br/>
        <w:t>January 2025</w:t>
      </w:r>
      <w:r>
        <w:rPr>
          <w:rFonts w:eastAsia="Times New Roman" w:cs="Times New Roman"/>
          <w:lang w:val="en"/>
        </w:rPr>
        <w:tab/>
        <w:t>9</w:t>
      </w:r>
    </w:p>
    <w:p w14:paraId="6EE90823" w14:textId="77777777" w:rsidR="00C33996" w:rsidRDefault="00C33996" w:rsidP="00C33996">
      <w:pPr>
        <w:tabs>
          <w:tab w:val="right" w:leader="dot" w:pos="11340"/>
        </w:tabs>
        <w:spacing w:line="240" w:lineRule="auto"/>
        <w:ind w:firstLine="0"/>
        <w:rPr>
          <w:rFonts w:eastAsia="Times New Roman" w:cs="Times New Roman"/>
          <w:lang w:val="en"/>
        </w:rPr>
      </w:pPr>
    </w:p>
    <w:p w14:paraId="7CEA2B69"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McNally, Jack ‘Representation, Recognition, Resistance: Rival Governments Before the International Court of Justice’ (2023) 61(2) Columbia Journal of Transnational </w:t>
      </w:r>
      <w:r>
        <w:rPr>
          <w:rFonts w:eastAsia="Times New Roman" w:cs="Times New Roman"/>
          <w:lang w:val="en"/>
        </w:rPr>
        <w:br/>
        <w:t>Law 267</w:t>
      </w:r>
      <w:r>
        <w:rPr>
          <w:rFonts w:eastAsia="Times New Roman" w:cs="Times New Roman"/>
          <w:lang w:val="en"/>
        </w:rPr>
        <w:tab/>
        <w:t>23</w:t>
      </w:r>
    </w:p>
    <w:p w14:paraId="3E904F5C" w14:textId="77777777" w:rsidR="00C33996" w:rsidRDefault="00C33996" w:rsidP="00C33996">
      <w:pPr>
        <w:tabs>
          <w:tab w:val="right" w:leader="dot" w:pos="11340"/>
        </w:tabs>
        <w:spacing w:line="240" w:lineRule="auto"/>
        <w:ind w:firstLine="0"/>
        <w:rPr>
          <w:rFonts w:eastAsia="Times New Roman" w:cs="Times New Roman"/>
          <w:lang w:val="en"/>
        </w:rPr>
      </w:pPr>
    </w:p>
    <w:p w14:paraId="41414BC5"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Nolte, Georg ‘Article 2(7)’ in Bruno </w:t>
      </w:r>
      <w:proofErr w:type="spellStart"/>
      <w:r>
        <w:rPr>
          <w:rFonts w:eastAsia="Times New Roman" w:cs="Times New Roman"/>
          <w:lang w:val="en"/>
        </w:rPr>
        <w:t>Simma</w:t>
      </w:r>
      <w:proofErr w:type="spellEnd"/>
      <w:r>
        <w:rPr>
          <w:rFonts w:eastAsia="Times New Roman" w:cs="Times New Roman"/>
          <w:lang w:val="en"/>
        </w:rPr>
        <w:t xml:space="preserve"> et al (eds), </w:t>
      </w:r>
      <w:r>
        <w:rPr>
          <w:rFonts w:eastAsia="Times New Roman" w:cs="Times New Roman"/>
          <w:i/>
          <w:lang w:val="en"/>
        </w:rPr>
        <w:t>The Charter of the United Nations: A Commentary</w:t>
      </w:r>
      <w:r>
        <w:rPr>
          <w:rFonts w:eastAsia="Times New Roman" w:cs="Times New Roman"/>
          <w:lang w:val="en"/>
        </w:rPr>
        <w:t xml:space="preserve"> (4</w:t>
      </w:r>
      <w:r>
        <w:rPr>
          <w:rFonts w:eastAsia="Times New Roman" w:cs="Times New Roman"/>
          <w:vertAlign w:val="superscript"/>
          <w:lang w:val="en"/>
        </w:rPr>
        <w:t>th</w:t>
      </w:r>
      <w:r>
        <w:rPr>
          <w:rFonts w:eastAsia="Times New Roman" w:cs="Times New Roman"/>
          <w:lang w:val="en"/>
        </w:rPr>
        <w:t xml:space="preserve"> </w:t>
      </w:r>
      <w:proofErr w:type="spellStart"/>
      <w:r>
        <w:rPr>
          <w:rFonts w:eastAsia="Times New Roman" w:cs="Times New Roman"/>
          <w:lang w:val="en"/>
        </w:rPr>
        <w:t>edn</w:t>
      </w:r>
      <w:proofErr w:type="spellEnd"/>
      <w:r>
        <w:rPr>
          <w:rFonts w:eastAsia="Times New Roman" w:cs="Times New Roman"/>
          <w:lang w:val="en"/>
        </w:rPr>
        <w:t>, Oxford University Press 2024) 421</w:t>
      </w:r>
      <w:r>
        <w:rPr>
          <w:rFonts w:eastAsia="Times New Roman" w:cs="Times New Roman"/>
          <w:lang w:val="en"/>
        </w:rPr>
        <w:tab/>
        <w:t>4</w:t>
      </w:r>
    </w:p>
    <w:p w14:paraId="0104AC1F" w14:textId="77777777" w:rsidR="00C33996" w:rsidRDefault="00C33996" w:rsidP="00C33996">
      <w:pPr>
        <w:tabs>
          <w:tab w:val="right" w:leader="dot" w:pos="11340"/>
        </w:tabs>
        <w:spacing w:line="240" w:lineRule="auto"/>
        <w:ind w:firstLine="0"/>
        <w:rPr>
          <w:rFonts w:eastAsia="Times New Roman" w:cs="Times New Roman"/>
          <w:lang w:val="en"/>
        </w:rPr>
      </w:pPr>
    </w:p>
    <w:p w14:paraId="2B4BD5CA" w14:textId="77777777" w:rsidR="00C33996" w:rsidRDefault="00C33996" w:rsidP="00C33996">
      <w:pPr>
        <w:tabs>
          <w:tab w:val="right" w:leader="dot" w:pos="11340"/>
        </w:tabs>
        <w:spacing w:line="240" w:lineRule="auto"/>
        <w:ind w:firstLine="0"/>
      </w:pPr>
      <w:proofErr w:type="spellStart"/>
      <w:r>
        <w:t>Palchetti</w:t>
      </w:r>
      <w:proofErr w:type="spellEnd"/>
      <w:r>
        <w:t xml:space="preserve">, Paolo ‘Article 18 of the 1969 Vienna Convention: A Vague and Ineffective Obligation or a Useful Means for Strengthening Legal Cooperation?’ in Enzo Cannizzaro (ed), </w:t>
      </w:r>
      <w:r>
        <w:rPr>
          <w:i/>
          <w:iCs/>
        </w:rPr>
        <w:t>The Law of Treaties Beyond the Vienna Convention</w:t>
      </w:r>
      <w:r>
        <w:t xml:space="preserve"> (Oxford University </w:t>
      </w:r>
      <w:r>
        <w:br/>
        <w:t>Press 2011) 25</w:t>
      </w:r>
      <w:r>
        <w:tab/>
        <w:t>26</w:t>
      </w:r>
    </w:p>
    <w:p w14:paraId="17556687" w14:textId="77777777" w:rsidR="00C33996" w:rsidRDefault="00C33996" w:rsidP="00C33996">
      <w:pPr>
        <w:tabs>
          <w:tab w:val="right" w:leader="dot" w:pos="11340"/>
        </w:tabs>
        <w:spacing w:line="240" w:lineRule="auto"/>
        <w:ind w:firstLine="0"/>
        <w:rPr>
          <w:rFonts w:eastAsia="Times New Roman" w:cs="Times New Roman"/>
          <w:lang w:val="en"/>
        </w:rPr>
      </w:pPr>
    </w:p>
    <w:p w14:paraId="424AF43D"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lang w:val="en"/>
        </w:rPr>
        <w:t>Pavlopoulos</w:t>
      </w:r>
      <w:proofErr w:type="spellEnd"/>
      <w:r>
        <w:rPr>
          <w:rFonts w:eastAsia="Times New Roman" w:cs="Times New Roman"/>
          <w:lang w:val="en"/>
        </w:rPr>
        <w:t xml:space="preserve">, Niko </w:t>
      </w:r>
      <w:r>
        <w:rPr>
          <w:rFonts w:eastAsia="Times New Roman" w:cs="Times New Roman"/>
          <w:i/>
          <w:lang w:val="en"/>
        </w:rPr>
        <w:t>The Identity of governments in International Law</w:t>
      </w:r>
      <w:r>
        <w:rPr>
          <w:rFonts w:eastAsia="Times New Roman" w:cs="Times New Roman"/>
          <w:lang w:val="en"/>
        </w:rPr>
        <w:t xml:space="preserve"> (Oxford University Press 2024)</w:t>
      </w:r>
      <w:r>
        <w:rPr>
          <w:rFonts w:eastAsia="Times New Roman" w:cs="Times New Roman"/>
          <w:lang w:val="en"/>
        </w:rPr>
        <w:tab/>
        <w:t>24</w:t>
      </w:r>
    </w:p>
    <w:p w14:paraId="681903DB" w14:textId="77777777" w:rsidR="00C33996" w:rsidRDefault="00C33996" w:rsidP="00C33996">
      <w:pPr>
        <w:tabs>
          <w:tab w:val="right" w:leader="dot" w:pos="11340"/>
        </w:tabs>
        <w:spacing w:line="240" w:lineRule="auto"/>
        <w:ind w:firstLine="0"/>
        <w:rPr>
          <w:rFonts w:eastAsia="Times New Roman" w:cs="Times New Roman"/>
          <w:lang w:val="en"/>
        </w:rPr>
      </w:pPr>
    </w:p>
    <w:p w14:paraId="22B5CF10"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lang w:val="en"/>
        </w:rPr>
        <w:t>Ryngaert</w:t>
      </w:r>
      <w:proofErr w:type="spellEnd"/>
      <w:r>
        <w:rPr>
          <w:rFonts w:eastAsia="Times New Roman" w:cs="Times New Roman"/>
          <w:lang w:val="en"/>
        </w:rPr>
        <w:t>, Cedric</w:t>
      </w:r>
      <w:r>
        <w:rPr>
          <w:rFonts w:eastAsia="Times New Roman" w:cs="Times New Roman"/>
          <w:i/>
          <w:lang w:val="en"/>
        </w:rPr>
        <w:t xml:space="preserve"> Jurisdiction in International Law </w:t>
      </w:r>
      <w:r>
        <w:rPr>
          <w:rFonts w:eastAsia="Times New Roman" w:cs="Times New Roman"/>
          <w:lang w:val="en"/>
        </w:rPr>
        <w:t>(2</w:t>
      </w:r>
      <w:r>
        <w:rPr>
          <w:rFonts w:eastAsia="Times New Roman" w:cs="Times New Roman"/>
          <w:vertAlign w:val="superscript"/>
          <w:lang w:val="en"/>
        </w:rPr>
        <w:t>nd</w:t>
      </w:r>
      <w:r>
        <w:rPr>
          <w:rFonts w:eastAsia="Times New Roman" w:cs="Times New Roman"/>
          <w:lang w:val="en"/>
        </w:rPr>
        <w:t xml:space="preserve"> </w:t>
      </w:r>
      <w:proofErr w:type="spellStart"/>
      <w:r>
        <w:rPr>
          <w:rFonts w:eastAsia="Times New Roman" w:cs="Times New Roman"/>
          <w:lang w:val="en"/>
        </w:rPr>
        <w:t>edn</w:t>
      </w:r>
      <w:proofErr w:type="spellEnd"/>
      <w:r>
        <w:rPr>
          <w:rFonts w:eastAsia="Times New Roman" w:cs="Times New Roman"/>
          <w:lang w:val="en"/>
        </w:rPr>
        <w:t xml:space="preserve">, Oxford University </w:t>
      </w:r>
      <w:r>
        <w:rPr>
          <w:rFonts w:eastAsia="Times New Roman" w:cs="Times New Roman"/>
          <w:lang w:val="en"/>
        </w:rPr>
        <w:br/>
        <w:t>Press 2009)</w:t>
      </w:r>
      <w:r>
        <w:rPr>
          <w:rFonts w:eastAsia="Times New Roman" w:cs="Times New Roman"/>
          <w:lang w:val="en"/>
        </w:rPr>
        <w:tab/>
        <w:t>4, 7</w:t>
      </w:r>
    </w:p>
    <w:p w14:paraId="33D55EDF" w14:textId="77777777" w:rsidR="00C33996" w:rsidRDefault="00C33996" w:rsidP="00C33996">
      <w:pPr>
        <w:tabs>
          <w:tab w:val="right" w:leader="dot" w:pos="11340"/>
        </w:tabs>
        <w:spacing w:line="240" w:lineRule="auto"/>
        <w:ind w:firstLine="0"/>
        <w:rPr>
          <w:rFonts w:eastAsia="Times New Roman" w:cs="Times New Roman"/>
          <w:lang w:val="en"/>
        </w:rPr>
      </w:pPr>
    </w:p>
    <w:p w14:paraId="1BA5647C" w14:textId="77777777" w:rsidR="00C33996" w:rsidRDefault="00C33996" w:rsidP="00C33996">
      <w:pPr>
        <w:tabs>
          <w:tab w:val="right" w:leader="dot" w:pos="11340"/>
        </w:tabs>
        <w:spacing w:line="240" w:lineRule="auto"/>
        <w:ind w:firstLine="0"/>
        <w:rPr>
          <w:rFonts w:eastAsia="Times New Roman" w:cs="Times New Roman"/>
          <w:lang w:val="en"/>
        </w:rPr>
      </w:pPr>
      <w:proofErr w:type="spellStart"/>
      <w:r>
        <w:rPr>
          <w:rFonts w:eastAsia="Times New Roman" w:cs="Times New Roman"/>
          <w:lang w:val="en"/>
        </w:rPr>
        <w:t>Simma</w:t>
      </w:r>
      <w:proofErr w:type="spellEnd"/>
      <w:r>
        <w:rPr>
          <w:rFonts w:eastAsia="Times New Roman" w:cs="Times New Roman"/>
          <w:lang w:val="en"/>
        </w:rPr>
        <w:t xml:space="preserve">, </w:t>
      </w:r>
      <w:proofErr w:type="spellStart"/>
      <w:r>
        <w:rPr>
          <w:rFonts w:eastAsia="Times New Roman" w:cs="Times New Roman"/>
          <w:lang w:val="en"/>
        </w:rPr>
        <w:t>Brunno</w:t>
      </w:r>
      <w:proofErr w:type="spellEnd"/>
      <w:r>
        <w:rPr>
          <w:rFonts w:eastAsia="Times New Roman" w:cs="Times New Roman"/>
          <w:lang w:val="en"/>
        </w:rPr>
        <w:t>/Tams, Christian ‘Article 60: Termination or Suspension of the operation of a treaty as a consequence of its breach’ in Olivier Corten and Pierre Klein (eds),</w:t>
      </w:r>
      <w:r>
        <w:rPr>
          <w:rFonts w:eastAsia="Times New Roman" w:cs="Times New Roman"/>
          <w:i/>
          <w:lang w:val="en"/>
        </w:rPr>
        <w:t xml:space="preserve"> The Vienna Convention on the Law of Treaties: A Commentary </w:t>
      </w:r>
      <w:r>
        <w:rPr>
          <w:rFonts w:eastAsia="Times New Roman" w:cs="Times New Roman"/>
          <w:lang w:val="en"/>
        </w:rPr>
        <w:t xml:space="preserve">(Oxford University </w:t>
      </w:r>
      <w:r>
        <w:rPr>
          <w:rFonts w:eastAsia="Times New Roman" w:cs="Times New Roman"/>
          <w:lang w:val="en"/>
        </w:rPr>
        <w:br/>
        <w:t>Press 2011) 1351</w:t>
      </w:r>
      <w:r>
        <w:rPr>
          <w:rFonts w:eastAsia="Times New Roman" w:cs="Times New Roman"/>
          <w:lang w:val="en"/>
        </w:rPr>
        <w:tab/>
        <w:t>27</w:t>
      </w:r>
    </w:p>
    <w:p w14:paraId="330CA9DC" w14:textId="77777777" w:rsidR="00C33996" w:rsidRDefault="00C33996" w:rsidP="00C33996">
      <w:pPr>
        <w:tabs>
          <w:tab w:val="right" w:leader="dot" w:pos="11340"/>
        </w:tabs>
        <w:spacing w:line="240" w:lineRule="auto"/>
        <w:ind w:firstLine="0"/>
        <w:rPr>
          <w:rFonts w:eastAsia="Times New Roman" w:cs="Times New Roman"/>
          <w:lang w:val="en"/>
        </w:rPr>
      </w:pPr>
    </w:p>
    <w:p w14:paraId="07DD3B56" w14:textId="77777777" w:rsidR="00C33996" w:rsidRDefault="00C33996" w:rsidP="00C33996">
      <w:pPr>
        <w:tabs>
          <w:tab w:val="right" w:leader="dot" w:pos="11340"/>
        </w:tabs>
        <w:spacing w:line="240" w:lineRule="auto"/>
        <w:ind w:firstLine="0"/>
        <w:rPr>
          <w:rFonts w:eastAsia="Times New Roman" w:cs="Times New Roman"/>
          <w:b/>
          <w:bCs/>
          <w:u w:val="single"/>
          <w:lang w:val="en"/>
        </w:rPr>
      </w:pPr>
      <w:r>
        <w:rPr>
          <w:rFonts w:eastAsia="Times New Roman" w:cs="Times New Roman"/>
          <w:b/>
          <w:bCs/>
          <w:u w:val="single"/>
          <w:lang w:val="en"/>
        </w:rPr>
        <w:t>VII. Miscellaneous</w:t>
      </w:r>
    </w:p>
    <w:p w14:paraId="4D3A009F" w14:textId="77777777" w:rsidR="00C33996" w:rsidRDefault="00C33996" w:rsidP="00C33996">
      <w:pPr>
        <w:tabs>
          <w:tab w:val="right" w:leader="dot" w:pos="11340"/>
        </w:tabs>
        <w:spacing w:line="240" w:lineRule="auto"/>
        <w:ind w:firstLine="0"/>
        <w:rPr>
          <w:rFonts w:eastAsia="Times New Roman" w:cs="Times New Roman"/>
          <w:lang w:val="en"/>
        </w:rPr>
      </w:pPr>
    </w:p>
    <w:p w14:paraId="4536BE4F"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African Union Assembly, ‘Decision on the prevention of unconstitutional changes of government and strengthening the capacity of the African Union to manage such situations’ (2010) Doc. Assembly/AU/4Dec.269(XIV) Rev.1</w:t>
      </w:r>
      <w:r>
        <w:rPr>
          <w:rFonts w:eastAsia="Times New Roman" w:cs="Times New Roman"/>
          <w:lang w:val="en"/>
        </w:rPr>
        <w:tab/>
        <w:t>25</w:t>
      </w:r>
    </w:p>
    <w:p w14:paraId="3B93B4E8" w14:textId="77777777" w:rsidR="00B8549F" w:rsidRDefault="00B8549F" w:rsidP="00C33996">
      <w:pPr>
        <w:tabs>
          <w:tab w:val="right" w:leader="dot" w:pos="11340"/>
        </w:tabs>
        <w:spacing w:line="240" w:lineRule="auto"/>
        <w:ind w:firstLine="0"/>
        <w:rPr>
          <w:rFonts w:eastAsia="Times New Roman" w:cs="Times New Roman"/>
          <w:lang w:val="en"/>
        </w:rPr>
      </w:pPr>
    </w:p>
    <w:p w14:paraId="2329CA68"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Alliance of Small Island States Leaders, ‘Alliance of Small Island States Leaders’ Declaration’ (22 September 2021) &lt;https://www.aosis.org/launch-of-the-alliance-of-small-island-states-leaders-declaration/&gt; accessed 12 January 2025</w:t>
      </w:r>
      <w:r>
        <w:rPr>
          <w:rFonts w:eastAsia="Times New Roman" w:cs="Times New Roman"/>
          <w:lang w:val="en"/>
        </w:rPr>
        <w:tab/>
        <w:t>17, 19</w:t>
      </w:r>
    </w:p>
    <w:p w14:paraId="1546CCD4" w14:textId="7EB9E0F8" w:rsidR="00C33996" w:rsidRDefault="00C33996" w:rsidP="00C33996">
      <w:pPr>
        <w:tabs>
          <w:tab w:val="right" w:leader="dot" w:pos="11340"/>
        </w:tabs>
        <w:spacing w:line="240" w:lineRule="auto"/>
        <w:ind w:firstLine="0"/>
        <w:rPr>
          <w:rFonts w:eastAsia="Times New Roman" w:cs="Times New Roman"/>
          <w:lang w:val="en"/>
        </w:rPr>
      </w:pPr>
    </w:p>
    <w:p w14:paraId="3BF87996" w14:textId="465D541F" w:rsidR="00F20434" w:rsidRDefault="00F20434" w:rsidP="00C33996">
      <w:pPr>
        <w:tabs>
          <w:tab w:val="right" w:leader="dot" w:pos="11340"/>
        </w:tabs>
        <w:spacing w:line="240" w:lineRule="auto"/>
        <w:ind w:firstLine="0"/>
        <w:rPr>
          <w:rFonts w:eastAsia="Times New Roman" w:cs="Times New Roman"/>
          <w:lang w:val="en"/>
        </w:rPr>
      </w:pPr>
    </w:p>
    <w:p w14:paraId="057100EF" w14:textId="5B3D71DE" w:rsidR="00F20434" w:rsidRDefault="00F20434" w:rsidP="00C33996">
      <w:pPr>
        <w:tabs>
          <w:tab w:val="right" w:leader="dot" w:pos="11340"/>
        </w:tabs>
        <w:spacing w:line="240" w:lineRule="auto"/>
        <w:ind w:firstLine="0"/>
        <w:rPr>
          <w:rFonts w:eastAsia="Times New Roman" w:cs="Times New Roman"/>
          <w:lang w:val="en"/>
        </w:rPr>
      </w:pPr>
    </w:p>
    <w:p w14:paraId="5F462F75" w14:textId="2297853B" w:rsidR="00F20434" w:rsidRDefault="00F20434" w:rsidP="00C33996">
      <w:pPr>
        <w:tabs>
          <w:tab w:val="right" w:leader="dot" w:pos="11340"/>
        </w:tabs>
        <w:spacing w:line="240" w:lineRule="auto"/>
        <w:ind w:firstLine="0"/>
        <w:rPr>
          <w:rFonts w:eastAsia="Times New Roman" w:cs="Times New Roman"/>
          <w:lang w:val="en"/>
        </w:rPr>
      </w:pPr>
    </w:p>
    <w:p w14:paraId="29DEE73A" w14:textId="675957C9" w:rsidR="00F20434" w:rsidRDefault="00F20434" w:rsidP="00C33996">
      <w:pPr>
        <w:tabs>
          <w:tab w:val="right" w:leader="dot" w:pos="11340"/>
        </w:tabs>
        <w:spacing w:line="240" w:lineRule="auto"/>
        <w:ind w:firstLine="0"/>
        <w:rPr>
          <w:rFonts w:eastAsia="Times New Roman" w:cs="Times New Roman"/>
          <w:lang w:val="en"/>
        </w:rPr>
      </w:pPr>
    </w:p>
    <w:p w14:paraId="6989B14E" w14:textId="77777777" w:rsidR="00F20434" w:rsidRDefault="00F20434" w:rsidP="00C33996">
      <w:pPr>
        <w:tabs>
          <w:tab w:val="right" w:leader="dot" w:pos="11340"/>
        </w:tabs>
        <w:spacing w:line="240" w:lineRule="auto"/>
        <w:ind w:firstLine="0"/>
        <w:rPr>
          <w:rFonts w:eastAsia="Times New Roman" w:cs="Times New Roman"/>
          <w:lang w:val="en"/>
        </w:rPr>
      </w:pPr>
    </w:p>
    <w:p w14:paraId="582C9AB6" w14:textId="65F4E31E" w:rsidR="00C33996" w:rsidRDefault="00C33996" w:rsidP="00C33996">
      <w:pPr>
        <w:tabs>
          <w:tab w:val="right" w:leader="dot" w:pos="11340"/>
        </w:tabs>
        <w:spacing w:line="240" w:lineRule="auto"/>
        <w:ind w:firstLine="0"/>
        <w:rPr>
          <w:rFonts w:eastAsia="Times New Roman" w:cs="Times New Roman"/>
          <w:lang w:val="en"/>
        </w:rPr>
      </w:pPr>
      <w:r>
        <w:rPr>
          <w:noProof/>
          <w:lang w:val="en-GB"/>
        </w:rPr>
        <w:lastRenderedPageBreak/>
        <w:t>European Parliament, ‘Venezuela: Parliament recognises Guaidó, urges EU to follow suit’ (31 January 2019) &lt;</w:t>
      </w:r>
      <w:r>
        <w:rPr>
          <w:noProof/>
        </w:rPr>
        <w:t>https://www.europarl.europa.eu/news/en/press-room/20190125IPR24303/</w:t>
      </w:r>
      <w:r>
        <w:rPr>
          <w:noProof/>
        </w:rPr>
        <w:br/>
        <w:t>venezuela-parliament-recognises-guaido-urges-eu-to-follow-suit#:~:text=The%20European</w:t>
      </w:r>
      <w:r w:rsidR="00F20434">
        <w:rPr>
          <w:noProof/>
        </w:rPr>
        <w:br/>
      </w:r>
      <w:r>
        <w:rPr>
          <w:noProof/>
        </w:rPr>
        <w:t>%20Parliament%20recognised%20on%20Thursday%20Juan%20Guaid%C3%B3,of%20Venezuela%2C%20in%20accordance%20with%20the%20Venezuelan%20Constitution</w:t>
      </w:r>
      <w:r>
        <w:rPr>
          <w:noProof/>
          <w:lang w:val="en-GB"/>
        </w:rPr>
        <w:t>&gt; accessed 12 January 2025</w:t>
      </w:r>
      <w:r>
        <w:rPr>
          <w:noProof/>
          <w:lang w:val="en-GB"/>
        </w:rPr>
        <w:tab/>
        <w:t>23</w:t>
      </w:r>
    </w:p>
    <w:p w14:paraId="42380CB6" w14:textId="77777777" w:rsidR="00C33996" w:rsidRDefault="00C33996" w:rsidP="00C33996">
      <w:pPr>
        <w:tabs>
          <w:tab w:val="right" w:leader="dot" w:pos="11340"/>
        </w:tabs>
        <w:spacing w:line="240" w:lineRule="auto"/>
        <w:ind w:firstLine="0"/>
        <w:rPr>
          <w:rFonts w:eastAsia="Times New Roman" w:cs="Times New Roman"/>
          <w:lang w:val="en"/>
        </w:rPr>
      </w:pPr>
    </w:p>
    <w:p w14:paraId="7B4C7EBA" w14:textId="77777777" w:rsidR="00C33996" w:rsidRDefault="00C33996" w:rsidP="00C33996">
      <w:pPr>
        <w:tabs>
          <w:tab w:val="right" w:leader="dot" w:pos="11340"/>
        </w:tabs>
        <w:spacing w:line="240" w:lineRule="auto"/>
        <w:ind w:firstLine="0"/>
        <w:rPr>
          <w:rFonts w:eastAsia="Times New Roman" w:cs="Times New Roman"/>
          <w:lang w:val="en"/>
        </w:rPr>
      </w:pPr>
      <w:r>
        <w:rPr>
          <w:noProof/>
          <w:lang w:val="en-GB"/>
        </w:rPr>
        <w:t>Foreign and Commonwealth Office, ‘UK recognises Juan Guaido as interim President of Venezuela’ (4 February 2019) &lt;</w:t>
      </w:r>
      <w:r>
        <w:rPr>
          <w:noProof/>
        </w:rPr>
        <w:t>https://www.gov.uk/government/news/uk-recognises-juan-guaido-as-interim-president-of-venezuela</w:t>
      </w:r>
      <w:r>
        <w:rPr>
          <w:noProof/>
          <w:lang w:val="en-GB"/>
        </w:rPr>
        <w:t>&gt; accessed 12 January 2025</w:t>
      </w:r>
      <w:r>
        <w:rPr>
          <w:rFonts w:eastAsia="Times New Roman" w:cs="Times New Roman"/>
          <w:lang w:val="en"/>
        </w:rPr>
        <w:tab/>
        <w:t>24</w:t>
      </w:r>
    </w:p>
    <w:p w14:paraId="40A692E4"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Human Rights Watch, ‘Myanmar: Hundreds Forcibly Disappeared’ (2 April 2021) &lt;https://www.hrw.org/news/2021/04/02/myanmar-hundreds-forcibly-disappeared&gt; accessed 12 January 2025</w:t>
      </w:r>
      <w:r>
        <w:rPr>
          <w:rFonts w:eastAsia="Times New Roman" w:cs="Times New Roman"/>
          <w:lang w:val="en"/>
        </w:rPr>
        <w:tab/>
        <w:t>7</w:t>
      </w:r>
    </w:p>
    <w:p w14:paraId="515E0F44" w14:textId="77777777" w:rsidR="00C33996" w:rsidRDefault="00C33996" w:rsidP="00C33996">
      <w:pPr>
        <w:tabs>
          <w:tab w:val="right" w:leader="dot" w:pos="11340"/>
        </w:tabs>
        <w:spacing w:line="240" w:lineRule="auto"/>
        <w:ind w:firstLine="0"/>
        <w:rPr>
          <w:rFonts w:eastAsia="Times New Roman" w:cs="Times New Roman"/>
          <w:i/>
          <w:lang w:val="en"/>
        </w:rPr>
      </w:pPr>
    </w:p>
    <w:p w14:paraId="207C86C3" w14:textId="77777777" w:rsidR="00C33996" w:rsidRDefault="00C33996" w:rsidP="00C33996">
      <w:pPr>
        <w:tabs>
          <w:tab w:val="right" w:leader="dot" w:pos="11340"/>
        </w:tabs>
        <w:spacing w:line="240" w:lineRule="auto"/>
        <w:ind w:firstLine="0"/>
        <w:rPr>
          <w:rFonts w:eastAsia="Times New Roman" w:cs="Times New Roman"/>
          <w:highlight w:val="yellow"/>
          <w:lang w:val="en"/>
        </w:rPr>
      </w:pPr>
      <w:r>
        <w:rPr>
          <w:rFonts w:eastAsia="Times New Roman" w:cs="Times New Roman"/>
          <w:lang w:val="en"/>
        </w:rPr>
        <w:t>International Commission of Jurists, ‘Egypt: end widespread and systematic enforced disappearances’ (30 August 2023) &lt;https://www.icj.org/egypt-end-widespread-and-systematic-enforced-disappearances/&gt; accessed 12 January 2025</w:t>
      </w:r>
      <w:r>
        <w:rPr>
          <w:rFonts w:eastAsia="Times New Roman" w:cs="Times New Roman"/>
          <w:lang w:val="en"/>
        </w:rPr>
        <w:tab/>
        <w:t>7</w:t>
      </w:r>
    </w:p>
    <w:p w14:paraId="644A9F42" w14:textId="77777777" w:rsidR="00C33996" w:rsidRDefault="00C33996" w:rsidP="00C33996">
      <w:pPr>
        <w:tabs>
          <w:tab w:val="right" w:leader="dot" w:pos="11340"/>
        </w:tabs>
        <w:spacing w:line="240" w:lineRule="auto"/>
        <w:ind w:firstLine="0"/>
        <w:rPr>
          <w:rFonts w:eastAsia="Times New Roman" w:cs="Times New Roman"/>
          <w:lang w:val="en"/>
        </w:rPr>
      </w:pPr>
    </w:p>
    <w:p w14:paraId="1DCC9E91"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Pacific Island Forum, ‘Declaration on preserving Maritime Zones in the Face of Climate Change-Related Sea-Level Rise’ (6 August 2021) &lt;https://forumsec.org/sites/default</w:t>
      </w:r>
      <w:r>
        <w:rPr>
          <w:rFonts w:eastAsia="Times New Roman" w:cs="Times New Roman"/>
          <w:lang w:val="en"/>
        </w:rPr>
        <w:br/>
        <w:t>/files/2024-03/2021%20Declaration%20on%20Preserving%20Maritime%20Zones%20in%</w:t>
      </w:r>
      <w:r>
        <w:rPr>
          <w:rFonts w:eastAsia="Times New Roman" w:cs="Times New Roman"/>
          <w:lang w:val="en"/>
        </w:rPr>
        <w:br/>
        <w:t>20the%20face%20of%20Climate%20Change-related%20Sea-level%20rise.pdf&gt; accessed 12 January 2025</w:t>
      </w:r>
      <w:r>
        <w:rPr>
          <w:rFonts w:eastAsia="Times New Roman" w:cs="Times New Roman"/>
          <w:lang w:val="en"/>
        </w:rPr>
        <w:tab/>
        <w:t>19</w:t>
      </w:r>
    </w:p>
    <w:p w14:paraId="4DEBD041" w14:textId="77777777" w:rsidR="00C33996" w:rsidRDefault="00C33996" w:rsidP="00C33996">
      <w:pPr>
        <w:tabs>
          <w:tab w:val="right" w:leader="dot" w:pos="11340"/>
        </w:tabs>
        <w:spacing w:line="240" w:lineRule="auto"/>
        <w:ind w:firstLine="0"/>
        <w:rPr>
          <w:rFonts w:eastAsia="Times New Roman" w:cs="Times New Roman"/>
          <w:lang w:val="en"/>
        </w:rPr>
      </w:pPr>
    </w:p>
    <w:p w14:paraId="6AA13490" w14:textId="77777777" w:rsidR="00C33996" w:rsidRDefault="00C33996" w:rsidP="00C33996">
      <w:pPr>
        <w:tabs>
          <w:tab w:val="right" w:leader="dot" w:pos="11340"/>
        </w:tabs>
        <w:spacing w:line="240" w:lineRule="auto"/>
        <w:ind w:firstLine="0"/>
        <w:rPr>
          <w:rFonts w:eastAsia="Times New Roman" w:cs="Times New Roman"/>
          <w:lang w:val="en"/>
        </w:rPr>
      </w:pPr>
      <w:r>
        <w:rPr>
          <w:bCs/>
          <w:noProof/>
          <w:lang w:val="en-GB"/>
        </w:rPr>
        <w:t>Organisation of American States Press Department, ‘</w:t>
      </w:r>
      <w:r>
        <w:rPr>
          <w:noProof/>
          <w:lang w:val="en-GB"/>
        </w:rPr>
        <w:t>Permanent Council Accepts Appointment of Designated Permanent Representative of Venezuela’s National Assembly to the OAS’ (9 April 2019) &lt;</w:t>
      </w:r>
      <w:r>
        <w:rPr>
          <w:noProof/>
        </w:rPr>
        <w:t>https://www.oas.org/en/media_center/press_release.asp?sCodigo</w:t>
      </w:r>
      <w:r>
        <w:rPr>
          <w:noProof/>
        </w:rPr>
        <w:br/>
        <w:t>=E-019/19</w:t>
      </w:r>
      <w:r>
        <w:rPr>
          <w:noProof/>
          <w:lang w:val="en-GB"/>
        </w:rPr>
        <w:t>&gt; accessed 12 January 2025</w:t>
      </w:r>
      <w:r>
        <w:rPr>
          <w:rFonts w:eastAsia="Times New Roman" w:cs="Times New Roman"/>
          <w:lang w:val="en"/>
        </w:rPr>
        <w:tab/>
        <w:t>24</w:t>
      </w:r>
    </w:p>
    <w:p w14:paraId="456A682E" w14:textId="77777777" w:rsidR="00C33996" w:rsidRDefault="00C33996" w:rsidP="00C33996">
      <w:pPr>
        <w:tabs>
          <w:tab w:val="right" w:leader="dot" w:pos="11340"/>
        </w:tabs>
        <w:spacing w:line="240" w:lineRule="auto"/>
        <w:ind w:firstLine="0"/>
        <w:rPr>
          <w:rFonts w:eastAsia="Times New Roman" w:cs="Times New Roman"/>
          <w:lang w:val="en"/>
        </w:rPr>
      </w:pPr>
    </w:p>
    <w:p w14:paraId="1E2B8DD2" w14:textId="77777777" w:rsidR="00C33996" w:rsidRDefault="00C33996" w:rsidP="00C33996">
      <w:pPr>
        <w:tabs>
          <w:tab w:val="right" w:leader="dot" w:pos="11340"/>
        </w:tabs>
        <w:spacing w:line="240" w:lineRule="auto"/>
        <w:ind w:firstLine="0"/>
        <w:rPr>
          <w:rFonts w:eastAsia="Times New Roman" w:cs="Times New Roman"/>
          <w:lang w:val="en"/>
        </w:rPr>
      </w:pPr>
      <w:r>
        <w:rPr>
          <w:rFonts w:eastAsia="Times New Roman" w:cs="Times New Roman"/>
          <w:lang w:val="en"/>
        </w:rPr>
        <w:t xml:space="preserve">‘protect, verb’, </w:t>
      </w:r>
      <w:r>
        <w:rPr>
          <w:rFonts w:eastAsia="Times New Roman" w:cs="Times New Roman"/>
          <w:i/>
          <w:lang w:val="en"/>
        </w:rPr>
        <w:t>Merriam-Webster Online Dictionary</w:t>
      </w:r>
      <w:r>
        <w:rPr>
          <w:rFonts w:eastAsia="Times New Roman" w:cs="Times New Roman"/>
          <w:lang w:val="en"/>
        </w:rPr>
        <w:t xml:space="preserve"> (Merriam-Webster, 2024) &lt;https://www.</w:t>
      </w:r>
      <w:r>
        <w:rPr>
          <w:rFonts w:eastAsia="Times New Roman" w:cs="Times New Roman"/>
          <w:lang w:val="en"/>
        </w:rPr>
        <w:br/>
        <w:t>merriam-webster.com/dictionary/protect&gt; accessed 12 January 2025</w:t>
      </w:r>
      <w:r>
        <w:rPr>
          <w:rFonts w:eastAsia="Times New Roman" w:cs="Times New Roman"/>
          <w:lang w:val="en"/>
        </w:rPr>
        <w:tab/>
        <w:t>26</w:t>
      </w:r>
    </w:p>
    <w:p w14:paraId="07EC745B" w14:textId="77777777" w:rsidR="00C33996" w:rsidRDefault="00C33996" w:rsidP="00C33996">
      <w:pPr>
        <w:tabs>
          <w:tab w:val="right" w:leader="dot" w:pos="11340"/>
        </w:tabs>
        <w:spacing w:line="240" w:lineRule="auto"/>
        <w:ind w:firstLine="0"/>
        <w:rPr>
          <w:rFonts w:eastAsia="Times New Roman" w:cs="Times New Roman"/>
          <w:lang w:val="en"/>
        </w:rPr>
      </w:pPr>
    </w:p>
    <w:p w14:paraId="153869FA" w14:textId="77777777" w:rsidR="00C33996" w:rsidRDefault="00C33996" w:rsidP="00C33996">
      <w:pPr>
        <w:tabs>
          <w:tab w:val="right" w:leader="dot" w:pos="11340"/>
        </w:tabs>
        <w:spacing w:line="240" w:lineRule="auto"/>
        <w:ind w:firstLine="0"/>
        <w:rPr>
          <w:rFonts w:eastAsia="Times New Roman" w:cs="Times New Roman"/>
          <w:lang w:val="en"/>
        </w:rPr>
      </w:pPr>
      <w:r>
        <w:rPr>
          <w:color w:val="000000" w:themeColor="text1"/>
        </w:rPr>
        <w:t>UN Treaty Collection, ‘Status of the United Nations Convention on Jurisdictional Immunities of States and Their Property’ &lt;https://treaties.un.org/Pages/ViewDetails.aspx?src=IND&amp;mtdsg</w:t>
      </w:r>
      <w:r>
        <w:rPr>
          <w:color w:val="000000" w:themeColor="text1"/>
        </w:rPr>
        <w:br/>
        <w:t>_no=III-13&amp;chapter=3&amp;clang=_</w:t>
      </w:r>
      <w:proofErr w:type="spellStart"/>
      <w:r>
        <w:rPr>
          <w:color w:val="000000" w:themeColor="text1"/>
        </w:rPr>
        <w:t>en</w:t>
      </w:r>
      <w:proofErr w:type="spellEnd"/>
      <w:r>
        <w:rPr>
          <w:color w:val="000000" w:themeColor="text1"/>
        </w:rPr>
        <w:t>&gt; accessed 15 January 2025</w:t>
      </w:r>
      <w:r>
        <w:rPr>
          <w:rFonts w:eastAsia="Times New Roman" w:cs="Times New Roman"/>
          <w:lang w:val="en"/>
        </w:rPr>
        <w:tab/>
        <w:t>27</w:t>
      </w:r>
    </w:p>
    <w:p w14:paraId="30466806" w14:textId="77777777" w:rsidR="00C33996" w:rsidRDefault="00C33996" w:rsidP="00C33996">
      <w:pPr>
        <w:tabs>
          <w:tab w:val="right" w:leader="dot" w:pos="11340"/>
        </w:tabs>
        <w:spacing w:line="240" w:lineRule="auto"/>
        <w:ind w:firstLine="0"/>
        <w:rPr>
          <w:rFonts w:eastAsia="Times New Roman" w:cs="Times New Roman"/>
          <w:lang w:val="en"/>
        </w:rPr>
      </w:pPr>
    </w:p>
    <w:p w14:paraId="18117D9B" w14:textId="77777777" w:rsidR="00C33996" w:rsidRDefault="00C33996" w:rsidP="00C33996">
      <w:pPr>
        <w:tabs>
          <w:tab w:val="right" w:leader="dot" w:pos="11340"/>
        </w:tabs>
        <w:spacing w:line="240" w:lineRule="auto"/>
        <w:ind w:firstLine="0"/>
        <w:rPr>
          <w:rFonts w:eastAsia="Times New Roman" w:cs="Times New Roman"/>
          <w:lang w:val="en"/>
        </w:rPr>
      </w:pPr>
      <w:r>
        <w:rPr>
          <w:bCs/>
          <w:noProof/>
          <w:lang w:val="en-GB"/>
        </w:rPr>
        <w:t>United States Department of State, ‘</w:t>
      </w:r>
      <w:r>
        <w:rPr>
          <w:noProof/>
          <w:lang w:val="en-GB"/>
        </w:rPr>
        <w:t>Recognition of Juan Guaido as Venezuela’s Interim President’ (23 January 2019) &lt;https://2017-2021.state.gov/recognition-of-juan-guaido-as-venezuelas-interim-president/&gt; accessed 12 January 2025</w:t>
      </w:r>
      <w:r>
        <w:rPr>
          <w:rFonts w:eastAsia="Times New Roman" w:cs="Times New Roman"/>
          <w:lang w:val="en"/>
        </w:rPr>
        <w:tab/>
        <w:t>23</w:t>
      </w:r>
    </w:p>
    <w:bookmarkEnd w:id="13"/>
    <w:p w14:paraId="720C6B76" w14:textId="77777777" w:rsidR="00C33996" w:rsidRDefault="00C33996" w:rsidP="00C33996">
      <w:pPr>
        <w:pStyle w:val="Memo"/>
        <w:rPr>
          <w:rFonts w:eastAsia="Times New Roman" w:cs="Times New Roman"/>
          <w:lang w:val="en"/>
        </w:rPr>
      </w:pPr>
    </w:p>
    <w:p w14:paraId="64651B14" w14:textId="77777777" w:rsidR="00C43CC7" w:rsidRDefault="00C43CC7" w:rsidP="005C5AE2">
      <w:pPr>
        <w:pStyle w:val="Memo"/>
        <w:rPr>
          <w:lang w:val="en"/>
        </w:rPr>
      </w:pPr>
    </w:p>
    <w:p w14:paraId="1C1E98B8" w14:textId="5A6B6095" w:rsidR="005C5AE2" w:rsidRPr="00D03FAC" w:rsidRDefault="005C5AE2" w:rsidP="005C5AE2">
      <w:pPr>
        <w:pStyle w:val="Memo"/>
        <w:rPr>
          <w:lang w:val="en"/>
        </w:rPr>
        <w:sectPr w:rsidR="005C5AE2" w:rsidRPr="00D03FAC" w:rsidSect="005A2A91">
          <w:pgSz w:w="11906" w:h="16838" w:code="9"/>
          <w:pgMar w:top="1474" w:right="1474" w:bottom="1474" w:left="1474" w:header="720" w:footer="720" w:gutter="0"/>
          <w:pgNumType w:fmt="upperRoman"/>
          <w:cols w:space="720"/>
          <w:docGrid w:linePitch="360"/>
        </w:sectPr>
      </w:pPr>
    </w:p>
    <w:p w14:paraId="056760F3" w14:textId="0BBE2B7F" w:rsidR="009E1E24" w:rsidRDefault="009E1E24" w:rsidP="005C5AE2">
      <w:pPr>
        <w:pStyle w:val="Ober-berschrift"/>
      </w:pPr>
      <w:bookmarkStart w:id="16" w:name="_Toc187486709"/>
      <w:bookmarkStart w:id="17" w:name="_Toc187487007"/>
      <w:bookmarkStart w:id="18" w:name="_Toc187487356"/>
      <w:bookmarkStart w:id="19" w:name="_Toc187681641"/>
      <w:bookmarkStart w:id="20" w:name="_Toc187692143"/>
      <w:bookmarkStart w:id="21" w:name="_Hlk187680909"/>
      <w:r>
        <w:lastRenderedPageBreak/>
        <w:t>Statement of Jurisdiction</w:t>
      </w:r>
      <w:bookmarkEnd w:id="16"/>
      <w:bookmarkEnd w:id="17"/>
      <w:bookmarkEnd w:id="18"/>
      <w:bookmarkEnd w:id="19"/>
      <w:bookmarkEnd w:id="20"/>
    </w:p>
    <w:p w14:paraId="61677AAF" w14:textId="4C863701" w:rsidR="00B8549F" w:rsidRDefault="00B963F4" w:rsidP="00D86E7A">
      <w:pPr>
        <w:pStyle w:val="Memo"/>
        <w:spacing w:after="240"/>
        <w:ind w:firstLine="0"/>
        <w:rPr>
          <w:lang w:val="en-GB"/>
        </w:rPr>
      </w:pPr>
      <w:r>
        <w:t>The Union of Ambrosia (‘</w:t>
      </w:r>
      <w:r w:rsidRPr="00B8549F">
        <w:rPr>
          <w:b/>
          <w:bCs/>
        </w:rPr>
        <w:t>Ambrosia</w:t>
      </w:r>
      <w:r>
        <w:t xml:space="preserve">’) instituted proceedings against the Republic of </w:t>
      </w:r>
      <w:proofErr w:type="spellStart"/>
      <w:r>
        <w:t>Rovinia</w:t>
      </w:r>
      <w:proofErr w:type="spellEnd"/>
      <w:r w:rsidR="00B8549F">
        <w:t> </w:t>
      </w:r>
      <w:r>
        <w:t>(‘</w:t>
      </w:r>
      <w:proofErr w:type="spellStart"/>
      <w:r w:rsidRPr="00B8549F">
        <w:rPr>
          <w:b/>
          <w:bCs/>
        </w:rPr>
        <w:t>Rovinia</w:t>
      </w:r>
      <w:proofErr w:type="spellEnd"/>
      <w:r>
        <w:t>’) before the International Court of Justice (‘</w:t>
      </w:r>
      <w:r w:rsidRPr="00B8549F">
        <w:rPr>
          <w:b/>
          <w:bCs/>
        </w:rPr>
        <w:t>the Court</w:t>
      </w:r>
      <w:r>
        <w:t xml:space="preserve">’) regarding a dispute concerning the </w:t>
      </w:r>
      <w:proofErr w:type="spellStart"/>
      <w:r>
        <w:t>Naegea</w:t>
      </w:r>
      <w:proofErr w:type="spellEnd"/>
      <w:r>
        <w:t xml:space="preserve"> Sea and other matters, pursuant to an application filed with the Registry of the Court by Ambrosia under Article 40(1) of the Statute of the Court on 11 July 2024.</w:t>
      </w:r>
      <w:r w:rsidR="00C43CC7">
        <w:rPr>
          <w:lang w:val="en-GB"/>
        </w:rPr>
        <w:t xml:space="preserve"> </w:t>
      </w:r>
    </w:p>
    <w:p w14:paraId="731EC04A" w14:textId="1586ADEC" w:rsidR="009E1E24" w:rsidRPr="00C43CC7" w:rsidRDefault="00B963F4" w:rsidP="00B963F4">
      <w:pPr>
        <w:pStyle w:val="Memo"/>
        <w:ind w:firstLine="0"/>
        <w:rPr>
          <w:lang w:val="en-GB"/>
        </w:rPr>
      </w:pPr>
      <w:r>
        <w:t xml:space="preserve">In accordance with Article 36(1) of the Statute of the Court, the Court has jurisdiction based on Article XXI of the Charter of the </w:t>
      </w:r>
      <w:proofErr w:type="spellStart"/>
      <w:r>
        <w:t>Organisation</w:t>
      </w:r>
      <w:proofErr w:type="spellEnd"/>
      <w:r>
        <w:t xml:space="preserve"> for Cooperation and Development in the Paine (‘</w:t>
      </w:r>
      <w:r w:rsidRPr="00B8549F">
        <w:rPr>
          <w:b/>
        </w:rPr>
        <w:t>OCDP Charter</w:t>
      </w:r>
      <w:r>
        <w:t>’)</w:t>
      </w:r>
      <w:r w:rsidR="00EC6BC4">
        <w:t>,</w:t>
      </w:r>
      <w:r>
        <w:t xml:space="preserve"> to which both States are Party and which entered into force on 17</w:t>
      </w:r>
      <w:r w:rsidR="00B8549F">
        <w:t> </w:t>
      </w:r>
      <w:r>
        <w:t>March</w:t>
      </w:r>
      <w:r w:rsidR="00B8549F">
        <w:t> </w:t>
      </w:r>
      <w:r>
        <w:t xml:space="preserve">2021. </w:t>
      </w:r>
      <w:proofErr w:type="spellStart"/>
      <w:r>
        <w:t>Rovinia</w:t>
      </w:r>
      <w:proofErr w:type="spellEnd"/>
      <w:r>
        <w:t xml:space="preserve"> acknowledged the Court’s jurisdiction for Ambrosia’s submissions</w:t>
      </w:r>
      <w:r w:rsidR="00B8549F">
        <w:t> </w:t>
      </w:r>
      <w:r>
        <w:t>(c) and (d), but noted its intention to contest the Court’s jurisdiction over Ambrosia’s submission (b) regarding the violation of the international rules on jurisdiction and immunity. Conversely, Ambrosia maintains in submission (a) that the Court has jurisdiction to entertain</w:t>
      </w:r>
      <w:r w:rsidR="00D86E7A">
        <w:t xml:space="preserve"> the</w:t>
      </w:r>
      <w:r>
        <w:t xml:space="preserve"> submission regarding the international rules on jurisdiction and immunity. In accordance with Article 36(6) of the Statute of the Court, the Court has jurisdiction regarding Ambrosia’s submission (a). </w:t>
      </w:r>
    </w:p>
    <w:bookmarkEnd w:id="21"/>
    <w:p w14:paraId="596D835C" w14:textId="77777777" w:rsidR="00B963F4" w:rsidRDefault="00B963F4" w:rsidP="009E1E24">
      <w:pPr>
        <w:pStyle w:val="Memo"/>
        <w:rPr>
          <w:lang w:val="en-GB"/>
        </w:rPr>
      </w:pPr>
    </w:p>
    <w:p w14:paraId="69FEECD1" w14:textId="7DC3BE6E" w:rsidR="00B963F4" w:rsidRPr="00195DE7" w:rsidRDefault="00B963F4" w:rsidP="009E1E24">
      <w:pPr>
        <w:pStyle w:val="Memo"/>
        <w:rPr>
          <w:lang w:val="en-GB"/>
        </w:rPr>
        <w:sectPr w:rsidR="00B963F4" w:rsidRPr="00195DE7" w:rsidSect="005A2A91">
          <w:pgSz w:w="11906" w:h="16838" w:code="9"/>
          <w:pgMar w:top="1474" w:right="1474" w:bottom="1474" w:left="1474" w:header="720" w:footer="720" w:gutter="0"/>
          <w:pgNumType w:fmt="upperRoman"/>
          <w:cols w:space="720"/>
          <w:docGrid w:linePitch="360"/>
        </w:sectPr>
      </w:pPr>
    </w:p>
    <w:p w14:paraId="0E36CB1F" w14:textId="32CD5EE4" w:rsidR="009E1E24" w:rsidRDefault="009E1E24" w:rsidP="005C5AE2">
      <w:pPr>
        <w:pStyle w:val="Ober-berschrift"/>
      </w:pPr>
      <w:bookmarkStart w:id="22" w:name="_Toc187486710"/>
      <w:bookmarkStart w:id="23" w:name="_Toc187487008"/>
      <w:bookmarkStart w:id="24" w:name="_Toc187487357"/>
      <w:bookmarkStart w:id="25" w:name="_Toc187681642"/>
      <w:bookmarkStart w:id="26" w:name="_Toc187692144"/>
      <w:r>
        <w:lastRenderedPageBreak/>
        <w:t>Statement of Facts</w:t>
      </w:r>
      <w:bookmarkEnd w:id="22"/>
      <w:bookmarkEnd w:id="23"/>
      <w:bookmarkEnd w:id="24"/>
      <w:bookmarkEnd w:id="25"/>
      <w:bookmarkEnd w:id="26"/>
    </w:p>
    <w:p w14:paraId="0BC681BC" w14:textId="77777777" w:rsidR="0040792C" w:rsidRDefault="0040792C" w:rsidP="00B963F4">
      <w:pPr>
        <w:pStyle w:val="Memo"/>
        <w:spacing w:before="120" w:after="120"/>
        <w:jc w:val="center"/>
        <w:rPr>
          <w:b/>
          <w:bCs/>
          <w:u w:val="single"/>
          <w:lang w:val="en-GB"/>
        </w:rPr>
      </w:pPr>
      <w:r>
        <w:rPr>
          <w:b/>
          <w:bCs/>
          <w:u w:val="single"/>
          <w:lang w:val="en-GB"/>
        </w:rPr>
        <w:t xml:space="preserve">The Parties </w:t>
      </w:r>
    </w:p>
    <w:p w14:paraId="075D3497" w14:textId="3CC10B26" w:rsidR="00B963F4" w:rsidRDefault="0040792C" w:rsidP="0040792C">
      <w:pPr>
        <w:pStyle w:val="Memo"/>
        <w:ind w:firstLine="0"/>
        <w:rPr>
          <w:lang w:val="en-GB"/>
        </w:rPr>
      </w:pPr>
      <w:r>
        <w:rPr>
          <w:lang w:val="en-GB"/>
        </w:rPr>
        <w:t>The Union of Ambrosia (‘</w:t>
      </w:r>
      <w:r w:rsidRPr="00B8549F">
        <w:rPr>
          <w:b/>
          <w:lang w:val="en-GB"/>
        </w:rPr>
        <w:t>Ambrosia</w:t>
      </w:r>
      <w:r>
        <w:rPr>
          <w:lang w:val="en-GB"/>
        </w:rPr>
        <w:t xml:space="preserve">’) is a constitutional democracy located in the </w:t>
      </w:r>
      <w:r w:rsidR="001940DD">
        <w:rPr>
          <w:lang w:val="en-GB"/>
        </w:rPr>
        <w:t>n</w:t>
      </w:r>
      <w:r>
        <w:rPr>
          <w:lang w:val="en-GB"/>
        </w:rPr>
        <w:t xml:space="preserve">orth of the Paine Peninsula. With a 910-kilometre coastline facing the </w:t>
      </w:r>
      <w:proofErr w:type="spellStart"/>
      <w:r>
        <w:rPr>
          <w:lang w:val="en-GB"/>
        </w:rPr>
        <w:t>Naegea</w:t>
      </w:r>
      <w:proofErr w:type="spellEnd"/>
      <w:r>
        <w:rPr>
          <w:lang w:val="en-GB"/>
        </w:rPr>
        <w:t xml:space="preserve"> Sea, Ambrosia’s economy relies heavily on fishing. Yet, since the vast majority of the State lies less than 10</w:t>
      </w:r>
      <w:r w:rsidR="00741F4B">
        <w:rPr>
          <w:lang w:val="en-GB"/>
        </w:rPr>
        <w:t> </w:t>
      </w:r>
      <w:r>
        <w:rPr>
          <w:lang w:val="en-GB"/>
        </w:rPr>
        <w:t>meters above sea level, Ambrosia is the State most affected by climate-change induced coastline recession on the Peninsula. In recent years, Ambrosia was also confronted with a dramatic increase in drug-related crimes.</w:t>
      </w:r>
    </w:p>
    <w:p w14:paraId="632B4F56" w14:textId="7A7F3681" w:rsidR="0040792C" w:rsidRDefault="0040792C" w:rsidP="00B963F4">
      <w:pPr>
        <w:pStyle w:val="Memo"/>
        <w:ind w:firstLine="0"/>
        <w:rPr>
          <w:lang w:val="en-GB"/>
        </w:rPr>
      </w:pPr>
      <w:r>
        <w:rPr>
          <w:lang w:val="en-GB"/>
        </w:rPr>
        <w:t xml:space="preserve">The Republic of </w:t>
      </w:r>
      <w:proofErr w:type="spellStart"/>
      <w:r>
        <w:rPr>
          <w:lang w:val="en-GB"/>
        </w:rPr>
        <w:t>Rovinia</w:t>
      </w:r>
      <w:proofErr w:type="spellEnd"/>
      <w:r>
        <w:rPr>
          <w:lang w:val="en-GB"/>
        </w:rPr>
        <w:t xml:space="preserve"> (‘</w:t>
      </w:r>
      <w:proofErr w:type="spellStart"/>
      <w:r w:rsidRPr="00B8549F">
        <w:rPr>
          <w:b/>
          <w:lang w:val="en-GB"/>
        </w:rPr>
        <w:t>Rovinia</w:t>
      </w:r>
      <w:proofErr w:type="spellEnd"/>
      <w:r>
        <w:rPr>
          <w:lang w:val="en-GB"/>
        </w:rPr>
        <w:t xml:space="preserve">’) is a constitutional democracy located in the </w:t>
      </w:r>
      <w:r w:rsidR="001940DD">
        <w:rPr>
          <w:lang w:val="en-GB"/>
        </w:rPr>
        <w:t>s</w:t>
      </w:r>
      <w:r>
        <w:rPr>
          <w:lang w:val="en-GB"/>
        </w:rPr>
        <w:t xml:space="preserve">outh of the Paine Peninsula. Its </w:t>
      </w:r>
      <w:proofErr w:type="spellStart"/>
      <w:r>
        <w:rPr>
          <w:lang w:val="en-GB"/>
        </w:rPr>
        <w:t>Naegea</w:t>
      </w:r>
      <w:proofErr w:type="spellEnd"/>
      <w:r>
        <w:rPr>
          <w:lang w:val="en-GB"/>
        </w:rPr>
        <w:t xml:space="preserve"> Sea coastline is 455 kilometres long and most of its territory is several hundred meters above sea level. As such, it is the State least affected by coastal recession on the Peninsula. </w:t>
      </w:r>
    </w:p>
    <w:p w14:paraId="5EB8F018" w14:textId="77777777" w:rsidR="00B963F4" w:rsidRDefault="00B963F4" w:rsidP="00B963F4">
      <w:pPr>
        <w:pStyle w:val="Memo"/>
        <w:ind w:firstLine="0"/>
        <w:rPr>
          <w:lang w:val="en-GB"/>
        </w:rPr>
      </w:pPr>
    </w:p>
    <w:p w14:paraId="0F8F8883" w14:textId="77777777" w:rsidR="0040792C" w:rsidRDefault="0040792C" w:rsidP="00B963F4">
      <w:pPr>
        <w:pStyle w:val="Memo"/>
        <w:spacing w:before="120" w:after="120"/>
        <w:jc w:val="center"/>
        <w:rPr>
          <w:b/>
          <w:bCs/>
          <w:u w:val="single"/>
          <w:lang w:val="en-GB"/>
        </w:rPr>
      </w:pPr>
      <w:r>
        <w:rPr>
          <w:b/>
          <w:bCs/>
          <w:u w:val="single"/>
          <w:lang w:val="en-GB"/>
        </w:rPr>
        <w:t xml:space="preserve">Organisation for Cooperation and Development in the Paine </w:t>
      </w:r>
    </w:p>
    <w:p w14:paraId="28FECF28" w14:textId="41206839" w:rsidR="0040792C" w:rsidRDefault="0040792C" w:rsidP="0040792C">
      <w:pPr>
        <w:pStyle w:val="Memo"/>
        <w:ind w:firstLine="0"/>
        <w:rPr>
          <w:lang w:val="en-GB"/>
        </w:rPr>
      </w:pPr>
      <w:r>
        <w:rPr>
          <w:lang w:val="en-GB"/>
        </w:rPr>
        <w:t>On 15 May 2015, the States of the Paine Peninsula established the Organisation for Cooperation and Development in the Paine (‘</w:t>
      </w:r>
      <w:r w:rsidRPr="00B8549F">
        <w:rPr>
          <w:b/>
          <w:lang w:val="en-GB"/>
        </w:rPr>
        <w:t>OCDP</w:t>
      </w:r>
      <w:r>
        <w:rPr>
          <w:lang w:val="en-GB"/>
        </w:rPr>
        <w:t xml:space="preserve">’) to address various topics of mutual interest. Article XXI of the OCDP Charter contains a </w:t>
      </w:r>
      <w:proofErr w:type="spellStart"/>
      <w:r>
        <w:rPr>
          <w:lang w:val="en-GB"/>
        </w:rPr>
        <w:t>compromissory</w:t>
      </w:r>
      <w:proofErr w:type="spellEnd"/>
      <w:r>
        <w:rPr>
          <w:lang w:val="en-GB"/>
        </w:rPr>
        <w:t xml:space="preserve"> clause referring disputes between Member States to this Court. The clause precludes the jurisdiction of this Court for disputes arising out of facts or situations occurring prior to the Article’s entry into force and for disputes relating to judicial proceedings on matters which are essentially within a Member State’s domestic jurisdiction. The </w:t>
      </w:r>
      <w:proofErr w:type="spellStart"/>
      <w:r>
        <w:rPr>
          <w:lang w:val="en-GB"/>
        </w:rPr>
        <w:t>compromissory</w:t>
      </w:r>
      <w:proofErr w:type="spellEnd"/>
      <w:r>
        <w:rPr>
          <w:lang w:val="en-GB"/>
        </w:rPr>
        <w:t xml:space="preserve"> clause became effective on 17 March 2021, five years after the Charter entered into force.</w:t>
      </w:r>
    </w:p>
    <w:p w14:paraId="78E1FB7B" w14:textId="77777777" w:rsidR="0040792C" w:rsidRDefault="0040792C" w:rsidP="0040792C">
      <w:pPr>
        <w:pStyle w:val="Memo"/>
        <w:ind w:firstLine="0"/>
        <w:rPr>
          <w:lang w:val="en-GB"/>
        </w:rPr>
      </w:pPr>
    </w:p>
    <w:p w14:paraId="0278F28D" w14:textId="77777777" w:rsidR="0040792C" w:rsidRDefault="0040792C" w:rsidP="00B963F4">
      <w:pPr>
        <w:pStyle w:val="Memo"/>
        <w:spacing w:before="120" w:after="120"/>
        <w:jc w:val="center"/>
        <w:rPr>
          <w:b/>
          <w:bCs/>
          <w:u w:val="single"/>
          <w:lang w:val="en-GB"/>
        </w:rPr>
      </w:pPr>
      <w:r>
        <w:rPr>
          <w:b/>
          <w:bCs/>
          <w:u w:val="single"/>
          <w:lang w:val="en-GB"/>
        </w:rPr>
        <w:t xml:space="preserve">The practice of fixed baselines on the Paine </w:t>
      </w:r>
      <w:proofErr w:type="spellStart"/>
      <w:r>
        <w:rPr>
          <w:b/>
          <w:bCs/>
          <w:u w:val="single"/>
          <w:lang w:val="en-GB"/>
        </w:rPr>
        <w:t>Pensinsula</w:t>
      </w:r>
      <w:proofErr w:type="spellEnd"/>
    </w:p>
    <w:p w14:paraId="74FDB375" w14:textId="250FBFAB" w:rsidR="0040792C" w:rsidRDefault="0040792C" w:rsidP="0040792C">
      <w:pPr>
        <w:pStyle w:val="Memo"/>
        <w:ind w:firstLine="0"/>
        <w:rPr>
          <w:lang w:val="en-GB"/>
        </w:rPr>
      </w:pPr>
      <w:r>
        <w:rPr>
          <w:lang w:val="en-GB"/>
        </w:rPr>
        <w:t>The Peninsula’s coastline has been receding an average of 1.5 meters annually since the 1980s, with recession accelerating. To preserve its maritime entitlements in the face of climate change, Ambrosia enacted the Baseline Freezing Law of 2015. Under this law, the baselines from which Ambrosia’s exclusive economic zone (‘</w:t>
      </w:r>
      <w:r w:rsidRPr="00B8549F">
        <w:rPr>
          <w:b/>
          <w:lang w:val="en-GB"/>
        </w:rPr>
        <w:t>EEZ</w:t>
      </w:r>
      <w:r>
        <w:rPr>
          <w:lang w:val="en-GB"/>
        </w:rPr>
        <w:t>’) is measured</w:t>
      </w:r>
      <w:r w:rsidR="00CF292F">
        <w:rPr>
          <w:lang w:val="en-GB"/>
        </w:rPr>
        <w:t>,</w:t>
      </w:r>
      <w:r>
        <w:rPr>
          <w:lang w:val="en-GB"/>
        </w:rPr>
        <w:t xml:space="preserve"> were fixed at the existing low-water lines. The coordinates of the new baselines were submitted to the United Nations (‘</w:t>
      </w:r>
      <w:r w:rsidRPr="00B8549F">
        <w:rPr>
          <w:b/>
          <w:lang w:val="en-GB"/>
        </w:rPr>
        <w:t>UN</w:t>
      </w:r>
      <w:r>
        <w:rPr>
          <w:lang w:val="en-GB"/>
        </w:rPr>
        <w:t>’) Secretary-General.</w:t>
      </w:r>
    </w:p>
    <w:p w14:paraId="302479E6" w14:textId="6FBE15E1" w:rsidR="0040792C" w:rsidRDefault="0040792C" w:rsidP="0040792C">
      <w:pPr>
        <w:pStyle w:val="Memo"/>
        <w:ind w:firstLine="0"/>
        <w:rPr>
          <w:lang w:val="en-GB"/>
        </w:rPr>
      </w:pPr>
      <w:r>
        <w:rPr>
          <w:lang w:val="en-GB"/>
        </w:rPr>
        <w:lastRenderedPageBreak/>
        <w:t xml:space="preserve">By 2016, all States of the Paine Peninsula, except </w:t>
      </w:r>
      <w:proofErr w:type="spellStart"/>
      <w:r>
        <w:rPr>
          <w:lang w:val="en-GB"/>
        </w:rPr>
        <w:t>Rovinia</w:t>
      </w:r>
      <w:proofErr w:type="spellEnd"/>
      <w:r>
        <w:rPr>
          <w:lang w:val="en-GB"/>
        </w:rPr>
        <w:t xml:space="preserve">, had enacted legislation fixing their baselines. Since then, all OCDP Member States but </w:t>
      </w:r>
      <w:proofErr w:type="spellStart"/>
      <w:r>
        <w:rPr>
          <w:lang w:val="en-GB"/>
        </w:rPr>
        <w:t>Rovinia</w:t>
      </w:r>
      <w:proofErr w:type="spellEnd"/>
      <w:r>
        <w:rPr>
          <w:lang w:val="en-GB"/>
        </w:rPr>
        <w:t xml:space="preserve"> have annually voted in favour of OCDP resolutions endorsing fixed baselines. </w:t>
      </w:r>
      <w:proofErr w:type="spellStart"/>
      <w:r>
        <w:rPr>
          <w:lang w:val="en-GB"/>
        </w:rPr>
        <w:t>Rovinia</w:t>
      </w:r>
      <w:proofErr w:type="spellEnd"/>
      <w:r>
        <w:rPr>
          <w:lang w:val="en-GB"/>
        </w:rPr>
        <w:t xml:space="preserve"> opposed such legislation and voted </w:t>
      </w:r>
      <w:r w:rsidR="00CF292F">
        <w:rPr>
          <w:lang w:val="en-GB"/>
        </w:rPr>
        <w:t>against the adoption of these resolutions</w:t>
      </w:r>
      <w:r>
        <w:rPr>
          <w:lang w:val="en-GB"/>
        </w:rPr>
        <w:t xml:space="preserve">. However, on 6 March 2023, </w:t>
      </w:r>
      <w:proofErr w:type="spellStart"/>
      <w:r>
        <w:rPr>
          <w:lang w:val="en-GB"/>
        </w:rPr>
        <w:t>Rovinia</w:t>
      </w:r>
      <w:proofErr w:type="spellEnd"/>
      <w:r>
        <w:rPr>
          <w:lang w:val="en-GB"/>
        </w:rPr>
        <w:t xml:space="preserve"> contributed to such a resolution’s adoption by abstaining from the vote.</w:t>
      </w:r>
    </w:p>
    <w:p w14:paraId="026526DA" w14:textId="77777777" w:rsidR="0040792C" w:rsidRDefault="0040792C" w:rsidP="0040792C">
      <w:pPr>
        <w:pStyle w:val="Memo"/>
        <w:ind w:firstLine="0"/>
        <w:rPr>
          <w:lang w:val="en-GB"/>
        </w:rPr>
      </w:pPr>
      <w:r>
        <w:rPr>
          <w:lang w:val="en-GB"/>
        </w:rPr>
        <w:t xml:space="preserve">In 2018, </w:t>
      </w:r>
      <w:proofErr w:type="spellStart"/>
      <w:r>
        <w:rPr>
          <w:lang w:val="en-GB"/>
        </w:rPr>
        <w:t>Rovinia</w:t>
      </w:r>
      <w:proofErr w:type="spellEnd"/>
      <w:r>
        <w:rPr>
          <w:lang w:val="en-GB"/>
        </w:rPr>
        <w:t xml:space="preserve"> began issuing fishing licenses for yellowfin tuna covering the entire Triton Shoal, a fully immersed seamount in the </w:t>
      </w:r>
      <w:proofErr w:type="spellStart"/>
      <w:r>
        <w:rPr>
          <w:lang w:val="en-GB"/>
        </w:rPr>
        <w:t>Naegea</w:t>
      </w:r>
      <w:proofErr w:type="spellEnd"/>
      <w:r>
        <w:rPr>
          <w:lang w:val="en-GB"/>
        </w:rPr>
        <w:t xml:space="preserve"> Sea. Measured from Ambrosia’s fixed baselines, parts of the Triton Shoal are located within its EEZ. Despite Ambrosia’s numerous protests, </w:t>
      </w:r>
      <w:proofErr w:type="spellStart"/>
      <w:r>
        <w:rPr>
          <w:lang w:val="en-GB"/>
        </w:rPr>
        <w:t>Rovinia</w:t>
      </w:r>
      <w:proofErr w:type="spellEnd"/>
      <w:r>
        <w:rPr>
          <w:lang w:val="en-GB"/>
        </w:rPr>
        <w:t xml:space="preserve"> continues to issue fishing licences in those parts of the Triton Shoal. </w:t>
      </w:r>
    </w:p>
    <w:p w14:paraId="66F4976A" w14:textId="77777777" w:rsidR="0040792C" w:rsidRDefault="0040792C" w:rsidP="0040792C">
      <w:pPr>
        <w:pStyle w:val="Memo"/>
        <w:ind w:firstLine="0"/>
        <w:rPr>
          <w:lang w:val="en-GB"/>
        </w:rPr>
      </w:pPr>
    </w:p>
    <w:p w14:paraId="5061B5FE" w14:textId="77777777" w:rsidR="0040792C" w:rsidRDefault="0040792C" w:rsidP="00B963F4">
      <w:pPr>
        <w:pStyle w:val="Memo"/>
        <w:spacing w:before="120" w:after="120"/>
        <w:jc w:val="center"/>
        <w:rPr>
          <w:b/>
          <w:bCs/>
          <w:u w:val="single"/>
          <w:lang w:val="en-GB"/>
        </w:rPr>
      </w:pPr>
      <w:r>
        <w:rPr>
          <w:b/>
          <w:bCs/>
          <w:u w:val="single"/>
          <w:lang w:val="en-GB"/>
        </w:rPr>
        <w:t xml:space="preserve">Assumption of power by the Transitional Council </w:t>
      </w:r>
    </w:p>
    <w:p w14:paraId="56174408" w14:textId="0102BC90" w:rsidR="0040792C" w:rsidRDefault="0040792C" w:rsidP="0040792C">
      <w:pPr>
        <w:pStyle w:val="Memo"/>
        <w:ind w:firstLine="0"/>
        <w:rPr>
          <w:lang w:val="en-GB"/>
        </w:rPr>
      </w:pPr>
      <w:r>
        <w:rPr>
          <w:lang w:val="en-GB"/>
        </w:rPr>
        <w:t xml:space="preserve">On 25 April 2022, </w:t>
      </w:r>
      <w:r w:rsidR="001017B1">
        <w:rPr>
          <w:lang w:val="en-GB"/>
        </w:rPr>
        <w:t xml:space="preserve">the Ambrosian </w:t>
      </w:r>
      <w:r>
        <w:rPr>
          <w:lang w:val="en-GB"/>
        </w:rPr>
        <w:t xml:space="preserve">President </w:t>
      </w:r>
      <w:r w:rsidR="00CF4FEC">
        <w:rPr>
          <w:lang w:val="en-GB"/>
        </w:rPr>
        <w:t xml:space="preserve">Prosper </w:t>
      </w:r>
      <w:proofErr w:type="spellStart"/>
      <w:r>
        <w:rPr>
          <w:lang w:val="en-GB"/>
        </w:rPr>
        <w:t>Derey</w:t>
      </w:r>
      <w:proofErr w:type="spellEnd"/>
      <w:r>
        <w:rPr>
          <w:lang w:val="en-GB"/>
        </w:rPr>
        <w:t xml:space="preserve"> fell into a coma, which prompted Vice-President Mary Zavala to assume the presidency, as mandated by the Ambrosian Constitution. Shortly after, Hurricane Luna struck the Ambrosian fishing village of </w:t>
      </w:r>
      <w:proofErr w:type="spellStart"/>
      <w:r>
        <w:rPr>
          <w:lang w:val="en-GB"/>
        </w:rPr>
        <w:t>Dovilina</w:t>
      </w:r>
      <w:proofErr w:type="spellEnd"/>
      <w:r>
        <w:rPr>
          <w:lang w:val="en-GB"/>
        </w:rPr>
        <w:t xml:space="preserve"> and in response, the National Assembly passed a Reconstruction Bill to aid the affected region. Acting President Zavala expressed solidarity with the people of </w:t>
      </w:r>
      <w:proofErr w:type="spellStart"/>
      <w:r>
        <w:rPr>
          <w:lang w:val="en-GB"/>
        </w:rPr>
        <w:t>Dovilina</w:t>
      </w:r>
      <w:proofErr w:type="spellEnd"/>
      <w:r>
        <w:rPr>
          <w:lang w:val="en-GB"/>
        </w:rPr>
        <w:t xml:space="preserve">. However, as the Bill granted local </w:t>
      </w:r>
      <w:proofErr w:type="gramStart"/>
      <w:r>
        <w:rPr>
          <w:lang w:val="en-GB"/>
        </w:rPr>
        <w:t>authorities</w:t>
      </w:r>
      <w:proofErr w:type="gramEnd"/>
      <w:r>
        <w:rPr>
          <w:lang w:val="en-GB"/>
        </w:rPr>
        <w:t xml:space="preserve"> full discretion over the allocation of a considerable </w:t>
      </w:r>
      <w:r w:rsidR="00CF292F">
        <w:rPr>
          <w:lang w:val="en-GB"/>
        </w:rPr>
        <w:t>amount</w:t>
      </w:r>
      <w:r>
        <w:rPr>
          <w:lang w:val="en-GB"/>
        </w:rPr>
        <w:t xml:space="preserve"> of public funds, she declared that she would withhold her signature until it was amended to ensure proper oversight. In the meantime, she resumed her presidential duties and travelled to Doha to attend a UN Conference.</w:t>
      </w:r>
    </w:p>
    <w:p w14:paraId="0A7DC348" w14:textId="7656D86D" w:rsidR="0040792C" w:rsidRDefault="0040792C" w:rsidP="0040792C">
      <w:pPr>
        <w:pStyle w:val="Memo"/>
        <w:ind w:firstLine="0"/>
        <w:rPr>
          <w:lang w:val="en-GB"/>
        </w:rPr>
      </w:pPr>
      <w:r>
        <w:rPr>
          <w:lang w:val="en-GB"/>
        </w:rPr>
        <w:t xml:space="preserve">The management of the </w:t>
      </w:r>
      <w:proofErr w:type="spellStart"/>
      <w:r>
        <w:rPr>
          <w:lang w:val="en-GB"/>
        </w:rPr>
        <w:t>Dovilina</w:t>
      </w:r>
      <w:proofErr w:type="spellEnd"/>
      <w:r>
        <w:rPr>
          <w:lang w:val="en-GB"/>
        </w:rPr>
        <w:t xml:space="preserve"> catastrophe by Acting President Zavala provoked significant public criticism and resulted in the resignation of seven members of her cabinet. On 13 March 2023, amid the turbulent political climate, Ms. Rooney </w:t>
      </w:r>
      <w:proofErr w:type="spellStart"/>
      <w:r>
        <w:rPr>
          <w:lang w:val="en-GB"/>
        </w:rPr>
        <w:t>Piretis</w:t>
      </w:r>
      <w:proofErr w:type="spellEnd"/>
      <w:r>
        <w:rPr>
          <w:lang w:val="en-GB"/>
        </w:rPr>
        <w:t xml:space="preserve">, a Member of the National Assembly, established the Transitional Council and appointed herself as its head, claiming it now constituted the government of Ambrosia. Acting President Zavala was informed of the incident during her return flight from Doha and diverted to </w:t>
      </w:r>
      <w:proofErr w:type="spellStart"/>
      <w:r>
        <w:rPr>
          <w:lang w:val="en-GB"/>
        </w:rPr>
        <w:t>Rovinia</w:t>
      </w:r>
      <w:proofErr w:type="spellEnd"/>
      <w:r>
        <w:rPr>
          <w:lang w:val="en-GB"/>
        </w:rPr>
        <w:t xml:space="preserve"> to meet with her advisors. In an address to the media two days later, she denounced the Transitional Council, asserting that her government remained fully functional. To mitigate the risk of further disruption, she chose to temporarily operate from another Paine Peninsula State.</w:t>
      </w:r>
    </w:p>
    <w:p w14:paraId="7CB9BA8A" w14:textId="77777777" w:rsidR="00FD2210" w:rsidRDefault="00FD2210" w:rsidP="0040792C">
      <w:pPr>
        <w:pStyle w:val="Memo"/>
        <w:ind w:firstLine="0"/>
        <w:rPr>
          <w:lang w:val="en-GB"/>
        </w:rPr>
      </w:pPr>
    </w:p>
    <w:p w14:paraId="01B71F1D" w14:textId="7C364487" w:rsidR="0040792C" w:rsidRDefault="0040792C" w:rsidP="0040792C">
      <w:pPr>
        <w:pStyle w:val="Memo"/>
        <w:ind w:firstLine="0"/>
        <w:rPr>
          <w:lang w:val="en-GB"/>
        </w:rPr>
      </w:pPr>
      <w:bookmarkStart w:id="27" w:name="_Hlk186835299"/>
      <w:r>
        <w:rPr>
          <w:lang w:val="en-GB"/>
        </w:rPr>
        <w:t xml:space="preserve">The Transitional Council soon exercised control over Ambrosia and received recognition from 25 States. Nevertheless, people took to the streets in support of Acting President Zavala’s government. These demonstrations were violently repressed by the police, drawing </w:t>
      </w:r>
      <w:r>
        <w:rPr>
          <w:lang w:val="en-GB"/>
        </w:rPr>
        <w:lastRenderedPageBreak/>
        <w:t>widespread condemnation from human rights organisations. The Ambrosian Permanent Representative at the UN remained seated at the General Assembly and Acting President Zavala’s government received recognition from 15 States.</w:t>
      </w:r>
    </w:p>
    <w:p w14:paraId="69315441" w14:textId="77777777" w:rsidR="0040792C" w:rsidRDefault="0040792C" w:rsidP="0040792C">
      <w:pPr>
        <w:pStyle w:val="Memo"/>
        <w:ind w:firstLine="0"/>
        <w:rPr>
          <w:lang w:val="en-GB"/>
        </w:rPr>
      </w:pPr>
      <w:r>
        <w:rPr>
          <w:lang w:val="en-GB"/>
        </w:rPr>
        <w:t xml:space="preserve">When President </w:t>
      </w:r>
      <w:proofErr w:type="spellStart"/>
      <w:r>
        <w:rPr>
          <w:lang w:val="en-GB"/>
        </w:rPr>
        <w:t>Derey</w:t>
      </w:r>
      <w:proofErr w:type="spellEnd"/>
      <w:r>
        <w:rPr>
          <w:lang w:val="en-GB"/>
        </w:rPr>
        <w:t xml:space="preserve"> awoke from his coma, he reclaimed leadership. The Transitional Council was dissolved and Acting President Zavala resigned.</w:t>
      </w:r>
    </w:p>
    <w:bookmarkEnd w:id="27"/>
    <w:p w14:paraId="247A2EB7" w14:textId="77777777" w:rsidR="0040792C" w:rsidRDefault="0040792C" w:rsidP="0040792C">
      <w:pPr>
        <w:pStyle w:val="Memo"/>
        <w:rPr>
          <w:lang w:val="en-GB"/>
        </w:rPr>
      </w:pPr>
    </w:p>
    <w:p w14:paraId="7E5ED893" w14:textId="77777777" w:rsidR="0040792C" w:rsidRDefault="0040792C" w:rsidP="00B963F4">
      <w:pPr>
        <w:pStyle w:val="Memo"/>
        <w:spacing w:before="120" w:after="120"/>
        <w:jc w:val="center"/>
        <w:rPr>
          <w:b/>
          <w:bCs/>
          <w:u w:val="single"/>
          <w:lang w:val="en-GB"/>
        </w:rPr>
      </w:pPr>
      <w:r>
        <w:rPr>
          <w:b/>
          <w:bCs/>
          <w:u w:val="single"/>
          <w:lang w:val="en-GB"/>
        </w:rPr>
        <w:t xml:space="preserve">Seizure and sale of The Falcon by </w:t>
      </w:r>
      <w:proofErr w:type="spellStart"/>
      <w:r>
        <w:rPr>
          <w:b/>
          <w:bCs/>
          <w:u w:val="single"/>
          <w:lang w:val="en-GB"/>
        </w:rPr>
        <w:t>Rovinia</w:t>
      </w:r>
      <w:proofErr w:type="spellEnd"/>
    </w:p>
    <w:p w14:paraId="17A78527" w14:textId="70C7E57A" w:rsidR="0040792C" w:rsidRDefault="0040792C" w:rsidP="0040792C">
      <w:pPr>
        <w:pStyle w:val="Memo"/>
        <w:ind w:firstLine="0"/>
        <w:rPr>
          <w:lang w:val="en-GB"/>
        </w:rPr>
      </w:pPr>
      <w:r>
        <w:rPr>
          <w:lang w:val="en-GB"/>
        </w:rPr>
        <w:t>In February 2019, Ms</w:t>
      </w:r>
      <w:r w:rsidR="00CF292F">
        <w:rPr>
          <w:lang w:val="en-GB"/>
        </w:rPr>
        <w:t>.</w:t>
      </w:r>
      <w:r>
        <w:rPr>
          <w:lang w:val="en-GB"/>
        </w:rPr>
        <w:t xml:space="preserve"> Zavala commissioned the Air Force to repurpose a military aircraft as her vice-presidential airplane, named The Falcon, with which she arrived in </w:t>
      </w:r>
      <w:proofErr w:type="spellStart"/>
      <w:r>
        <w:rPr>
          <w:lang w:val="en-GB"/>
        </w:rPr>
        <w:t>Rovinia</w:t>
      </w:r>
      <w:proofErr w:type="spellEnd"/>
      <w:r>
        <w:rPr>
          <w:lang w:val="en-GB"/>
        </w:rPr>
        <w:t xml:space="preserve"> after the Transitional Council’s establishment. There, The Falcon was impounded, pending further proceedings in a lawsuit before a </w:t>
      </w:r>
      <w:proofErr w:type="spellStart"/>
      <w:r>
        <w:rPr>
          <w:lang w:val="en-GB"/>
        </w:rPr>
        <w:t>Rovinian</w:t>
      </w:r>
      <w:proofErr w:type="spellEnd"/>
      <w:r>
        <w:rPr>
          <w:lang w:val="en-GB"/>
        </w:rPr>
        <w:t xml:space="preserve"> </w:t>
      </w:r>
      <w:r w:rsidR="00CF292F">
        <w:rPr>
          <w:lang w:val="en-GB"/>
        </w:rPr>
        <w:t>C</w:t>
      </w:r>
      <w:r>
        <w:rPr>
          <w:lang w:val="en-GB"/>
        </w:rPr>
        <w:t xml:space="preserve">ourt, captioned </w:t>
      </w:r>
      <w:proofErr w:type="spellStart"/>
      <w:r>
        <w:rPr>
          <w:i/>
          <w:iCs/>
          <w:lang w:val="en-GB"/>
        </w:rPr>
        <w:t>O’Mander</w:t>
      </w:r>
      <w:proofErr w:type="spellEnd"/>
      <w:r>
        <w:rPr>
          <w:i/>
          <w:iCs/>
          <w:lang w:val="en-GB"/>
        </w:rPr>
        <w:t xml:space="preserve"> Corp. v. Union of Ambrosia</w:t>
      </w:r>
      <w:r>
        <w:rPr>
          <w:lang w:val="en-GB"/>
        </w:rPr>
        <w:t xml:space="preserve">. On 17 March, Ms. </w:t>
      </w:r>
      <w:proofErr w:type="spellStart"/>
      <w:r>
        <w:rPr>
          <w:lang w:val="en-GB"/>
        </w:rPr>
        <w:t>Piretis</w:t>
      </w:r>
      <w:proofErr w:type="spellEnd"/>
      <w:r>
        <w:rPr>
          <w:lang w:val="en-GB"/>
        </w:rPr>
        <w:t xml:space="preserve"> issued a waiver of immunity for The Falcon, which partly aimed at complicating Acting President Zavala’s return. The next day, Acting President Zavala denied the waiver’s validity and asserted that The Falcon’s immunity must be respected. Still, after consulting with the </w:t>
      </w:r>
      <w:proofErr w:type="spellStart"/>
      <w:r>
        <w:rPr>
          <w:lang w:val="en-GB"/>
        </w:rPr>
        <w:t>Rovinian</w:t>
      </w:r>
      <w:proofErr w:type="spellEnd"/>
      <w:r>
        <w:rPr>
          <w:lang w:val="en-GB"/>
        </w:rPr>
        <w:t xml:space="preserve"> Foreign Minister, who recognised the Transitional Council as the government of Ambrosia, the </w:t>
      </w:r>
      <w:proofErr w:type="spellStart"/>
      <w:r>
        <w:rPr>
          <w:lang w:val="en-GB"/>
        </w:rPr>
        <w:t>Rovinian</w:t>
      </w:r>
      <w:proofErr w:type="spellEnd"/>
      <w:r>
        <w:rPr>
          <w:lang w:val="en-GB"/>
        </w:rPr>
        <w:t xml:space="preserve"> </w:t>
      </w:r>
      <w:r w:rsidR="00CF292F">
        <w:rPr>
          <w:lang w:val="en-GB"/>
        </w:rPr>
        <w:t>C</w:t>
      </w:r>
      <w:r>
        <w:rPr>
          <w:lang w:val="en-GB"/>
        </w:rPr>
        <w:t xml:space="preserve">ourt ordered The Falcon’s seizure and sale. </w:t>
      </w:r>
    </w:p>
    <w:p w14:paraId="74B11B30" w14:textId="4C4E8917" w:rsidR="009E1E24" w:rsidRDefault="009E1E24" w:rsidP="009E1E24">
      <w:pPr>
        <w:pStyle w:val="Memo"/>
        <w:rPr>
          <w:b/>
          <w:bCs/>
          <w:u w:val="single"/>
          <w:lang w:val="en-GB"/>
        </w:rPr>
      </w:pPr>
    </w:p>
    <w:p w14:paraId="20284C25" w14:textId="77777777" w:rsidR="00C43CC7" w:rsidRDefault="00C43CC7" w:rsidP="00C43CC7">
      <w:pPr>
        <w:pStyle w:val="Memo"/>
        <w:spacing w:before="120" w:after="120"/>
        <w:ind w:firstLine="0"/>
        <w:jc w:val="center"/>
        <w:rPr>
          <w:lang w:val="en-GB"/>
        </w:rPr>
      </w:pPr>
      <w:r>
        <w:rPr>
          <w:b/>
          <w:bCs/>
          <w:u w:val="single"/>
          <w:lang w:val="en-GB"/>
        </w:rPr>
        <w:t xml:space="preserve">Enforcement of the “Implementing the Law for a Safer Ambrosia” program </w:t>
      </w:r>
    </w:p>
    <w:p w14:paraId="44FDFB23" w14:textId="59D2A4A2" w:rsidR="00C43CC7" w:rsidRDefault="00C43CC7" w:rsidP="00C43CC7">
      <w:pPr>
        <w:pStyle w:val="Memo"/>
        <w:ind w:firstLine="0"/>
        <w:rPr>
          <w:lang w:val="en-GB"/>
        </w:rPr>
      </w:pPr>
      <w:r>
        <w:rPr>
          <w:lang w:val="en-GB"/>
        </w:rPr>
        <w:t xml:space="preserve">In 2013, President </w:t>
      </w:r>
      <w:proofErr w:type="spellStart"/>
      <w:r>
        <w:rPr>
          <w:lang w:val="en-GB"/>
        </w:rPr>
        <w:t>Derey</w:t>
      </w:r>
      <w:proofErr w:type="spellEnd"/>
      <w:r>
        <w:rPr>
          <w:lang w:val="en-GB"/>
        </w:rPr>
        <w:t xml:space="preserve"> ordered Interior Minister Gertrude Cross to apprehend persons engaged in illicit drug production, distribution and use in order to reduce the flow of illegal drugs. To this end, Minister Cross launched the “Implementing the Law for a Safer Ambrosia” (‘</w:t>
      </w:r>
      <w:r w:rsidRPr="00B8549F">
        <w:rPr>
          <w:b/>
          <w:lang w:val="en-GB"/>
        </w:rPr>
        <w:t>ILSA</w:t>
      </w:r>
      <w:r>
        <w:rPr>
          <w:lang w:val="en-GB"/>
        </w:rPr>
        <w:t xml:space="preserve">’) program, which increased confessions and convictions for drug-related crimes. </w:t>
      </w:r>
    </w:p>
    <w:p w14:paraId="5E98436E" w14:textId="77777777" w:rsidR="00C43CC7" w:rsidRDefault="00C43CC7" w:rsidP="00C43CC7">
      <w:pPr>
        <w:pStyle w:val="Memo"/>
        <w:ind w:firstLine="0"/>
        <w:rPr>
          <w:lang w:val="en-GB"/>
        </w:rPr>
      </w:pPr>
      <w:r>
        <w:rPr>
          <w:lang w:val="en-GB"/>
        </w:rPr>
        <w:t>In August 2022, the non-governmental organisation Human Rights International (‘</w:t>
      </w:r>
      <w:r w:rsidRPr="00B8549F">
        <w:rPr>
          <w:b/>
          <w:lang w:val="en-GB"/>
        </w:rPr>
        <w:t>HRI</w:t>
      </w:r>
      <w:r>
        <w:rPr>
          <w:lang w:val="en-GB"/>
        </w:rPr>
        <w:t xml:space="preserve">’) published a report alleging that under the ILSA program about 150 people suspected of drug trafficking had been abducted and detained in undisclosed locations between 2017 and 2020. According to the report, all detainees were released by December 2020. Following the report, the Ambrosian Prosecutor General launched a criminal investigation, resulting in the convictions of five police officers. Due to insufficient evidence, Minister Cross did not face criminal charges. By the time the investigation concluded, she had resigned as Minister and taken up residence in </w:t>
      </w:r>
      <w:proofErr w:type="spellStart"/>
      <w:r>
        <w:rPr>
          <w:lang w:val="en-GB"/>
        </w:rPr>
        <w:t>Rovinia</w:t>
      </w:r>
      <w:proofErr w:type="spellEnd"/>
      <w:r>
        <w:rPr>
          <w:lang w:val="en-GB"/>
        </w:rPr>
        <w:t xml:space="preserve">. </w:t>
      </w:r>
    </w:p>
    <w:p w14:paraId="125FCB60" w14:textId="61088E64" w:rsidR="00C43CC7" w:rsidRDefault="00C43CC7" w:rsidP="00C43CC7">
      <w:pPr>
        <w:pStyle w:val="Memo"/>
        <w:ind w:firstLine="0"/>
        <w:rPr>
          <w:lang w:val="en-GB"/>
        </w:rPr>
      </w:pPr>
    </w:p>
    <w:p w14:paraId="204B875F" w14:textId="77777777" w:rsidR="00CF4FEC" w:rsidRDefault="00CF4FEC" w:rsidP="00C43CC7">
      <w:pPr>
        <w:pStyle w:val="Memo"/>
        <w:ind w:firstLine="0"/>
        <w:rPr>
          <w:lang w:val="en-GB"/>
        </w:rPr>
      </w:pPr>
      <w:bookmarkStart w:id="28" w:name="_GoBack"/>
      <w:bookmarkEnd w:id="28"/>
    </w:p>
    <w:p w14:paraId="0009D162" w14:textId="77777777" w:rsidR="00C43CC7" w:rsidRDefault="00C43CC7" w:rsidP="00C43CC7">
      <w:pPr>
        <w:pStyle w:val="Memo"/>
        <w:spacing w:before="120" w:after="120"/>
        <w:ind w:firstLine="0"/>
        <w:jc w:val="center"/>
        <w:rPr>
          <w:lang w:val="en-GB"/>
        </w:rPr>
      </w:pPr>
      <w:r>
        <w:rPr>
          <w:b/>
          <w:bCs/>
          <w:u w:val="single"/>
          <w:lang w:val="en-GB"/>
        </w:rPr>
        <w:lastRenderedPageBreak/>
        <w:t xml:space="preserve">Arrest of Ms. Cross by </w:t>
      </w:r>
      <w:proofErr w:type="spellStart"/>
      <w:r>
        <w:rPr>
          <w:b/>
          <w:bCs/>
          <w:u w:val="single"/>
          <w:lang w:val="en-GB"/>
        </w:rPr>
        <w:t>Rovinia</w:t>
      </w:r>
      <w:proofErr w:type="spellEnd"/>
    </w:p>
    <w:p w14:paraId="13B25639" w14:textId="77777777" w:rsidR="00C43CC7" w:rsidRDefault="00C43CC7" w:rsidP="00C43CC7">
      <w:pPr>
        <w:pStyle w:val="Memo"/>
        <w:ind w:firstLine="0"/>
        <w:rPr>
          <w:lang w:val="en-GB"/>
        </w:rPr>
      </w:pPr>
      <w:r>
        <w:rPr>
          <w:lang w:val="en-GB"/>
        </w:rPr>
        <w:t xml:space="preserve">On 12 June 2023, HRI published an update to its 2022 report on ILSA, suggesting the involvement of Minister Cross in abductions of Ambrosian nationals under the ILSA program. Allegedly, the Ambrosian Prosecutor General had access to some of this information. Immediately afterwards, the investigation for Minister Cross was re-opened in Ambrosia. On 1 May 2024, the Office of </w:t>
      </w:r>
      <w:proofErr w:type="spellStart"/>
      <w:r>
        <w:rPr>
          <w:lang w:val="en-GB"/>
        </w:rPr>
        <w:t>Rovinia’s</w:t>
      </w:r>
      <w:proofErr w:type="spellEnd"/>
      <w:r>
        <w:rPr>
          <w:lang w:val="en-GB"/>
        </w:rPr>
        <w:t xml:space="preserve"> General Prosecutor filed a complaint against Minister Cross for the crime of “enforced disappearance” under the </w:t>
      </w:r>
      <w:proofErr w:type="spellStart"/>
      <w:r>
        <w:rPr>
          <w:lang w:val="en-GB"/>
        </w:rPr>
        <w:t>Rovinian</w:t>
      </w:r>
      <w:proofErr w:type="spellEnd"/>
      <w:r>
        <w:rPr>
          <w:lang w:val="en-GB"/>
        </w:rPr>
        <w:t xml:space="preserve"> Criminal Code, starting a criminal prosecution which included her arrest. She has been held captive in </w:t>
      </w:r>
      <w:proofErr w:type="spellStart"/>
      <w:r>
        <w:rPr>
          <w:lang w:val="en-GB"/>
        </w:rPr>
        <w:t>Rovinia</w:t>
      </w:r>
      <w:proofErr w:type="spellEnd"/>
      <w:r>
        <w:rPr>
          <w:lang w:val="en-GB"/>
        </w:rPr>
        <w:t xml:space="preserve"> ever since. Based on the 2002 bilateral extradition treaty between Ambrosia and </w:t>
      </w:r>
      <w:proofErr w:type="spellStart"/>
      <w:r>
        <w:rPr>
          <w:lang w:val="en-GB"/>
        </w:rPr>
        <w:t>Rovinia</w:t>
      </w:r>
      <w:proofErr w:type="spellEnd"/>
      <w:r>
        <w:rPr>
          <w:lang w:val="en-GB"/>
        </w:rPr>
        <w:t xml:space="preserve">, the Ambrosian Prosecutor General requested Minister Cross’s extradition in connection with his office’s ongoing investigation of her, which </w:t>
      </w:r>
      <w:proofErr w:type="spellStart"/>
      <w:r>
        <w:rPr>
          <w:lang w:val="en-GB"/>
        </w:rPr>
        <w:t>Rovinia</w:t>
      </w:r>
      <w:proofErr w:type="spellEnd"/>
      <w:r>
        <w:rPr>
          <w:lang w:val="en-GB"/>
        </w:rPr>
        <w:t xml:space="preserve"> has ignored so far. </w:t>
      </w:r>
    </w:p>
    <w:p w14:paraId="7BEE038E" w14:textId="77777777" w:rsidR="00C43CC7" w:rsidRDefault="00C43CC7" w:rsidP="009E1E24">
      <w:pPr>
        <w:pStyle w:val="Memo"/>
        <w:rPr>
          <w:b/>
          <w:bCs/>
          <w:u w:val="single"/>
          <w:lang w:val="en-GB"/>
        </w:rPr>
      </w:pPr>
    </w:p>
    <w:p w14:paraId="6F2D79DB" w14:textId="77777777" w:rsidR="0040792C" w:rsidRDefault="0040792C" w:rsidP="009E1E24">
      <w:pPr>
        <w:pStyle w:val="Memo"/>
        <w:rPr>
          <w:lang w:val="en-GB"/>
        </w:rPr>
      </w:pPr>
    </w:p>
    <w:p w14:paraId="671B2A9E" w14:textId="2D81FF57" w:rsidR="0040792C" w:rsidRPr="00195DE7" w:rsidRDefault="0040792C" w:rsidP="009E1E24">
      <w:pPr>
        <w:pStyle w:val="Memo"/>
        <w:rPr>
          <w:lang w:val="en-GB"/>
        </w:rPr>
        <w:sectPr w:rsidR="0040792C" w:rsidRPr="00195DE7" w:rsidSect="005A2A91">
          <w:pgSz w:w="11906" w:h="16838" w:code="9"/>
          <w:pgMar w:top="1474" w:right="1474" w:bottom="1474" w:left="1474" w:header="720" w:footer="720" w:gutter="0"/>
          <w:pgNumType w:fmt="upperRoman"/>
          <w:cols w:space="720"/>
          <w:docGrid w:linePitch="360"/>
        </w:sectPr>
      </w:pPr>
    </w:p>
    <w:p w14:paraId="5924333A" w14:textId="4D26E853" w:rsidR="00195DE7" w:rsidRPr="00DA07B1" w:rsidRDefault="009E1E24" w:rsidP="005C5AE2">
      <w:pPr>
        <w:pStyle w:val="Ober-berschrift"/>
      </w:pPr>
      <w:bookmarkStart w:id="29" w:name="_Toc187486711"/>
      <w:bookmarkStart w:id="30" w:name="_Toc187487009"/>
      <w:bookmarkStart w:id="31" w:name="_Toc187487358"/>
      <w:bookmarkStart w:id="32" w:name="_Toc187681643"/>
      <w:bookmarkStart w:id="33" w:name="_Toc187692145"/>
      <w:r>
        <w:lastRenderedPageBreak/>
        <w:t>Summary of Pleadings</w:t>
      </w:r>
      <w:bookmarkEnd w:id="29"/>
      <w:bookmarkEnd w:id="30"/>
      <w:bookmarkEnd w:id="31"/>
      <w:bookmarkEnd w:id="32"/>
      <w:bookmarkEnd w:id="33"/>
    </w:p>
    <w:p w14:paraId="1BB14F96" w14:textId="655EBE95" w:rsidR="00B963F4" w:rsidRDefault="00B963F4" w:rsidP="00B963F4">
      <w:pPr>
        <w:pStyle w:val="Memo"/>
        <w:spacing w:after="120"/>
        <w:ind w:firstLine="0"/>
        <w:rPr>
          <w:rFonts w:eastAsia="Times New Roman" w:cs="Times New Roman"/>
          <w:lang w:val="en-GB"/>
        </w:rPr>
      </w:pPr>
      <w:bookmarkStart w:id="34" w:name="_Hlk187412614"/>
      <w:bookmarkStart w:id="35" w:name="_Hlk187595568"/>
      <w:r w:rsidRPr="00B963F4">
        <w:rPr>
          <w:b/>
          <w:lang w:val="en-GB"/>
        </w:rPr>
        <w:t>A.</w:t>
      </w:r>
      <w:r>
        <w:rPr>
          <w:lang w:val="en-GB"/>
        </w:rPr>
        <w:t xml:space="preserve"> The Court has jurisdiction to entertain Ambrosia’s submission (b)</w:t>
      </w:r>
      <w:bookmarkEnd w:id="34"/>
      <w:r>
        <w:rPr>
          <w:lang w:val="en-GB"/>
        </w:rPr>
        <w:t>.</w:t>
      </w:r>
    </w:p>
    <w:p w14:paraId="7C46DDAB" w14:textId="77777777" w:rsidR="00B963F4" w:rsidRDefault="00B963F4" w:rsidP="00B963F4">
      <w:pPr>
        <w:spacing w:line="360" w:lineRule="auto"/>
        <w:ind w:firstLine="0"/>
        <w:rPr>
          <w:lang w:val="en-GB" w:eastAsia="x-none"/>
        </w:rPr>
      </w:pPr>
      <w:r>
        <w:rPr>
          <w:lang w:val="en-GB" w:eastAsia="x-none"/>
        </w:rPr>
        <w:t>Under Article XXI(a) Organisation for Cooperation and Development in the Paine (‘</w:t>
      </w:r>
      <w:r w:rsidRPr="00B8549F">
        <w:rPr>
          <w:b/>
          <w:lang w:val="en-GB" w:eastAsia="x-none"/>
        </w:rPr>
        <w:t>OCDP</w:t>
      </w:r>
      <w:r>
        <w:rPr>
          <w:lang w:val="en-GB" w:eastAsia="x-none"/>
        </w:rPr>
        <w:t>’) Charter, the Member States recognise this Court’s jurisdiction for disputes arising among them, except as provided in Article XXI(b) OCDP Charter.</w:t>
      </w:r>
      <w:r>
        <w:rPr>
          <w:lang w:val="en-GB"/>
        </w:rPr>
        <w:t xml:space="preserve"> Article XXI</w:t>
      </w:r>
      <w:r>
        <w:rPr>
          <w:lang w:val="en-GB" w:eastAsia="x-none"/>
        </w:rPr>
        <w:t>(b)</w:t>
      </w:r>
      <w:r>
        <w:rPr>
          <w:lang w:val="en-GB"/>
        </w:rPr>
        <w:t> OCDP Charter</w:t>
      </w:r>
      <w:r>
        <w:rPr>
          <w:lang w:val="en-GB" w:eastAsia="x-none"/>
        </w:rPr>
        <w:t xml:space="preserve"> excludes disputes arising out of facts or situations occurring prior to the entry into force of Article XXI OCDP Charter on 17 March 2021 and disputes relating to judicial proceedings on matters which, in accordance with international law, are essentially within a Member State’s domestic jurisdiction. </w:t>
      </w:r>
    </w:p>
    <w:p w14:paraId="45B2E175" w14:textId="77777777" w:rsidR="00B963F4" w:rsidRDefault="00B963F4" w:rsidP="00B963F4">
      <w:pPr>
        <w:spacing w:line="360" w:lineRule="auto"/>
        <w:ind w:firstLine="0"/>
        <w:rPr>
          <w:lang w:val="en-GB"/>
        </w:rPr>
      </w:pPr>
      <w:r>
        <w:rPr>
          <w:lang w:val="en-GB"/>
        </w:rPr>
        <w:t xml:space="preserve">The dispute did not arise out of facts or situations occurring prior to 17 March 2021 as the dispute </w:t>
      </w:r>
      <w:r>
        <w:rPr>
          <w:lang w:val="en-GB" w:eastAsia="x-none"/>
        </w:rPr>
        <w:t xml:space="preserve">arose out of the fact that </w:t>
      </w:r>
      <w:proofErr w:type="spellStart"/>
      <w:r>
        <w:rPr>
          <w:lang w:val="en-GB" w:eastAsia="x-none"/>
        </w:rPr>
        <w:t>Rovinia</w:t>
      </w:r>
      <w:proofErr w:type="spellEnd"/>
      <w:r>
        <w:rPr>
          <w:lang w:val="en-GB" w:eastAsia="x-none"/>
        </w:rPr>
        <w:t xml:space="preserve"> arrested and prosecuted Minister Cross in May 2024. </w:t>
      </w:r>
    </w:p>
    <w:p w14:paraId="7CAF32FC" w14:textId="002070E6" w:rsidR="00B963F4" w:rsidRDefault="00B963F4" w:rsidP="00B963F4">
      <w:pPr>
        <w:spacing w:line="360" w:lineRule="auto"/>
        <w:ind w:firstLine="0"/>
        <w:rPr>
          <w:lang w:val="en-GB"/>
        </w:rPr>
      </w:pPr>
      <w:r>
        <w:rPr>
          <w:lang w:val="en-GB"/>
        </w:rPr>
        <w:t xml:space="preserve">Further, the dispute does not relate to judicial proceedings on matters essentially within </w:t>
      </w:r>
      <w:proofErr w:type="spellStart"/>
      <w:r>
        <w:rPr>
          <w:lang w:val="en-GB"/>
        </w:rPr>
        <w:t>Rovinia’s</w:t>
      </w:r>
      <w:proofErr w:type="spellEnd"/>
      <w:r>
        <w:rPr>
          <w:lang w:val="en-GB"/>
        </w:rPr>
        <w:t xml:space="preserve"> domestic jurisdiction. The prosecution of perpetrators of enforced disappearance, exceptions to immunity and the exercise of </w:t>
      </w:r>
      <w:r w:rsidR="00C33996">
        <w:rPr>
          <w:lang w:val="en-GB"/>
        </w:rPr>
        <w:t>extraterritorial criminal</w:t>
      </w:r>
      <w:r>
        <w:rPr>
          <w:lang w:val="en-GB"/>
        </w:rPr>
        <w:t xml:space="preserve"> jurisdiction are matters outside a State’s domestic jurisdiction.</w:t>
      </w:r>
    </w:p>
    <w:p w14:paraId="2373070F" w14:textId="77777777" w:rsidR="00B963F4" w:rsidRPr="00B963F4" w:rsidRDefault="00B963F4" w:rsidP="00B963F4">
      <w:pPr>
        <w:spacing w:line="360" w:lineRule="auto"/>
        <w:ind w:firstLine="0"/>
        <w:rPr>
          <w:lang w:val="en-GB"/>
        </w:rPr>
      </w:pPr>
    </w:p>
    <w:p w14:paraId="1EA15744" w14:textId="4B1645CF" w:rsidR="00B963F4" w:rsidRDefault="00B963F4" w:rsidP="00B963F4">
      <w:pPr>
        <w:pStyle w:val="Memo"/>
        <w:spacing w:after="120"/>
        <w:ind w:firstLine="0"/>
        <w:rPr>
          <w:lang w:val="en-GB"/>
        </w:rPr>
      </w:pPr>
      <w:r w:rsidRPr="00B963F4">
        <w:rPr>
          <w:b/>
          <w:lang w:val="en-GB"/>
        </w:rPr>
        <w:t>B.</w:t>
      </w:r>
      <w:r>
        <w:rPr>
          <w:lang w:val="en-GB"/>
        </w:rPr>
        <w:t xml:space="preserve"> </w:t>
      </w:r>
      <w:proofErr w:type="spellStart"/>
      <w:r>
        <w:rPr>
          <w:lang w:val="en-GB"/>
        </w:rPr>
        <w:t>Rovinia</w:t>
      </w:r>
      <w:proofErr w:type="spellEnd"/>
      <w:r>
        <w:rPr>
          <w:lang w:val="en-GB"/>
        </w:rPr>
        <w:t xml:space="preserve"> violated the international legal rules on jurisdiction and immunity by arresting and prosecuting Ms. Gertrude Cross.</w:t>
      </w:r>
    </w:p>
    <w:p w14:paraId="2E9D90DD" w14:textId="77777777" w:rsidR="00B963F4" w:rsidRDefault="00B963F4" w:rsidP="00B963F4">
      <w:pPr>
        <w:spacing w:line="360" w:lineRule="auto"/>
        <w:ind w:firstLine="0"/>
      </w:pPr>
      <w:proofErr w:type="spellStart"/>
      <w:r>
        <w:t>Rovinia</w:t>
      </w:r>
      <w:proofErr w:type="spellEnd"/>
      <w:r>
        <w:t xml:space="preserve"> needs a jurisdictional link to prosecute Minister Cross, which it does not have. </w:t>
      </w:r>
    </w:p>
    <w:p w14:paraId="6DCB3ADC" w14:textId="6BDE0FAA" w:rsidR="00B963F4" w:rsidRDefault="00B963F4" w:rsidP="00B963F4">
      <w:pPr>
        <w:spacing w:line="360" w:lineRule="auto"/>
        <w:ind w:firstLine="0"/>
      </w:pPr>
      <w:r>
        <w:t xml:space="preserve">Further, </w:t>
      </w:r>
      <w:proofErr w:type="spellStart"/>
      <w:r>
        <w:t>Rovinia</w:t>
      </w:r>
      <w:proofErr w:type="spellEnd"/>
      <w:r>
        <w:t xml:space="preserve"> cannot assert universal jurisdiction over Minister Cross under customary international law as the alleged crime is not a crime against humanity. Moreover, the </w:t>
      </w:r>
      <w:r>
        <w:rPr>
          <w:lang w:val="en-GB" w:eastAsia="x-none"/>
        </w:rPr>
        <w:t>International Convention for the Protection of all Persons from Enforced Disappearance</w:t>
      </w:r>
      <w:r w:rsidR="00CF292F">
        <w:rPr>
          <w:lang w:val="en-GB" w:eastAsia="x-none"/>
        </w:rPr>
        <w:t> </w:t>
      </w:r>
      <w:r>
        <w:rPr>
          <w:lang w:val="en-GB" w:eastAsia="x-none"/>
        </w:rPr>
        <w:t>(‘</w:t>
      </w:r>
      <w:r w:rsidRPr="00B8549F">
        <w:rPr>
          <w:b/>
          <w:bCs/>
          <w:lang w:val="en-GB" w:eastAsia="x-none"/>
        </w:rPr>
        <w:t>ICPPED</w:t>
      </w:r>
      <w:r>
        <w:rPr>
          <w:lang w:val="en-GB" w:eastAsia="x-none"/>
        </w:rPr>
        <w:t xml:space="preserve">’) </w:t>
      </w:r>
      <w:r>
        <w:t xml:space="preserve">does not provide </w:t>
      </w:r>
      <w:r w:rsidR="00CF292F">
        <w:t xml:space="preserve">for </w:t>
      </w:r>
      <w:r>
        <w:t xml:space="preserve">universal jurisdiction. Even if </w:t>
      </w:r>
      <w:proofErr w:type="spellStart"/>
      <w:r>
        <w:t>Rovinia</w:t>
      </w:r>
      <w:proofErr w:type="spellEnd"/>
      <w:r>
        <w:t xml:space="preserve"> had universal jurisdiction over Minister Cross, it </w:t>
      </w:r>
      <w:r w:rsidR="00B45364">
        <w:t xml:space="preserve">would be </w:t>
      </w:r>
      <w:r>
        <w:t xml:space="preserve">subsidiary to Ambrosia’s jurisdiction. </w:t>
      </w:r>
    </w:p>
    <w:p w14:paraId="289DFC30" w14:textId="77777777" w:rsidR="00B963F4" w:rsidRDefault="00B963F4" w:rsidP="00B963F4">
      <w:pPr>
        <w:spacing w:line="360" w:lineRule="auto"/>
        <w:ind w:firstLine="0"/>
        <w:rPr>
          <w:bCs/>
          <w:lang w:val="en-GB"/>
        </w:rPr>
      </w:pPr>
      <w:r>
        <w:rPr>
          <w:bCs/>
          <w:lang w:val="en-GB"/>
        </w:rPr>
        <w:t xml:space="preserve">Further, </w:t>
      </w:r>
      <w:r>
        <w:t>Minister Cross enjoys functional immunity under customary international law as she acted in official capacity</w:t>
      </w:r>
      <w:r>
        <w:rPr>
          <w:bCs/>
          <w:lang w:val="en-GB"/>
        </w:rPr>
        <w:t xml:space="preserve">. </w:t>
      </w:r>
      <w:r>
        <w:t>There are no applicable limitations or exceptions to functional immunity</w:t>
      </w:r>
      <w:r>
        <w:rPr>
          <w:bCs/>
          <w:lang w:val="en-GB"/>
        </w:rPr>
        <w:t xml:space="preserve">. </w:t>
      </w:r>
      <w:bookmarkStart w:id="36" w:name="_Toc187309959"/>
    </w:p>
    <w:bookmarkEnd w:id="36"/>
    <w:p w14:paraId="4FE0976D" w14:textId="77777777" w:rsidR="00B963F4" w:rsidRDefault="00B963F4" w:rsidP="00B963F4">
      <w:pPr>
        <w:spacing w:line="360" w:lineRule="auto"/>
        <w:ind w:firstLine="0"/>
      </w:pPr>
      <w:r>
        <w:t xml:space="preserve">The superior nature of </w:t>
      </w:r>
      <w:r>
        <w:rPr>
          <w:i/>
        </w:rPr>
        <w:t>jus cogens</w:t>
      </w:r>
      <w:r>
        <w:t xml:space="preserve"> norms does not limit functional immunity, and, in any case, the prohibition of enforced disappearance is not a </w:t>
      </w:r>
      <w:r>
        <w:rPr>
          <w:i/>
        </w:rPr>
        <w:t>jus cogens</w:t>
      </w:r>
      <w:r>
        <w:t xml:space="preserve"> norm.</w:t>
      </w:r>
    </w:p>
    <w:p w14:paraId="220B7E83" w14:textId="27E71B46" w:rsidR="00B963F4" w:rsidRDefault="00B963F4" w:rsidP="00B963F4">
      <w:pPr>
        <w:spacing w:line="360" w:lineRule="auto"/>
        <w:ind w:firstLine="0"/>
      </w:pPr>
      <w:r>
        <w:t>Finally, no applicable exception to functional immunity exists in customary international law or international treaty law, including the ICPPED.</w:t>
      </w:r>
    </w:p>
    <w:p w14:paraId="7A609266" w14:textId="7E4574CD" w:rsidR="00B963F4" w:rsidRDefault="00B963F4" w:rsidP="00B963F4">
      <w:pPr>
        <w:spacing w:after="120" w:line="360" w:lineRule="auto"/>
        <w:ind w:firstLine="0"/>
        <w:rPr>
          <w:bCs/>
          <w:lang w:val="en-GB"/>
        </w:rPr>
      </w:pPr>
      <w:r>
        <w:rPr>
          <w:b/>
          <w:bCs/>
          <w:lang w:val="en-GB"/>
        </w:rPr>
        <w:lastRenderedPageBreak/>
        <w:t>C.</w:t>
      </w:r>
      <w:r>
        <w:rPr>
          <w:bCs/>
          <w:lang w:val="en-GB"/>
        </w:rPr>
        <w:t xml:space="preserve"> </w:t>
      </w:r>
      <w:proofErr w:type="spellStart"/>
      <w:r>
        <w:rPr>
          <w:bCs/>
          <w:lang w:val="en-GB"/>
        </w:rPr>
        <w:t>Rovinia’s</w:t>
      </w:r>
      <w:proofErr w:type="spellEnd"/>
      <w:r>
        <w:rPr>
          <w:bCs/>
          <w:lang w:val="en-GB"/>
        </w:rPr>
        <w:t xml:space="preserve"> issuance of licenses to fish in those parts of the Triton Shoal within 200 nautical miles of Ambrosia’s fixed baseline violates international law and must cease, with existing </w:t>
      </w:r>
      <w:r w:rsidR="00E601E5">
        <w:rPr>
          <w:bCs/>
          <w:lang w:val="en-GB"/>
        </w:rPr>
        <w:t xml:space="preserve">fishing </w:t>
      </w:r>
      <w:r>
        <w:rPr>
          <w:bCs/>
          <w:lang w:val="en-GB"/>
        </w:rPr>
        <w:t>licenses revoked.</w:t>
      </w:r>
    </w:p>
    <w:p w14:paraId="65DD4877" w14:textId="147FC0C3" w:rsidR="00B963F4" w:rsidRDefault="00B963F4" w:rsidP="00B963F4">
      <w:pPr>
        <w:spacing w:line="360" w:lineRule="auto"/>
        <w:ind w:firstLine="0"/>
        <w:rPr>
          <w:bCs/>
          <w:lang w:val="en-GB"/>
        </w:rPr>
      </w:pPr>
      <w:proofErr w:type="spellStart"/>
      <w:r>
        <w:rPr>
          <w:bCs/>
          <w:lang w:val="en-GB"/>
        </w:rPr>
        <w:t>Rovinia’s</w:t>
      </w:r>
      <w:proofErr w:type="spellEnd"/>
      <w:r>
        <w:rPr>
          <w:bCs/>
          <w:lang w:val="en-GB"/>
        </w:rPr>
        <w:t xml:space="preserve"> issuance of fishing licenses in Ambrosia’s exclusive economic zone (‘</w:t>
      </w:r>
      <w:r w:rsidRPr="00B8549F">
        <w:rPr>
          <w:b/>
          <w:bCs/>
          <w:lang w:val="en-GB"/>
        </w:rPr>
        <w:t>EEZ</w:t>
      </w:r>
      <w:r>
        <w:rPr>
          <w:bCs/>
          <w:lang w:val="en-GB"/>
        </w:rPr>
        <w:t>’) violates Article 56(1)(a) of the United Nations Convention on the Law of the Sea</w:t>
      </w:r>
      <w:r w:rsidR="00B8549F">
        <w:rPr>
          <w:bCs/>
          <w:lang w:val="en-GB"/>
        </w:rPr>
        <w:t> </w:t>
      </w:r>
      <w:r>
        <w:rPr>
          <w:bCs/>
          <w:lang w:val="en-GB"/>
        </w:rPr>
        <w:t>(‘</w:t>
      </w:r>
      <w:r w:rsidRPr="00B8549F">
        <w:rPr>
          <w:b/>
          <w:bCs/>
          <w:lang w:val="en-GB"/>
        </w:rPr>
        <w:t>UNCLOS</w:t>
      </w:r>
      <w:r>
        <w:rPr>
          <w:bCs/>
          <w:lang w:val="en-GB"/>
        </w:rPr>
        <w:t xml:space="preserve">’) since Ambrosia enjoys sovereign rights for the purpose of exploiting the natural resources within it. Ambrosia’s EEZ extends to portions of the Triton Shoal within 200 nautical miles from its fixed baseline. Its fixed baseline is consistent with UNCLOS as confirmed by the ordinary meaning of the terms of Article 5 UNCLOS, its context, the object and purpose of UNCLOS and the </w:t>
      </w:r>
      <w:r>
        <w:rPr>
          <w:bCs/>
          <w:i/>
          <w:iCs/>
          <w:lang w:val="en-GB"/>
        </w:rPr>
        <w:t>travaux</w:t>
      </w:r>
      <w:r>
        <w:rPr>
          <w:bCs/>
          <w:lang w:val="en-GB"/>
        </w:rPr>
        <w:t xml:space="preserve"> </w:t>
      </w:r>
      <w:proofErr w:type="spellStart"/>
      <w:r>
        <w:rPr>
          <w:bCs/>
          <w:i/>
          <w:iCs/>
          <w:lang w:val="en-GB"/>
        </w:rPr>
        <w:t>préparatoires</w:t>
      </w:r>
      <w:proofErr w:type="spellEnd"/>
      <w:r>
        <w:rPr>
          <w:bCs/>
          <w:lang w:val="en-GB"/>
        </w:rPr>
        <w:t xml:space="preserve">. Subsequent State practice further supports this interpretation. </w:t>
      </w:r>
    </w:p>
    <w:p w14:paraId="7531EF58" w14:textId="77777777" w:rsidR="00B963F4" w:rsidRDefault="00B963F4" w:rsidP="00B963F4">
      <w:pPr>
        <w:spacing w:line="360" w:lineRule="auto"/>
        <w:ind w:firstLine="0"/>
        <w:rPr>
          <w:bCs/>
          <w:lang w:val="en-GB"/>
        </w:rPr>
      </w:pPr>
      <w:proofErr w:type="spellStart"/>
      <w:r>
        <w:rPr>
          <w:bCs/>
          <w:lang w:val="en-GB"/>
        </w:rPr>
        <w:t>Rovinia</w:t>
      </w:r>
      <w:proofErr w:type="spellEnd"/>
      <w:r>
        <w:rPr>
          <w:bCs/>
          <w:lang w:val="en-GB"/>
        </w:rPr>
        <w:t xml:space="preserve"> further violates general customary international law, under which Ambrosia’s EEZ extends to parts of the Triton Shoal.</w:t>
      </w:r>
    </w:p>
    <w:p w14:paraId="17B7F550" w14:textId="6668379F" w:rsidR="00B963F4" w:rsidRDefault="00B963F4" w:rsidP="00B963F4">
      <w:pPr>
        <w:spacing w:line="360" w:lineRule="auto"/>
        <w:ind w:firstLine="0"/>
        <w:rPr>
          <w:bCs/>
          <w:lang w:val="en-GB"/>
        </w:rPr>
      </w:pPr>
      <w:r>
        <w:rPr>
          <w:bCs/>
          <w:lang w:val="en-GB"/>
        </w:rPr>
        <w:t xml:space="preserve">In any case, </w:t>
      </w:r>
      <w:proofErr w:type="spellStart"/>
      <w:r>
        <w:rPr>
          <w:bCs/>
          <w:lang w:val="en-GB"/>
        </w:rPr>
        <w:t>Rovinia</w:t>
      </w:r>
      <w:proofErr w:type="spellEnd"/>
      <w:r>
        <w:rPr>
          <w:bCs/>
          <w:lang w:val="en-GB"/>
        </w:rPr>
        <w:t xml:space="preserve"> violates regional customary </w:t>
      </w:r>
      <w:r w:rsidR="00924653">
        <w:rPr>
          <w:bCs/>
          <w:lang w:val="en-GB"/>
        </w:rPr>
        <w:t xml:space="preserve">international </w:t>
      </w:r>
      <w:r>
        <w:rPr>
          <w:bCs/>
          <w:lang w:val="en-GB"/>
        </w:rPr>
        <w:t xml:space="preserve">law </w:t>
      </w:r>
      <w:r w:rsidR="00CF292F">
        <w:rPr>
          <w:bCs/>
          <w:lang w:val="en-GB"/>
        </w:rPr>
        <w:t>on</w:t>
      </w:r>
      <w:r>
        <w:rPr>
          <w:bCs/>
          <w:lang w:val="en-GB"/>
        </w:rPr>
        <w:t xml:space="preserve"> the Paine Peninsula, under which Ambrosia’s EEZ extends to parts of the Triton Shoal and which </w:t>
      </w:r>
      <w:proofErr w:type="spellStart"/>
      <w:r>
        <w:rPr>
          <w:bCs/>
          <w:lang w:val="en-GB"/>
        </w:rPr>
        <w:t>Rovinia</w:t>
      </w:r>
      <w:proofErr w:type="spellEnd"/>
      <w:r>
        <w:rPr>
          <w:bCs/>
          <w:lang w:val="en-GB"/>
        </w:rPr>
        <w:t xml:space="preserve"> is not a persistent objector to.</w:t>
      </w:r>
    </w:p>
    <w:p w14:paraId="074AB8BC" w14:textId="32F2551A" w:rsidR="00B963F4" w:rsidRDefault="00B963F4" w:rsidP="00B963F4">
      <w:pPr>
        <w:spacing w:line="360" w:lineRule="auto"/>
        <w:ind w:firstLine="0"/>
        <w:rPr>
          <w:bCs/>
          <w:lang w:val="en-GB"/>
        </w:rPr>
      </w:pPr>
      <w:r>
        <w:rPr>
          <w:bCs/>
          <w:lang w:val="en-GB"/>
        </w:rPr>
        <w:t xml:space="preserve">Finally, </w:t>
      </w:r>
      <w:proofErr w:type="spellStart"/>
      <w:r>
        <w:rPr>
          <w:bCs/>
          <w:lang w:val="en-GB"/>
        </w:rPr>
        <w:t>Rovinia</w:t>
      </w:r>
      <w:proofErr w:type="spellEnd"/>
      <w:r>
        <w:rPr>
          <w:bCs/>
          <w:lang w:val="en-GB"/>
        </w:rPr>
        <w:t xml:space="preserve"> is obligated to cease issuing </w:t>
      </w:r>
      <w:r w:rsidR="00924653">
        <w:rPr>
          <w:bCs/>
          <w:lang w:val="en-GB"/>
        </w:rPr>
        <w:t xml:space="preserve">fishing </w:t>
      </w:r>
      <w:r>
        <w:rPr>
          <w:bCs/>
          <w:lang w:val="en-GB"/>
        </w:rPr>
        <w:t>licenses in Ambrosia’s EEZ and to revoke existing</w:t>
      </w:r>
      <w:r w:rsidR="00E601E5">
        <w:rPr>
          <w:bCs/>
          <w:lang w:val="en-GB"/>
        </w:rPr>
        <w:t xml:space="preserve"> fishing </w:t>
      </w:r>
      <w:r>
        <w:rPr>
          <w:bCs/>
          <w:lang w:val="en-GB"/>
        </w:rPr>
        <w:t xml:space="preserve">licenses. </w:t>
      </w:r>
    </w:p>
    <w:p w14:paraId="3DEB3954" w14:textId="77777777" w:rsidR="00B963F4" w:rsidRDefault="00B963F4" w:rsidP="00B963F4">
      <w:pPr>
        <w:spacing w:line="360" w:lineRule="auto"/>
        <w:ind w:firstLine="0"/>
        <w:rPr>
          <w:bCs/>
          <w:lang w:val="en-GB"/>
        </w:rPr>
      </w:pPr>
    </w:p>
    <w:p w14:paraId="589DC063" w14:textId="143B0DC3" w:rsidR="00B963F4" w:rsidRDefault="00B963F4" w:rsidP="00B963F4">
      <w:pPr>
        <w:spacing w:after="120" w:line="360" w:lineRule="auto"/>
        <w:ind w:firstLine="0"/>
        <w:rPr>
          <w:bCs/>
          <w:lang w:val="en-GB"/>
        </w:rPr>
      </w:pPr>
      <w:r>
        <w:rPr>
          <w:b/>
          <w:bCs/>
          <w:lang w:val="en-GB"/>
        </w:rPr>
        <w:t>D.</w:t>
      </w:r>
      <w:r>
        <w:rPr>
          <w:bCs/>
          <w:lang w:val="en-GB"/>
        </w:rPr>
        <w:t xml:space="preserve"> </w:t>
      </w:r>
      <w:proofErr w:type="spellStart"/>
      <w:r>
        <w:rPr>
          <w:bCs/>
          <w:lang w:val="en-GB"/>
        </w:rPr>
        <w:t>Rovinia’s</w:t>
      </w:r>
      <w:proofErr w:type="spellEnd"/>
      <w:r>
        <w:rPr>
          <w:bCs/>
          <w:lang w:val="en-GB"/>
        </w:rPr>
        <w:t xml:space="preserve"> seizure and sale of Ambrosia’s aircraft pursuant to the </w:t>
      </w:r>
      <w:proofErr w:type="spellStart"/>
      <w:r>
        <w:rPr>
          <w:bCs/>
          <w:lang w:val="en-GB"/>
        </w:rPr>
        <w:t>Permola</w:t>
      </w:r>
      <w:proofErr w:type="spellEnd"/>
      <w:r>
        <w:rPr>
          <w:bCs/>
          <w:lang w:val="en-GB"/>
        </w:rPr>
        <w:t xml:space="preserve"> </w:t>
      </w:r>
      <w:r w:rsidR="002F4E2F">
        <w:rPr>
          <w:bCs/>
          <w:lang w:val="en-GB"/>
        </w:rPr>
        <w:t>C</w:t>
      </w:r>
      <w:r>
        <w:rPr>
          <w:bCs/>
          <w:lang w:val="en-GB"/>
        </w:rPr>
        <w:t xml:space="preserve">ourt’s decision on 14 July 2023 on the basis of the Transitional Council’s purported waiver of immunity violated international law. </w:t>
      </w:r>
    </w:p>
    <w:p w14:paraId="36EA89BB" w14:textId="77777777" w:rsidR="00B963F4" w:rsidRDefault="00B963F4" w:rsidP="00B963F4">
      <w:pPr>
        <w:spacing w:line="360" w:lineRule="auto"/>
        <w:ind w:firstLine="0"/>
        <w:rPr>
          <w:bCs/>
          <w:lang w:val="en-GB"/>
        </w:rPr>
      </w:pPr>
      <w:proofErr w:type="spellStart"/>
      <w:r>
        <w:rPr>
          <w:bCs/>
          <w:lang w:val="en-GB"/>
        </w:rPr>
        <w:t>Rovinia</w:t>
      </w:r>
      <w:proofErr w:type="spellEnd"/>
      <w:r>
        <w:rPr>
          <w:bCs/>
          <w:lang w:val="en-GB"/>
        </w:rPr>
        <w:t xml:space="preserve"> violated The Falcon’s immunity from enforcement as it was not effectively waived by Ms. </w:t>
      </w:r>
      <w:proofErr w:type="spellStart"/>
      <w:r>
        <w:rPr>
          <w:bCs/>
          <w:lang w:val="en-GB"/>
        </w:rPr>
        <w:t>Piretis</w:t>
      </w:r>
      <w:proofErr w:type="spellEnd"/>
      <w:r>
        <w:rPr>
          <w:bCs/>
          <w:lang w:val="en-GB"/>
        </w:rPr>
        <w:t xml:space="preserve">, who was neither Head of State nor Head of Government of Ambrosia and, therefore, lacked the authority to do so. At the time, those positions were held by Acting President Zavala, whose government, being constitutionally legitimate, was the government of Ambrosia under customary international law. Even if the Transitional Council was Ambrosia’s government, </w:t>
      </w:r>
      <w:proofErr w:type="spellStart"/>
      <w:r>
        <w:rPr>
          <w:bCs/>
          <w:lang w:val="en-GB"/>
        </w:rPr>
        <w:t>Rovinia</w:t>
      </w:r>
      <w:proofErr w:type="spellEnd"/>
      <w:r>
        <w:rPr>
          <w:bCs/>
          <w:lang w:val="en-GB"/>
        </w:rPr>
        <w:t xml:space="preserve"> was obligated under Article I(a) OCDP Charter to withhold recognition from it. </w:t>
      </w:r>
    </w:p>
    <w:p w14:paraId="7102BD9F" w14:textId="03FD7B08" w:rsidR="00DA07B1" w:rsidRDefault="00B963F4" w:rsidP="00B963F4">
      <w:pPr>
        <w:spacing w:line="360" w:lineRule="auto"/>
        <w:ind w:firstLine="0"/>
        <w:rPr>
          <w:bCs/>
          <w:lang w:val="en-GB"/>
        </w:rPr>
      </w:pPr>
      <w:r>
        <w:rPr>
          <w:bCs/>
          <w:lang w:val="en-GB"/>
        </w:rPr>
        <w:t xml:space="preserve">Additionally, </w:t>
      </w:r>
      <w:proofErr w:type="spellStart"/>
      <w:r>
        <w:rPr>
          <w:bCs/>
          <w:lang w:val="en-GB"/>
        </w:rPr>
        <w:t>Rovinia</w:t>
      </w:r>
      <w:proofErr w:type="spellEnd"/>
      <w:r>
        <w:rPr>
          <w:bCs/>
          <w:lang w:val="en-GB"/>
        </w:rPr>
        <w:t xml:space="preserve"> violated Article 18(b) of the Vienna Convention on the Law of Treaties since it defeated the object and purpose of the United Nations Convention on Jurisdictional Immunities of States and Their Property.</w:t>
      </w:r>
    </w:p>
    <w:bookmarkEnd w:id="35"/>
    <w:p w14:paraId="11317E77" w14:textId="77777777" w:rsidR="00DA07B1" w:rsidRDefault="00DA07B1" w:rsidP="00DA07B1">
      <w:pPr>
        <w:pStyle w:val="Memo"/>
        <w:ind w:firstLine="0"/>
        <w:rPr>
          <w:lang w:val="en-GB"/>
        </w:rPr>
      </w:pPr>
    </w:p>
    <w:p w14:paraId="3EF3F5B7" w14:textId="7DF91EEC" w:rsidR="00195DE7" w:rsidRPr="00195DE7" w:rsidRDefault="00195DE7" w:rsidP="009E1E24">
      <w:pPr>
        <w:pStyle w:val="Memo"/>
        <w:rPr>
          <w:lang w:val="en-GB"/>
        </w:rPr>
        <w:sectPr w:rsidR="00195DE7" w:rsidRPr="00195DE7" w:rsidSect="005A2A91">
          <w:pgSz w:w="11906" w:h="16838" w:code="9"/>
          <w:pgMar w:top="1474" w:right="1474" w:bottom="1474" w:left="1474" w:header="720" w:footer="720" w:gutter="0"/>
          <w:pgNumType w:fmt="upperRoman"/>
          <w:cols w:space="720"/>
          <w:docGrid w:linePitch="360"/>
        </w:sectPr>
      </w:pPr>
    </w:p>
    <w:p w14:paraId="30264D64" w14:textId="77777777" w:rsidR="009E1E24" w:rsidRDefault="009E1E24" w:rsidP="005C5AE2">
      <w:pPr>
        <w:pStyle w:val="Ober-berschrift"/>
      </w:pPr>
      <w:bookmarkStart w:id="37" w:name="_Toc187486712"/>
      <w:bookmarkStart w:id="38" w:name="_Toc187487010"/>
      <w:bookmarkStart w:id="39" w:name="_Toc187487359"/>
      <w:bookmarkStart w:id="40" w:name="_Toc187681644"/>
      <w:bookmarkStart w:id="41" w:name="_Toc187692146"/>
      <w:r>
        <w:lastRenderedPageBreak/>
        <w:t>Pleadings</w:t>
      </w:r>
      <w:bookmarkEnd w:id="37"/>
      <w:bookmarkEnd w:id="38"/>
      <w:bookmarkEnd w:id="39"/>
      <w:bookmarkEnd w:id="40"/>
      <w:bookmarkEnd w:id="41"/>
    </w:p>
    <w:p w14:paraId="6DE61EBE" w14:textId="559AD858" w:rsidR="00D17C40" w:rsidRPr="00D17C40" w:rsidRDefault="00D17C40" w:rsidP="005C5AE2">
      <w:pPr>
        <w:pStyle w:val="berschrift1"/>
      </w:pPr>
      <w:bookmarkStart w:id="42" w:name="_Toc187334327"/>
      <w:bookmarkStart w:id="43" w:name="_Toc187681645"/>
      <w:bookmarkStart w:id="44" w:name="_Toc187692147"/>
      <w:r w:rsidRPr="00D17C40">
        <w:t xml:space="preserve">The Court has </w:t>
      </w:r>
      <w:r w:rsidR="00886EE5">
        <w:t>j</w:t>
      </w:r>
      <w:r w:rsidRPr="00D17C40">
        <w:t xml:space="preserve">urisdiction to entertain Ambrosia’s </w:t>
      </w:r>
      <w:r w:rsidR="00886EE5">
        <w:t>s</w:t>
      </w:r>
      <w:r w:rsidRPr="00D17C40">
        <w:t>ubmission (b).</w:t>
      </w:r>
      <w:bookmarkEnd w:id="42"/>
      <w:bookmarkEnd w:id="43"/>
      <w:bookmarkEnd w:id="44"/>
    </w:p>
    <w:p w14:paraId="3036429B" w14:textId="7FEBE069" w:rsidR="00D17C40" w:rsidRPr="00D17C40" w:rsidRDefault="00D17C40" w:rsidP="00B41ED0">
      <w:pPr>
        <w:pStyle w:val="Memo"/>
        <w:widowControl/>
      </w:pPr>
      <w:r w:rsidRPr="00D17C40">
        <w:t>Under Article 36(1) of the Statute of this Court,</w:t>
      </w:r>
      <w:bookmarkStart w:id="45" w:name="_Ref187650096"/>
      <w:r w:rsidRPr="00886EE5">
        <w:rPr>
          <w:vertAlign w:val="superscript"/>
        </w:rPr>
        <w:footnoteReference w:id="1"/>
      </w:r>
      <w:bookmarkEnd w:id="45"/>
      <w:r w:rsidRPr="00D17C40">
        <w:t xml:space="preserve"> the jurisdiction of this Court compromises all matters provided for in treaties in force. Article XXI of the </w:t>
      </w:r>
      <w:proofErr w:type="spellStart"/>
      <w:r w:rsidRPr="00D17C40">
        <w:t>Organi</w:t>
      </w:r>
      <w:r w:rsidR="00886EE5">
        <w:t>s</w:t>
      </w:r>
      <w:r w:rsidRPr="00D17C40">
        <w:t>ation</w:t>
      </w:r>
      <w:proofErr w:type="spellEnd"/>
      <w:r w:rsidRPr="00D17C40">
        <w:t xml:space="preserve"> for Cooperation and Development in the Paine Charter (</w:t>
      </w:r>
      <w:r w:rsidRPr="00886EE5">
        <w:t>‘</w:t>
      </w:r>
      <w:r w:rsidRPr="00D17C40">
        <w:rPr>
          <w:b/>
        </w:rPr>
        <w:t>OCDP Charter</w:t>
      </w:r>
      <w:r w:rsidRPr="00886EE5">
        <w:t>’</w:t>
      </w:r>
      <w:r w:rsidRPr="00D17C40">
        <w:t>) stipulates that this Court generally has jurisdiction over disputes between the Member States except for disputes specified in Article XXI(b) OCDP Charter.</w:t>
      </w:r>
      <w:r w:rsidRPr="00886EE5">
        <w:rPr>
          <w:vertAlign w:val="superscript"/>
        </w:rPr>
        <w:footnoteReference w:id="2"/>
      </w:r>
      <w:r w:rsidRPr="00886EE5">
        <w:rPr>
          <w:vertAlign w:val="superscript"/>
        </w:rPr>
        <w:t xml:space="preserve"> </w:t>
      </w:r>
      <w:r w:rsidRPr="00D17C40">
        <w:t>The Union of Ambrosia (</w:t>
      </w:r>
      <w:r w:rsidRPr="00886EE5">
        <w:t>‘</w:t>
      </w:r>
      <w:r w:rsidRPr="00D17C40">
        <w:rPr>
          <w:b/>
        </w:rPr>
        <w:t>Ambrosia</w:t>
      </w:r>
      <w:r w:rsidRPr="00886EE5">
        <w:t>’</w:t>
      </w:r>
      <w:r w:rsidRPr="00D17C40">
        <w:t xml:space="preserve">) and the Republic of </w:t>
      </w:r>
      <w:proofErr w:type="spellStart"/>
      <w:r w:rsidRPr="00D17C40">
        <w:t>Rovinia</w:t>
      </w:r>
      <w:proofErr w:type="spellEnd"/>
      <w:r w:rsidRPr="00D17C40">
        <w:t xml:space="preserve"> (</w:t>
      </w:r>
      <w:r w:rsidRPr="00886EE5">
        <w:t>‘</w:t>
      </w:r>
      <w:proofErr w:type="spellStart"/>
      <w:r w:rsidRPr="00D17C40">
        <w:rPr>
          <w:b/>
        </w:rPr>
        <w:t>Rovinia</w:t>
      </w:r>
      <w:proofErr w:type="spellEnd"/>
      <w:r w:rsidRPr="00886EE5">
        <w:t>’</w:t>
      </w:r>
      <w:r w:rsidRPr="00D17C40">
        <w:t>) are Parties to the OCDP Charter.</w:t>
      </w:r>
      <w:r w:rsidRPr="00886EE5">
        <w:rPr>
          <w:vertAlign w:val="superscript"/>
        </w:rPr>
        <w:footnoteReference w:id="3"/>
      </w:r>
    </w:p>
    <w:p w14:paraId="2CA5F739" w14:textId="0239D7C7" w:rsidR="00D17C40" w:rsidRPr="00D17C40" w:rsidRDefault="00D17C40" w:rsidP="00B41ED0">
      <w:pPr>
        <w:pStyle w:val="Memo"/>
        <w:widowControl/>
      </w:pPr>
      <w:r w:rsidRPr="00D17C40">
        <w:t>According to this Court, a dispute is a conflict of legal views between two States.</w:t>
      </w:r>
      <w:r w:rsidRPr="00886EE5">
        <w:rPr>
          <w:vertAlign w:val="superscript"/>
        </w:rPr>
        <w:footnoteReference w:id="4"/>
      </w:r>
      <w:r w:rsidRPr="00D17C40">
        <w:t xml:space="preserve"> As evidenced</w:t>
      </w:r>
      <w:r w:rsidR="00B72352">
        <w:t xml:space="preserve"> </w:t>
      </w:r>
      <w:r w:rsidR="00B72352" w:rsidRPr="0015677A">
        <w:t>by</w:t>
      </w:r>
      <w:r w:rsidR="00C97E20" w:rsidRPr="0015677A">
        <w:t xml:space="preserve"> claim</w:t>
      </w:r>
      <w:r w:rsidR="00B72352" w:rsidRPr="0015677A">
        <w:t xml:space="preserve"> (b) </w:t>
      </w:r>
      <w:r w:rsidR="000C1B70" w:rsidRPr="0015677A">
        <w:t xml:space="preserve">being </w:t>
      </w:r>
      <w:r w:rsidRPr="00D17C40">
        <w:t>submitted to this Court,</w:t>
      </w:r>
      <w:r w:rsidRPr="00886EE5">
        <w:rPr>
          <w:vertAlign w:val="superscript"/>
        </w:rPr>
        <w:footnoteReference w:id="5"/>
      </w:r>
      <w:r w:rsidRPr="00D17C40">
        <w:t xml:space="preserve"> the dispute at hand is whether the arrest and prosecution of Minister Cross by </w:t>
      </w:r>
      <w:proofErr w:type="spellStart"/>
      <w:r w:rsidRPr="00D17C40">
        <w:t>Rovinia</w:t>
      </w:r>
      <w:proofErr w:type="spellEnd"/>
      <w:r w:rsidRPr="00D17C40">
        <w:t xml:space="preserve"> violates the rules </w:t>
      </w:r>
      <w:r w:rsidR="00886EE5">
        <w:t>on jurisdiction and</w:t>
      </w:r>
      <w:r w:rsidRPr="00D17C40">
        <w:t xml:space="preserve"> immunity. </w:t>
      </w:r>
    </w:p>
    <w:p w14:paraId="760A010C" w14:textId="429E7701" w:rsidR="00D17C40" w:rsidRPr="00D17C40" w:rsidRDefault="00D17C40" w:rsidP="00B41ED0">
      <w:pPr>
        <w:pStyle w:val="Memo"/>
        <w:widowControl/>
      </w:pPr>
      <w:r w:rsidRPr="00D17C40">
        <w:t>This Court has jurisdiction as the exceptions specified in Article XXI(b) OCDP Charter do not apply: The dispute did not arise out of facts or situations occurring prior to 17</w:t>
      </w:r>
      <w:r w:rsidR="00CE7081">
        <w:t> </w:t>
      </w:r>
      <w:r w:rsidRPr="00D17C40">
        <w:t>March</w:t>
      </w:r>
      <w:r w:rsidR="00CE7081">
        <w:t> </w:t>
      </w:r>
      <w:r w:rsidRPr="00D17C40">
        <w:t>2021 </w:t>
      </w:r>
      <w:r w:rsidRPr="00886EE5">
        <w:t>(</w:t>
      </w:r>
      <w:r w:rsidRPr="00D17C40">
        <w:rPr>
          <w:b/>
        </w:rPr>
        <w:t>I.</w:t>
      </w:r>
      <w:r w:rsidRPr="00886EE5">
        <w:t>)</w:t>
      </w:r>
      <w:r w:rsidRPr="00D17C40">
        <w:t xml:space="preserve"> and does not relate to judicial proceedings on matters which are essentially within </w:t>
      </w:r>
      <w:proofErr w:type="spellStart"/>
      <w:r w:rsidRPr="00D17C40">
        <w:t>Rovinia’s</w:t>
      </w:r>
      <w:proofErr w:type="spellEnd"/>
      <w:r w:rsidRPr="00D17C40">
        <w:t xml:space="preserve"> domestic jurisdiction </w:t>
      </w:r>
      <w:r w:rsidRPr="00886EE5">
        <w:t>(</w:t>
      </w:r>
      <w:r w:rsidRPr="00D17C40">
        <w:rPr>
          <w:b/>
        </w:rPr>
        <w:t>II.</w:t>
      </w:r>
      <w:r w:rsidRPr="00886EE5">
        <w:t>).</w:t>
      </w:r>
    </w:p>
    <w:p w14:paraId="78D7242A" w14:textId="77777777" w:rsidR="00D17C40" w:rsidRPr="00D17C40" w:rsidRDefault="00D17C40" w:rsidP="00B41ED0">
      <w:pPr>
        <w:pStyle w:val="berschrift2"/>
        <w:keepNext w:val="0"/>
        <w:widowControl/>
      </w:pPr>
      <w:bookmarkStart w:id="46" w:name="_Toc187334328"/>
      <w:bookmarkStart w:id="47" w:name="_Toc187681646"/>
      <w:bookmarkStart w:id="48" w:name="_Toc187692148"/>
      <w:r w:rsidRPr="00D17C40">
        <w:t>The dispute did not arise out of facts or situations occurring prior to 17 March 2021.</w:t>
      </w:r>
      <w:bookmarkEnd w:id="46"/>
      <w:bookmarkEnd w:id="47"/>
      <w:bookmarkEnd w:id="48"/>
    </w:p>
    <w:p w14:paraId="7093545E" w14:textId="0BBCE296" w:rsidR="00D17C40" w:rsidRPr="00D17C40" w:rsidRDefault="00D17C40" w:rsidP="00B41ED0">
      <w:pPr>
        <w:pStyle w:val="Memo"/>
        <w:widowControl/>
        <w:rPr>
          <w:vertAlign w:val="superscript"/>
          <w:lang w:val="en-GB"/>
        </w:rPr>
      </w:pPr>
      <w:r w:rsidRPr="00D17C40">
        <w:t>Article XXI(b)(</w:t>
      </w:r>
      <w:proofErr w:type="spellStart"/>
      <w:r w:rsidRPr="00D17C40">
        <w:t>i</w:t>
      </w:r>
      <w:proofErr w:type="spellEnd"/>
      <w:r w:rsidRPr="00D17C40">
        <w:t>) OCDP Charter stipulates that this Court lacks jurisdiction over disputes arising out of facts or situations that occurred prior to the entry into force of Article XXI OCDP Charter</w:t>
      </w:r>
      <w:r w:rsidR="00CF292F">
        <w:t xml:space="preserve"> </w:t>
      </w:r>
      <w:r w:rsidRPr="00D17C40">
        <w:t>on 17 March 2021.</w:t>
      </w:r>
      <w:r w:rsidRPr="00886EE5">
        <w:rPr>
          <w:vertAlign w:val="superscript"/>
        </w:rPr>
        <w:footnoteReference w:id="6"/>
      </w:r>
      <w:r w:rsidRPr="00D17C40">
        <w:t xml:space="preserve"> According to Article 31(1) Vienna</w:t>
      </w:r>
      <w:r w:rsidR="00CF292F">
        <w:t xml:space="preserve"> </w:t>
      </w:r>
      <w:r w:rsidRPr="00D17C40">
        <w:t xml:space="preserve">Convention on the Law of Treaties </w:t>
      </w:r>
      <w:r w:rsidRPr="00886EE5">
        <w:t>(‘</w:t>
      </w:r>
      <w:r w:rsidRPr="00D17C40">
        <w:rPr>
          <w:b/>
        </w:rPr>
        <w:t>VCLT</w:t>
      </w:r>
      <w:r w:rsidRPr="00886EE5">
        <w:t>’)</w:t>
      </w:r>
      <w:r w:rsidRPr="00D17C40">
        <w:t>,</w:t>
      </w:r>
      <w:r w:rsidRPr="00886EE5">
        <w:rPr>
          <w:vertAlign w:val="superscript"/>
        </w:rPr>
        <w:footnoteReference w:id="7"/>
      </w:r>
      <w:r w:rsidRPr="00886EE5">
        <w:rPr>
          <w:vertAlign w:val="superscript"/>
        </w:rPr>
        <w:t xml:space="preserve"> </w:t>
      </w:r>
      <w:r w:rsidRPr="00D17C40">
        <w:t xml:space="preserve">treaty provisions must be interpreted based on </w:t>
      </w:r>
      <w:r w:rsidRPr="00D17C40">
        <w:lastRenderedPageBreak/>
        <w:t>the ordinary meaning of the terms in their context and in light of the treaty’s object and purpose. The Permanent Court of International Justice (</w:t>
      </w:r>
      <w:r w:rsidRPr="00886EE5">
        <w:t>‘</w:t>
      </w:r>
      <w:r w:rsidRPr="00D17C40">
        <w:rPr>
          <w:b/>
          <w:bCs/>
        </w:rPr>
        <w:t>PCIJ</w:t>
      </w:r>
      <w:r w:rsidRPr="00886EE5">
        <w:t>’</w:t>
      </w:r>
      <w:r w:rsidRPr="00D17C40">
        <w:t>) determined that</w:t>
      </w:r>
      <w:r w:rsidR="00141258">
        <w:t>,</w:t>
      </w:r>
      <w:r w:rsidRPr="00D17C40">
        <w:t xml:space="preserve"> when its jurisdiction depends on the timing of the facts the dispute arose out of, </w:t>
      </w:r>
      <w:r w:rsidRPr="00D17C40">
        <w:rPr>
          <w:lang w:val="en-GB"/>
        </w:rPr>
        <w:t>the “facts constituting the real cause of the dispute” are decisive.</w:t>
      </w:r>
      <w:r w:rsidRPr="00D17C40">
        <w:rPr>
          <w:vertAlign w:val="superscript"/>
          <w:lang w:val="en-GB"/>
        </w:rPr>
        <w:footnoteReference w:id="8"/>
      </w:r>
    </w:p>
    <w:p w14:paraId="5F1896C1" w14:textId="128BC4F0" w:rsidR="00D17C40" w:rsidRPr="00D17C40" w:rsidRDefault="00D17C40" w:rsidP="00B41ED0">
      <w:pPr>
        <w:pStyle w:val="Memo"/>
        <w:widowControl/>
        <w:rPr>
          <w:lang w:val="en-GB"/>
        </w:rPr>
      </w:pPr>
      <w:r w:rsidRPr="00D17C40">
        <w:t>The PCIJ further confirmed that not every fact which is a necessary condition for the dispute is its real cause.</w:t>
      </w:r>
      <w:r w:rsidRPr="00D17C40">
        <w:rPr>
          <w:vertAlign w:val="superscript"/>
        </w:rPr>
        <w:footnoteReference w:id="9"/>
      </w:r>
      <w:r w:rsidRPr="00D17C40">
        <w:rPr>
          <w:lang w:val="en-GB"/>
        </w:rPr>
        <w:t xml:space="preserve"> Moreover, not every fact which is relevant for the legal assessment of the case is the real cause of the dispute.</w:t>
      </w:r>
      <w:bookmarkStart w:id="49" w:name="_Ref187649618"/>
      <w:r w:rsidRPr="00D17C40">
        <w:rPr>
          <w:vertAlign w:val="superscript"/>
        </w:rPr>
        <w:footnoteReference w:id="10"/>
      </w:r>
      <w:bookmarkEnd w:id="49"/>
      <w:r w:rsidRPr="00D17C40">
        <w:rPr>
          <w:lang w:val="en-GB"/>
        </w:rPr>
        <w:t xml:space="preserve"> Rather, as consistently affirmed by this Court, </w:t>
      </w:r>
      <w:r w:rsidRPr="00D17C40">
        <w:t>the facts which prompt one Party to adopt a legal view opposite the other are the real cause of the dispute.</w:t>
      </w:r>
      <w:r w:rsidRPr="00D17C40">
        <w:rPr>
          <w:vertAlign w:val="superscript"/>
        </w:rPr>
        <w:footnoteReference w:id="11"/>
      </w:r>
      <w:r w:rsidRPr="00D17C40">
        <w:t xml:space="preserve"> </w:t>
      </w:r>
    </w:p>
    <w:p w14:paraId="4D5C46A6" w14:textId="2148D1C0" w:rsidR="00D17C40" w:rsidRPr="00D17C40" w:rsidRDefault="00D17C40" w:rsidP="00B41ED0">
      <w:pPr>
        <w:pStyle w:val="Memo"/>
        <w:widowControl/>
      </w:pPr>
      <w:r w:rsidRPr="00D17C40">
        <w:t xml:space="preserve">Applying this rule in </w:t>
      </w:r>
      <w:r w:rsidRPr="00D17C40">
        <w:rPr>
          <w:i/>
        </w:rPr>
        <w:t>Certain</w:t>
      </w:r>
      <w:r w:rsidRPr="00D17C40">
        <w:t xml:space="preserve"> </w:t>
      </w:r>
      <w:r w:rsidRPr="00D17C40">
        <w:rPr>
          <w:i/>
        </w:rPr>
        <w:t>Property</w:t>
      </w:r>
      <w:r w:rsidRPr="00D17C40">
        <w:t>, this Court held that where the interpretation of an international treaty by a national court is concerned, the treaty prompted the adoption of opposi</w:t>
      </w:r>
      <w:r w:rsidR="00B72352">
        <w:t>ng</w:t>
      </w:r>
      <w:r w:rsidRPr="00D17C40">
        <w:t xml:space="preserve"> legal views.</w:t>
      </w:r>
      <w:r w:rsidRPr="00D17C40">
        <w:rPr>
          <w:vertAlign w:val="superscript"/>
        </w:rPr>
        <w:footnoteReference w:id="12"/>
      </w:r>
      <w:r w:rsidRPr="00D17C40">
        <w:t xml:space="preserve"> Consequently, this Court confirmed that the treaty itself is the real cause of the dispute, rather than </w:t>
      </w:r>
      <w:r w:rsidR="00CF292F">
        <w:t>its</w:t>
      </w:r>
      <w:r w:rsidRPr="00D17C40">
        <w:t xml:space="preserve"> continuous application by the State’s judiciary.</w:t>
      </w:r>
      <w:r w:rsidRPr="00D17C40">
        <w:rPr>
          <w:vertAlign w:val="superscript"/>
        </w:rPr>
        <w:footnoteReference w:id="13"/>
      </w:r>
      <w:r w:rsidRPr="00D17C40">
        <w:t xml:space="preserve"> Subsequently, in </w:t>
      </w:r>
      <w:r w:rsidRPr="00D17C40">
        <w:rPr>
          <w:i/>
        </w:rPr>
        <w:t>Jurisdictional</w:t>
      </w:r>
      <w:r w:rsidRPr="00D17C40">
        <w:t xml:space="preserve"> </w:t>
      </w:r>
      <w:r w:rsidRPr="00D17C40">
        <w:rPr>
          <w:i/>
        </w:rPr>
        <w:t>Immunities</w:t>
      </w:r>
      <w:r w:rsidRPr="00D17C40">
        <w:t>, it determined that</w:t>
      </w:r>
      <w:r w:rsidR="00102200">
        <w:t>,</w:t>
      </w:r>
      <w:r w:rsidRPr="00D17C40">
        <w:t xml:space="preserve"> when a violation of immunity as a rule of customary international law is claimed, the national judicial proceeding denying immunity is the real cause of the dispute and not the subject-matter of the national judicial proceeding.</w:t>
      </w:r>
      <w:bookmarkStart w:id="50" w:name="_Ref187649905"/>
      <w:r w:rsidRPr="00D17C40">
        <w:rPr>
          <w:vertAlign w:val="superscript"/>
        </w:rPr>
        <w:footnoteReference w:id="14"/>
      </w:r>
      <w:bookmarkEnd w:id="50"/>
    </w:p>
    <w:p w14:paraId="680F34A8" w14:textId="45CA1C71" w:rsidR="00D17C40" w:rsidRPr="00D17C40" w:rsidRDefault="00D17C40" w:rsidP="00B41ED0">
      <w:pPr>
        <w:pStyle w:val="Memo"/>
        <w:widowControl/>
      </w:pPr>
      <w:r w:rsidRPr="00D17C40">
        <w:t>Additionally, as indicated by its title,</w:t>
      </w:r>
      <w:r w:rsidRPr="00D17C40">
        <w:rPr>
          <w:vertAlign w:val="superscript"/>
        </w:rPr>
        <w:footnoteReference w:id="15"/>
      </w:r>
      <w:r w:rsidRPr="00D17C40">
        <w:t xml:space="preserve"> the object and purpose of the OCDP Charter is to enhance cooperation between Member States.</w:t>
      </w:r>
      <w:r w:rsidRPr="00D17C40">
        <w:rPr>
          <w:vertAlign w:val="superscript"/>
        </w:rPr>
        <w:footnoteReference w:id="16"/>
      </w:r>
      <w:r w:rsidRPr="00D17C40">
        <w:t xml:space="preserve"> In this vein, the exception in Article XXI(b)(</w:t>
      </w:r>
      <w:proofErr w:type="spellStart"/>
      <w:r w:rsidRPr="00D17C40">
        <w:t>i</w:t>
      </w:r>
      <w:proofErr w:type="spellEnd"/>
      <w:r w:rsidRPr="00D17C40">
        <w:t xml:space="preserve">) OCDP Charter was incorporated to exclude matters already pending in 2015 </w:t>
      </w:r>
      <w:r w:rsidRPr="00D17C40">
        <w:lastRenderedPageBreak/>
        <w:t>from this Court’s jurisdiction, giving Member States five years to resolve those matters bilaterally.</w:t>
      </w:r>
      <w:r w:rsidRPr="00886EE5">
        <w:rPr>
          <w:vertAlign w:val="superscript"/>
        </w:rPr>
        <w:footnoteReference w:id="17"/>
      </w:r>
    </w:p>
    <w:p w14:paraId="2A63EF84" w14:textId="3EEC015C" w:rsidR="00D17C40" w:rsidRPr="00D17C40" w:rsidRDefault="00D17C40" w:rsidP="00B41ED0">
      <w:pPr>
        <w:pStyle w:val="Memo"/>
        <w:widowControl/>
      </w:pPr>
      <w:r w:rsidRPr="00D17C40">
        <w:t>Article XXI OCDP Charter entered into force on 17 March 2021.</w:t>
      </w:r>
      <w:r w:rsidRPr="00886EE5">
        <w:rPr>
          <w:vertAlign w:val="superscript"/>
        </w:rPr>
        <w:footnoteReference w:id="18"/>
      </w:r>
      <w:r w:rsidRPr="00D17C40">
        <w:t xml:space="preserve"> More than three years later, on 2 May 2024, the </w:t>
      </w:r>
      <w:proofErr w:type="spellStart"/>
      <w:r w:rsidRPr="00D17C40">
        <w:t>Permola</w:t>
      </w:r>
      <w:proofErr w:type="spellEnd"/>
      <w:r w:rsidRPr="00D17C40">
        <w:t xml:space="preserve"> Criminal Court issued an arrest warrant denying Minister Cross’ immunity</w:t>
      </w:r>
      <w:r w:rsidR="00886EE5">
        <w:t>,</w:t>
      </w:r>
      <w:r w:rsidRPr="00886EE5">
        <w:rPr>
          <w:vertAlign w:val="superscript"/>
        </w:rPr>
        <w:footnoteReference w:id="19"/>
      </w:r>
      <w:r w:rsidRPr="00D17C40">
        <w:t xml:space="preserve"> prompting the conflict of views </w:t>
      </w:r>
      <w:r w:rsidRPr="00C17C95">
        <w:t>regarding the legality of her arrest and prosecution under international law</w:t>
      </w:r>
      <w:r w:rsidRPr="00D17C40">
        <w:t>.</w:t>
      </w:r>
      <w:r w:rsidRPr="00886EE5">
        <w:rPr>
          <w:vertAlign w:val="superscript"/>
        </w:rPr>
        <w:footnoteReference w:id="20"/>
      </w:r>
      <w:r w:rsidRPr="00D17C40">
        <w:t xml:space="preserve"> Conversely, no such conflict existed at the time </w:t>
      </w:r>
      <w:r w:rsidR="00886EE5">
        <w:t>Minister</w:t>
      </w:r>
      <w:r w:rsidRPr="00D17C40">
        <w:t xml:space="preserve"> Cross oversaw the Implementing the Law for a Safer Ambrosia (</w:t>
      </w:r>
      <w:r w:rsidRPr="00886EE5">
        <w:t>‘</w:t>
      </w:r>
      <w:r w:rsidRPr="00D17C40">
        <w:rPr>
          <w:b/>
        </w:rPr>
        <w:t>ILSA</w:t>
      </w:r>
      <w:r w:rsidRPr="00886EE5">
        <w:t>’</w:t>
      </w:r>
      <w:r w:rsidRPr="00D17C40">
        <w:t>) program.</w:t>
      </w:r>
      <w:r w:rsidRPr="00886EE5">
        <w:rPr>
          <w:vertAlign w:val="superscript"/>
        </w:rPr>
        <w:footnoteReference w:id="21"/>
      </w:r>
      <w:r w:rsidRPr="00D17C40">
        <w:t xml:space="preserve"> Between 2015 and the entry into force of Article XXI OCDP Charter, there was no matter pending that Ambrosia and </w:t>
      </w:r>
      <w:proofErr w:type="spellStart"/>
      <w:r w:rsidRPr="00D17C40">
        <w:t>Rovinia</w:t>
      </w:r>
      <w:proofErr w:type="spellEnd"/>
      <w:r w:rsidRPr="00D17C40">
        <w:t xml:space="preserve"> could have resolved bilaterally.</w:t>
      </w:r>
    </w:p>
    <w:p w14:paraId="56E876AA" w14:textId="77777777" w:rsidR="00D17C40" w:rsidRPr="00D17C40" w:rsidRDefault="00D17C40" w:rsidP="00B41ED0">
      <w:pPr>
        <w:pStyle w:val="Memo"/>
        <w:widowControl/>
      </w:pPr>
      <w:r w:rsidRPr="00D17C40">
        <w:t xml:space="preserve">Therefore, the dispute did not arise out of facts or situations occurring prior to 17 March 2021. </w:t>
      </w:r>
    </w:p>
    <w:p w14:paraId="2F1D3E30" w14:textId="77777777" w:rsidR="00D17C40" w:rsidRPr="00D17C40" w:rsidRDefault="00D17C40" w:rsidP="00B41ED0">
      <w:pPr>
        <w:pStyle w:val="berschrift2"/>
        <w:keepNext w:val="0"/>
        <w:widowControl/>
      </w:pPr>
      <w:bookmarkStart w:id="51" w:name="_Toc187334329"/>
      <w:bookmarkStart w:id="52" w:name="_Toc187681647"/>
      <w:bookmarkStart w:id="53" w:name="_Toc187692149"/>
      <w:r w:rsidRPr="00D17C40">
        <w:t xml:space="preserve">The dispute does not relate to judicial proceedings on matters essentially within </w:t>
      </w:r>
      <w:proofErr w:type="spellStart"/>
      <w:r w:rsidRPr="00D17C40">
        <w:t>Rovinia’s</w:t>
      </w:r>
      <w:proofErr w:type="spellEnd"/>
      <w:r w:rsidRPr="00D17C40">
        <w:t xml:space="preserve"> domestic jurisdiction.</w:t>
      </w:r>
      <w:bookmarkEnd w:id="51"/>
      <w:bookmarkEnd w:id="52"/>
      <w:bookmarkEnd w:id="53"/>
      <w:r w:rsidRPr="00D17C40">
        <w:t xml:space="preserve"> </w:t>
      </w:r>
      <w:bookmarkStart w:id="54" w:name="_Hlk185426494"/>
    </w:p>
    <w:p w14:paraId="0FE77688" w14:textId="08986472" w:rsidR="00D17C40" w:rsidRPr="00D17C40" w:rsidRDefault="00D17C40" w:rsidP="00B41ED0">
      <w:pPr>
        <w:pStyle w:val="Memo"/>
        <w:widowControl/>
      </w:pPr>
      <w:r w:rsidRPr="00D17C40">
        <w:t>Article XXI(b)(ii) OCDP Charter stipulates that this Court lacks jurisdiction over disputes relating to judicial proceedings on matters essentially within a Member State’s domestic jurisdiction</w:t>
      </w:r>
      <w:bookmarkStart w:id="55" w:name="_Hlk187150120"/>
      <w:r w:rsidRPr="00D17C40">
        <w:t>.</w:t>
      </w:r>
      <w:r w:rsidRPr="00886EE5">
        <w:rPr>
          <w:vertAlign w:val="superscript"/>
        </w:rPr>
        <w:footnoteReference w:id="22"/>
      </w:r>
      <w:r w:rsidRPr="00D17C40">
        <w:t xml:space="preserve"> </w:t>
      </w:r>
      <w:bookmarkEnd w:id="55"/>
      <w:r w:rsidRPr="00D17C40">
        <w:t xml:space="preserve">The dispute at hand is whether the arrest and prosecution of Minister Cross by </w:t>
      </w:r>
      <w:proofErr w:type="spellStart"/>
      <w:r w:rsidRPr="00D17C40">
        <w:t>Rovinia</w:t>
      </w:r>
      <w:proofErr w:type="spellEnd"/>
      <w:r w:rsidRPr="00D17C40">
        <w:t xml:space="preserve"> violates the rules </w:t>
      </w:r>
      <w:r w:rsidR="00886EE5">
        <w:t>on jurisdiction and</w:t>
      </w:r>
      <w:r w:rsidRPr="00D17C40">
        <w:t xml:space="preserve"> immunity.</w:t>
      </w:r>
      <w:r w:rsidRPr="00886EE5">
        <w:rPr>
          <w:vertAlign w:val="superscript"/>
        </w:rPr>
        <w:footnoteReference w:id="23"/>
      </w:r>
      <w:r w:rsidRPr="00D17C40">
        <w:t xml:space="preserve"> Consequently, the relevant judicial proceeding is the </w:t>
      </w:r>
      <w:proofErr w:type="spellStart"/>
      <w:r w:rsidRPr="00D17C40">
        <w:t>Rovinian</w:t>
      </w:r>
      <w:proofErr w:type="spellEnd"/>
      <w:r w:rsidRPr="00D17C40">
        <w:t xml:space="preserve"> Court </w:t>
      </w:r>
      <w:r w:rsidR="00CF292F">
        <w:t xml:space="preserve">prosecuting </w:t>
      </w:r>
      <w:r w:rsidRPr="00D17C40">
        <w:t>M</w:t>
      </w:r>
      <w:r w:rsidR="00A82D8C">
        <w:t>inister</w:t>
      </w:r>
      <w:r w:rsidRPr="00D17C40">
        <w:t xml:space="preserve"> Cross for allegedly committing enforced disappearance in Ambrosia</w:t>
      </w:r>
      <w:r w:rsidRPr="00886EE5">
        <w:rPr>
          <w:vertAlign w:val="superscript"/>
        </w:rPr>
        <w:footnoteReference w:id="24"/>
      </w:r>
      <w:r w:rsidR="00141258">
        <w:t>.</w:t>
      </w:r>
    </w:p>
    <w:p w14:paraId="3DBAF0A2" w14:textId="6F4F3F53" w:rsidR="00D17C40" w:rsidRPr="00D17C40" w:rsidRDefault="00D17C40" w:rsidP="00B41ED0">
      <w:pPr>
        <w:pStyle w:val="Memo"/>
        <w:widowControl/>
      </w:pPr>
      <w:r w:rsidRPr="00D17C40">
        <w:t>In international law, the term “matters in the domestic jurisdiction of a State” ordinarily means matters which a State is “permitted […] to decide freely” upon.</w:t>
      </w:r>
      <w:r w:rsidRPr="00A82D8C">
        <w:rPr>
          <w:vertAlign w:val="superscript"/>
        </w:rPr>
        <w:footnoteReference w:id="25"/>
      </w:r>
      <w:r w:rsidRPr="00D17C40">
        <w:t xml:space="preserve"> Whether a State may decide freely depends </w:t>
      </w:r>
      <w:r w:rsidR="00B72352">
        <w:t>on</w:t>
      </w:r>
      <w:r w:rsidRPr="00D17C40">
        <w:t xml:space="preserve"> the development of international law.</w:t>
      </w:r>
      <w:r w:rsidRPr="00A82D8C">
        <w:rPr>
          <w:vertAlign w:val="superscript"/>
        </w:rPr>
        <w:footnoteReference w:id="26"/>
      </w:r>
      <w:r w:rsidRPr="00D17C40">
        <w:t xml:space="preserve"> Accordingly, if a State accepts a new international obligation that governs a matter, the matter is no longer essentially </w:t>
      </w:r>
      <w:r w:rsidRPr="00D17C40">
        <w:lastRenderedPageBreak/>
        <w:t>within a State’s domestic jurisdiction.</w:t>
      </w:r>
      <w:r w:rsidRPr="00A82D8C">
        <w:rPr>
          <w:vertAlign w:val="superscript"/>
        </w:rPr>
        <w:footnoteReference w:id="27"/>
      </w:r>
      <w:r w:rsidRPr="00D17C40">
        <w:t xml:space="preserve"> In accordance with Article 31(3)(c) VCLT, other relevant rules of international law applicable in the relation between the Parties shall also be considered when interpreting a treaty. Article 2(7) United Nations</w:t>
      </w:r>
      <w:r w:rsidR="00B72352">
        <w:t xml:space="preserve"> </w:t>
      </w:r>
      <w:r w:rsidR="00B72352" w:rsidRPr="00D17C40">
        <w:t>(</w:t>
      </w:r>
      <w:r w:rsidR="00B72352" w:rsidRPr="00A82D8C">
        <w:t>‘</w:t>
      </w:r>
      <w:r w:rsidR="00B72352" w:rsidRPr="00D17C40">
        <w:rPr>
          <w:b/>
        </w:rPr>
        <w:t>UN</w:t>
      </w:r>
      <w:r w:rsidR="00B72352" w:rsidRPr="00A82D8C">
        <w:t>’</w:t>
      </w:r>
      <w:r w:rsidR="00B72352" w:rsidRPr="00D17C40">
        <w:t>)</w:t>
      </w:r>
      <w:r w:rsidRPr="00D17C40">
        <w:t xml:space="preserve"> Charter prohibits intervention</w:t>
      </w:r>
      <w:r w:rsidR="00B72352">
        <w:t>s</w:t>
      </w:r>
      <w:r w:rsidRPr="00D17C40">
        <w:t xml:space="preserve"> by the </w:t>
      </w:r>
      <w:r w:rsidR="00B72352">
        <w:t xml:space="preserve">UN </w:t>
      </w:r>
      <w:r w:rsidRPr="00D17C40">
        <w:t xml:space="preserve">in “matters essentially within the domestic jurisdiction of any </w:t>
      </w:r>
      <w:r w:rsidR="00141258">
        <w:t>s</w:t>
      </w:r>
      <w:r w:rsidRPr="00D17C40">
        <w:t xml:space="preserve">tate”, </w:t>
      </w:r>
      <w:r w:rsidR="00CF292F">
        <w:t xml:space="preserve">which is </w:t>
      </w:r>
      <w:r w:rsidRPr="00D17C40">
        <w:t xml:space="preserve">the same wording </w:t>
      </w:r>
      <w:r w:rsidR="00CF292F">
        <w:t xml:space="preserve">as </w:t>
      </w:r>
      <w:r w:rsidRPr="00D17C40">
        <w:t>used in Article XXI(b)(ii) OCDP Charter.</w:t>
      </w:r>
      <w:r w:rsidRPr="00A82D8C">
        <w:rPr>
          <w:vertAlign w:val="superscript"/>
        </w:rPr>
        <w:footnoteReference w:id="28"/>
      </w:r>
      <w:r w:rsidRPr="00D17C40">
        <w:t xml:space="preserve"> Regarding Article 2(7) UN Charter, the practice of the UN General Assembly (</w:t>
      </w:r>
      <w:r w:rsidRPr="00A82D8C">
        <w:t>‘</w:t>
      </w:r>
      <w:r w:rsidRPr="00D17C40">
        <w:rPr>
          <w:b/>
        </w:rPr>
        <w:t>UNGA</w:t>
      </w:r>
      <w:r w:rsidRPr="00A82D8C">
        <w:t>’</w:t>
      </w:r>
      <w:r w:rsidRPr="00D17C40">
        <w:t xml:space="preserve">) confirms that a matter is not essentially within a State’s domestic jurisdiction once said matter is governed by an agreement the State is </w:t>
      </w:r>
      <w:r w:rsidR="00141258">
        <w:t xml:space="preserve">a </w:t>
      </w:r>
      <w:r w:rsidR="00A82D8C">
        <w:t>P</w:t>
      </w:r>
      <w:r w:rsidRPr="00D17C40">
        <w:t>arty to.</w:t>
      </w:r>
      <w:r w:rsidRPr="00A82D8C">
        <w:rPr>
          <w:vertAlign w:val="superscript"/>
        </w:rPr>
        <w:footnoteReference w:id="29"/>
      </w:r>
    </w:p>
    <w:p w14:paraId="36CE4CEE" w14:textId="0409B030" w:rsidR="00B72352" w:rsidRPr="00D17C40" w:rsidRDefault="00D17C40" w:rsidP="00B41ED0">
      <w:pPr>
        <w:pStyle w:val="Memo"/>
        <w:widowControl/>
      </w:pPr>
      <w:proofErr w:type="spellStart"/>
      <w:r w:rsidRPr="00D17C40">
        <w:t>Rovinia</w:t>
      </w:r>
      <w:proofErr w:type="spellEnd"/>
      <w:r w:rsidRPr="00D17C40">
        <w:t xml:space="preserve"> and Ambrosia are Parties to the International Convention for the Protection of all Persons from Enforced Disappearance</w:t>
      </w:r>
      <w:r w:rsidRPr="00A82D8C">
        <w:rPr>
          <w:vertAlign w:val="superscript"/>
        </w:rPr>
        <w:footnoteReference w:id="30"/>
      </w:r>
      <w:r w:rsidRPr="00D17C40">
        <w:t xml:space="preserve"> (</w:t>
      </w:r>
      <w:r w:rsidRPr="00A82D8C">
        <w:t>‘</w:t>
      </w:r>
      <w:r w:rsidRPr="00D17C40">
        <w:rPr>
          <w:b/>
        </w:rPr>
        <w:t>ICPPED</w:t>
      </w:r>
      <w:r w:rsidRPr="00A82D8C">
        <w:t>’</w:t>
      </w:r>
      <w:r w:rsidRPr="00D17C40">
        <w:t>).</w:t>
      </w:r>
      <w:r w:rsidRPr="00A82D8C">
        <w:rPr>
          <w:vertAlign w:val="superscript"/>
        </w:rPr>
        <w:footnoteReference w:id="31"/>
      </w:r>
      <w:r w:rsidRPr="00D17C40">
        <w:t xml:space="preserve"> Article 11(1) ICPPED oblig</w:t>
      </w:r>
      <w:r w:rsidR="00B13CAA">
        <w:t>ates</w:t>
      </w:r>
      <w:r w:rsidRPr="00D17C40">
        <w:t xml:space="preserve"> States to prosecute or extradite perpetrators of the crime of enforced disappearance. </w:t>
      </w:r>
      <w:r w:rsidRPr="00BD6715">
        <w:t>Further, how this prosecution should be conducted is governed by several provisions in the ICPPED</w:t>
      </w:r>
      <w:r w:rsidR="00B72352" w:rsidRPr="00BD6715">
        <w:t>:</w:t>
      </w:r>
      <w:r w:rsidRPr="00BD6715">
        <w:rPr>
          <w:vertAlign w:val="superscript"/>
        </w:rPr>
        <w:footnoteReference w:id="32"/>
      </w:r>
      <w:r w:rsidRPr="00BD6715">
        <w:t xml:space="preserve"> </w:t>
      </w:r>
      <w:r w:rsidR="007878F7" w:rsidRPr="00BD6715">
        <w:t>F</w:t>
      </w:r>
      <w:r w:rsidRPr="00BD6715">
        <w:t>or instance, the transnational supply of evidence or accommodations foreign perpetrators are entitled to</w:t>
      </w:r>
      <w:r w:rsidR="00BD6715" w:rsidRPr="00BD6715">
        <w:t xml:space="preserve"> are governed</w:t>
      </w:r>
      <w:r w:rsidR="00C50147" w:rsidRPr="00BD6715">
        <w:t xml:space="preserve"> </w:t>
      </w:r>
      <w:r w:rsidR="00BD6715" w:rsidRPr="00BD6715">
        <w:t xml:space="preserve">in Article 14(1) and </w:t>
      </w:r>
      <w:r w:rsidRPr="00BD6715">
        <w:t>Article 10(3)</w:t>
      </w:r>
      <w:r w:rsidR="00C50147" w:rsidRPr="00BD6715">
        <w:t xml:space="preserve"> ICPPED</w:t>
      </w:r>
      <w:r w:rsidR="00BD6715" w:rsidRPr="00BD6715">
        <w:t xml:space="preserve"> respectively</w:t>
      </w:r>
      <w:r w:rsidRPr="00BD6715">
        <w:t>.</w:t>
      </w:r>
      <w:r w:rsidRPr="00D17C40">
        <w:t xml:space="preserve"> </w:t>
      </w:r>
    </w:p>
    <w:p w14:paraId="7DE923EE" w14:textId="77777777" w:rsidR="00D17C40" w:rsidRPr="00D17C40" w:rsidRDefault="00D17C40" w:rsidP="00B41ED0">
      <w:pPr>
        <w:pStyle w:val="Memo"/>
        <w:widowControl/>
      </w:pPr>
      <w:r w:rsidRPr="00D17C40">
        <w:t>Therefore, the prosecution of persons accused of enforced disappearance is governed by international law. Consequently, a State may not decide freely upon that matter.</w:t>
      </w:r>
    </w:p>
    <w:p w14:paraId="74144A22" w14:textId="77777777" w:rsidR="00D17C40" w:rsidRPr="00D17C40" w:rsidRDefault="00D17C40" w:rsidP="00B41ED0">
      <w:pPr>
        <w:pStyle w:val="Memo"/>
        <w:widowControl/>
      </w:pPr>
      <w:r w:rsidRPr="00D17C40">
        <w:t xml:space="preserve">Additionally, in </w:t>
      </w:r>
      <w:r w:rsidRPr="00B13CAA">
        <w:rPr>
          <w:i/>
        </w:rPr>
        <w:t>Right of Passage</w:t>
      </w:r>
      <w:r w:rsidRPr="00D17C40">
        <w:t>, this Court held that when a State decides upon a question of international law, the decision does not fall into the domestic jurisdiction of the State.</w:t>
      </w:r>
      <w:r w:rsidRPr="00B13CAA">
        <w:rPr>
          <w:vertAlign w:val="superscript"/>
        </w:rPr>
        <w:footnoteReference w:id="33"/>
      </w:r>
      <w:r w:rsidRPr="00D17C40">
        <w:t xml:space="preserve"> The matter of immunity before a domestic court is a question of customary international law.</w:t>
      </w:r>
      <w:bookmarkStart w:id="56" w:name="_Ref187650265"/>
      <w:r w:rsidRPr="00B13CAA">
        <w:rPr>
          <w:vertAlign w:val="superscript"/>
        </w:rPr>
        <w:footnoteReference w:id="34"/>
      </w:r>
      <w:bookmarkEnd w:id="56"/>
      <w:r w:rsidRPr="00D17C40">
        <w:t xml:space="preserve"> Likewise, whether a national court may exercise extraterritorial criminal jurisdiction over crimes committed abroad by foreign nationals is also a question of international law.</w:t>
      </w:r>
      <w:bookmarkStart w:id="57" w:name="_Ref187650384"/>
      <w:r w:rsidRPr="00B13CAA">
        <w:rPr>
          <w:vertAlign w:val="superscript"/>
        </w:rPr>
        <w:footnoteReference w:id="35"/>
      </w:r>
      <w:bookmarkEnd w:id="57"/>
    </w:p>
    <w:p w14:paraId="496CF11D" w14:textId="77777777" w:rsidR="00D17C40" w:rsidRPr="00D17C40" w:rsidRDefault="00D17C40" w:rsidP="00B41ED0">
      <w:pPr>
        <w:pStyle w:val="Memo"/>
        <w:widowControl/>
      </w:pPr>
      <w:r w:rsidRPr="00D17C40">
        <w:lastRenderedPageBreak/>
        <w:t xml:space="preserve">By issuing the arrest warrant for Minister Cross, the </w:t>
      </w:r>
      <w:proofErr w:type="spellStart"/>
      <w:r w:rsidRPr="00D17C40">
        <w:t>Permola</w:t>
      </w:r>
      <w:proofErr w:type="spellEnd"/>
      <w:r w:rsidRPr="00D17C40">
        <w:t xml:space="preserve"> Criminal Court necessarily decided upon its criminal jurisdiction and the immunity of Minister Cross.</w:t>
      </w:r>
      <w:r w:rsidRPr="00B13CAA">
        <w:rPr>
          <w:vertAlign w:val="superscript"/>
        </w:rPr>
        <w:footnoteReference w:id="36"/>
      </w:r>
      <w:bookmarkEnd w:id="54"/>
    </w:p>
    <w:p w14:paraId="58F527A2" w14:textId="4381C84F" w:rsidR="00C43CC7" w:rsidRDefault="00D17C40" w:rsidP="00B41ED0">
      <w:pPr>
        <w:pStyle w:val="Memo"/>
        <w:widowControl/>
      </w:pPr>
      <w:r w:rsidRPr="00D17C40">
        <w:t xml:space="preserve">Therefore, the dispute does not relate to judicial proceedings on matters essentially within </w:t>
      </w:r>
      <w:proofErr w:type="spellStart"/>
      <w:r w:rsidRPr="00D17C40">
        <w:t>Rovinia’s</w:t>
      </w:r>
      <w:proofErr w:type="spellEnd"/>
      <w:r w:rsidRPr="00D17C40">
        <w:t xml:space="preserve"> domestic jurisdiction</w:t>
      </w:r>
      <w:r w:rsidR="00B13CAA">
        <w:t>.</w:t>
      </w:r>
    </w:p>
    <w:p w14:paraId="64EE5577" w14:textId="77777777" w:rsidR="00C43CC7" w:rsidRDefault="00C43CC7" w:rsidP="00B41ED0">
      <w:pPr>
        <w:widowControl/>
        <w:suppressAutoHyphens w:val="0"/>
        <w:spacing w:line="240" w:lineRule="auto"/>
        <w:ind w:firstLine="0"/>
        <w:jc w:val="left"/>
      </w:pPr>
      <w:r>
        <w:br w:type="page"/>
      </w:r>
    </w:p>
    <w:p w14:paraId="0008433B" w14:textId="77777777" w:rsidR="00AC6890" w:rsidRPr="00AC6890" w:rsidRDefault="00AC6890" w:rsidP="005C5AE2">
      <w:pPr>
        <w:pStyle w:val="berschrift1"/>
      </w:pPr>
      <w:bookmarkStart w:id="58" w:name="_Toc187498230"/>
      <w:bookmarkStart w:id="59" w:name="_Toc187681648"/>
      <w:bookmarkStart w:id="60" w:name="_Toc187692150"/>
      <w:bookmarkStart w:id="61" w:name="_Hlk183693303"/>
      <w:proofErr w:type="spellStart"/>
      <w:r w:rsidRPr="00AC6890">
        <w:lastRenderedPageBreak/>
        <w:t>Rovinia</w:t>
      </w:r>
      <w:proofErr w:type="spellEnd"/>
      <w:r w:rsidRPr="00AC6890">
        <w:t xml:space="preserve"> violated the international legal rules on jurisdiction and immunity by arresting and prosecuting Ms. Gertrude Cross.</w:t>
      </w:r>
      <w:bookmarkEnd w:id="58"/>
      <w:bookmarkEnd w:id="59"/>
      <w:bookmarkEnd w:id="60"/>
    </w:p>
    <w:p w14:paraId="5807CEBA" w14:textId="77777777" w:rsidR="00AC6890" w:rsidRPr="00AC6890" w:rsidRDefault="00AC6890" w:rsidP="00B41ED0">
      <w:pPr>
        <w:pStyle w:val="Memo"/>
        <w:widowControl/>
      </w:pPr>
      <w:proofErr w:type="spellStart"/>
      <w:r w:rsidRPr="00AC6890">
        <w:t>Rovinia</w:t>
      </w:r>
      <w:proofErr w:type="spellEnd"/>
      <w:r w:rsidRPr="00AC6890">
        <w:t xml:space="preserve"> violated the international legal rules on jurisdiction (</w:t>
      </w:r>
      <w:r w:rsidRPr="00AC6890">
        <w:rPr>
          <w:b/>
        </w:rPr>
        <w:t>I.</w:t>
      </w:r>
      <w:r w:rsidRPr="00AC6890">
        <w:t>) and the international legal rules on immunity (</w:t>
      </w:r>
      <w:r w:rsidRPr="00AC6890">
        <w:rPr>
          <w:b/>
        </w:rPr>
        <w:t>II.</w:t>
      </w:r>
      <w:r w:rsidRPr="00AC6890">
        <w:t>).</w:t>
      </w:r>
    </w:p>
    <w:p w14:paraId="3E929A6D" w14:textId="0372CABF" w:rsidR="00AC6890" w:rsidRPr="00AC6890" w:rsidRDefault="00AC6890" w:rsidP="00B41ED0">
      <w:pPr>
        <w:pStyle w:val="berschrift2"/>
        <w:keepNext w:val="0"/>
        <w:widowControl/>
        <w:numPr>
          <w:ilvl w:val="0"/>
          <w:numId w:val="42"/>
        </w:numPr>
      </w:pPr>
      <w:bookmarkStart w:id="62" w:name="_Toc187498231"/>
      <w:bookmarkStart w:id="63" w:name="_Toc187681649"/>
      <w:bookmarkStart w:id="64" w:name="_Toc187692151"/>
      <w:proofErr w:type="spellStart"/>
      <w:r w:rsidRPr="00AC6890">
        <w:t>Rovinia</w:t>
      </w:r>
      <w:proofErr w:type="spellEnd"/>
      <w:r w:rsidRPr="00AC6890">
        <w:t xml:space="preserve"> violated the </w:t>
      </w:r>
      <w:r w:rsidR="00B13CAA">
        <w:t>i</w:t>
      </w:r>
      <w:r w:rsidRPr="00AC6890">
        <w:t xml:space="preserve">nternational legal rules on </w:t>
      </w:r>
      <w:r w:rsidR="00B13CAA">
        <w:t>j</w:t>
      </w:r>
      <w:r w:rsidRPr="00AC6890">
        <w:t>urisdiction.</w:t>
      </w:r>
      <w:bookmarkEnd w:id="62"/>
      <w:bookmarkEnd w:id="63"/>
      <w:bookmarkEnd w:id="64"/>
    </w:p>
    <w:p w14:paraId="193B1B72" w14:textId="77777777" w:rsidR="00AC6890" w:rsidRPr="00AC6890" w:rsidRDefault="00AC6890" w:rsidP="00B41ED0">
      <w:pPr>
        <w:pStyle w:val="Memo"/>
        <w:widowControl/>
      </w:pPr>
      <w:r w:rsidRPr="00AC6890">
        <w:t xml:space="preserve">In order to comply with the international legal rules on jurisdiction, </w:t>
      </w:r>
      <w:proofErr w:type="spellStart"/>
      <w:r w:rsidRPr="00AC6890">
        <w:t>Rovina</w:t>
      </w:r>
      <w:proofErr w:type="spellEnd"/>
      <w:r w:rsidRPr="00AC6890">
        <w:t xml:space="preserve"> needs a jurisdictional link to prosecute Minister Cross (</w:t>
      </w:r>
      <w:r w:rsidRPr="00AC6890">
        <w:rPr>
          <w:b/>
        </w:rPr>
        <w:t>1.</w:t>
      </w:r>
      <w:r w:rsidRPr="00AC6890">
        <w:t xml:space="preserve">). However, </w:t>
      </w:r>
      <w:proofErr w:type="spellStart"/>
      <w:r w:rsidRPr="00AC6890">
        <w:t>Rovinia</w:t>
      </w:r>
      <w:proofErr w:type="spellEnd"/>
      <w:r w:rsidRPr="00AC6890">
        <w:t xml:space="preserve"> does not have such a jurisdictional link to the alleged crime committed by Minister Cross (</w:t>
      </w:r>
      <w:r w:rsidRPr="00AC6890">
        <w:rPr>
          <w:b/>
        </w:rPr>
        <w:t>2.</w:t>
      </w:r>
      <w:r w:rsidRPr="00AC6890">
        <w:t xml:space="preserve">). Further, </w:t>
      </w:r>
      <w:proofErr w:type="spellStart"/>
      <w:r w:rsidRPr="00AC6890">
        <w:t>Rovinia</w:t>
      </w:r>
      <w:proofErr w:type="spellEnd"/>
      <w:r w:rsidRPr="00AC6890">
        <w:t xml:space="preserve"> does not have universal jurisdiction over Minister Cross (</w:t>
      </w:r>
      <w:r w:rsidRPr="00AC6890">
        <w:rPr>
          <w:b/>
        </w:rPr>
        <w:t>3.</w:t>
      </w:r>
      <w:r w:rsidRPr="00AC6890">
        <w:t>).</w:t>
      </w:r>
    </w:p>
    <w:p w14:paraId="0B98A1B5" w14:textId="18668A8D" w:rsidR="00AC6890" w:rsidRPr="00AC6890" w:rsidRDefault="00AC6890" w:rsidP="00B41ED0">
      <w:pPr>
        <w:pStyle w:val="berschrift3a"/>
        <w:keepNext w:val="0"/>
      </w:pPr>
      <w:bookmarkStart w:id="65" w:name="_Toc187498232"/>
      <w:bookmarkStart w:id="66" w:name="_Toc187681650"/>
      <w:bookmarkStart w:id="67" w:name="_Toc187692152"/>
      <w:proofErr w:type="spellStart"/>
      <w:r w:rsidRPr="00AC6890">
        <w:t>Rovin</w:t>
      </w:r>
      <w:r w:rsidR="00B72352">
        <w:t>i</w:t>
      </w:r>
      <w:r w:rsidRPr="00AC6890">
        <w:t>a</w:t>
      </w:r>
      <w:proofErr w:type="spellEnd"/>
      <w:r w:rsidRPr="00AC6890">
        <w:t xml:space="preserve"> needs a jurisdictional link to prosecute Minister Cross.</w:t>
      </w:r>
      <w:bookmarkEnd w:id="65"/>
      <w:bookmarkEnd w:id="66"/>
      <w:bookmarkEnd w:id="67"/>
    </w:p>
    <w:p w14:paraId="7980668E" w14:textId="64940DFB" w:rsidR="00AC6890" w:rsidRPr="00AC6890" w:rsidRDefault="00AC6890" w:rsidP="00B41ED0">
      <w:pPr>
        <w:pStyle w:val="Memo"/>
        <w:widowControl/>
      </w:pPr>
      <w:r w:rsidRPr="00AC6890">
        <w:rPr>
          <w:iCs/>
        </w:rPr>
        <w:t xml:space="preserve">While in 1927 the PCIJ held in </w:t>
      </w:r>
      <w:r w:rsidRPr="00AC6890">
        <w:rPr>
          <w:i/>
        </w:rPr>
        <w:t>Lotus</w:t>
      </w:r>
      <w:r w:rsidRPr="00AC6890">
        <w:rPr>
          <w:iCs/>
        </w:rPr>
        <w:t xml:space="preserve"> that a State may assert criminal jurisdiction absent a rule to the contrary,</w:t>
      </w:r>
      <w:r w:rsidRPr="00AC6890">
        <w:rPr>
          <w:vertAlign w:val="superscript"/>
        </w:rPr>
        <w:footnoteReference w:id="37"/>
      </w:r>
      <w:r w:rsidRPr="00AC6890">
        <w:rPr>
          <w:iCs/>
        </w:rPr>
        <w:t xml:space="preserve"> customary international law since then has evolved differently.</w:t>
      </w:r>
      <w:r w:rsidRPr="00AC6890">
        <w:rPr>
          <w:vertAlign w:val="superscript"/>
        </w:rPr>
        <w:footnoteReference w:id="38"/>
      </w:r>
      <w:r w:rsidRPr="00AC6890">
        <w:rPr>
          <w:iCs/>
        </w:rPr>
        <w:t xml:space="preserve"> </w:t>
      </w:r>
      <w:r w:rsidRPr="00AC6890">
        <w:t>Customary international law requires extensive</w:t>
      </w:r>
      <w:r w:rsidR="00B13CAA">
        <w:t xml:space="preserve"> </w:t>
      </w:r>
      <w:r w:rsidR="00B13CAA" w:rsidRPr="00B72352">
        <w:t xml:space="preserve">and </w:t>
      </w:r>
      <w:r w:rsidR="000A5D4D">
        <w:t>consistent</w:t>
      </w:r>
      <w:r w:rsidRPr="00B72352">
        <w:t xml:space="preserve"> State</w:t>
      </w:r>
      <w:r w:rsidRPr="00AC6890">
        <w:t xml:space="preserve"> practice and corresponding </w:t>
      </w:r>
      <w:proofErr w:type="spellStart"/>
      <w:r w:rsidRPr="00AC6890">
        <w:rPr>
          <w:i/>
        </w:rPr>
        <w:t>opinio</w:t>
      </w:r>
      <w:proofErr w:type="spellEnd"/>
      <w:r w:rsidRPr="00AC6890">
        <w:rPr>
          <w:i/>
        </w:rPr>
        <w:t xml:space="preserve"> juris.</w:t>
      </w:r>
      <w:bookmarkStart w:id="69" w:name="_Ref187650525"/>
      <w:r w:rsidRPr="00AC6890">
        <w:rPr>
          <w:vertAlign w:val="superscript"/>
        </w:rPr>
        <w:footnoteReference w:id="39"/>
      </w:r>
      <w:bookmarkEnd w:id="69"/>
      <w:r w:rsidRPr="00AC6890">
        <w:rPr>
          <w:i/>
        </w:rPr>
        <w:t xml:space="preserve"> </w:t>
      </w:r>
      <w:r w:rsidRPr="00AC6890">
        <w:t>States generally positively define the conditions for their national courts to assert jurisdiction regarding crimes committed abroad by foreign nationals.</w:t>
      </w:r>
      <w:r w:rsidRPr="00AC6890">
        <w:rPr>
          <w:iCs/>
          <w:vertAlign w:val="superscript"/>
        </w:rPr>
        <w:footnoteReference w:id="40"/>
      </w:r>
    </w:p>
    <w:p w14:paraId="4DEB5291" w14:textId="77777777" w:rsidR="00AC6890" w:rsidRPr="005D2B60" w:rsidRDefault="00AC6890" w:rsidP="00B41ED0">
      <w:pPr>
        <w:pStyle w:val="Memo"/>
        <w:widowControl/>
      </w:pPr>
      <w:r w:rsidRPr="005D2B60">
        <w:t>Therefore, under customary international law, States may only assert criminal jurisdiction over crimes committed abroad by foreign nationals based on a permissive rule.</w:t>
      </w:r>
      <w:r w:rsidRPr="005D2B60">
        <w:rPr>
          <w:vertAlign w:val="superscript"/>
        </w:rPr>
        <w:footnoteReference w:id="41"/>
      </w:r>
    </w:p>
    <w:p w14:paraId="57CB5D9D" w14:textId="4A7E1617" w:rsidR="00AC6890" w:rsidRPr="00AC6890" w:rsidRDefault="00AC6890" w:rsidP="00B41ED0">
      <w:pPr>
        <w:pStyle w:val="Memo"/>
        <w:widowControl/>
      </w:pPr>
      <w:r w:rsidRPr="005D2B60">
        <w:t>Th</w:t>
      </w:r>
      <w:r w:rsidR="00962567" w:rsidRPr="005D2B60">
        <w:t>us</w:t>
      </w:r>
      <w:r w:rsidRPr="005D2B60">
        <w:t xml:space="preserve">, </w:t>
      </w:r>
      <w:proofErr w:type="spellStart"/>
      <w:r w:rsidRPr="005D2B60">
        <w:t>Rovin</w:t>
      </w:r>
      <w:r w:rsidR="007878F7" w:rsidRPr="005D2B60">
        <w:t>i</w:t>
      </w:r>
      <w:r w:rsidRPr="005D2B60">
        <w:t>a</w:t>
      </w:r>
      <w:proofErr w:type="spellEnd"/>
      <w:r w:rsidRPr="00AC6890">
        <w:t xml:space="preserve"> needs a jurisdictional link to prosecute Minister Cross. </w:t>
      </w:r>
    </w:p>
    <w:p w14:paraId="2FD3412E" w14:textId="77777777" w:rsidR="00AC6890" w:rsidRPr="00AC6890" w:rsidRDefault="00AC6890" w:rsidP="00B41ED0">
      <w:pPr>
        <w:pStyle w:val="berschrift3a"/>
        <w:keepNext w:val="0"/>
      </w:pPr>
      <w:bookmarkStart w:id="71" w:name="_Toc187498233"/>
      <w:bookmarkStart w:id="72" w:name="_Toc187681651"/>
      <w:bookmarkStart w:id="73" w:name="_Toc187692153"/>
      <w:proofErr w:type="spellStart"/>
      <w:r w:rsidRPr="00AC6890">
        <w:t>Rovinia</w:t>
      </w:r>
      <w:proofErr w:type="spellEnd"/>
      <w:r w:rsidRPr="00AC6890">
        <w:t xml:space="preserve"> does not have a jurisdictional link to the alleged crime committed by Minister Cross.</w:t>
      </w:r>
      <w:bookmarkEnd w:id="71"/>
      <w:bookmarkEnd w:id="72"/>
      <w:bookmarkEnd w:id="73"/>
    </w:p>
    <w:p w14:paraId="56783FD3" w14:textId="682401EA" w:rsidR="00AC6890" w:rsidRPr="00AC6890" w:rsidRDefault="00AC6890" w:rsidP="00B41ED0">
      <w:pPr>
        <w:pStyle w:val="Memo"/>
        <w:widowControl/>
      </w:pPr>
      <w:r w:rsidRPr="00AC6890">
        <w:t>Under customary international law,</w:t>
      </w:r>
      <w:r w:rsidRPr="00AC6890">
        <w:rPr>
          <w:lang w:val="x-none"/>
        </w:rPr>
        <w:t xml:space="preserve"> </w:t>
      </w:r>
      <w:r w:rsidRPr="00AC6890">
        <w:t>State</w:t>
      </w:r>
      <w:r w:rsidR="00CF292F">
        <w:t>s</w:t>
      </w:r>
      <w:r w:rsidRPr="00AC6890">
        <w:t xml:space="preserve"> ha</w:t>
      </w:r>
      <w:r w:rsidR="00962567">
        <w:t>ve</w:t>
      </w:r>
      <w:r w:rsidRPr="00AC6890">
        <w:t xml:space="preserve"> a jurisdictional link to the alleged crime when the crime was committed on the territory of the State, or when the victim or perpetrator </w:t>
      </w:r>
      <w:r w:rsidR="00962567">
        <w:t>is a</w:t>
      </w:r>
      <w:r w:rsidRPr="00AC6890">
        <w:t xml:space="preserve"> national of that State.</w:t>
      </w:r>
      <w:r w:rsidRPr="00AC6890">
        <w:rPr>
          <w:vertAlign w:val="superscript"/>
        </w:rPr>
        <w:footnoteReference w:id="42"/>
      </w:r>
      <w:r w:rsidRPr="00AC6890">
        <w:t xml:space="preserve"> </w:t>
      </w:r>
      <w:r w:rsidR="00141258">
        <w:t xml:space="preserve">Further, some </w:t>
      </w:r>
      <w:r w:rsidRPr="00AC6890">
        <w:t xml:space="preserve">States base criminal jurisdiction on the permanent </w:t>
      </w:r>
      <w:r w:rsidRPr="00AC6890">
        <w:lastRenderedPageBreak/>
        <w:t>residence of the perpetrator</w:t>
      </w:r>
      <w:r w:rsidR="00CF292F">
        <w:t>,</w:t>
      </w:r>
      <w:r w:rsidRPr="00AC6890">
        <w:t xml:space="preserve"> </w:t>
      </w:r>
      <w:r w:rsidR="000A7A01">
        <w:t xml:space="preserve">but only </w:t>
      </w:r>
      <w:r w:rsidRPr="00AC6890">
        <w:t xml:space="preserve">when the perpetrator was already </w:t>
      </w:r>
      <w:r w:rsidR="00CF292F">
        <w:t xml:space="preserve">a </w:t>
      </w:r>
      <w:r w:rsidRPr="00AC6890">
        <w:t>resident in that State at the time of the crime.</w:t>
      </w:r>
      <w:r w:rsidRPr="00AC6890">
        <w:rPr>
          <w:vertAlign w:val="superscript"/>
        </w:rPr>
        <w:footnoteReference w:id="43"/>
      </w:r>
    </w:p>
    <w:p w14:paraId="5E3571BE" w14:textId="77777777" w:rsidR="00AC6890" w:rsidRPr="00AC6890" w:rsidRDefault="00AC6890" w:rsidP="00B41ED0">
      <w:pPr>
        <w:pStyle w:val="Memo"/>
        <w:widowControl/>
      </w:pPr>
      <w:r w:rsidRPr="00AC6890">
        <w:t>Both Minister Cross and the alleged victims were Ambrosian nationals, and the alleged crimes occurred in Ambrosia.</w:t>
      </w:r>
      <w:r w:rsidRPr="00AC6890">
        <w:rPr>
          <w:vertAlign w:val="superscript"/>
        </w:rPr>
        <w:footnoteReference w:id="44"/>
      </w:r>
      <w:r w:rsidRPr="00AC6890">
        <w:t xml:space="preserve"> Minister Cross moved to </w:t>
      </w:r>
      <w:proofErr w:type="spellStart"/>
      <w:r w:rsidRPr="00AC6890">
        <w:t>Rovinia</w:t>
      </w:r>
      <w:proofErr w:type="spellEnd"/>
      <w:r w:rsidRPr="00AC6890">
        <w:t xml:space="preserve"> after the alleged crimes occurred.</w:t>
      </w:r>
      <w:r w:rsidRPr="00AC6890">
        <w:rPr>
          <w:vertAlign w:val="superscript"/>
        </w:rPr>
        <w:footnoteReference w:id="45"/>
      </w:r>
      <w:r w:rsidRPr="00AC6890">
        <w:t xml:space="preserve"> Therefore, </w:t>
      </w:r>
      <w:proofErr w:type="spellStart"/>
      <w:r w:rsidRPr="00AC6890">
        <w:t>Rovinia</w:t>
      </w:r>
      <w:proofErr w:type="spellEnd"/>
      <w:r w:rsidRPr="00AC6890">
        <w:t xml:space="preserve"> does not have a jurisdictional link to the alleged crime committed by Minister Cross.</w:t>
      </w:r>
    </w:p>
    <w:p w14:paraId="43597C09" w14:textId="77777777" w:rsidR="00AC6890" w:rsidRPr="00AC6890" w:rsidRDefault="00AC6890" w:rsidP="00B41ED0">
      <w:pPr>
        <w:pStyle w:val="berschrift3a"/>
        <w:keepNext w:val="0"/>
      </w:pPr>
      <w:bookmarkStart w:id="75" w:name="_Toc187498234"/>
      <w:bookmarkStart w:id="76" w:name="_Toc187681652"/>
      <w:bookmarkStart w:id="77" w:name="_Toc187692154"/>
      <w:proofErr w:type="spellStart"/>
      <w:r w:rsidRPr="00AC6890">
        <w:t>Rovinia</w:t>
      </w:r>
      <w:proofErr w:type="spellEnd"/>
      <w:r w:rsidRPr="00AC6890">
        <w:t xml:space="preserve"> does not have universal jurisdiction over Minister Cross.</w:t>
      </w:r>
      <w:bookmarkEnd w:id="75"/>
      <w:bookmarkEnd w:id="76"/>
      <w:bookmarkEnd w:id="77"/>
    </w:p>
    <w:p w14:paraId="5AF84254" w14:textId="1E778B5A" w:rsidR="00AC6890" w:rsidRPr="00DB069A" w:rsidRDefault="00962567" w:rsidP="00B41ED0">
      <w:pPr>
        <w:pStyle w:val="Memo"/>
        <w:widowControl/>
        <w:rPr>
          <w:b/>
        </w:rPr>
      </w:pPr>
      <w:r>
        <w:t xml:space="preserve">First, </w:t>
      </w:r>
      <w:proofErr w:type="spellStart"/>
      <w:r w:rsidR="00AC6890" w:rsidRPr="00AC6890">
        <w:t>Rovinia</w:t>
      </w:r>
      <w:proofErr w:type="spellEnd"/>
      <w:r w:rsidR="00AC6890" w:rsidRPr="00AC6890">
        <w:t xml:space="preserve"> cannot assert universal jurisdiction over Minister Cross under customary international law </w:t>
      </w:r>
      <w:r w:rsidR="00AC6890" w:rsidRPr="00962567">
        <w:t>(</w:t>
      </w:r>
      <w:r w:rsidR="00AC6890" w:rsidRPr="00DB069A">
        <w:rPr>
          <w:b/>
        </w:rPr>
        <w:t>a.</w:t>
      </w:r>
      <w:r w:rsidR="00AC6890" w:rsidRPr="00962567">
        <w:t>).</w:t>
      </w:r>
      <w:r w:rsidR="00AC6890" w:rsidRPr="00DB069A">
        <w:t xml:space="preserve"> </w:t>
      </w:r>
      <w:r w:rsidR="00AC6890" w:rsidRPr="00AC6890">
        <w:t>Second, the ICPPED does not provide universal jurisdiction </w:t>
      </w:r>
      <w:r w:rsidR="00AC6890" w:rsidRPr="00962567">
        <w:t>(</w:t>
      </w:r>
      <w:r w:rsidR="00AC6890" w:rsidRPr="00195DE7">
        <w:rPr>
          <w:b/>
        </w:rPr>
        <w:t>b.</w:t>
      </w:r>
      <w:r w:rsidR="00AC6890" w:rsidRPr="00962567">
        <w:t>)</w:t>
      </w:r>
      <w:r w:rsidR="00AC6890" w:rsidRPr="00AC6890">
        <w:t xml:space="preserve">. Even if </w:t>
      </w:r>
      <w:proofErr w:type="spellStart"/>
      <w:r w:rsidR="00AC6890" w:rsidRPr="00AC6890">
        <w:t>Rovinia</w:t>
      </w:r>
      <w:proofErr w:type="spellEnd"/>
      <w:r w:rsidR="00AC6890" w:rsidRPr="00AC6890">
        <w:t xml:space="preserve"> had universal jurisdiction over Minister Cross, it </w:t>
      </w:r>
      <w:r w:rsidR="000A7A01">
        <w:t>would be</w:t>
      </w:r>
      <w:r w:rsidR="00AC6890" w:rsidRPr="00AC6890">
        <w:t xml:space="preserve"> subsidiary to Ambrosia’s jurisdiction </w:t>
      </w:r>
      <w:r w:rsidR="00AC6890" w:rsidRPr="00962567">
        <w:t>(</w:t>
      </w:r>
      <w:r w:rsidR="00AC6890" w:rsidRPr="00DB069A">
        <w:rPr>
          <w:b/>
        </w:rPr>
        <w:t>c.</w:t>
      </w:r>
      <w:r w:rsidR="00AC6890" w:rsidRPr="00962567">
        <w:t>).</w:t>
      </w:r>
    </w:p>
    <w:p w14:paraId="01158149" w14:textId="77777777" w:rsidR="00AC6890" w:rsidRPr="00AC6890" w:rsidRDefault="00AC6890" w:rsidP="00B41ED0">
      <w:pPr>
        <w:pStyle w:val="berschrift4"/>
        <w:keepNext w:val="0"/>
      </w:pPr>
      <w:bookmarkStart w:id="78" w:name="_Toc187498235"/>
      <w:bookmarkStart w:id="79" w:name="_Toc187681653"/>
      <w:bookmarkStart w:id="80" w:name="_Toc187692155"/>
      <w:proofErr w:type="spellStart"/>
      <w:r w:rsidRPr="00AC6890">
        <w:t>Rovinia</w:t>
      </w:r>
      <w:proofErr w:type="spellEnd"/>
      <w:r w:rsidRPr="00AC6890">
        <w:t xml:space="preserve"> cannot assert universal jurisdiction over Minister Cross under customary international law.</w:t>
      </w:r>
      <w:bookmarkEnd w:id="78"/>
      <w:bookmarkEnd w:id="79"/>
      <w:bookmarkEnd w:id="80"/>
      <w:r w:rsidRPr="00AC6890">
        <w:t xml:space="preserve"> </w:t>
      </w:r>
    </w:p>
    <w:p w14:paraId="310D8F28" w14:textId="622BCDF0" w:rsidR="00AC6890" w:rsidRPr="00AC6890" w:rsidRDefault="00AC6890" w:rsidP="00B41ED0">
      <w:pPr>
        <w:pStyle w:val="Memo"/>
        <w:widowControl/>
        <w:rPr>
          <w:lang w:val="en-GB"/>
        </w:rPr>
      </w:pPr>
      <w:r w:rsidRPr="00AC6890">
        <w:t>Universal jurisdiction permits any State to prosecute a crime, regardless of where it occurred.</w:t>
      </w:r>
      <w:r w:rsidRPr="00AC6890">
        <w:rPr>
          <w:vertAlign w:val="superscript"/>
        </w:rPr>
        <w:footnoteReference w:id="46"/>
      </w:r>
      <w:r w:rsidRPr="00AC6890">
        <w:rPr>
          <w:lang w:val="en-GB"/>
        </w:rPr>
        <w:t xml:space="preserve"> Under c</w:t>
      </w:r>
      <w:proofErr w:type="spellStart"/>
      <w:r w:rsidRPr="00AC6890">
        <w:t>ustomary</w:t>
      </w:r>
      <w:proofErr w:type="spellEnd"/>
      <w:r w:rsidRPr="00AC6890">
        <w:t xml:space="preserve"> international law</w:t>
      </w:r>
      <w:r w:rsidR="00962567">
        <w:t>,</w:t>
      </w:r>
      <w:r w:rsidRPr="00AC6890">
        <w:t xml:space="preserve"> universal jurisdiction only exists </w:t>
      </w:r>
      <w:r w:rsidR="00962567">
        <w:t xml:space="preserve">for </w:t>
      </w:r>
      <w:r w:rsidRPr="00AC6890">
        <w:t>very few crimes, including crimes against humanity.</w:t>
      </w:r>
      <w:r w:rsidRPr="00AC6890">
        <w:rPr>
          <w:vertAlign w:val="superscript"/>
        </w:rPr>
        <w:footnoteReference w:id="47"/>
      </w:r>
      <w:r w:rsidRPr="00AC6890">
        <w:t xml:space="preserve"> According to the ICPPED, enforced disappearances amount to a crime against humanity when practiced in a widespread or systematic manner.</w:t>
      </w:r>
      <w:r w:rsidRPr="00AC6890">
        <w:rPr>
          <w:vertAlign w:val="superscript"/>
        </w:rPr>
        <w:footnoteReference w:id="48"/>
      </w:r>
      <w:r w:rsidRPr="00AC6890">
        <w:t xml:space="preserve"> This necessitates that the crime had a large number of victims or occurred in a methodical pattern.</w:t>
      </w:r>
      <w:r w:rsidRPr="00AC6890">
        <w:rPr>
          <w:vertAlign w:val="superscript"/>
        </w:rPr>
        <w:footnoteReference w:id="49"/>
      </w:r>
      <w:r w:rsidRPr="00AC6890">
        <w:t xml:space="preserve"> For enforced disappearances, </w:t>
      </w:r>
      <w:r w:rsidR="00962567">
        <w:t>n</w:t>
      </w:r>
      <w:r w:rsidRPr="00AC6890">
        <w:t xml:space="preserve">on-governmental </w:t>
      </w:r>
      <w:proofErr w:type="spellStart"/>
      <w:r w:rsidRPr="00AC6890">
        <w:t>organisations</w:t>
      </w:r>
      <w:proofErr w:type="spellEnd"/>
      <w:r w:rsidRPr="00AC6890">
        <w:t xml:space="preserve"> (‘</w:t>
      </w:r>
      <w:r w:rsidRPr="00AC6890">
        <w:rPr>
          <w:b/>
          <w:bCs/>
        </w:rPr>
        <w:t>NGO</w:t>
      </w:r>
      <w:r w:rsidRPr="00AC6890">
        <w:t xml:space="preserve">’) </w:t>
      </w:r>
      <w:proofErr w:type="spellStart"/>
      <w:r w:rsidRPr="00AC6890">
        <w:t>recognised</w:t>
      </w:r>
      <w:proofErr w:type="spellEnd"/>
      <w:r w:rsidRPr="00AC6890">
        <w:t xml:space="preserve"> this where thousands of victims </w:t>
      </w:r>
      <w:r w:rsidR="00962567">
        <w:t>were</w:t>
      </w:r>
      <w:r w:rsidRPr="00AC6890">
        <w:t xml:space="preserve"> affected</w:t>
      </w:r>
      <w:r w:rsidRPr="00AC6890">
        <w:rPr>
          <w:lang w:val="en-GB"/>
        </w:rPr>
        <w:t>.</w:t>
      </w:r>
      <w:r w:rsidRPr="00AC6890">
        <w:rPr>
          <w:vertAlign w:val="superscript"/>
        </w:rPr>
        <w:footnoteReference w:id="50"/>
      </w:r>
      <w:r w:rsidRPr="00AC6890">
        <w:rPr>
          <w:lang w:val="en-GB"/>
        </w:rPr>
        <w:t xml:space="preserve"> </w:t>
      </w:r>
    </w:p>
    <w:p w14:paraId="7039CFDD" w14:textId="0EA56A08" w:rsidR="00AC6890" w:rsidRPr="00AC6890" w:rsidRDefault="00AC6890" w:rsidP="00B41ED0">
      <w:pPr>
        <w:pStyle w:val="Memo"/>
        <w:widowControl/>
        <w:rPr>
          <w:lang w:val="en-GB"/>
        </w:rPr>
      </w:pPr>
      <w:r w:rsidRPr="00AC6890">
        <w:rPr>
          <w:lang w:val="en-GB"/>
        </w:rPr>
        <w:lastRenderedPageBreak/>
        <w:t>The allegations by the NGO Human Rights International (‘</w:t>
      </w:r>
      <w:r w:rsidRPr="00AC6890">
        <w:rPr>
          <w:b/>
          <w:bCs/>
          <w:lang w:val="en-GB"/>
        </w:rPr>
        <w:t>HRI</w:t>
      </w:r>
      <w:r w:rsidRPr="00AC6890">
        <w:rPr>
          <w:lang w:val="en-GB"/>
        </w:rPr>
        <w:t>’) only concerned about 150</w:t>
      </w:r>
      <w:r w:rsidR="008C5E7F">
        <w:rPr>
          <w:lang w:val="en-GB"/>
        </w:rPr>
        <w:t> </w:t>
      </w:r>
      <w:r w:rsidRPr="00AC6890">
        <w:rPr>
          <w:lang w:val="en-GB"/>
        </w:rPr>
        <w:t>detainees.</w:t>
      </w:r>
      <w:r w:rsidRPr="00AC6890">
        <w:rPr>
          <w:vertAlign w:val="superscript"/>
        </w:rPr>
        <w:footnoteReference w:id="51"/>
      </w:r>
      <w:r w:rsidRPr="00AC6890">
        <w:t xml:space="preserve"> Therefore</w:t>
      </w:r>
      <w:r w:rsidR="00962567">
        <w:t>,</w:t>
      </w:r>
      <w:r w:rsidRPr="00AC6890">
        <w:t xml:space="preserve"> the alleged crime cannot be deemed a crime against humanity. Thus, </w:t>
      </w:r>
      <w:proofErr w:type="spellStart"/>
      <w:r w:rsidRPr="00AC6890">
        <w:t>Rovinia</w:t>
      </w:r>
      <w:proofErr w:type="spellEnd"/>
      <w:r w:rsidRPr="00AC6890">
        <w:t xml:space="preserve"> </w:t>
      </w:r>
      <w:r w:rsidR="00962567">
        <w:t>cannot assert</w:t>
      </w:r>
      <w:r w:rsidRPr="00AC6890">
        <w:t xml:space="preserve"> universal jurisdiction over Minister Cross under customary international law.</w:t>
      </w:r>
    </w:p>
    <w:p w14:paraId="74E850EC" w14:textId="77777777" w:rsidR="00AC6890" w:rsidRPr="00AC6890" w:rsidRDefault="00AC6890" w:rsidP="00B41ED0">
      <w:pPr>
        <w:pStyle w:val="berschrift4"/>
        <w:keepNext w:val="0"/>
      </w:pPr>
      <w:bookmarkStart w:id="82" w:name="_Toc187498236"/>
      <w:bookmarkStart w:id="83" w:name="_Toc187681654"/>
      <w:bookmarkStart w:id="84" w:name="_Toc187692156"/>
      <w:r w:rsidRPr="00AC6890">
        <w:t>The ICPPED does not provide universal jurisdiction.</w:t>
      </w:r>
      <w:bookmarkEnd w:id="82"/>
      <w:bookmarkEnd w:id="83"/>
      <w:bookmarkEnd w:id="84"/>
    </w:p>
    <w:p w14:paraId="0F756B18" w14:textId="4C868F49" w:rsidR="00AC6890" w:rsidRPr="00CA7E5B" w:rsidRDefault="00AC6890" w:rsidP="00B41ED0">
      <w:pPr>
        <w:pStyle w:val="Memo"/>
        <w:widowControl/>
      </w:pPr>
      <w:bookmarkStart w:id="85" w:name="_Hlk183651100"/>
      <w:r w:rsidRPr="00AC6890">
        <w:t xml:space="preserve">In </w:t>
      </w:r>
      <w:r w:rsidRPr="00AC6890">
        <w:rPr>
          <w:i/>
        </w:rPr>
        <w:t>Prosecute or Extradite,</w:t>
      </w:r>
      <w:r w:rsidRPr="00AC6890">
        <w:t xml:space="preserve"> this Court held that Article 5(2) of the </w:t>
      </w:r>
      <w:r w:rsidRPr="00AC6890">
        <w:rPr>
          <w:lang w:val="en-GB"/>
        </w:rPr>
        <w:t>Convention against Torture and Other Cruel, Inhuman or Degrading Treatment or Punishment</w:t>
      </w:r>
      <w:r w:rsidR="00962567">
        <w:rPr>
          <w:rStyle w:val="Funotenzeichen"/>
          <w:lang w:val="en-GB"/>
        </w:rPr>
        <w:footnoteReference w:id="52"/>
      </w:r>
      <w:r w:rsidR="00346C93">
        <w:rPr>
          <w:lang w:val="en-GB"/>
        </w:rPr>
        <w:t xml:space="preserve"> </w:t>
      </w:r>
      <w:r w:rsidRPr="00CA7E5B">
        <w:t>provides for universal jurisdiction.</w:t>
      </w:r>
      <w:bookmarkStart w:id="86" w:name="_Ref187651466"/>
      <w:r w:rsidRPr="00CA7E5B">
        <w:rPr>
          <w:vertAlign w:val="superscript"/>
        </w:rPr>
        <w:footnoteReference w:id="53"/>
      </w:r>
      <w:bookmarkEnd w:id="86"/>
    </w:p>
    <w:p w14:paraId="269A26DA" w14:textId="2A2A6202" w:rsidR="00AC6890" w:rsidRPr="00CA7E5B" w:rsidRDefault="00AC6890" w:rsidP="00B41ED0">
      <w:pPr>
        <w:pStyle w:val="Memo"/>
        <w:widowControl/>
      </w:pPr>
      <w:r w:rsidRPr="00CA7E5B">
        <w:t xml:space="preserve">However, this </w:t>
      </w:r>
      <w:r w:rsidR="00644811">
        <w:t>provision</w:t>
      </w:r>
      <w:r w:rsidR="00AF6874" w:rsidRPr="00CA7E5B">
        <w:t xml:space="preserve"> stipulates </w:t>
      </w:r>
      <w:r w:rsidRPr="00CA7E5B">
        <w:t xml:space="preserve">that each State Party shall take measures necessary to “establish its jurisdiction”, </w:t>
      </w:r>
      <w:r w:rsidR="005E4FA9" w:rsidRPr="00CA7E5B">
        <w:t>whereas</w:t>
      </w:r>
      <w:r w:rsidRPr="00CA7E5B">
        <w:t xml:space="preserve"> Article 9(2) ICPPED stipulates that each State Party shall take measures necessary to “establish its competence to exercise</w:t>
      </w:r>
      <w:r w:rsidRPr="00CA7E5B">
        <w:rPr>
          <w:i/>
        </w:rPr>
        <w:t xml:space="preserve"> </w:t>
      </w:r>
      <w:r w:rsidRPr="00CA7E5B">
        <w:t>jurisdiction”.</w:t>
      </w:r>
      <w:bookmarkStart w:id="87" w:name="_Hlk186777604"/>
    </w:p>
    <w:p w14:paraId="02D13657" w14:textId="7947D722" w:rsidR="00AC6890" w:rsidRPr="00AC6890" w:rsidRDefault="00AC6890" w:rsidP="00B41ED0">
      <w:pPr>
        <w:pStyle w:val="Memo"/>
        <w:widowControl/>
      </w:pPr>
      <w:r w:rsidRPr="00CA7E5B">
        <w:t>To establish jurisdiction ordinarily means to bring jurisdiction into existence.</w:t>
      </w:r>
      <w:r w:rsidRPr="00CA7E5B">
        <w:rPr>
          <w:vertAlign w:val="superscript"/>
        </w:rPr>
        <w:footnoteReference w:id="54"/>
      </w:r>
      <w:r w:rsidRPr="00CA7E5B">
        <w:t xml:space="preserve"> In contrast, to exercise jurisdiction ordinarily means to </w:t>
      </w:r>
      <w:proofErr w:type="spellStart"/>
      <w:r w:rsidRPr="00CA7E5B">
        <w:t>utili</w:t>
      </w:r>
      <w:r w:rsidR="00962567" w:rsidRPr="00CA7E5B">
        <w:t>s</w:t>
      </w:r>
      <w:r w:rsidRPr="00CA7E5B">
        <w:t>e</w:t>
      </w:r>
      <w:proofErr w:type="spellEnd"/>
      <w:r w:rsidRPr="00CA7E5B">
        <w:t xml:space="preserve"> existing jurisdiction.</w:t>
      </w:r>
      <w:r w:rsidRPr="00CA7E5B">
        <w:rPr>
          <w:vertAlign w:val="superscript"/>
        </w:rPr>
        <w:footnoteReference w:id="55"/>
      </w:r>
      <w:r w:rsidRPr="00CA7E5B">
        <w:t xml:space="preserve"> </w:t>
      </w:r>
      <w:bookmarkEnd w:id="87"/>
      <w:r w:rsidRPr="00CA7E5B">
        <w:t xml:space="preserve">Thus, while the </w:t>
      </w:r>
      <w:r w:rsidR="00644811">
        <w:t xml:space="preserve">former </w:t>
      </w:r>
      <w:r w:rsidRPr="00CA7E5B">
        <w:rPr>
          <w:lang w:val="en-GB"/>
        </w:rPr>
        <w:t xml:space="preserve">Convention </w:t>
      </w:r>
      <w:r w:rsidRPr="00CA7E5B">
        <w:t xml:space="preserve">establishes jurisdiction, the ICPPED only draws on existing jurisdiction. This is supported by the </w:t>
      </w:r>
      <w:r w:rsidRPr="00CA7E5B">
        <w:rPr>
          <w:i/>
          <w:iCs/>
        </w:rPr>
        <w:t xml:space="preserve">travaux </w:t>
      </w:r>
      <w:proofErr w:type="spellStart"/>
      <w:r w:rsidRPr="00CA7E5B">
        <w:rPr>
          <w:i/>
          <w:iCs/>
        </w:rPr>
        <w:t>préparatoires</w:t>
      </w:r>
      <w:proofErr w:type="spellEnd"/>
      <w:r w:rsidRPr="00CA7E5B">
        <w:rPr>
          <w:i/>
          <w:iCs/>
        </w:rPr>
        <w:t xml:space="preserve"> </w:t>
      </w:r>
      <w:r w:rsidRPr="00CA7E5B">
        <w:t xml:space="preserve">of the ICPPED, which according to Article 32 VCLT may be used to confirm an interpretation: While in early drafts the exact wording of the </w:t>
      </w:r>
      <w:r w:rsidR="00346C93" w:rsidRPr="00CA7E5B">
        <w:t xml:space="preserve">Convention </w:t>
      </w:r>
      <w:r w:rsidR="00644811" w:rsidRPr="00CA7E5B">
        <w:rPr>
          <w:lang w:val="en-GB"/>
        </w:rPr>
        <w:t xml:space="preserve">against Torture </w:t>
      </w:r>
      <w:r w:rsidR="00644811">
        <w:rPr>
          <w:lang w:val="en-GB"/>
        </w:rPr>
        <w:t xml:space="preserve">and Other Cruel, Inhuman or Degrading Treatment or Punishment </w:t>
      </w:r>
      <w:r w:rsidRPr="00CA7E5B">
        <w:t>was to be copied,</w:t>
      </w:r>
      <w:r w:rsidRPr="00CA7E5B">
        <w:rPr>
          <w:vertAlign w:val="superscript"/>
        </w:rPr>
        <w:footnoteReference w:id="56"/>
      </w:r>
      <w:bookmarkStart w:id="89" w:name="_Hlk185141242"/>
      <w:r w:rsidRPr="00CA7E5B">
        <w:t xml:space="preserve"> it did not appear in the ICPPED.</w:t>
      </w:r>
    </w:p>
    <w:p w14:paraId="2F1E6379" w14:textId="77777777" w:rsidR="00AC6890" w:rsidRPr="00AC6890" w:rsidRDefault="00AC6890" w:rsidP="00B41ED0">
      <w:pPr>
        <w:pStyle w:val="Memo"/>
        <w:widowControl/>
        <w:rPr>
          <w:lang w:val="en-GB"/>
        </w:rPr>
      </w:pPr>
      <w:r w:rsidRPr="00AC6890">
        <w:rPr>
          <w:lang w:val="en-GB"/>
        </w:rPr>
        <w:t>Therefore, the ICPPED does not provide universal jurisdiction.</w:t>
      </w:r>
      <w:bookmarkEnd w:id="61"/>
      <w:bookmarkEnd w:id="85"/>
      <w:bookmarkEnd w:id="89"/>
    </w:p>
    <w:p w14:paraId="3BDAF7D2" w14:textId="214FD93D" w:rsidR="00AC6890" w:rsidRPr="00AC6890" w:rsidRDefault="00AC6890" w:rsidP="00B41ED0">
      <w:pPr>
        <w:pStyle w:val="berschrift4"/>
      </w:pPr>
      <w:bookmarkStart w:id="90" w:name="_Toc187498237"/>
      <w:bookmarkStart w:id="91" w:name="_Toc187681655"/>
      <w:bookmarkStart w:id="92" w:name="_Toc187692157"/>
      <w:r w:rsidRPr="00AC6890">
        <w:lastRenderedPageBreak/>
        <w:t xml:space="preserve">Even if </w:t>
      </w:r>
      <w:proofErr w:type="spellStart"/>
      <w:r w:rsidRPr="00AC6890">
        <w:t>Rovinia</w:t>
      </w:r>
      <w:proofErr w:type="spellEnd"/>
      <w:r w:rsidRPr="00AC6890">
        <w:t xml:space="preserve"> had universal jurisdiction over Minister Cross, it </w:t>
      </w:r>
      <w:r w:rsidR="000A7A01">
        <w:t>would be</w:t>
      </w:r>
      <w:r w:rsidRPr="00AC6890">
        <w:t xml:space="preserve"> subsidiary to Ambrosia’s jurisdiction.</w:t>
      </w:r>
      <w:bookmarkEnd w:id="90"/>
      <w:bookmarkEnd w:id="91"/>
      <w:bookmarkEnd w:id="92"/>
    </w:p>
    <w:p w14:paraId="5A61FC1E" w14:textId="12E2F5AF" w:rsidR="00AC6890" w:rsidRPr="00AC6890" w:rsidRDefault="00AC6890" w:rsidP="00B41ED0">
      <w:pPr>
        <w:pStyle w:val="Memo"/>
        <w:keepNext/>
        <w:widowControl/>
      </w:pPr>
      <w:r w:rsidRPr="00AC6890">
        <w:rPr>
          <w:lang w:val="en-GB"/>
        </w:rPr>
        <w:t>Under</w:t>
      </w:r>
      <w:r w:rsidRPr="00AC6890">
        <w:t xml:space="preserve"> customary international law, as evidenced by State </w:t>
      </w:r>
      <w:r w:rsidR="00346C93">
        <w:t>p</w:t>
      </w:r>
      <w:r w:rsidRPr="00AC6890">
        <w:t>ractice</w:t>
      </w:r>
      <w:r w:rsidRPr="00AC6890">
        <w:rPr>
          <w:vertAlign w:val="superscript"/>
        </w:rPr>
        <w:footnoteReference w:id="57"/>
      </w:r>
      <w:r w:rsidRPr="00AC6890">
        <w:t xml:space="preserve"> and </w:t>
      </w:r>
      <w:proofErr w:type="spellStart"/>
      <w:r w:rsidRPr="00AC6890">
        <w:rPr>
          <w:i/>
        </w:rPr>
        <w:t>opinio</w:t>
      </w:r>
      <w:proofErr w:type="spellEnd"/>
      <w:r w:rsidRPr="00AC6890">
        <w:rPr>
          <w:i/>
        </w:rPr>
        <w:t xml:space="preserve"> juris</w:t>
      </w:r>
      <w:r w:rsidRPr="00AC6890">
        <w:t>,</w:t>
      </w:r>
      <w:r w:rsidRPr="00AC6890">
        <w:rPr>
          <w:vertAlign w:val="superscript"/>
        </w:rPr>
        <w:footnoteReference w:id="58"/>
      </w:r>
      <w:r w:rsidRPr="00AC6890">
        <w:t xml:space="preserve"> universal jurisdiction </w:t>
      </w:r>
      <w:r w:rsidR="00346C93">
        <w:t>may</w:t>
      </w:r>
      <w:r w:rsidR="002C37BB">
        <w:t xml:space="preserve"> only</w:t>
      </w:r>
      <w:r w:rsidRPr="00AC6890">
        <w:t xml:space="preserve"> be exercised if no State is willing or able to exercise jurisdiction on the basis of the nationality or territoriality principle.</w:t>
      </w:r>
      <w:r w:rsidRPr="00AC6890">
        <w:rPr>
          <w:vertAlign w:val="superscript"/>
        </w:rPr>
        <w:footnoteReference w:id="59"/>
      </w:r>
      <w:bookmarkStart w:id="94" w:name="_Hlk185142059"/>
      <w:r w:rsidRPr="00AC6890">
        <w:t xml:space="preserve"> An investigation of Minister Cross is ongoing in Ambrosia.</w:t>
      </w:r>
      <w:r w:rsidRPr="00AC6890">
        <w:rPr>
          <w:vertAlign w:val="superscript"/>
        </w:rPr>
        <w:footnoteReference w:id="60"/>
      </w:r>
      <w:r w:rsidRPr="00AC6890">
        <w:t xml:space="preserve"> Her extradition was requested from </w:t>
      </w:r>
      <w:proofErr w:type="spellStart"/>
      <w:r w:rsidRPr="00AC6890">
        <w:t>Rovinia</w:t>
      </w:r>
      <w:proofErr w:type="spellEnd"/>
      <w:r w:rsidRPr="00AC6890">
        <w:t xml:space="preserve"> because of the ongoing investigation.</w:t>
      </w:r>
      <w:r w:rsidRPr="00AC6890">
        <w:rPr>
          <w:vertAlign w:val="superscript"/>
        </w:rPr>
        <w:footnoteReference w:id="61"/>
      </w:r>
      <w:r w:rsidRPr="00AC6890">
        <w:t xml:space="preserve"> It was reopened immediately after new evidence was published by HRI, considerably before the </w:t>
      </w:r>
      <w:proofErr w:type="spellStart"/>
      <w:r w:rsidRPr="00AC6890">
        <w:t>Rovinian</w:t>
      </w:r>
      <w:proofErr w:type="spellEnd"/>
      <w:r w:rsidRPr="00AC6890">
        <w:t xml:space="preserve"> arrest warrant was issued.</w:t>
      </w:r>
      <w:r w:rsidRPr="00AC6890">
        <w:rPr>
          <w:vertAlign w:val="superscript"/>
        </w:rPr>
        <w:footnoteReference w:id="62"/>
      </w:r>
      <w:r w:rsidRPr="00AC6890">
        <w:t xml:space="preserve"> </w:t>
      </w:r>
      <w:bookmarkEnd w:id="94"/>
    </w:p>
    <w:p w14:paraId="7C11FA04" w14:textId="12A37A0B" w:rsidR="00AC6890" w:rsidRPr="00AC6890" w:rsidRDefault="00AC6890" w:rsidP="00B41ED0">
      <w:pPr>
        <w:pStyle w:val="Memo"/>
        <w:widowControl/>
      </w:pPr>
      <w:r w:rsidRPr="00AC6890">
        <w:t xml:space="preserve">Thus, </w:t>
      </w:r>
      <w:r w:rsidR="002C37BB">
        <w:t xml:space="preserve">even if </w:t>
      </w:r>
      <w:proofErr w:type="spellStart"/>
      <w:r w:rsidRPr="00AC6890">
        <w:t>Rovinia</w:t>
      </w:r>
      <w:proofErr w:type="spellEnd"/>
      <w:r w:rsidR="002C37BB">
        <w:t xml:space="preserve"> had</w:t>
      </w:r>
      <w:r w:rsidRPr="00AC6890">
        <w:t xml:space="preserve"> universal jurisdiction</w:t>
      </w:r>
      <w:r w:rsidR="002C37BB">
        <w:t xml:space="preserve"> over Minister Cross,</w:t>
      </w:r>
      <w:r w:rsidRPr="00AC6890">
        <w:t xml:space="preserve"> i</w:t>
      </w:r>
      <w:r w:rsidR="000A7A01">
        <w:t>t would be</w:t>
      </w:r>
      <w:r w:rsidRPr="00AC6890">
        <w:t xml:space="preserve"> subsidiary to Ambrosia</w:t>
      </w:r>
      <w:r w:rsidR="00346C93">
        <w:t>’s</w:t>
      </w:r>
      <w:r w:rsidRPr="00AC6890">
        <w:t xml:space="preserve"> jurisdiction.</w:t>
      </w:r>
    </w:p>
    <w:p w14:paraId="58B1539A" w14:textId="77777777" w:rsidR="00AC6890" w:rsidRPr="00AC6890" w:rsidRDefault="00AC6890" w:rsidP="00B41ED0">
      <w:pPr>
        <w:pStyle w:val="berschrift2"/>
        <w:keepNext w:val="0"/>
        <w:widowControl/>
      </w:pPr>
      <w:bookmarkStart w:id="95" w:name="_Toc187498238"/>
      <w:bookmarkStart w:id="96" w:name="_Toc187681656"/>
      <w:bookmarkStart w:id="97" w:name="_Toc187692158"/>
      <w:r w:rsidRPr="00AC6890">
        <w:t xml:space="preserve">Further, </w:t>
      </w:r>
      <w:proofErr w:type="spellStart"/>
      <w:r w:rsidRPr="00AC6890">
        <w:t>Rovinia</w:t>
      </w:r>
      <w:proofErr w:type="spellEnd"/>
      <w:r w:rsidRPr="00AC6890">
        <w:t xml:space="preserve"> violated the international legal rules on immunity.</w:t>
      </w:r>
      <w:bookmarkEnd w:id="95"/>
      <w:bookmarkEnd w:id="96"/>
      <w:bookmarkEnd w:id="97"/>
    </w:p>
    <w:p w14:paraId="25E1275E" w14:textId="77777777" w:rsidR="00AC6890" w:rsidRPr="00AC6890" w:rsidRDefault="00AC6890" w:rsidP="00B41ED0">
      <w:pPr>
        <w:pStyle w:val="Memo"/>
        <w:widowControl/>
      </w:pPr>
      <w:r w:rsidRPr="00AC6890">
        <w:t>Minister Cross is entitled to functional immunity as she acted in official capacity (</w:t>
      </w:r>
      <w:r w:rsidRPr="00AC6890">
        <w:rPr>
          <w:b/>
        </w:rPr>
        <w:t>1.</w:t>
      </w:r>
      <w:r w:rsidRPr="00AC6890">
        <w:t>). Further, there are no applicable limitations or exceptions to functional immunity (</w:t>
      </w:r>
      <w:r w:rsidRPr="00AC6890">
        <w:rPr>
          <w:b/>
        </w:rPr>
        <w:t>2.</w:t>
      </w:r>
      <w:r w:rsidRPr="00AC6890">
        <w:t>).</w:t>
      </w:r>
    </w:p>
    <w:p w14:paraId="49B0149E" w14:textId="77777777" w:rsidR="00AC6890" w:rsidRPr="00AC6890" w:rsidRDefault="00AC6890" w:rsidP="00B41ED0">
      <w:pPr>
        <w:pStyle w:val="berschrift3a"/>
        <w:keepNext w:val="0"/>
        <w:numPr>
          <w:ilvl w:val="0"/>
          <w:numId w:val="43"/>
        </w:numPr>
      </w:pPr>
      <w:bookmarkStart w:id="98" w:name="_Toc187681657"/>
      <w:bookmarkStart w:id="99" w:name="_Toc187692159"/>
      <w:r w:rsidRPr="00AC6890">
        <w:t>Minister Cross is entitled to functional immunity as she acted in official capacity.</w:t>
      </w:r>
      <w:bookmarkEnd w:id="98"/>
      <w:bookmarkEnd w:id="99"/>
    </w:p>
    <w:p w14:paraId="0313D894" w14:textId="77777777" w:rsidR="00AC6890" w:rsidRPr="00AC6890" w:rsidRDefault="00AC6890" w:rsidP="00B41ED0">
      <w:pPr>
        <w:pStyle w:val="Memo"/>
        <w:widowControl/>
      </w:pPr>
      <w:r w:rsidRPr="00AC6890">
        <w:t xml:space="preserve">In </w:t>
      </w:r>
      <w:r w:rsidRPr="00AC6890">
        <w:rPr>
          <w:i/>
          <w:iCs/>
        </w:rPr>
        <w:t>Arrest Warrant</w:t>
      </w:r>
      <w:r w:rsidRPr="00AC6890">
        <w:t>, this Court affirmed that State officials acting in official capacity enjoy immunity from foreign criminal jurisdiction, even beyond their time in office.</w:t>
      </w:r>
      <w:r w:rsidRPr="00AC6890">
        <w:rPr>
          <w:vertAlign w:val="superscript"/>
        </w:rPr>
        <w:footnoteReference w:id="63"/>
      </w:r>
      <w:r w:rsidRPr="00AC6890">
        <w:t xml:space="preserve"> This functional immunity is not granted for the official’s personal benefit, but rather ensures the effective functioning of the State by preventing </w:t>
      </w:r>
      <w:r w:rsidRPr="00AC6890">
        <w:rPr>
          <w:i/>
        </w:rPr>
        <w:t>inter alia</w:t>
      </w:r>
      <w:r w:rsidRPr="00AC6890">
        <w:t xml:space="preserve"> arbitrary arrests.</w:t>
      </w:r>
      <w:r w:rsidRPr="00AC6890">
        <w:rPr>
          <w:vertAlign w:val="superscript"/>
        </w:rPr>
        <w:footnoteReference w:id="64"/>
      </w:r>
      <w:r w:rsidRPr="00AC6890">
        <w:t xml:space="preserve"> Under customary </w:t>
      </w:r>
      <w:r w:rsidRPr="00AC6890">
        <w:lastRenderedPageBreak/>
        <w:t>international law, acts performed in official capacity include any act performed by a State official in the exercise of State authority.</w:t>
      </w:r>
      <w:bookmarkStart w:id="100" w:name="_Ref187652227"/>
      <w:r w:rsidRPr="00AC6890">
        <w:rPr>
          <w:vertAlign w:val="superscript"/>
        </w:rPr>
        <w:footnoteReference w:id="65"/>
      </w:r>
      <w:bookmarkEnd w:id="100"/>
      <w:r w:rsidRPr="00AC6890">
        <w:t xml:space="preserve"> Such acts are performed in official capacity even if they are contrary to national</w:t>
      </w:r>
      <w:r w:rsidRPr="00AC6890">
        <w:rPr>
          <w:vertAlign w:val="superscript"/>
        </w:rPr>
        <w:footnoteReference w:id="66"/>
      </w:r>
      <w:r w:rsidRPr="00AC6890">
        <w:t xml:space="preserve"> or international</w:t>
      </w:r>
      <w:bookmarkStart w:id="101" w:name="_Ref187652378"/>
      <w:r w:rsidRPr="00AC6890">
        <w:rPr>
          <w:vertAlign w:val="superscript"/>
        </w:rPr>
        <w:footnoteReference w:id="67"/>
      </w:r>
      <w:bookmarkEnd w:id="101"/>
      <w:r w:rsidRPr="00AC6890">
        <w:t xml:space="preserve"> law.</w:t>
      </w:r>
    </w:p>
    <w:p w14:paraId="2B685DD0" w14:textId="3723EBA5" w:rsidR="00AC6890" w:rsidRPr="00AC6890" w:rsidRDefault="00AC6890" w:rsidP="00B41ED0">
      <w:pPr>
        <w:pStyle w:val="Memo"/>
        <w:widowControl/>
      </w:pPr>
      <w:r w:rsidRPr="00AC6890">
        <w:t xml:space="preserve">Minister Cross oversaw </w:t>
      </w:r>
      <w:r w:rsidR="00346C93">
        <w:t>the ILSA</w:t>
      </w:r>
      <w:r w:rsidRPr="00AC6890">
        <w:t xml:space="preserve"> Program in her position as </w:t>
      </w:r>
      <w:r w:rsidR="00346C93">
        <w:t>M</w:t>
      </w:r>
      <w:r w:rsidRPr="00AC6890">
        <w:t>inister.</w:t>
      </w:r>
      <w:r w:rsidRPr="00AC6890">
        <w:rPr>
          <w:vertAlign w:val="superscript"/>
        </w:rPr>
        <w:footnoteReference w:id="68"/>
      </w:r>
      <w:r w:rsidRPr="00AC6890">
        <w:t xml:space="preserve"> Therefore, Minister Cross is entitled to functional immunity as she acted in official capacity</w:t>
      </w:r>
      <w:r w:rsidRPr="00AC6890">
        <w:rPr>
          <w:lang w:val="en-GB"/>
        </w:rPr>
        <w:t>.</w:t>
      </w:r>
    </w:p>
    <w:p w14:paraId="5DE3C94F" w14:textId="77777777" w:rsidR="00AC6890" w:rsidRPr="00AC6890" w:rsidRDefault="00AC6890" w:rsidP="00B41ED0">
      <w:pPr>
        <w:pStyle w:val="berschrift3a"/>
        <w:keepNext w:val="0"/>
      </w:pPr>
      <w:bookmarkStart w:id="102" w:name="_Toc187498240"/>
      <w:bookmarkStart w:id="103" w:name="_Toc187681658"/>
      <w:bookmarkStart w:id="104" w:name="_Toc187692160"/>
      <w:r w:rsidRPr="00AC6890">
        <w:t>There are no applicable limitations or exceptions to functional immunity.</w:t>
      </w:r>
      <w:bookmarkEnd w:id="102"/>
      <w:bookmarkEnd w:id="103"/>
      <w:bookmarkEnd w:id="104"/>
    </w:p>
    <w:p w14:paraId="06AEB6E4" w14:textId="2CBAFDD8" w:rsidR="00AC6890" w:rsidRPr="00AC6890" w:rsidRDefault="00AC6890" w:rsidP="00B41ED0">
      <w:pPr>
        <w:pStyle w:val="Memo"/>
        <w:widowControl/>
      </w:pPr>
      <w:r w:rsidRPr="00AC6890">
        <w:t>Any deviation from the established rule of functional immunity require</w:t>
      </w:r>
      <w:r w:rsidR="00346C93">
        <w:t>s</w:t>
      </w:r>
      <w:r w:rsidRPr="00AC6890">
        <w:t xml:space="preserve"> the emergence of an international law rule providing for a limitation or exception.</w:t>
      </w:r>
      <w:bookmarkStart w:id="105" w:name="_Ref187652471"/>
      <w:r w:rsidRPr="00AC6890">
        <w:rPr>
          <w:vertAlign w:val="superscript"/>
        </w:rPr>
        <w:footnoteReference w:id="69"/>
      </w:r>
      <w:bookmarkEnd w:id="105"/>
      <w:r w:rsidRPr="00AC6890">
        <w:t xml:space="preserve"> </w:t>
      </w:r>
    </w:p>
    <w:p w14:paraId="77AAFE79" w14:textId="1E5EEFD9" w:rsidR="00AC6890" w:rsidRPr="00AC6890" w:rsidRDefault="00AC6890" w:rsidP="00B41ED0">
      <w:pPr>
        <w:pStyle w:val="Memo"/>
        <w:widowControl/>
      </w:pPr>
      <w:r w:rsidRPr="00392DA1">
        <w:t xml:space="preserve">Minister Cross’ immunity is not limited by the superior nature of </w:t>
      </w:r>
      <w:r w:rsidR="00357CA5" w:rsidRPr="000A7A01">
        <w:rPr>
          <w:i/>
        </w:rPr>
        <w:t>jus cogens</w:t>
      </w:r>
      <w:r w:rsidR="00357CA5" w:rsidRPr="00392DA1">
        <w:t xml:space="preserve"> norms </w:t>
      </w:r>
      <w:r w:rsidRPr="00392DA1">
        <w:t>(</w:t>
      </w:r>
      <w:r w:rsidRPr="00346C93">
        <w:rPr>
          <w:b/>
          <w:i/>
          <w:iCs/>
        </w:rPr>
        <w:t>a</w:t>
      </w:r>
      <w:r w:rsidRPr="00346C93">
        <w:rPr>
          <w:b/>
        </w:rPr>
        <w:t>.</w:t>
      </w:r>
      <w:r w:rsidRPr="00AC6890">
        <w:t>). Further, no applicable exception to functional immunity exists in customary international law (</w:t>
      </w:r>
      <w:r w:rsidRPr="00346C93">
        <w:rPr>
          <w:b/>
          <w:i/>
          <w:iCs/>
        </w:rPr>
        <w:t>b</w:t>
      </w:r>
      <w:r w:rsidRPr="00346C93">
        <w:rPr>
          <w:b/>
        </w:rPr>
        <w:t>.</w:t>
      </w:r>
      <w:r w:rsidRPr="00AC6890">
        <w:t>) or international treaty law (</w:t>
      </w:r>
      <w:r w:rsidRPr="00346C93">
        <w:rPr>
          <w:b/>
          <w:i/>
          <w:iCs/>
        </w:rPr>
        <w:t>c</w:t>
      </w:r>
      <w:r w:rsidRPr="00346C93">
        <w:rPr>
          <w:b/>
        </w:rPr>
        <w:t>.</w:t>
      </w:r>
      <w:r w:rsidRPr="00AC6890">
        <w:t>).</w:t>
      </w:r>
    </w:p>
    <w:p w14:paraId="75F16A41" w14:textId="31AE076C" w:rsidR="00AC6890" w:rsidRPr="00AC6890" w:rsidRDefault="00AC6890" w:rsidP="00B41ED0">
      <w:pPr>
        <w:pStyle w:val="berschrift4"/>
        <w:keepNext w:val="0"/>
        <w:numPr>
          <w:ilvl w:val="0"/>
          <w:numId w:val="44"/>
        </w:numPr>
      </w:pPr>
      <w:bookmarkStart w:id="106" w:name="_Toc187681659"/>
      <w:bookmarkStart w:id="107" w:name="_Toc187692161"/>
      <w:r w:rsidRPr="00AC6890">
        <w:t xml:space="preserve">Minister Cross’ immunity is not limited by the superior nature of </w:t>
      </w:r>
      <w:r w:rsidR="00357CA5" w:rsidRPr="000A7A01">
        <w:rPr>
          <w:i w:val="0"/>
        </w:rPr>
        <w:t>jus cogens</w:t>
      </w:r>
      <w:r w:rsidR="00357CA5">
        <w:t xml:space="preserve"> norms</w:t>
      </w:r>
      <w:r w:rsidR="00346C93">
        <w:t>.</w:t>
      </w:r>
      <w:bookmarkEnd w:id="106"/>
      <w:bookmarkEnd w:id="107"/>
      <w:r w:rsidRPr="00AC6890">
        <w:t xml:space="preserve"> </w:t>
      </w:r>
    </w:p>
    <w:p w14:paraId="49863B05" w14:textId="42CB394B" w:rsidR="00AC6890" w:rsidRPr="00AC6890" w:rsidRDefault="00AC6890" w:rsidP="00B41ED0">
      <w:pPr>
        <w:pStyle w:val="Memo"/>
        <w:widowControl/>
      </w:pPr>
      <w:r w:rsidRPr="00AC6890">
        <w:t xml:space="preserve">Functional immunity is not limited by the superior nature of </w:t>
      </w:r>
      <w:r w:rsidR="00357CA5" w:rsidRPr="00357CA5">
        <w:rPr>
          <w:i/>
        </w:rPr>
        <w:t>jus cogens</w:t>
      </w:r>
      <w:r w:rsidR="00357CA5">
        <w:t xml:space="preserve"> norms </w:t>
      </w:r>
      <w:r w:rsidRPr="00AC6890">
        <w:t>(</w:t>
      </w:r>
      <w:proofErr w:type="spellStart"/>
      <w:r w:rsidRPr="00AC6890">
        <w:t>i</w:t>
      </w:r>
      <w:proofErr w:type="spellEnd"/>
      <w:r w:rsidRPr="00AC6890">
        <w:t>). Even if such a limitation existed, the prohibition of enforced disappearance is not a</w:t>
      </w:r>
      <w:r w:rsidR="00357CA5">
        <w:t xml:space="preserve"> </w:t>
      </w:r>
      <w:r w:rsidR="00357CA5" w:rsidRPr="00357CA5">
        <w:rPr>
          <w:i/>
        </w:rPr>
        <w:t>jus cogens</w:t>
      </w:r>
      <w:r w:rsidR="00357CA5">
        <w:t xml:space="preserve"> norm</w:t>
      </w:r>
      <w:r w:rsidR="002023C6">
        <w:t> </w:t>
      </w:r>
      <w:r w:rsidRPr="00AC6890">
        <w:t>(ii).</w:t>
      </w:r>
    </w:p>
    <w:p w14:paraId="3D930EF3" w14:textId="1E8D51B3" w:rsidR="00AC6890" w:rsidRPr="00AC6890" w:rsidRDefault="00AC6890" w:rsidP="00B41ED0">
      <w:pPr>
        <w:pStyle w:val="berschrift5"/>
        <w:keepNext w:val="0"/>
        <w:widowControl/>
      </w:pPr>
      <w:bookmarkStart w:id="108" w:name="_Toc187498242"/>
      <w:bookmarkStart w:id="109" w:name="_Toc187681660"/>
      <w:bookmarkStart w:id="110" w:name="_Toc187692162"/>
      <w:proofErr w:type="spellStart"/>
      <w:r w:rsidRPr="00AC6890">
        <w:t>Functional</w:t>
      </w:r>
      <w:proofErr w:type="spellEnd"/>
      <w:r w:rsidRPr="00AC6890">
        <w:t xml:space="preserve"> </w:t>
      </w:r>
      <w:proofErr w:type="spellStart"/>
      <w:r w:rsidRPr="00AC6890">
        <w:t>immunity</w:t>
      </w:r>
      <w:proofErr w:type="spellEnd"/>
      <w:r w:rsidRPr="00AC6890">
        <w:t xml:space="preserve"> </w:t>
      </w:r>
      <w:proofErr w:type="spellStart"/>
      <w:r w:rsidRPr="00AC6890">
        <w:t>is</w:t>
      </w:r>
      <w:proofErr w:type="spellEnd"/>
      <w:r w:rsidRPr="00AC6890">
        <w:t xml:space="preserve"> not limited </w:t>
      </w:r>
      <w:proofErr w:type="spellStart"/>
      <w:r w:rsidRPr="00AC6890">
        <w:t>by</w:t>
      </w:r>
      <w:proofErr w:type="spellEnd"/>
      <w:r w:rsidRPr="00AC6890">
        <w:t xml:space="preserve"> </w:t>
      </w:r>
      <w:proofErr w:type="spellStart"/>
      <w:r w:rsidRPr="00AC6890">
        <w:t>the</w:t>
      </w:r>
      <w:proofErr w:type="spellEnd"/>
      <w:r w:rsidRPr="00AC6890">
        <w:t xml:space="preserve"> superior </w:t>
      </w:r>
      <w:proofErr w:type="spellStart"/>
      <w:r w:rsidRPr="00AC6890">
        <w:t>nature</w:t>
      </w:r>
      <w:proofErr w:type="spellEnd"/>
      <w:r w:rsidRPr="00AC6890">
        <w:t xml:space="preserve"> </w:t>
      </w:r>
      <w:proofErr w:type="spellStart"/>
      <w:r w:rsidRPr="00AC6890">
        <w:t>of</w:t>
      </w:r>
      <w:proofErr w:type="spellEnd"/>
      <w:r w:rsidRPr="00AC6890">
        <w:t xml:space="preserve"> </w:t>
      </w:r>
      <w:r w:rsidR="00357CA5" w:rsidRPr="000A7A01">
        <w:rPr>
          <w:i w:val="0"/>
          <w:lang w:val="en-GB"/>
        </w:rPr>
        <w:t>jus cogens</w:t>
      </w:r>
      <w:r w:rsidR="00357CA5">
        <w:rPr>
          <w:lang w:val="en-GB"/>
        </w:rPr>
        <w:t xml:space="preserve"> norms</w:t>
      </w:r>
      <w:r w:rsidRPr="00AC6890">
        <w:t>.</w:t>
      </w:r>
      <w:bookmarkEnd w:id="108"/>
      <w:bookmarkEnd w:id="109"/>
      <w:bookmarkEnd w:id="110"/>
    </w:p>
    <w:p w14:paraId="610653AA" w14:textId="7C6435E0" w:rsidR="007878F7" w:rsidRPr="007878F7" w:rsidRDefault="00357CA5" w:rsidP="00B41ED0">
      <w:pPr>
        <w:pStyle w:val="Memo"/>
        <w:widowControl/>
        <w:rPr>
          <w:lang w:val="en-GB"/>
        </w:rPr>
      </w:pPr>
      <w:r w:rsidRPr="00357CA5">
        <w:rPr>
          <w:i/>
        </w:rPr>
        <w:t>Jus cogens</w:t>
      </w:r>
      <w:r>
        <w:t xml:space="preserve"> norms </w:t>
      </w:r>
      <w:r w:rsidR="00AC6890" w:rsidRPr="00AC6890">
        <w:t>are hierarchically superior to other rules of international law, including customary international law.</w:t>
      </w:r>
      <w:bookmarkStart w:id="111" w:name="_Ref187652600"/>
      <w:r w:rsidR="00AC6890" w:rsidRPr="00AC6890">
        <w:rPr>
          <w:vertAlign w:val="superscript"/>
        </w:rPr>
        <w:footnoteReference w:id="70"/>
      </w:r>
      <w:bookmarkEnd w:id="111"/>
      <w:r w:rsidR="00AC6890" w:rsidRPr="00AC6890">
        <w:t xml:space="preserve"> However, a rule of customary international law only ceases to exist if it conflicts with a</w:t>
      </w:r>
      <w:r>
        <w:t xml:space="preserve"> </w:t>
      </w:r>
      <w:r w:rsidRPr="00392DA1">
        <w:rPr>
          <w:i/>
        </w:rPr>
        <w:t>jus cogens</w:t>
      </w:r>
      <w:r>
        <w:t xml:space="preserve"> norm</w:t>
      </w:r>
      <w:r w:rsidR="00AC6890" w:rsidRPr="00AC6890">
        <w:t>.</w:t>
      </w:r>
      <w:r w:rsidR="00AC6890" w:rsidRPr="00AC6890">
        <w:rPr>
          <w:vertAlign w:val="superscript"/>
        </w:rPr>
        <w:footnoteReference w:id="71"/>
      </w:r>
      <w:r w:rsidR="00AC6890" w:rsidRPr="00AC6890">
        <w:t xml:space="preserve"> I</w:t>
      </w:r>
      <w:r w:rsidR="00AC6890" w:rsidRPr="00AC6890">
        <w:rPr>
          <w:lang w:val="en-GB"/>
        </w:rPr>
        <w:t xml:space="preserve">n </w:t>
      </w:r>
      <w:r w:rsidR="00AC6890" w:rsidRPr="00AC6890">
        <w:rPr>
          <w:i/>
          <w:lang w:val="en-GB"/>
        </w:rPr>
        <w:t xml:space="preserve">Jurisdictional Immunities, </w:t>
      </w:r>
      <w:r w:rsidR="00AC6890" w:rsidRPr="00AC6890">
        <w:rPr>
          <w:lang w:val="en-GB"/>
        </w:rPr>
        <w:t>this Court determined that there is no conflict between the customary rules on State immunity and</w:t>
      </w:r>
      <w:r w:rsidR="00AC6890" w:rsidRPr="00357CA5">
        <w:rPr>
          <w:i/>
          <w:lang w:val="en-GB"/>
        </w:rPr>
        <w:t xml:space="preserve"> </w:t>
      </w:r>
      <w:r w:rsidRPr="00357CA5">
        <w:rPr>
          <w:i/>
          <w:lang w:val="en-GB"/>
        </w:rPr>
        <w:t xml:space="preserve">jus </w:t>
      </w:r>
      <w:r w:rsidRPr="00357CA5">
        <w:rPr>
          <w:i/>
          <w:lang w:val="en-GB"/>
        </w:rPr>
        <w:lastRenderedPageBreak/>
        <w:t>cogens</w:t>
      </w:r>
      <w:r>
        <w:rPr>
          <w:lang w:val="en-GB"/>
        </w:rPr>
        <w:t xml:space="preserve"> </w:t>
      </w:r>
      <w:r w:rsidR="00C25D48">
        <w:rPr>
          <w:lang w:val="en-GB"/>
        </w:rPr>
        <w:t>norms</w:t>
      </w:r>
      <w:r w:rsidR="00AC6890" w:rsidRPr="00AC6890">
        <w:rPr>
          <w:lang w:val="en-GB"/>
        </w:rPr>
        <w:t xml:space="preserve"> </w:t>
      </w:r>
      <w:r w:rsidR="00D84E4F">
        <w:rPr>
          <w:lang w:val="en-GB"/>
        </w:rPr>
        <w:t>since</w:t>
      </w:r>
      <w:r w:rsidR="00AC6890" w:rsidRPr="00AC6890">
        <w:rPr>
          <w:lang w:val="en-GB"/>
        </w:rPr>
        <w:t xml:space="preserve"> the former </w:t>
      </w:r>
      <w:r w:rsidR="00346C93">
        <w:rPr>
          <w:lang w:val="en-GB"/>
        </w:rPr>
        <w:t>are</w:t>
      </w:r>
      <w:r w:rsidR="00AC6890" w:rsidRPr="00AC6890">
        <w:rPr>
          <w:lang w:val="en-GB"/>
        </w:rPr>
        <w:t xml:space="preserve"> procedural in character </w:t>
      </w:r>
      <w:r w:rsidR="00D84E4F">
        <w:rPr>
          <w:lang w:val="en-GB"/>
        </w:rPr>
        <w:t>and</w:t>
      </w:r>
      <w:r w:rsidR="00AC6890" w:rsidRPr="00AC6890">
        <w:rPr>
          <w:lang w:val="en-GB"/>
        </w:rPr>
        <w:t xml:space="preserve"> the latter are substantive.</w:t>
      </w:r>
      <w:r w:rsidR="00AC6890" w:rsidRPr="00AC6890">
        <w:rPr>
          <w:vertAlign w:val="superscript"/>
          <w:lang w:val="en-GB"/>
        </w:rPr>
        <w:footnoteReference w:id="72"/>
      </w:r>
      <w:r w:rsidR="00AC6890" w:rsidRPr="00AC6890">
        <w:rPr>
          <w:lang w:val="en-GB"/>
        </w:rPr>
        <w:t xml:space="preserve"> While </w:t>
      </w:r>
      <w:r w:rsidR="00D84E4F">
        <w:rPr>
          <w:lang w:val="en-GB"/>
        </w:rPr>
        <w:t>f</w:t>
      </w:r>
      <w:r w:rsidR="00AC6890" w:rsidRPr="00AC6890">
        <w:rPr>
          <w:lang w:val="en-GB"/>
        </w:rPr>
        <w:t xml:space="preserve">unctional immunity in criminal proceedings was not at issue in </w:t>
      </w:r>
      <w:r w:rsidR="00AC6890" w:rsidRPr="00AC6890">
        <w:rPr>
          <w:i/>
          <w:lang w:val="en-GB"/>
        </w:rPr>
        <w:t>Jurisdictional Immunities</w:t>
      </w:r>
      <w:r w:rsidR="00AC6890" w:rsidRPr="00AC6890">
        <w:rPr>
          <w:lang w:val="en-GB"/>
        </w:rPr>
        <w:t>,</w:t>
      </w:r>
      <w:r w:rsidR="00AC6890" w:rsidRPr="00AC6890">
        <w:rPr>
          <w:vertAlign w:val="superscript"/>
          <w:lang w:val="en-GB"/>
        </w:rPr>
        <w:footnoteReference w:id="73"/>
      </w:r>
      <w:r w:rsidR="00AC6890" w:rsidRPr="00AC6890">
        <w:rPr>
          <w:lang w:val="en-GB"/>
        </w:rPr>
        <w:t xml:space="preserve"> the reasoning is applicable to criminal proceedings: </w:t>
      </w:r>
      <w:r w:rsidR="00D84E4F">
        <w:rPr>
          <w:lang w:val="en-GB"/>
        </w:rPr>
        <w:t>F</w:t>
      </w:r>
      <w:r w:rsidR="00AC6890" w:rsidRPr="00AC6890">
        <w:rPr>
          <w:lang w:val="en-GB"/>
        </w:rPr>
        <w:t xml:space="preserve">unctional immunity is derived from State immunity, as State </w:t>
      </w:r>
      <w:r w:rsidR="00D84E4F">
        <w:rPr>
          <w:lang w:val="en-GB"/>
        </w:rPr>
        <w:t>o</w:t>
      </w:r>
      <w:r w:rsidR="00AC6890" w:rsidRPr="00AC6890">
        <w:rPr>
          <w:lang w:val="en-GB"/>
        </w:rPr>
        <w:t>fficials act on behalf of the State</w:t>
      </w:r>
      <w:r w:rsidR="0087300B">
        <w:rPr>
          <w:lang w:val="en-GB"/>
        </w:rPr>
        <w:t xml:space="preserve"> and are</w:t>
      </w:r>
      <w:r w:rsidR="00AC6890" w:rsidRPr="00AC6890">
        <w:rPr>
          <w:lang w:val="en-GB"/>
        </w:rPr>
        <w:t xml:space="preserve"> thus</w:t>
      </w:r>
      <w:r w:rsidR="0087300B">
        <w:rPr>
          <w:lang w:val="en-GB"/>
        </w:rPr>
        <w:t xml:space="preserve"> entitled to the same </w:t>
      </w:r>
      <w:r w:rsidR="00AC6890" w:rsidRPr="00AC6890">
        <w:rPr>
          <w:lang w:val="en-GB"/>
        </w:rPr>
        <w:t>protection.</w:t>
      </w:r>
      <w:r w:rsidR="00AC6890" w:rsidRPr="00AC6890">
        <w:rPr>
          <w:vertAlign w:val="superscript"/>
          <w:lang w:val="en-GB"/>
        </w:rPr>
        <w:footnoteReference w:id="74"/>
      </w:r>
      <w:r w:rsidR="00AC6890" w:rsidRPr="00AC6890">
        <w:rPr>
          <w:lang w:val="en-GB"/>
        </w:rPr>
        <w:t xml:space="preserve"> </w:t>
      </w:r>
      <w:r w:rsidR="00AC6890" w:rsidRPr="00C50147">
        <w:rPr>
          <w:lang w:val="en-GB"/>
        </w:rPr>
        <w:t xml:space="preserve">Further, the procedural character of immunities of State officials was specifically affirmed by this Court in </w:t>
      </w:r>
      <w:r w:rsidR="00AC6890" w:rsidRPr="00C50147">
        <w:rPr>
          <w:i/>
          <w:lang w:val="en-GB"/>
        </w:rPr>
        <w:t>Arrest Warrant</w:t>
      </w:r>
      <w:r w:rsidR="00AC6890" w:rsidRPr="00C50147">
        <w:rPr>
          <w:lang w:val="en-GB"/>
        </w:rPr>
        <w:t>.</w:t>
      </w:r>
      <w:r w:rsidR="00AC6890" w:rsidRPr="00C50147">
        <w:rPr>
          <w:vertAlign w:val="superscript"/>
          <w:lang w:val="en-GB"/>
        </w:rPr>
        <w:footnoteReference w:id="75"/>
      </w:r>
      <w:r w:rsidR="00AC6890" w:rsidRPr="00AC6890">
        <w:rPr>
          <w:lang w:val="en-GB"/>
        </w:rPr>
        <w:t xml:space="preserve"> </w:t>
      </w:r>
      <w:r w:rsidR="007878F7">
        <w:t xml:space="preserve">Moreover, this Court noted in </w:t>
      </w:r>
      <w:r w:rsidR="007878F7">
        <w:rPr>
          <w:i/>
        </w:rPr>
        <w:t xml:space="preserve">Jurisdictional Immunities </w:t>
      </w:r>
      <w:r w:rsidR="007878F7">
        <w:t xml:space="preserve">that it had taken the same approach in </w:t>
      </w:r>
      <w:r w:rsidR="007878F7">
        <w:rPr>
          <w:i/>
        </w:rPr>
        <w:t>Arrest Warrant</w:t>
      </w:r>
      <w:r w:rsidR="007878F7">
        <w:t>, although concerning personal immunity.</w:t>
      </w:r>
      <w:r w:rsidR="007878F7">
        <w:rPr>
          <w:rStyle w:val="Funotenzeichen"/>
        </w:rPr>
        <w:footnoteReference w:id="76"/>
      </w:r>
      <w:r w:rsidR="007878F7" w:rsidRPr="007878F7">
        <w:t xml:space="preserve"> </w:t>
      </w:r>
      <w:r w:rsidR="007878F7">
        <w:t xml:space="preserve">There, the accusation of criminal violations of </w:t>
      </w:r>
      <w:r w:rsidR="007878F7">
        <w:rPr>
          <w:i/>
        </w:rPr>
        <w:t xml:space="preserve">jus cogens </w:t>
      </w:r>
      <w:r w:rsidR="007878F7">
        <w:t>norms did not lead to an exception from immunity in national criminal proceedings</w:t>
      </w:r>
      <w:r w:rsidR="0087300B">
        <w:t>.</w:t>
      </w:r>
      <w:r w:rsidR="007878F7">
        <w:rPr>
          <w:rStyle w:val="Funotenzeichen"/>
        </w:rPr>
        <w:footnoteReference w:id="77"/>
      </w:r>
    </w:p>
    <w:p w14:paraId="281D1F99" w14:textId="32F58988" w:rsidR="00AC6890" w:rsidRPr="00D84E4F" w:rsidRDefault="00AC6890" w:rsidP="00B41ED0">
      <w:pPr>
        <w:pStyle w:val="Memo"/>
        <w:widowControl/>
        <w:rPr>
          <w:lang w:val="en-GB"/>
        </w:rPr>
      </w:pPr>
      <w:r w:rsidRPr="00AC6890">
        <w:rPr>
          <w:lang w:val="en-GB"/>
        </w:rPr>
        <w:t xml:space="preserve">Thus, the </w:t>
      </w:r>
      <w:r w:rsidR="00357CA5" w:rsidRPr="000A7A01">
        <w:rPr>
          <w:i/>
          <w:lang w:val="en-GB"/>
        </w:rPr>
        <w:t>jus cogens</w:t>
      </w:r>
      <w:r w:rsidR="00357CA5">
        <w:rPr>
          <w:lang w:val="en-GB"/>
        </w:rPr>
        <w:t xml:space="preserve"> status</w:t>
      </w:r>
      <w:r w:rsidRPr="00AC6890">
        <w:rPr>
          <w:lang w:val="en-GB"/>
        </w:rPr>
        <w:t xml:space="preserve"> of a norm has no effect on </w:t>
      </w:r>
      <w:r w:rsidR="00D84E4F">
        <w:rPr>
          <w:lang w:val="en-GB"/>
        </w:rPr>
        <w:t>f</w:t>
      </w:r>
      <w:r w:rsidRPr="00AC6890">
        <w:rPr>
          <w:lang w:val="en-GB"/>
        </w:rPr>
        <w:t>unctional immunity, as confirmed by numerous rulings of national courts.</w:t>
      </w:r>
      <w:bookmarkStart w:id="112" w:name="_Ref187652762"/>
      <w:r w:rsidRPr="00AC6890">
        <w:rPr>
          <w:vertAlign w:val="superscript"/>
        </w:rPr>
        <w:footnoteReference w:id="78"/>
      </w:r>
      <w:bookmarkEnd w:id="112"/>
    </w:p>
    <w:p w14:paraId="0051F7EB" w14:textId="3CD149C9" w:rsidR="00AC6890" w:rsidRPr="00AC6890" w:rsidRDefault="00AC6890" w:rsidP="00B41ED0">
      <w:pPr>
        <w:pStyle w:val="Memo"/>
        <w:widowControl/>
        <w:rPr>
          <w:lang w:val="en-GB"/>
        </w:rPr>
      </w:pPr>
      <w:r w:rsidRPr="00AC6890">
        <w:t xml:space="preserve">Therefore, functional immunity is not limited by the superior nature of </w:t>
      </w:r>
      <w:r w:rsidR="00C25D48" w:rsidRPr="000A7A01">
        <w:rPr>
          <w:i/>
        </w:rPr>
        <w:t>jus cogens</w:t>
      </w:r>
      <w:r w:rsidR="00C25D48">
        <w:t xml:space="preserve"> norms</w:t>
      </w:r>
      <w:r w:rsidRPr="00AC6890">
        <w:t>.</w:t>
      </w:r>
    </w:p>
    <w:p w14:paraId="63A0A2D9" w14:textId="760D6213" w:rsidR="00AC6890" w:rsidRPr="00AC6890" w:rsidRDefault="00AC6890" w:rsidP="00B41ED0">
      <w:pPr>
        <w:pStyle w:val="berschrift5"/>
        <w:keepNext w:val="0"/>
        <w:widowControl/>
      </w:pPr>
      <w:bookmarkStart w:id="113" w:name="_Toc187498243"/>
      <w:bookmarkStart w:id="114" w:name="_Toc187681661"/>
      <w:bookmarkStart w:id="115" w:name="_Toc187692163"/>
      <w:r w:rsidRPr="00AC6890">
        <w:t xml:space="preserve">In </w:t>
      </w:r>
      <w:proofErr w:type="spellStart"/>
      <w:r w:rsidRPr="00AC6890">
        <w:t>any</w:t>
      </w:r>
      <w:proofErr w:type="spellEnd"/>
      <w:r w:rsidRPr="00AC6890">
        <w:t xml:space="preserve"> </w:t>
      </w:r>
      <w:proofErr w:type="spellStart"/>
      <w:r w:rsidRPr="00AC6890">
        <w:t>case</w:t>
      </w:r>
      <w:proofErr w:type="spellEnd"/>
      <w:r w:rsidRPr="00AC6890">
        <w:t xml:space="preserve">, </w:t>
      </w:r>
      <w:proofErr w:type="spellStart"/>
      <w:r w:rsidRPr="00AC6890">
        <w:t>the</w:t>
      </w:r>
      <w:proofErr w:type="spellEnd"/>
      <w:r w:rsidRPr="00AC6890">
        <w:t xml:space="preserve"> </w:t>
      </w:r>
      <w:proofErr w:type="spellStart"/>
      <w:r w:rsidRPr="00AC6890">
        <w:t>prohibition</w:t>
      </w:r>
      <w:proofErr w:type="spellEnd"/>
      <w:r w:rsidRPr="00AC6890">
        <w:t xml:space="preserve"> </w:t>
      </w:r>
      <w:proofErr w:type="spellStart"/>
      <w:r w:rsidRPr="00AC6890">
        <w:t>of</w:t>
      </w:r>
      <w:proofErr w:type="spellEnd"/>
      <w:r w:rsidRPr="00AC6890">
        <w:t xml:space="preserve"> </w:t>
      </w:r>
      <w:proofErr w:type="spellStart"/>
      <w:r w:rsidRPr="00AC6890">
        <w:t>enforced</w:t>
      </w:r>
      <w:proofErr w:type="spellEnd"/>
      <w:r w:rsidRPr="00AC6890">
        <w:t xml:space="preserve"> </w:t>
      </w:r>
      <w:proofErr w:type="spellStart"/>
      <w:r w:rsidRPr="00AC6890">
        <w:t>disappearance</w:t>
      </w:r>
      <w:proofErr w:type="spellEnd"/>
      <w:r w:rsidRPr="00AC6890">
        <w:t xml:space="preserve"> </w:t>
      </w:r>
      <w:proofErr w:type="spellStart"/>
      <w:r w:rsidRPr="00AC6890">
        <w:t>is</w:t>
      </w:r>
      <w:proofErr w:type="spellEnd"/>
      <w:r w:rsidRPr="00AC6890">
        <w:t xml:space="preserve"> not a</w:t>
      </w:r>
      <w:r w:rsidR="00C25D48" w:rsidRPr="00C25D48">
        <w:rPr>
          <w:lang w:val="en-GB"/>
        </w:rPr>
        <w:t xml:space="preserve"> </w:t>
      </w:r>
      <w:r w:rsidR="00C25D48" w:rsidRPr="000A7A01">
        <w:rPr>
          <w:i w:val="0"/>
          <w:lang w:val="en-GB"/>
        </w:rPr>
        <w:t>jus cogens</w:t>
      </w:r>
      <w:r w:rsidR="00C25D48">
        <w:rPr>
          <w:lang w:val="en-GB"/>
        </w:rPr>
        <w:t xml:space="preserve"> norm.</w:t>
      </w:r>
      <w:bookmarkEnd w:id="113"/>
      <w:bookmarkEnd w:id="114"/>
      <w:bookmarkEnd w:id="115"/>
    </w:p>
    <w:p w14:paraId="24944CAE" w14:textId="6713E5B5" w:rsidR="00AC6890" w:rsidRPr="00AC6890" w:rsidRDefault="00AC6890" w:rsidP="00B41ED0">
      <w:pPr>
        <w:pStyle w:val="Memo"/>
        <w:widowControl/>
      </w:pPr>
      <w:r w:rsidRPr="00AC6890">
        <w:t xml:space="preserve">To </w:t>
      </w:r>
      <w:r w:rsidR="000A7A01">
        <w:t>attain</w:t>
      </w:r>
      <w:r w:rsidR="00C25D48">
        <w:t xml:space="preserve"> </w:t>
      </w:r>
      <w:r w:rsidR="00C25D48" w:rsidRPr="00C25D48">
        <w:rPr>
          <w:i/>
        </w:rPr>
        <w:t>jus cogens</w:t>
      </w:r>
      <w:r w:rsidR="00C25D48">
        <w:t xml:space="preserve"> </w:t>
      </w:r>
      <w:r w:rsidR="000A7A01">
        <w:t>status</w:t>
      </w:r>
      <w:r w:rsidRPr="00AC6890">
        <w:t xml:space="preserve">, a norm must be </w:t>
      </w:r>
      <w:proofErr w:type="spellStart"/>
      <w:r w:rsidRPr="00AC6890">
        <w:t>recognised</w:t>
      </w:r>
      <w:proofErr w:type="spellEnd"/>
      <w:r w:rsidRPr="00AC6890">
        <w:t xml:space="preserve"> by the international community as a whole as a norm from which no derogation is permitted.</w:t>
      </w:r>
      <w:r w:rsidRPr="00AC6890">
        <w:rPr>
          <w:vertAlign w:val="superscript"/>
        </w:rPr>
        <w:footnoteReference w:id="79"/>
      </w:r>
      <w:bookmarkStart w:id="116" w:name="_Hlk183715116"/>
      <w:r w:rsidRPr="00AC6890">
        <w:t xml:space="preserve"> </w:t>
      </w:r>
      <w:bookmarkEnd w:id="116"/>
      <w:r w:rsidRPr="00AC6890">
        <w:t xml:space="preserve">This Court deemed such recognition to be indicated by widespread international practice and </w:t>
      </w:r>
      <w:proofErr w:type="spellStart"/>
      <w:r w:rsidRPr="00AC6890">
        <w:rPr>
          <w:i/>
          <w:iCs/>
        </w:rPr>
        <w:t>opinio</w:t>
      </w:r>
      <w:proofErr w:type="spellEnd"/>
      <w:r w:rsidRPr="00AC6890">
        <w:rPr>
          <w:i/>
          <w:iCs/>
        </w:rPr>
        <w:t xml:space="preserve"> juris</w:t>
      </w:r>
      <w:r w:rsidRPr="00AC6890">
        <w:t xml:space="preserve"> and the appearance of the norm in numerous international instruments.</w:t>
      </w:r>
      <w:r w:rsidRPr="00AC6890">
        <w:rPr>
          <w:vertAlign w:val="superscript"/>
        </w:rPr>
        <w:footnoteReference w:id="80"/>
      </w:r>
      <w:r w:rsidRPr="00AC6890">
        <w:t xml:space="preserve"> Only norms which reflect and protect the fundamental values of the international community </w:t>
      </w:r>
      <w:r w:rsidR="00C33996">
        <w:t>may attain</w:t>
      </w:r>
      <w:r w:rsidRPr="00AC6890">
        <w:t xml:space="preserve"> </w:t>
      </w:r>
      <w:r w:rsidR="00C25D48" w:rsidRPr="000A7A01">
        <w:rPr>
          <w:i/>
        </w:rPr>
        <w:t>jus cogens</w:t>
      </w:r>
      <w:r w:rsidR="00C25D48">
        <w:t xml:space="preserve"> status</w:t>
      </w:r>
      <w:r w:rsidRPr="00AC6890">
        <w:t>.</w:t>
      </w:r>
      <w:r w:rsidRPr="00AC6890">
        <w:rPr>
          <w:vertAlign w:val="superscript"/>
        </w:rPr>
        <w:footnoteReference w:id="81"/>
      </w:r>
    </w:p>
    <w:p w14:paraId="684E7C03" w14:textId="60A06A92" w:rsidR="00AC6890" w:rsidRPr="00AC6890" w:rsidRDefault="00AC6890" w:rsidP="00B41ED0">
      <w:pPr>
        <w:pStyle w:val="Memo"/>
        <w:widowControl/>
      </w:pPr>
      <w:r w:rsidRPr="00AC6890">
        <w:lastRenderedPageBreak/>
        <w:t>The ICPPED only has 75 State Parties.</w:t>
      </w:r>
      <w:r w:rsidRPr="00AC6890">
        <w:rPr>
          <w:vertAlign w:val="superscript"/>
        </w:rPr>
        <w:footnoteReference w:id="82"/>
      </w:r>
      <w:r w:rsidRPr="00AC6890">
        <w:t xml:space="preserve"> Similarly, the </w:t>
      </w:r>
      <w:r w:rsidR="00D84E4F">
        <w:t>International Law Commission (‘</w:t>
      </w:r>
      <w:r w:rsidRPr="00D84E4F">
        <w:rPr>
          <w:b/>
        </w:rPr>
        <w:t>ILC</w:t>
      </w:r>
      <w:r w:rsidR="00D84E4F">
        <w:t>’)</w:t>
      </w:r>
      <w:r w:rsidRPr="00AC6890">
        <w:t xml:space="preserve"> did not include enforced disappearance in its list of </w:t>
      </w:r>
      <w:r w:rsidR="00C25D48" w:rsidRPr="000A7A01">
        <w:rPr>
          <w:i/>
        </w:rPr>
        <w:t>jus cogens</w:t>
      </w:r>
      <w:r w:rsidRPr="00AC6890">
        <w:t xml:space="preserve"> norms.</w:t>
      </w:r>
      <w:r w:rsidRPr="00AC6890">
        <w:rPr>
          <w:vertAlign w:val="superscript"/>
        </w:rPr>
        <w:footnoteReference w:id="83"/>
      </w:r>
    </w:p>
    <w:p w14:paraId="25F85FE6" w14:textId="5A97287F" w:rsidR="00AC6890" w:rsidRPr="00AC6890" w:rsidRDefault="00AC6890" w:rsidP="00B41ED0">
      <w:pPr>
        <w:pStyle w:val="Memo"/>
        <w:widowControl/>
        <w:rPr>
          <w:lang w:val="en-GB"/>
        </w:rPr>
      </w:pPr>
      <w:r w:rsidRPr="00AC6890">
        <w:t xml:space="preserve">Therefore, the prohibition of </w:t>
      </w:r>
      <w:r w:rsidRPr="00AC6890">
        <w:rPr>
          <w:lang w:val="en-GB"/>
        </w:rPr>
        <w:t xml:space="preserve">enforced disappearance is not a </w:t>
      </w:r>
      <w:r w:rsidR="00C25D48" w:rsidRPr="000A7A01">
        <w:rPr>
          <w:i/>
          <w:lang w:val="en-GB"/>
        </w:rPr>
        <w:t>jus cogens</w:t>
      </w:r>
      <w:r w:rsidR="00C25D48">
        <w:rPr>
          <w:lang w:val="en-GB"/>
        </w:rPr>
        <w:t xml:space="preserve"> norm.</w:t>
      </w:r>
    </w:p>
    <w:p w14:paraId="4483C81B" w14:textId="77777777" w:rsidR="00AC6890" w:rsidRPr="00AC6890" w:rsidRDefault="00AC6890" w:rsidP="00B41ED0">
      <w:pPr>
        <w:pStyle w:val="berschrift4"/>
        <w:keepNext w:val="0"/>
      </w:pPr>
      <w:bookmarkStart w:id="117" w:name="_Toc187498244"/>
      <w:bookmarkStart w:id="118" w:name="_Toc187681662"/>
      <w:bookmarkStart w:id="119" w:name="_Toc187692164"/>
      <w:r w:rsidRPr="00AC6890">
        <w:t>No applicable exception to functional immunity exists in customary international law.</w:t>
      </w:r>
      <w:bookmarkEnd w:id="117"/>
      <w:bookmarkEnd w:id="118"/>
      <w:bookmarkEnd w:id="119"/>
      <w:r w:rsidRPr="00AC6890">
        <w:t xml:space="preserve"> </w:t>
      </w:r>
    </w:p>
    <w:p w14:paraId="0EA08D93" w14:textId="0E9A0319" w:rsidR="00AC6890" w:rsidRPr="00AC6890" w:rsidRDefault="00AC6890" w:rsidP="00B41ED0">
      <w:pPr>
        <w:pStyle w:val="Memo"/>
        <w:widowControl/>
        <w:rPr>
          <w:lang w:val="en-GB"/>
        </w:rPr>
      </w:pPr>
      <w:r w:rsidRPr="00AC6890">
        <w:rPr>
          <w:lang w:val="en-GB"/>
        </w:rPr>
        <w:t>In Article 7</w:t>
      </w:r>
      <w:r w:rsidR="009F43B2">
        <w:rPr>
          <w:lang w:val="en-GB"/>
        </w:rPr>
        <w:t>(1)</w:t>
      </w:r>
      <w:r w:rsidRPr="00AC6890">
        <w:rPr>
          <w:lang w:val="en-GB"/>
        </w:rPr>
        <w:t xml:space="preserve"> of its </w:t>
      </w:r>
      <w:r w:rsidR="00B6138E">
        <w:rPr>
          <w:lang w:val="en-GB"/>
        </w:rPr>
        <w:t>D</w:t>
      </w:r>
      <w:r w:rsidRPr="00AC6890">
        <w:rPr>
          <w:lang w:val="en-GB"/>
        </w:rPr>
        <w:t xml:space="preserve">raft </w:t>
      </w:r>
      <w:r w:rsidR="009F43B2">
        <w:rPr>
          <w:lang w:val="en-GB"/>
        </w:rPr>
        <w:t>A</w:t>
      </w:r>
      <w:r w:rsidRPr="00AC6890">
        <w:rPr>
          <w:lang w:val="en-GB"/>
        </w:rPr>
        <w:t xml:space="preserve">rticles on the </w:t>
      </w:r>
      <w:r w:rsidRPr="00AC6890">
        <w:t>immunity of State officials from foreign criminal jurisdiction,</w:t>
      </w:r>
      <w:r w:rsidRPr="00AC6890">
        <w:rPr>
          <w:lang w:val="en-GB"/>
        </w:rPr>
        <w:t xml:space="preserve"> the ILC proposed that exceptions to functional immunity might exist under customary international law when a crime against humanity</w:t>
      </w:r>
      <w:r w:rsidRPr="00AC6890">
        <w:rPr>
          <w:vertAlign w:val="superscript"/>
          <w:lang w:val="en-GB"/>
        </w:rPr>
        <w:footnoteReference w:id="84"/>
      </w:r>
      <w:r w:rsidRPr="00AC6890">
        <w:rPr>
          <w:lang w:val="en-GB"/>
        </w:rPr>
        <w:t xml:space="preserve"> or enforced disappearance</w:t>
      </w:r>
      <w:r w:rsidRPr="00AC6890">
        <w:rPr>
          <w:vertAlign w:val="superscript"/>
          <w:lang w:val="en-GB"/>
        </w:rPr>
        <w:footnoteReference w:id="85"/>
      </w:r>
      <w:r w:rsidRPr="00AC6890">
        <w:rPr>
          <w:lang w:val="en-GB"/>
        </w:rPr>
        <w:t xml:space="preserve"> was committed.</w:t>
      </w:r>
    </w:p>
    <w:p w14:paraId="40640B1B" w14:textId="3C784791" w:rsidR="00AC6890" w:rsidRPr="00AC6890" w:rsidRDefault="00AC6890" w:rsidP="00B41ED0">
      <w:pPr>
        <w:pStyle w:val="Memo"/>
        <w:widowControl/>
        <w:rPr>
          <w:lang w:val="en-GB"/>
        </w:rPr>
      </w:pPr>
      <w:r w:rsidRPr="00AC6890">
        <w:rPr>
          <w:lang w:val="en-GB"/>
        </w:rPr>
        <w:t xml:space="preserve">However, the Chairperson of the ILC expressed doubt that </w:t>
      </w:r>
      <w:r w:rsidR="008562B0">
        <w:rPr>
          <w:lang w:val="en-GB"/>
        </w:rPr>
        <w:t>D</w:t>
      </w:r>
      <w:r w:rsidR="00D84E4F">
        <w:rPr>
          <w:lang w:val="en-GB"/>
        </w:rPr>
        <w:t xml:space="preserve">raft </w:t>
      </w:r>
      <w:r w:rsidRPr="00AC6890">
        <w:rPr>
          <w:lang w:val="en-GB"/>
        </w:rPr>
        <w:t>Article 7 reflected customary international law.</w:t>
      </w:r>
      <w:r w:rsidRPr="00AC6890">
        <w:rPr>
          <w:vertAlign w:val="superscript"/>
          <w:lang w:val="en-GB"/>
        </w:rPr>
        <w:footnoteReference w:id="86"/>
      </w:r>
      <w:r w:rsidRPr="00AC6890">
        <w:rPr>
          <w:lang w:val="en-GB"/>
        </w:rPr>
        <w:t xml:space="preserve"> Most importantly, roughly half the States commenting on the </w:t>
      </w:r>
      <w:r w:rsidR="009654BC">
        <w:rPr>
          <w:lang w:val="en-GB"/>
        </w:rPr>
        <w:t>D</w:t>
      </w:r>
      <w:r w:rsidRPr="00AC6890">
        <w:rPr>
          <w:lang w:val="en-GB"/>
        </w:rPr>
        <w:t xml:space="preserve">raft </w:t>
      </w:r>
      <w:r w:rsidR="000A5D4D">
        <w:rPr>
          <w:lang w:val="en-GB"/>
        </w:rPr>
        <w:t>A</w:t>
      </w:r>
      <w:r w:rsidRPr="00AC6890">
        <w:rPr>
          <w:lang w:val="en-GB"/>
        </w:rPr>
        <w:t>rticle rejected it as a whole</w:t>
      </w:r>
      <w:bookmarkStart w:id="120" w:name="_Ref187653158"/>
      <w:r w:rsidRPr="00AC6890">
        <w:rPr>
          <w:vertAlign w:val="superscript"/>
          <w:lang w:val="en-GB"/>
        </w:rPr>
        <w:footnoteReference w:id="87"/>
      </w:r>
      <w:bookmarkEnd w:id="120"/>
      <w:r w:rsidRPr="00AC6890">
        <w:rPr>
          <w:lang w:val="en-GB"/>
        </w:rPr>
        <w:t xml:space="preserve"> or deemed it to be a progressive development of international law</w:t>
      </w:r>
      <w:r w:rsidRPr="00AC6890">
        <w:rPr>
          <w:vertAlign w:val="superscript"/>
          <w:lang w:val="en-GB"/>
        </w:rPr>
        <w:footnoteReference w:id="88"/>
      </w:r>
      <w:r w:rsidRPr="00AC6890">
        <w:rPr>
          <w:lang w:val="en-GB"/>
        </w:rPr>
        <w:t>.</w:t>
      </w:r>
    </w:p>
    <w:p w14:paraId="590AE851" w14:textId="3BFA2F1F" w:rsidR="00AC6890" w:rsidRPr="00AC6890" w:rsidRDefault="00AC6890" w:rsidP="00B41ED0">
      <w:pPr>
        <w:pStyle w:val="Memo"/>
        <w:widowControl/>
        <w:rPr>
          <w:lang w:val="en-GB"/>
        </w:rPr>
      </w:pPr>
      <w:r w:rsidRPr="00AC6890">
        <w:rPr>
          <w:lang w:val="en-GB"/>
        </w:rPr>
        <w:t>Additionally, the State practice the ILC relied on is inconsistent: it includes judicial decisions where an exception was merely found for low-ranking officials,</w:t>
      </w:r>
      <w:r w:rsidRPr="00AC6890">
        <w:rPr>
          <w:vertAlign w:val="superscript"/>
          <w:lang w:val="en-GB"/>
        </w:rPr>
        <w:footnoteReference w:id="89"/>
      </w:r>
      <w:r w:rsidRPr="00AC6890">
        <w:rPr>
          <w:lang w:val="en-GB"/>
        </w:rPr>
        <w:t xml:space="preserve"> where the </w:t>
      </w:r>
      <w:r w:rsidR="002264FA">
        <w:rPr>
          <w:lang w:val="en-GB"/>
        </w:rPr>
        <w:t xml:space="preserve">functional </w:t>
      </w:r>
      <w:r w:rsidRPr="00AC6890">
        <w:rPr>
          <w:lang w:val="en-GB"/>
        </w:rPr>
        <w:t xml:space="preserve">immunity of the accused was </w:t>
      </w:r>
      <w:r w:rsidR="002264FA">
        <w:rPr>
          <w:lang w:val="en-GB"/>
        </w:rPr>
        <w:t>effectively</w:t>
      </w:r>
      <w:r w:rsidR="00A84D12">
        <w:rPr>
          <w:lang w:val="en-GB"/>
        </w:rPr>
        <w:t xml:space="preserve"> </w:t>
      </w:r>
      <w:r w:rsidR="002264FA">
        <w:rPr>
          <w:lang w:val="en-GB"/>
        </w:rPr>
        <w:t>not</w:t>
      </w:r>
      <w:r w:rsidR="00A84D12">
        <w:rPr>
          <w:lang w:val="en-GB"/>
        </w:rPr>
        <w:t xml:space="preserve"> invoked</w:t>
      </w:r>
      <w:r w:rsidRPr="00AC6890">
        <w:rPr>
          <w:vertAlign w:val="superscript"/>
          <w:lang w:val="en-GB"/>
        </w:rPr>
        <w:footnoteReference w:id="90"/>
      </w:r>
      <w:r w:rsidRPr="00AC6890">
        <w:rPr>
          <w:lang w:val="en-GB"/>
        </w:rPr>
        <w:t xml:space="preserve"> and where the perpetrator was prosecuted by his home State</w:t>
      </w:r>
      <w:r w:rsidRPr="00AC6890">
        <w:rPr>
          <w:vertAlign w:val="superscript"/>
          <w:lang w:val="en-GB"/>
        </w:rPr>
        <w:footnoteReference w:id="91"/>
      </w:r>
      <w:r w:rsidRPr="00AC6890">
        <w:rPr>
          <w:lang w:val="en-GB"/>
        </w:rPr>
        <w:t>. The State practice does not contain a single case concerning enfo</w:t>
      </w:r>
      <w:r w:rsidR="00841A78">
        <w:rPr>
          <w:lang w:val="en-GB"/>
        </w:rPr>
        <w:t>r</w:t>
      </w:r>
      <w:r w:rsidRPr="00AC6890">
        <w:rPr>
          <w:lang w:val="en-GB"/>
        </w:rPr>
        <w:t>ced disappearance.</w:t>
      </w:r>
      <w:r w:rsidRPr="00AC6890">
        <w:rPr>
          <w:vertAlign w:val="superscript"/>
          <w:lang w:val="en-GB"/>
        </w:rPr>
        <w:footnoteReference w:id="92"/>
      </w:r>
      <w:r w:rsidRPr="00AC6890">
        <w:rPr>
          <w:lang w:val="en-GB"/>
        </w:rPr>
        <w:t xml:space="preserve"> </w:t>
      </w:r>
      <w:r w:rsidRPr="000A5D4D">
        <w:rPr>
          <w:lang w:val="en-GB"/>
        </w:rPr>
        <w:t>Further,</w:t>
      </w:r>
      <w:r w:rsidR="0087300B" w:rsidRPr="000A5D4D">
        <w:rPr>
          <w:lang w:val="en-GB"/>
        </w:rPr>
        <w:t xml:space="preserve"> </w:t>
      </w:r>
      <w:r w:rsidR="000A5D4D" w:rsidRPr="000A5D4D">
        <w:rPr>
          <w:lang w:val="en-GB"/>
        </w:rPr>
        <w:t xml:space="preserve">since </w:t>
      </w:r>
      <w:r w:rsidR="0087300B" w:rsidRPr="000A5D4D">
        <w:rPr>
          <w:lang w:val="en-GB"/>
        </w:rPr>
        <w:t>nearly</w:t>
      </w:r>
      <w:r w:rsidRPr="000A5D4D">
        <w:rPr>
          <w:lang w:val="en-GB"/>
        </w:rPr>
        <w:t xml:space="preserve"> all cited judicial decisions that </w:t>
      </w:r>
      <w:r w:rsidRPr="000A5D4D">
        <w:rPr>
          <w:lang w:val="en-GB"/>
        </w:rPr>
        <w:lastRenderedPageBreak/>
        <w:t>denied fun</w:t>
      </w:r>
      <w:r w:rsidR="00841A78" w:rsidRPr="000A5D4D">
        <w:rPr>
          <w:lang w:val="en-GB"/>
        </w:rPr>
        <w:t>c</w:t>
      </w:r>
      <w:r w:rsidRPr="000A5D4D">
        <w:rPr>
          <w:lang w:val="en-GB"/>
        </w:rPr>
        <w:t xml:space="preserve">tional immunity </w:t>
      </w:r>
      <w:r w:rsidR="0087300B" w:rsidRPr="000A5D4D">
        <w:rPr>
          <w:lang w:val="en-GB"/>
        </w:rPr>
        <w:t>are</w:t>
      </w:r>
      <w:r w:rsidR="000A5D4D" w:rsidRPr="000A5D4D">
        <w:rPr>
          <w:lang w:val="en-GB"/>
        </w:rPr>
        <w:t xml:space="preserve"> </w:t>
      </w:r>
      <w:r w:rsidRPr="000A5D4D">
        <w:rPr>
          <w:lang w:val="en-GB"/>
        </w:rPr>
        <w:t xml:space="preserve">from Western Europe, </w:t>
      </w:r>
      <w:r w:rsidR="000A5D4D" w:rsidRPr="000A5D4D">
        <w:rPr>
          <w:lang w:val="en-GB"/>
        </w:rPr>
        <w:t>the report also fails to confirm extensive</w:t>
      </w:r>
      <w:r w:rsidR="002264FA">
        <w:rPr>
          <w:lang w:val="en-GB"/>
        </w:rPr>
        <w:t xml:space="preserve"> State</w:t>
      </w:r>
      <w:r w:rsidR="000A5D4D" w:rsidRPr="000A5D4D">
        <w:rPr>
          <w:lang w:val="en-GB"/>
        </w:rPr>
        <w:t xml:space="preserve"> practice</w:t>
      </w:r>
      <w:r w:rsidRPr="000A5D4D">
        <w:rPr>
          <w:lang w:val="en-GB"/>
        </w:rPr>
        <w:t>.</w:t>
      </w:r>
      <w:r w:rsidRPr="000A5D4D">
        <w:rPr>
          <w:vertAlign w:val="superscript"/>
          <w:lang w:val="en-GB"/>
        </w:rPr>
        <w:footnoteReference w:id="93"/>
      </w:r>
      <w:r w:rsidRPr="00AC6890">
        <w:rPr>
          <w:lang w:val="en-GB"/>
        </w:rPr>
        <w:t xml:space="preserve"> </w:t>
      </w:r>
    </w:p>
    <w:p w14:paraId="127F5FA5" w14:textId="77777777" w:rsidR="00AC6890" w:rsidRPr="00AC6890" w:rsidRDefault="00AC6890" w:rsidP="00B41ED0">
      <w:pPr>
        <w:pStyle w:val="Memo"/>
        <w:widowControl/>
        <w:rPr>
          <w:lang w:val="en-GB"/>
        </w:rPr>
      </w:pPr>
      <w:r w:rsidRPr="00AC6890">
        <w:rPr>
          <w:lang w:val="en-GB"/>
        </w:rPr>
        <w:t>In fact, numerous judicial decisions consistently upheld the functional immunity of the accused where crimes against humanity were concerned.</w:t>
      </w:r>
      <w:r w:rsidRPr="00AC6890">
        <w:rPr>
          <w:vertAlign w:val="superscript"/>
          <w:lang w:val="en-GB"/>
        </w:rPr>
        <w:footnoteReference w:id="94"/>
      </w:r>
      <w:r w:rsidRPr="00AC6890">
        <w:rPr>
          <w:lang w:val="en-GB"/>
        </w:rPr>
        <w:t xml:space="preserve"> </w:t>
      </w:r>
    </w:p>
    <w:p w14:paraId="3B84E5DA" w14:textId="77777777" w:rsidR="00AC6890" w:rsidRPr="00AC6890" w:rsidRDefault="00AC6890" w:rsidP="00B41ED0">
      <w:pPr>
        <w:pStyle w:val="Memo"/>
        <w:widowControl/>
        <w:rPr>
          <w:lang w:val="en-GB"/>
        </w:rPr>
      </w:pPr>
      <w:r w:rsidRPr="00AC6890">
        <w:rPr>
          <w:lang w:val="en-GB"/>
        </w:rPr>
        <w:t xml:space="preserve">Thus, </w:t>
      </w:r>
      <w:r w:rsidRPr="00AC6890">
        <w:t>no applicable exception to functional immunity exists in customary international law</w:t>
      </w:r>
      <w:r w:rsidRPr="00AC6890">
        <w:rPr>
          <w:lang w:val="en-GB"/>
        </w:rPr>
        <w:t xml:space="preserve">.  </w:t>
      </w:r>
    </w:p>
    <w:p w14:paraId="7472BCC6" w14:textId="77777777" w:rsidR="00AC6890" w:rsidRPr="00AC6890" w:rsidRDefault="00AC6890" w:rsidP="00B41ED0">
      <w:pPr>
        <w:pStyle w:val="berschrift4"/>
        <w:keepNext w:val="0"/>
      </w:pPr>
      <w:bookmarkStart w:id="121" w:name="_Toc187498245"/>
      <w:bookmarkStart w:id="122" w:name="_Toc187681663"/>
      <w:bookmarkStart w:id="123" w:name="_Toc187692165"/>
      <w:r w:rsidRPr="00AC6890">
        <w:t>No applicable exception to functional immunity exists in international treaty law.</w:t>
      </w:r>
      <w:bookmarkEnd w:id="121"/>
      <w:bookmarkEnd w:id="122"/>
      <w:bookmarkEnd w:id="123"/>
    </w:p>
    <w:p w14:paraId="70C0FD4D" w14:textId="11714675" w:rsidR="00AC6890" w:rsidRPr="00AC6890" w:rsidRDefault="00AC6890" w:rsidP="00B41ED0">
      <w:pPr>
        <w:pStyle w:val="Memo"/>
        <w:widowControl/>
      </w:pPr>
      <w:r w:rsidRPr="00AC6890">
        <w:t>According to Article 2 ICPPED, enforced disappearance necessitates the involvement of State officials, wh</w:t>
      </w:r>
      <w:r w:rsidR="00841A78">
        <w:t>o</w:t>
      </w:r>
      <w:r w:rsidRPr="00AC6890">
        <w:t xml:space="preserve"> must be prosecuted.</w:t>
      </w:r>
      <w:r w:rsidRPr="00AC6890">
        <w:rPr>
          <w:vertAlign w:val="superscript"/>
        </w:rPr>
        <w:footnoteReference w:id="95"/>
      </w:r>
      <w:r w:rsidRPr="00AC6890">
        <w:t xml:space="preserve"> However, an interpretation of the ICPPED in accordance with the VCLT shows that this obligation does not amount to an implied </w:t>
      </w:r>
      <w:r w:rsidR="009654BC">
        <w:t>exclusion</w:t>
      </w:r>
      <w:r w:rsidRPr="00AC6890">
        <w:t xml:space="preserve"> of immunity </w:t>
      </w:r>
      <w:r w:rsidRPr="00AC6890">
        <w:rPr>
          <w:i/>
        </w:rPr>
        <w:t xml:space="preserve">inter </w:t>
      </w:r>
      <w:proofErr w:type="spellStart"/>
      <w:r w:rsidRPr="00AC6890">
        <w:rPr>
          <w:i/>
        </w:rPr>
        <w:t>partes</w:t>
      </w:r>
      <w:proofErr w:type="spellEnd"/>
      <w:r w:rsidR="00841A78">
        <w:t>:</w:t>
      </w:r>
    </w:p>
    <w:p w14:paraId="36C2591A" w14:textId="65EA3C18" w:rsidR="00AC6890" w:rsidRPr="00AC6890" w:rsidRDefault="00AC6890" w:rsidP="00B41ED0">
      <w:pPr>
        <w:pStyle w:val="Memo"/>
        <w:widowControl/>
      </w:pPr>
      <w:r w:rsidRPr="00AC6890">
        <w:t xml:space="preserve">The ICPPED contains many provisions that explicitly do not require the </w:t>
      </w:r>
      <w:r w:rsidR="00527886">
        <w:t xml:space="preserve">State Parties </w:t>
      </w:r>
      <w:r w:rsidRPr="00AC6890">
        <w:t>to prosecute foreign officials and instead opt for extradition or mutual legal assistance.</w:t>
      </w:r>
      <w:r w:rsidRPr="00AC6890">
        <w:rPr>
          <w:vertAlign w:val="superscript"/>
        </w:rPr>
        <w:footnoteReference w:id="96"/>
      </w:r>
      <w:r w:rsidRPr="00AC6890">
        <w:t xml:space="preserve"> Accordingly, the ICPPED’s object and purpose of combatting impunity can be achieved while respecting the State official’s functional immunity. Additionally, in early drafts of the ICPPED, functional immunity before national courts in cases of enforced disappearance was expressly excluded.</w:t>
      </w:r>
      <w:r w:rsidRPr="00AC6890">
        <w:rPr>
          <w:vertAlign w:val="superscript"/>
        </w:rPr>
        <w:footnoteReference w:id="97"/>
      </w:r>
      <w:r w:rsidRPr="00AC6890">
        <w:t xml:space="preserve"> Conversely, such a provision was not included in the </w:t>
      </w:r>
      <w:r w:rsidR="00841A78">
        <w:t>C</w:t>
      </w:r>
      <w:r w:rsidRPr="00AC6890">
        <w:t xml:space="preserve">onvention. Thus, the ICPPED does not contain an implied </w:t>
      </w:r>
      <w:r w:rsidR="009654BC">
        <w:t>exclusion</w:t>
      </w:r>
      <w:r w:rsidRPr="00AC6890">
        <w:t xml:space="preserve"> of immunity.</w:t>
      </w:r>
    </w:p>
    <w:p w14:paraId="58E10419" w14:textId="054C16FD" w:rsidR="00AC6890" w:rsidRPr="00AC6890" w:rsidRDefault="00AC6890" w:rsidP="00B41ED0">
      <w:pPr>
        <w:pStyle w:val="Memo"/>
        <w:widowControl/>
      </w:pPr>
      <w:r w:rsidRPr="00AC6890">
        <w:t xml:space="preserve">This conclusion </w:t>
      </w:r>
      <w:r w:rsidR="00841A78">
        <w:t>was</w:t>
      </w:r>
      <w:r w:rsidRPr="00AC6890">
        <w:t xml:space="preserve"> supported by this Court in </w:t>
      </w:r>
      <w:r w:rsidRPr="00AC6890">
        <w:rPr>
          <w:i/>
        </w:rPr>
        <w:t>Arrest Warrant</w:t>
      </w:r>
      <w:r w:rsidRPr="00AC6890">
        <w:t>, where it held that</w:t>
      </w:r>
      <w:r w:rsidR="00C33996">
        <w:t>,</w:t>
      </w:r>
      <w:r w:rsidRPr="00AC6890">
        <w:t xml:space="preserve"> when an international convention on the prevention and punishment of certain crimes obligates States to prosecute the crime, this obligation in no way affects immunities under customary international law.</w:t>
      </w:r>
      <w:r w:rsidRPr="00AC6890">
        <w:rPr>
          <w:vertAlign w:val="superscript"/>
        </w:rPr>
        <w:footnoteReference w:id="98"/>
      </w:r>
    </w:p>
    <w:p w14:paraId="1C43C62B" w14:textId="451F7722" w:rsidR="00C43CC7" w:rsidRDefault="00AC6890" w:rsidP="00B41ED0">
      <w:pPr>
        <w:pStyle w:val="Memo"/>
        <w:widowControl/>
      </w:pPr>
      <w:r w:rsidRPr="00AC6890">
        <w:t>Thus, no applicable exception to functional immunity exists in international treaty law.</w:t>
      </w:r>
      <w:r w:rsidR="00C43CC7">
        <w:br w:type="page"/>
      </w:r>
    </w:p>
    <w:p w14:paraId="4D3F1FEB" w14:textId="77777777" w:rsidR="00D17C40" w:rsidRPr="00D17C40" w:rsidRDefault="00D17C40" w:rsidP="005C5AE2">
      <w:pPr>
        <w:pStyle w:val="berschrift1"/>
      </w:pPr>
      <w:bookmarkStart w:id="124" w:name="_Toc187434076"/>
      <w:bookmarkStart w:id="125" w:name="_Toc187681664"/>
      <w:bookmarkStart w:id="126" w:name="_Toc187692166"/>
      <w:proofErr w:type="spellStart"/>
      <w:r w:rsidRPr="00D17C40">
        <w:lastRenderedPageBreak/>
        <w:t>Rovinia’s</w:t>
      </w:r>
      <w:proofErr w:type="spellEnd"/>
      <w:r w:rsidRPr="00D17C40">
        <w:t xml:space="preserve"> issuance of licenses to fish in those parts of the Triton Shoal within 200 nautical miles of Ambrosia’s fixed baseline violates international law and must cease, with existing licenses revoked.</w:t>
      </w:r>
      <w:bookmarkEnd w:id="124"/>
      <w:bookmarkEnd w:id="125"/>
      <w:bookmarkEnd w:id="126"/>
    </w:p>
    <w:p w14:paraId="09B869B8" w14:textId="2944C45A" w:rsidR="00D17C40" w:rsidRPr="00D17C40" w:rsidRDefault="00D17C40" w:rsidP="00B41ED0">
      <w:pPr>
        <w:pStyle w:val="Memo"/>
        <w:widowControl/>
        <w:rPr>
          <w:lang w:val="x-none"/>
        </w:rPr>
      </w:pPr>
      <w:proofErr w:type="spellStart"/>
      <w:r w:rsidRPr="00D17C40">
        <w:t>Rovinia’s</w:t>
      </w:r>
      <w:proofErr w:type="spellEnd"/>
      <w:r w:rsidRPr="00D17C40">
        <w:t xml:space="preserve"> issuance of licenses to fish in Ambrosia’s exclusive economic zone (</w:t>
      </w:r>
      <w:r w:rsidRPr="00D17C40">
        <w:rPr>
          <w:b/>
        </w:rPr>
        <w:t>‘EEZ’</w:t>
      </w:r>
      <w:r w:rsidRPr="00D17C40">
        <w:t>) violates Article 56(1)(a) of the United Nations Convention on the Law of the Sea</w:t>
      </w:r>
      <w:r w:rsidRPr="00D17C40">
        <w:rPr>
          <w:vertAlign w:val="superscript"/>
        </w:rPr>
        <w:footnoteReference w:id="99"/>
      </w:r>
      <w:r w:rsidRPr="00D17C40">
        <w:t xml:space="preserve"> (</w:t>
      </w:r>
      <w:r w:rsidRPr="00D17C40">
        <w:rPr>
          <w:b/>
          <w:bCs/>
        </w:rPr>
        <w:t>‘UNCLOS’</w:t>
      </w:r>
      <w:r w:rsidRPr="00D17C40">
        <w:t xml:space="preserve">) </w:t>
      </w:r>
      <w:r w:rsidRPr="00841A78">
        <w:rPr>
          <w:bCs/>
        </w:rPr>
        <w:t>(</w:t>
      </w:r>
      <w:r w:rsidRPr="00D17C40">
        <w:rPr>
          <w:b/>
          <w:bCs/>
        </w:rPr>
        <w:t>I.</w:t>
      </w:r>
      <w:r w:rsidRPr="00841A78">
        <w:rPr>
          <w:bCs/>
        </w:rPr>
        <w:t>)</w:t>
      </w:r>
      <w:r w:rsidRPr="00841A78">
        <w:t>,</w:t>
      </w:r>
      <w:r w:rsidRPr="00D17C40">
        <w:t xml:space="preserve"> general customary international law </w:t>
      </w:r>
      <w:r w:rsidRPr="00841A78">
        <w:rPr>
          <w:bCs/>
        </w:rPr>
        <w:t>(</w:t>
      </w:r>
      <w:r w:rsidRPr="00D17C40">
        <w:rPr>
          <w:b/>
          <w:bCs/>
        </w:rPr>
        <w:t>II.</w:t>
      </w:r>
      <w:r w:rsidRPr="00841A78">
        <w:rPr>
          <w:bCs/>
        </w:rPr>
        <w:t>)</w:t>
      </w:r>
      <w:r w:rsidRPr="00D17C40">
        <w:t xml:space="preserve"> and</w:t>
      </w:r>
      <w:r w:rsidRPr="00D17C40">
        <w:rPr>
          <w:b/>
          <w:bCs/>
        </w:rPr>
        <w:t xml:space="preserve"> </w:t>
      </w:r>
      <w:r w:rsidRPr="00D17C40">
        <w:t xml:space="preserve">regional customary international law </w:t>
      </w:r>
      <w:r w:rsidRPr="00841A78">
        <w:rPr>
          <w:bCs/>
        </w:rPr>
        <w:t>(</w:t>
      </w:r>
      <w:r w:rsidRPr="00D17C40">
        <w:rPr>
          <w:b/>
          <w:bCs/>
        </w:rPr>
        <w:t>III.</w:t>
      </w:r>
      <w:r w:rsidRPr="00841A78">
        <w:rPr>
          <w:bCs/>
        </w:rPr>
        <w:t>)</w:t>
      </w:r>
      <w:r w:rsidRPr="00841A78">
        <w:t>.</w:t>
      </w:r>
      <w:r w:rsidRPr="00D17C40">
        <w:t xml:space="preserve"> Thus, </w:t>
      </w:r>
      <w:proofErr w:type="spellStart"/>
      <w:r w:rsidRPr="00D17C40">
        <w:t>Rovinia</w:t>
      </w:r>
      <w:proofErr w:type="spellEnd"/>
      <w:r w:rsidRPr="00D17C40">
        <w:t xml:space="preserve"> is oblig</w:t>
      </w:r>
      <w:r w:rsidR="00841A78">
        <w:t>ated</w:t>
      </w:r>
      <w:r w:rsidRPr="00D17C40">
        <w:t xml:space="preserve"> to cease issuing </w:t>
      </w:r>
      <w:r w:rsidR="00333E68">
        <w:t xml:space="preserve">fishing </w:t>
      </w:r>
      <w:r w:rsidRPr="00D17C40">
        <w:t>licenses in those parts of the Triton Shoal in Ambrosia’s EEZ and to revoke existing licenses</w:t>
      </w:r>
      <w:r w:rsidR="00841A78">
        <w:t> </w:t>
      </w:r>
      <w:r w:rsidRPr="00841A78">
        <w:rPr>
          <w:bCs/>
        </w:rPr>
        <w:t>(</w:t>
      </w:r>
      <w:r w:rsidRPr="00D17C40">
        <w:rPr>
          <w:b/>
          <w:bCs/>
        </w:rPr>
        <w:t>IV.</w:t>
      </w:r>
      <w:r w:rsidRPr="00841A78">
        <w:rPr>
          <w:bCs/>
        </w:rPr>
        <w:t>)</w:t>
      </w:r>
      <w:r w:rsidRPr="00841A78">
        <w:t xml:space="preserve">. </w:t>
      </w:r>
    </w:p>
    <w:p w14:paraId="02BC682D" w14:textId="77777777" w:rsidR="00D17C40" w:rsidRPr="00D17C40" w:rsidRDefault="00D17C40" w:rsidP="00B41ED0">
      <w:pPr>
        <w:pStyle w:val="berschrift2"/>
        <w:keepNext w:val="0"/>
        <w:widowControl/>
        <w:numPr>
          <w:ilvl w:val="0"/>
          <w:numId w:val="30"/>
        </w:numPr>
      </w:pPr>
      <w:bookmarkStart w:id="127" w:name="_Toc187434077"/>
      <w:bookmarkStart w:id="128" w:name="_Toc187681665"/>
      <w:bookmarkStart w:id="129" w:name="_Toc187692167"/>
      <w:proofErr w:type="spellStart"/>
      <w:r w:rsidRPr="00D17C40">
        <w:t>Rovinia’s</w:t>
      </w:r>
      <w:proofErr w:type="spellEnd"/>
      <w:r w:rsidRPr="00D17C40">
        <w:t xml:space="preserve"> issuance of licenses to fish in Ambrosia’s EEZ violates Article 56(1)(a) UNCLOS.</w:t>
      </w:r>
      <w:bookmarkEnd w:id="127"/>
      <w:bookmarkEnd w:id="128"/>
      <w:bookmarkEnd w:id="129"/>
      <w:r w:rsidRPr="00D17C40">
        <w:t xml:space="preserve"> </w:t>
      </w:r>
    </w:p>
    <w:p w14:paraId="10F53FE5" w14:textId="15F856F4" w:rsidR="00D17C40" w:rsidRPr="00D17C40" w:rsidRDefault="00D17C40" w:rsidP="00B41ED0">
      <w:pPr>
        <w:pStyle w:val="Memo"/>
        <w:widowControl/>
      </w:pPr>
      <w:r w:rsidRPr="00D17C40">
        <w:t xml:space="preserve">Ambrosia’s </w:t>
      </w:r>
      <w:r w:rsidRPr="00D17C40">
        <w:rPr>
          <w:bCs/>
        </w:rPr>
        <w:t>EEZ</w:t>
      </w:r>
      <w:r w:rsidRPr="00D17C40">
        <w:t xml:space="preserve"> extends to those parts of the Triton Shoal within 200 nautical miles from its fixed baseline </w:t>
      </w:r>
      <w:r w:rsidRPr="00841A78">
        <w:rPr>
          <w:bCs/>
        </w:rPr>
        <w:t>(</w:t>
      </w:r>
      <w:r w:rsidRPr="00D17C40">
        <w:rPr>
          <w:b/>
          <w:bCs/>
        </w:rPr>
        <w:t>1.</w:t>
      </w:r>
      <w:r w:rsidRPr="00841A78">
        <w:rPr>
          <w:bCs/>
        </w:rPr>
        <w:t>)</w:t>
      </w:r>
      <w:r w:rsidRPr="00841A78">
        <w:t>.</w:t>
      </w:r>
      <w:r w:rsidRPr="00D17C40">
        <w:t xml:space="preserve"> </w:t>
      </w:r>
      <w:proofErr w:type="spellStart"/>
      <w:r w:rsidRPr="00D17C40">
        <w:t>Rovinia’s</w:t>
      </w:r>
      <w:proofErr w:type="spellEnd"/>
      <w:r w:rsidRPr="00D17C40">
        <w:t xml:space="preserve"> issuance of fishing licenses is prohibited </w:t>
      </w:r>
      <w:r w:rsidR="009654BC">
        <w:t>under</w:t>
      </w:r>
      <w:r w:rsidRPr="00D17C40">
        <w:t xml:space="preserve"> Article 56(1)(a) UNCLOS </w:t>
      </w:r>
      <w:r w:rsidRPr="00841A78">
        <w:rPr>
          <w:bCs/>
        </w:rPr>
        <w:t>(</w:t>
      </w:r>
      <w:r w:rsidRPr="00D17C40">
        <w:rPr>
          <w:b/>
          <w:bCs/>
        </w:rPr>
        <w:t>2.</w:t>
      </w:r>
      <w:r w:rsidRPr="00841A78">
        <w:rPr>
          <w:bCs/>
        </w:rPr>
        <w:t>)</w:t>
      </w:r>
      <w:r w:rsidRPr="00841A78">
        <w:t>.</w:t>
      </w:r>
    </w:p>
    <w:p w14:paraId="2BA0FADA" w14:textId="77777777" w:rsidR="00D17C40" w:rsidRPr="00D17C40" w:rsidRDefault="00D17C40" w:rsidP="00B41ED0">
      <w:pPr>
        <w:pStyle w:val="berschrift3a"/>
        <w:keepNext w:val="0"/>
        <w:numPr>
          <w:ilvl w:val="0"/>
          <w:numId w:val="45"/>
        </w:numPr>
      </w:pPr>
      <w:bookmarkStart w:id="130" w:name="_Toc187434078"/>
      <w:bookmarkStart w:id="131" w:name="_Toc183298343"/>
      <w:bookmarkStart w:id="132" w:name="_Toc181644115"/>
      <w:bookmarkStart w:id="133" w:name="_Toc187681666"/>
      <w:bookmarkStart w:id="134" w:name="_Toc187692168"/>
      <w:r w:rsidRPr="00D17C40">
        <w:t>Ambrosia’s EEZ extends to those parts of the Triton Shoal within 200 nautical miles from its fixed baseline.</w:t>
      </w:r>
      <w:bookmarkEnd w:id="130"/>
      <w:bookmarkEnd w:id="131"/>
      <w:bookmarkEnd w:id="132"/>
      <w:bookmarkEnd w:id="133"/>
      <w:bookmarkEnd w:id="134"/>
    </w:p>
    <w:p w14:paraId="59C452B0" w14:textId="2B05CBF7" w:rsidR="00D17C40" w:rsidRPr="00D17C40" w:rsidRDefault="00D17C40" w:rsidP="00B41ED0">
      <w:pPr>
        <w:pStyle w:val="Memo"/>
        <w:widowControl/>
      </w:pPr>
      <w:r w:rsidRPr="00D17C40">
        <w:t xml:space="preserve">The EEZ extends up to 200 nautical miles from the baselines from which the breadth of </w:t>
      </w:r>
      <w:r w:rsidR="00841A78">
        <w:t xml:space="preserve">the </w:t>
      </w:r>
      <w:r w:rsidRPr="00D17C40">
        <w:t>territorial sea is measured.</w:t>
      </w:r>
      <w:r w:rsidRPr="00D17C40">
        <w:rPr>
          <w:vertAlign w:val="superscript"/>
        </w:rPr>
        <w:footnoteReference w:id="100"/>
      </w:r>
      <w:r w:rsidRPr="00D17C40">
        <w:t xml:space="preserve"> Under Article 5 UNCLOS, the normal baseline is the low-water line along the coast “as marked on large-scale charts officially recognized by the coastal State”. Ambrosia and </w:t>
      </w:r>
      <w:proofErr w:type="spellStart"/>
      <w:r w:rsidRPr="00D17C40">
        <w:t>Rovinia</w:t>
      </w:r>
      <w:proofErr w:type="spellEnd"/>
      <w:r w:rsidRPr="00D17C40">
        <w:t xml:space="preserve"> are Parties to UNCLOS.</w:t>
      </w:r>
      <w:r w:rsidRPr="00D17C40">
        <w:rPr>
          <w:vertAlign w:val="superscript"/>
        </w:rPr>
        <w:footnoteReference w:id="101"/>
      </w:r>
      <w:r w:rsidRPr="00D17C40">
        <w:t xml:space="preserve"> Ambrosia’s EEZ extends 200 nautical miles from </w:t>
      </w:r>
      <w:r w:rsidR="00841A78">
        <w:t xml:space="preserve">its </w:t>
      </w:r>
      <w:r w:rsidRPr="00D17C40">
        <w:t>normal baselines,</w:t>
      </w:r>
      <w:r w:rsidRPr="00D17C40">
        <w:rPr>
          <w:vertAlign w:val="superscript"/>
        </w:rPr>
        <w:footnoteReference w:id="102"/>
      </w:r>
      <w:r w:rsidRPr="00D17C40">
        <w:t xml:space="preserve"> which Ambrosia fixed with the Baseline Freezing Law of 2015.</w:t>
      </w:r>
      <w:r w:rsidRPr="00D17C40">
        <w:rPr>
          <w:vertAlign w:val="superscript"/>
          <w:lang w:val="en-GB"/>
        </w:rPr>
        <w:footnoteReference w:id="103"/>
      </w:r>
    </w:p>
    <w:p w14:paraId="5BA50D71" w14:textId="77777777" w:rsidR="00D17C40" w:rsidRPr="00D17C40" w:rsidRDefault="00D17C40" w:rsidP="00B41ED0">
      <w:pPr>
        <w:pStyle w:val="Memo"/>
        <w:widowControl/>
      </w:pPr>
      <w:r w:rsidRPr="00D17C40">
        <w:t xml:space="preserve">The ordinary meaning of the terms of Article 5 UNCLOS, its context, the object and purpose of the Convention, and the </w:t>
      </w:r>
      <w:r w:rsidRPr="00D17C40">
        <w:rPr>
          <w:i/>
          <w:iCs/>
        </w:rPr>
        <w:t xml:space="preserve">travaux </w:t>
      </w:r>
      <w:proofErr w:type="spellStart"/>
      <w:r w:rsidRPr="00D17C40">
        <w:rPr>
          <w:i/>
          <w:iCs/>
        </w:rPr>
        <w:t>préparatoires</w:t>
      </w:r>
      <w:proofErr w:type="spellEnd"/>
      <w:r w:rsidRPr="00D17C40">
        <w:t xml:space="preserve"> confirm that Ambrosia’s fixed baselines are consistent with the Convention (</w:t>
      </w:r>
      <w:r w:rsidRPr="00D17C40">
        <w:rPr>
          <w:b/>
        </w:rPr>
        <w:t>a.</w:t>
      </w:r>
      <w:r w:rsidRPr="00D17C40">
        <w:t>). This is further supported by subsequent State practice (</w:t>
      </w:r>
      <w:r w:rsidRPr="00D17C40">
        <w:rPr>
          <w:b/>
        </w:rPr>
        <w:t>b.</w:t>
      </w:r>
      <w:r w:rsidRPr="00D17C40">
        <w:t>).</w:t>
      </w:r>
    </w:p>
    <w:p w14:paraId="66018A48" w14:textId="77777777" w:rsidR="00D17C40" w:rsidRPr="00D17C40" w:rsidRDefault="00D17C40" w:rsidP="00B41ED0">
      <w:pPr>
        <w:pStyle w:val="berschrift4"/>
        <w:keepNext w:val="0"/>
        <w:numPr>
          <w:ilvl w:val="0"/>
          <w:numId w:val="46"/>
        </w:numPr>
      </w:pPr>
      <w:bookmarkStart w:id="135" w:name="_Toc187434079"/>
      <w:bookmarkStart w:id="136" w:name="_Toc183298344"/>
      <w:bookmarkStart w:id="137" w:name="_Toc187681667"/>
      <w:bookmarkStart w:id="138" w:name="_Toc187692169"/>
      <w:r w:rsidRPr="00D17C40">
        <w:lastRenderedPageBreak/>
        <w:t xml:space="preserve">The ordinary meaning of the terms of Article 5 UNCLOS, its context, the object and purpose of the Convention and the </w:t>
      </w:r>
      <w:r w:rsidRPr="00DB069A">
        <w:rPr>
          <w:iCs/>
        </w:rPr>
        <w:t xml:space="preserve">travaux </w:t>
      </w:r>
      <w:proofErr w:type="spellStart"/>
      <w:r w:rsidRPr="00DB069A">
        <w:rPr>
          <w:iCs/>
        </w:rPr>
        <w:t>préparatoires</w:t>
      </w:r>
      <w:proofErr w:type="spellEnd"/>
      <w:r w:rsidRPr="00D17C40">
        <w:t xml:space="preserve"> confirm that Ambrosia’s fixed baselines are consistent with the Convention.</w:t>
      </w:r>
      <w:bookmarkEnd w:id="135"/>
      <w:bookmarkEnd w:id="136"/>
      <w:bookmarkEnd w:id="137"/>
      <w:bookmarkEnd w:id="138"/>
    </w:p>
    <w:p w14:paraId="6422CB03" w14:textId="5212A6E6" w:rsidR="00D17C40" w:rsidRPr="00D17C40" w:rsidRDefault="00D17C40" w:rsidP="00B41ED0">
      <w:pPr>
        <w:pStyle w:val="Memo"/>
        <w:widowControl/>
      </w:pPr>
      <w:r w:rsidRPr="00D17C40">
        <w:t>First, per its ordinary meaning</w:t>
      </w:r>
      <w:r w:rsidR="00841A78">
        <w:t>,</w:t>
      </w:r>
      <w:r w:rsidRPr="00D17C40">
        <w:t xml:space="preserve"> Article 5 UNCLOS does not explicitly dictate that the normal baseline is ambulatory, i.e. that it always reflects the low-water line along the coast at any given time, nor does it impose a legal obligation on States to update the</w:t>
      </w:r>
      <w:r w:rsidR="009654BC">
        <w:t>ir</w:t>
      </w:r>
      <w:r w:rsidRPr="00D17C40">
        <w:t xml:space="preserve"> baseline</w:t>
      </w:r>
      <w:r w:rsidR="009654BC">
        <w:t>s</w:t>
      </w:r>
      <w:r w:rsidRPr="00D17C40">
        <w:t xml:space="preserve"> when coastal conditions change.</w:t>
      </w:r>
      <w:bookmarkStart w:id="139" w:name="_Ref187653557"/>
      <w:r w:rsidRPr="00D17C40">
        <w:rPr>
          <w:vertAlign w:val="superscript"/>
        </w:rPr>
        <w:footnoteReference w:id="104"/>
      </w:r>
      <w:bookmarkEnd w:id="139"/>
      <w:r w:rsidRPr="00D17C40">
        <w:t xml:space="preserve"> Therefore, once a baseline has been established in accordance with the Convention, it remains effective, regardless of any subsequent shift in the low-water line.</w:t>
      </w:r>
      <w:r w:rsidRPr="00D17C40">
        <w:rPr>
          <w:vertAlign w:val="superscript"/>
        </w:rPr>
        <w:footnoteReference w:id="105"/>
      </w:r>
      <w:r w:rsidRPr="00D17C40">
        <w:t xml:space="preserve"> </w:t>
      </w:r>
    </w:p>
    <w:p w14:paraId="25D330A5" w14:textId="47D08212" w:rsidR="00D17C40" w:rsidRPr="00D17C40" w:rsidRDefault="00D17C40" w:rsidP="00B41ED0">
      <w:pPr>
        <w:pStyle w:val="Memo"/>
        <w:widowControl/>
      </w:pPr>
      <w:r w:rsidRPr="00D17C40">
        <w:t>Second, the object and purpose of UNCLOS, as stated in its Preamble,</w:t>
      </w:r>
      <w:r w:rsidRPr="00D17C40">
        <w:rPr>
          <w:vertAlign w:val="superscript"/>
        </w:rPr>
        <w:footnoteReference w:id="106"/>
      </w:r>
      <w:r w:rsidRPr="00D17C40">
        <w:t xml:space="preserve"> is </w:t>
      </w:r>
      <w:r w:rsidRPr="00D17C40">
        <w:rPr>
          <w:i/>
        </w:rPr>
        <w:t>inter alia</w:t>
      </w:r>
      <w:r w:rsidRPr="00D17C40">
        <w:t xml:space="preserve"> to promote the peaceful use of the sea.</w:t>
      </w:r>
      <w:r w:rsidRPr="00D17C40">
        <w:rPr>
          <w:vertAlign w:val="superscript"/>
        </w:rPr>
        <w:footnoteReference w:id="107"/>
      </w:r>
      <w:r w:rsidRPr="00D17C40">
        <w:t xml:space="preserve"> If baselines were ambulatory, States vulnerable to the effects of sea-level</w:t>
      </w:r>
      <w:r w:rsidR="00841A78">
        <w:t xml:space="preserve"> </w:t>
      </w:r>
      <w:r w:rsidRPr="00D17C40">
        <w:t>rise would have to constantly keep them under review.</w:t>
      </w:r>
      <w:r w:rsidRPr="00D17C40">
        <w:rPr>
          <w:vertAlign w:val="superscript"/>
        </w:rPr>
        <w:footnoteReference w:id="108"/>
      </w:r>
      <w:r w:rsidRPr="00D17C40">
        <w:t xml:space="preserve"> This would lead to legal uncertainty regarding maritime entitlements, creating breeding ground for conflicts.</w:t>
      </w:r>
      <w:r w:rsidRPr="00D17C40">
        <w:rPr>
          <w:vertAlign w:val="superscript"/>
        </w:rPr>
        <w:footnoteReference w:id="109"/>
      </w:r>
      <w:r w:rsidRPr="00D17C40">
        <w:t xml:space="preserve"> In contrast, fixing baselines ensures legal certainty and fosters the purpose of UNCLOS to strengthen peace.</w:t>
      </w:r>
      <w:r w:rsidRPr="00D17C40">
        <w:rPr>
          <w:vertAlign w:val="superscript"/>
        </w:rPr>
        <w:footnoteReference w:id="110"/>
      </w:r>
      <w:r w:rsidRPr="00D17C40">
        <w:t xml:space="preserve"> Further, the object and purpose of UNCLOS also encompasses the equitable </w:t>
      </w:r>
      <w:proofErr w:type="spellStart"/>
      <w:r w:rsidRPr="00D17C40">
        <w:t>utili</w:t>
      </w:r>
      <w:r w:rsidR="00841A78">
        <w:t>s</w:t>
      </w:r>
      <w:r w:rsidRPr="00D17C40">
        <w:t>ation</w:t>
      </w:r>
      <w:proofErr w:type="spellEnd"/>
      <w:r w:rsidRPr="00D17C40">
        <w:t xml:space="preserve"> of the resources of the sea.</w:t>
      </w:r>
      <w:r w:rsidRPr="00D17C40">
        <w:rPr>
          <w:vertAlign w:val="superscript"/>
        </w:rPr>
        <w:footnoteReference w:id="111"/>
      </w:r>
      <w:r w:rsidRPr="00D17C40">
        <w:t xml:space="preserve"> In pursuing this endeavor, the special interests of developing countries must be accounted for.</w:t>
      </w:r>
      <w:r w:rsidRPr="00D17C40">
        <w:rPr>
          <w:vertAlign w:val="superscript"/>
        </w:rPr>
        <w:footnoteReference w:id="112"/>
      </w:r>
      <w:r w:rsidRPr="00D17C40">
        <w:t xml:space="preserve"> This Court determined in </w:t>
      </w:r>
      <w:r w:rsidRPr="00D17C40">
        <w:rPr>
          <w:i/>
          <w:iCs/>
        </w:rPr>
        <w:t>Gulf of Maine</w:t>
      </w:r>
      <w:r w:rsidRPr="00D17C40">
        <w:t xml:space="preserve"> that any result in the determination of maritime entitlements which is </w:t>
      </w:r>
      <w:r w:rsidR="00841A78">
        <w:t>“</w:t>
      </w:r>
      <w:r w:rsidRPr="00D17C40">
        <w:t xml:space="preserve">likely to entail catastrophic repercussions for the livelihood and economic wellbeing of the population of the </w:t>
      </w:r>
      <w:r w:rsidRPr="00D17C40">
        <w:lastRenderedPageBreak/>
        <w:t>countries concerned</w:t>
      </w:r>
      <w:r w:rsidR="00841A78">
        <w:t>”</w:t>
      </w:r>
      <w:r w:rsidRPr="00D17C40">
        <w:t xml:space="preserve"> is inequitable.</w:t>
      </w:r>
      <w:r w:rsidRPr="00D17C40">
        <w:rPr>
          <w:vertAlign w:val="superscript"/>
        </w:rPr>
        <w:footnoteReference w:id="113"/>
      </w:r>
      <w:r w:rsidRPr="00D17C40">
        <w:t xml:space="preserve"> Many low-lying coastal developing States are financially incapable of artificially reinforcing their coastlines to preserve their maritime entitlements.</w:t>
      </w:r>
      <w:r w:rsidRPr="00D17C40">
        <w:rPr>
          <w:vertAlign w:val="superscript"/>
        </w:rPr>
        <w:footnoteReference w:id="114"/>
      </w:r>
      <w:r w:rsidRPr="00D17C40">
        <w:t xml:space="preserve"> Even a minor loss of maritime entitlements would result in detrimental consequences for many of those States by depriving them of valuable offshore revenue.</w:t>
      </w:r>
      <w:r w:rsidRPr="00D17C40">
        <w:rPr>
          <w:vertAlign w:val="superscript"/>
        </w:rPr>
        <w:footnoteReference w:id="115"/>
      </w:r>
      <w:r w:rsidRPr="00D17C40">
        <w:t xml:space="preserve"> This inequitable result can be prevented by preserving existing maritime entitlements through fixed baselines.</w:t>
      </w:r>
      <w:r w:rsidRPr="00D17C40">
        <w:rPr>
          <w:vertAlign w:val="superscript"/>
        </w:rPr>
        <w:footnoteReference w:id="116"/>
      </w:r>
    </w:p>
    <w:p w14:paraId="31FDFBC4" w14:textId="54FF0942" w:rsidR="00D17C40" w:rsidRPr="00D17C40" w:rsidRDefault="00D17C40" w:rsidP="00B41ED0">
      <w:pPr>
        <w:pStyle w:val="Memo"/>
        <w:widowControl/>
      </w:pPr>
      <w:r w:rsidRPr="00D17C40">
        <w:rPr>
          <w:lang w:val="en-GB"/>
        </w:rPr>
        <w:t>Third</w:t>
      </w:r>
      <w:r w:rsidRPr="00D17C40">
        <w:t>, regarding the context, Articles 7(2) and 76(9) UNCLOS demonstrate that</w:t>
      </w:r>
      <w:r w:rsidR="001F57EB">
        <w:t>,</w:t>
      </w:r>
      <w:r w:rsidRPr="00D17C40">
        <w:t xml:space="preserve"> where the drafters of the Convention foresaw conditions that could undermine legal certainty, they embraced the permanence of baselines and of the outer limits of maritime zones.</w:t>
      </w:r>
      <w:r w:rsidRPr="00D17C40">
        <w:rPr>
          <w:vertAlign w:val="superscript"/>
        </w:rPr>
        <w:footnoteReference w:id="117"/>
      </w:r>
      <w:r w:rsidRPr="00D17C40">
        <w:t xml:space="preserve"> As confirmed by the </w:t>
      </w:r>
      <w:r w:rsidRPr="00D17C40">
        <w:rPr>
          <w:i/>
          <w:iCs/>
        </w:rPr>
        <w:t xml:space="preserve">travaux </w:t>
      </w:r>
      <w:proofErr w:type="spellStart"/>
      <w:r w:rsidR="00841A78" w:rsidRPr="00841A78">
        <w:rPr>
          <w:i/>
          <w:iCs/>
          <w:lang w:val="en-GB"/>
        </w:rPr>
        <w:t>préparatoires</w:t>
      </w:r>
      <w:proofErr w:type="spellEnd"/>
      <w:r w:rsidRPr="00D17C40">
        <w:t>, the absence of an explicit provision to this effect in Article 5 UNCLOS is attributed to the fact that, during the Convention’s negotiation, the issue of climate change was not considered.</w:t>
      </w:r>
      <w:r w:rsidRPr="00D17C40">
        <w:rPr>
          <w:vertAlign w:val="superscript"/>
        </w:rPr>
        <w:footnoteReference w:id="118"/>
      </w:r>
    </w:p>
    <w:p w14:paraId="77B04F2A" w14:textId="77777777" w:rsidR="00D17C40" w:rsidRPr="00D17C40" w:rsidRDefault="00D17C40" w:rsidP="00B41ED0">
      <w:pPr>
        <w:pStyle w:val="Memo"/>
        <w:widowControl/>
      </w:pPr>
      <w:r w:rsidRPr="00D17C40">
        <w:rPr>
          <w:lang w:val="en-GB"/>
        </w:rPr>
        <w:t xml:space="preserve">Consequently, </w:t>
      </w:r>
      <w:r w:rsidRPr="00D17C40">
        <w:t xml:space="preserve">the ordinary meaning of the terms of Article 5 UNCLOS, its context, the object and purpose of the Convention, and the </w:t>
      </w:r>
      <w:r w:rsidRPr="00D17C40">
        <w:rPr>
          <w:i/>
          <w:iCs/>
        </w:rPr>
        <w:t xml:space="preserve">travaux </w:t>
      </w:r>
      <w:proofErr w:type="spellStart"/>
      <w:r w:rsidRPr="00D17C40">
        <w:rPr>
          <w:i/>
          <w:iCs/>
        </w:rPr>
        <w:t>préparatoires</w:t>
      </w:r>
      <w:proofErr w:type="spellEnd"/>
      <w:r w:rsidRPr="00D17C40">
        <w:t xml:space="preserve"> confirm that Ambrosia’s fixed baselines are consistent with the Convention.</w:t>
      </w:r>
    </w:p>
    <w:p w14:paraId="41D9EA9B" w14:textId="77777777" w:rsidR="00D17C40" w:rsidRPr="00D17C40" w:rsidRDefault="00D17C40" w:rsidP="00B41ED0">
      <w:pPr>
        <w:pStyle w:val="berschrift4"/>
        <w:keepNext w:val="0"/>
      </w:pPr>
      <w:bookmarkStart w:id="142" w:name="_Toc187434080"/>
      <w:bookmarkStart w:id="143" w:name="_Toc187681668"/>
      <w:bookmarkStart w:id="144" w:name="_Toc187692170"/>
      <w:r w:rsidRPr="00D17C40">
        <w:t>Subsequent State practice further supports that Ambrosia’s fixed baselines are consistent with UNCLOS.</w:t>
      </w:r>
      <w:bookmarkEnd w:id="142"/>
      <w:bookmarkEnd w:id="143"/>
      <w:bookmarkEnd w:id="144"/>
      <w:r w:rsidRPr="00D17C40">
        <w:t xml:space="preserve"> </w:t>
      </w:r>
    </w:p>
    <w:p w14:paraId="600A08F5" w14:textId="2B2013DE" w:rsidR="00D17C40" w:rsidRPr="00D17C40" w:rsidRDefault="00D17C40" w:rsidP="00B41ED0">
      <w:pPr>
        <w:pStyle w:val="Memo"/>
        <w:widowControl/>
      </w:pPr>
      <w:r w:rsidRPr="00D17C40">
        <w:t>According to Article 31(3)(b) VCLT, any subsequent practice in the application of the treaty which establishes the agreement of the Parties regarding its interpretation shall be taken into account.</w:t>
      </w:r>
      <w:bookmarkStart w:id="145" w:name="_Ref187654613"/>
      <w:r w:rsidRPr="00D17C40">
        <w:rPr>
          <w:vertAlign w:val="superscript"/>
        </w:rPr>
        <w:footnoteReference w:id="119"/>
      </w:r>
      <w:bookmarkEnd w:id="145"/>
      <w:r w:rsidRPr="00D17C40">
        <w:t xml:space="preserve"> To establish such an agreement, the practice need not be actively engaged in </w:t>
      </w:r>
      <w:r w:rsidRPr="00D17C40">
        <w:lastRenderedPageBreak/>
        <w:t>by all the Parties to the treaty.</w:t>
      </w:r>
      <w:r w:rsidRPr="00D17C40">
        <w:rPr>
          <w:vertAlign w:val="superscript"/>
        </w:rPr>
        <w:footnoteReference w:id="120"/>
      </w:r>
      <w:r w:rsidRPr="00D17C40">
        <w:t xml:space="preserve"> Instead, acceptance by the great majority, which practically denotes the universal agreement amongst the Parties</w:t>
      </w:r>
      <w:r w:rsidR="009654BC">
        <w:t>, suffices</w:t>
      </w:r>
      <w:r w:rsidRPr="00D17C40">
        <w:t>.</w:t>
      </w:r>
      <w:r w:rsidRPr="00D17C40">
        <w:rPr>
          <w:vertAlign w:val="superscript"/>
        </w:rPr>
        <w:footnoteReference w:id="121"/>
      </w:r>
      <w:r w:rsidRPr="00D17C40">
        <w:t xml:space="preserve"> As this Court found in the </w:t>
      </w:r>
      <w:r w:rsidRPr="00D17C40">
        <w:rPr>
          <w:i/>
          <w:iCs/>
        </w:rPr>
        <w:t xml:space="preserve">Temple of Preah </w:t>
      </w:r>
      <w:proofErr w:type="spellStart"/>
      <w:r w:rsidRPr="00D17C40">
        <w:rPr>
          <w:i/>
          <w:iCs/>
        </w:rPr>
        <w:t>Vihear</w:t>
      </w:r>
      <w:proofErr w:type="spellEnd"/>
      <w:r w:rsidR="00841A78" w:rsidRPr="00841A78">
        <w:rPr>
          <w:iCs/>
        </w:rPr>
        <w:t>,</w:t>
      </w:r>
      <w:bookmarkStart w:id="146" w:name="_Ref187654837"/>
      <w:r w:rsidRPr="00D17C40">
        <w:rPr>
          <w:vertAlign w:val="superscript"/>
        </w:rPr>
        <w:footnoteReference w:id="122"/>
      </w:r>
      <w:bookmarkEnd w:id="146"/>
      <w:r w:rsidRPr="00D17C40">
        <w:t xml:space="preserve"> such acceptance can be established through acquiescence, i.e. silence or inaction when the circumstances call for a reaction.</w:t>
      </w:r>
      <w:r w:rsidRPr="00D17C40">
        <w:rPr>
          <w:vertAlign w:val="superscript"/>
        </w:rPr>
        <w:footnoteReference w:id="123"/>
      </w:r>
      <w:r w:rsidRPr="00D17C40">
        <w:t xml:space="preserve"> Circumstances calling for reaction are practices with implications for the interpretation of the treaty which the other Parties are aware of.</w:t>
      </w:r>
      <w:r w:rsidRPr="00D17C40">
        <w:rPr>
          <w:vertAlign w:val="superscript"/>
        </w:rPr>
        <w:footnoteReference w:id="124"/>
      </w:r>
    </w:p>
    <w:p w14:paraId="7C06983C" w14:textId="185DD06A" w:rsidR="00D17C40" w:rsidRPr="00D17C40" w:rsidRDefault="00D17C40" w:rsidP="00B41ED0">
      <w:pPr>
        <w:pStyle w:val="Memo"/>
        <w:widowControl/>
      </w:pPr>
      <w:r w:rsidRPr="00D17C40">
        <w:t>Dozens of UNCLOS State Parties have either already fixed their baselines in the belief that such conduct is consistent with UNCLOS or expressed their endorsement of such an interpretation of the Convention.</w:t>
      </w:r>
      <w:bookmarkStart w:id="147" w:name="_Ref187655413"/>
      <w:r w:rsidRPr="00D17C40">
        <w:rPr>
          <w:vertAlign w:val="superscript"/>
        </w:rPr>
        <w:footnoteReference w:id="125"/>
      </w:r>
      <w:bookmarkEnd w:id="147"/>
      <w:r w:rsidRPr="00D17C40">
        <w:rPr>
          <w:lang w:val="x-none"/>
        </w:rPr>
        <w:t xml:space="preserve"> </w:t>
      </w:r>
      <w:r w:rsidR="00126CD7">
        <w:t>Additionally</w:t>
      </w:r>
      <w:r w:rsidRPr="00D17C40">
        <w:t xml:space="preserve">, </w:t>
      </w:r>
      <w:r w:rsidR="00126CD7">
        <w:t>considering</w:t>
      </w:r>
      <w:r w:rsidRPr="00D17C40">
        <w:t>, the examination of the legal effects of sea-level</w:t>
      </w:r>
      <w:r w:rsidR="005D0AF6">
        <w:t xml:space="preserve"> </w:t>
      </w:r>
      <w:r w:rsidRPr="00D17C40">
        <w:t>rise on baselines by the ILC,</w:t>
      </w:r>
      <w:r w:rsidRPr="00D17C40">
        <w:rPr>
          <w:vertAlign w:val="superscript"/>
        </w:rPr>
        <w:footnoteReference w:id="126"/>
      </w:r>
      <w:r w:rsidRPr="00D17C40">
        <w:t xml:space="preserve"> Member States to UNCLOS had ample opportunities to voice concerns.</w:t>
      </w:r>
    </w:p>
    <w:p w14:paraId="240B31F5" w14:textId="4EEFEEAD" w:rsidR="00D17C40" w:rsidRPr="00D17C40" w:rsidRDefault="00D17C40" w:rsidP="00B41ED0">
      <w:pPr>
        <w:pStyle w:val="Memo"/>
        <w:widowControl/>
      </w:pPr>
      <w:r w:rsidRPr="00D17C40">
        <w:lastRenderedPageBreak/>
        <w:t xml:space="preserve">Therefore, the silence of the rest amounts to their acceptance of that practice. Apart from </w:t>
      </w:r>
      <w:proofErr w:type="spellStart"/>
      <w:r w:rsidRPr="00D17C40">
        <w:t>Rovinia</w:t>
      </w:r>
      <w:proofErr w:type="spellEnd"/>
      <w:r w:rsidR="005D0AF6">
        <w:t>,</w:t>
      </w:r>
      <w:r w:rsidRPr="00D17C40">
        <w:rPr>
          <w:vertAlign w:val="superscript"/>
        </w:rPr>
        <w:footnoteReference w:id="127"/>
      </w:r>
      <w:r w:rsidRPr="00D17C40">
        <w:t xml:space="preserve"> no other </w:t>
      </w:r>
      <w:r w:rsidR="005D0AF6">
        <w:t>P</w:t>
      </w:r>
      <w:r w:rsidRPr="00D17C40">
        <w:t>arty to UNCLOS has protested.</w:t>
      </w:r>
      <w:r w:rsidRPr="00D17C40">
        <w:rPr>
          <w:vertAlign w:val="superscript"/>
        </w:rPr>
        <w:footnoteReference w:id="128"/>
      </w:r>
      <w:r w:rsidRPr="00D17C40">
        <w:t xml:space="preserve"> </w:t>
      </w:r>
      <w:r w:rsidR="00126CD7">
        <w:t>Since</w:t>
      </w:r>
      <w:r w:rsidRPr="00D17C40">
        <w:t xml:space="preserve"> UNCLOS is a global multilateral treaty, the opposition of a single State cannot preclude an agreement of the </w:t>
      </w:r>
      <w:r w:rsidR="005D0AF6">
        <w:t>P</w:t>
      </w:r>
      <w:r w:rsidRPr="00D17C40">
        <w:t>arties under Article 31(3)(b) VCLT. Hence, subsequent State practice</w:t>
      </w:r>
      <w:r w:rsidR="00502FDE">
        <w:t xml:space="preserve"> </w:t>
      </w:r>
      <w:r w:rsidR="00B27C74">
        <w:t>further supports</w:t>
      </w:r>
      <w:r w:rsidRPr="00D17C40">
        <w:t xml:space="preserve"> that Ambrosia’s fixed baselines are consistent with UNCLOS.</w:t>
      </w:r>
    </w:p>
    <w:p w14:paraId="5C8836BB" w14:textId="77777777" w:rsidR="00D17C40" w:rsidRPr="00D17C40" w:rsidRDefault="00D17C40" w:rsidP="00B41ED0">
      <w:pPr>
        <w:pStyle w:val="berschrift3a"/>
        <w:keepNext w:val="0"/>
      </w:pPr>
      <w:bookmarkStart w:id="148" w:name="_Toc187434081"/>
      <w:bookmarkStart w:id="149" w:name="_Toc187681669"/>
      <w:bookmarkStart w:id="150" w:name="_Toc187692171"/>
      <w:bookmarkStart w:id="151" w:name="_Toc183298346"/>
      <w:bookmarkStart w:id="152" w:name="_Toc181644118"/>
      <w:proofErr w:type="spellStart"/>
      <w:r w:rsidRPr="00D17C40">
        <w:t>Rovinia’s</w:t>
      </w:r>
      <w:proofErr w:type="spellEnd"/>
      <w:r w:rsidRPr="00D17C40">
        <w:t xml:space="preserve"> issuance of licenses to fish in Ambrosia’s EEZ is prohibited under Article 56(1)(a) UNCLOS.</w:t>
      </w:r>
      <w:bookmarkEnd w:id="148"/>
      <w:bookmarkEnd w:id="149"/>
      <w:bookmarkEnd w:id="150"/>
    </w:p>
    <w:bookmarkEnd w:id="151"/>
    <w:bookmarkEnd w:id="152"/>
    <w:p w14:paraId="70A87CA5" w14:textId="54A68FFF" w:rsidR="00D17C40" w:rsidRPr="00D17C40" w:rsidRDefault="00D17C40" w:rsidP="00B41ED0">
      <w:pPr>
        <w:pStyle w:val="Memo"/>
        <w:widowControl/>
      </w:pPr>
      <w:r w:rsidRPr="00D17C40">
        <w:t>Under Article 56(1)</w:t>
      </w:r>
      <w:r w:rsidR="005D0AF6">
        <w:t>(a)</w:t>
      </w:r>
      <w:r w:rsidRPr="00D17C40">
        <w:t> UNCLOS, the coastal State enjoys sovereign rights for the purpose of exploiting the natural resources within its EEZ, including the right to issue fishing licenses.</w:t>
      </w:r>
      <w:r w:rsidRPr="00D17C40">
        <w:rPr>
          <w:vertAlign w:val="superscript"/>
        </w:rPr>
        <w:footnoteReference w:id="129"/>
      </w:r>
      <w:r w:rsidRPr="00D17C40">
        <w:t xml:space="preserve"> </w:t>
      </w:r>
      <w:proofErr w:type="spellStart"/>
      <w:r w:rsidRPr="00D17C40">
        <w:t>Rovinia</w:t>
      </w:r>
      <w:proofErr w:type="spellEnd"/>
      <w:r w:rsidRPr="00D17C40">
        <w:t xml:space="preserve"> issues fishing licenses for yellowfin tuna covering the entirety of the Triton Shoal,</w:t>
      </w:r>
      <w:r w:rsidRPr="00D17C40">
        <w:rPr>
          <w:vertAlign w:val="superscript"/>
        </w:rPr>
        <w:footnoteReference w:id="130"/>
      </w:r>
      <w:r w:rsidRPr="00D17C40">
        <w:t xml:space="preserve"> parts of which are located within Ambrosia’s EEZ.</w:t>
      </w:r>
      <w:r w:rsidRPr="00D17C40">
        <w:rPr>
          <w:vertAlign w:val="superscript"/>
        </w:rPr>
        <w:footnoteReference w:id="131"/>
      </w:r>
      <w:r w:rsidRPr="00D17C40">
        <w:t xml:space="preserve"> Therefore, </w:t>
      </w:r>
      <w:proofErr w:type="spellStart"/>
      <w:r w:rsidRPr="00D17C40">
        <w:t>Rovinia’s</w:t>
      </w:r>
      <w:proofErr w:type="spellEnd"/>
      <w:r w:rsidRPr="00D17C40">
        <w:t xml:space="preserve"> issuance of licenses to fish in those parts of Triton Shoal within Ambrosia’s EEZ is prohibited under Article 56(1)(a) UNCLOS. </w:t>
      </w:r>
    </w:p>
    <w:p w14:paraId="0AC2C88C" w14:textId="77777777" w:rsidR="00D17C40" w:rsidRPr="00D17C40" w:rsidRDefault="00D17C40" w:rsidP="00B41ED0">
      <w:pPr>
        <w:pStyle w:val="berschrift2"/>
        <w:keepNext w:val="0"/>
        <w:widowControl/>
      </w:pPr>
      <w:bookmarkStart w:id="153" w:name="_Toc183298347"/>
      <w:bookmarkStart w:id="154" w:name="_Toc181644119"/>
      <w:bookmarkStart w:id="155" w:name="_Toc180269636"/>
      <w:bookmarkStart w:id="156" w:name="_Toc187434082"/>
      <w:bookmarkStart w:id="157" w:name="_Toc187681670"/>
      <w:bookmarkStart w:id="158" w:name="_Toc187692172"/>
      <w:r w:rsidRPr="00D17C40">
        <w:t xml:space="preserve">Further, </w:t>
      </w:r>
      <w:proofErr w:type="spellStart"/>
      <w:r w:rsidRPr="00D17C40">
        <w:t>Rovinia</w:t>
      </w:r>
      <w:proofErr w:type="spellEnd"/>
      <w:r w:rsidRPr="00D17C40">
        <w:t xml:space="preserve"> violates general customary international law</w:t>
      </w:r>
      <w:bookmarkEnd w:id="153"/>
      <w:bookmarkEnd w:id="154"/>
      <w:bookmarkEnd w:id="155"/>
      <w:r w:rsidRPr="00D17C40">
        <w:t>.</w:t>
      </w:r>
      <w:bookmarkEnd w:id="156"/>
      <w:bookmarkEnd w:id="157"/>
      <w:bookmarkEnd w:id="158"/>
    </w:p>
    <w:p w14:paraId="6D94470C" w14:textId="77777777" w:rsidR="00D17C40" w:rsidRPr="00D17C40" w:rsidRDefault="00D17C40" w:rsidP="00B41ED0">
      <w:pPr>
        <w:pStyle w:val="Memo"/>
        <w:widowControl/>
      </w:pPr>
      <w:r w:rsidRPr="00D17C40">
        <w:t>The coastal State’s sovereign right to exploit the natural resources within its EEZ reflects general customary international law.</w:t>
      </w:r>
      <w:r w:rsidRPr="00D17C40">
        <w:rPr>
          <w:vertAlign w:val="superscript"/>
        </w:rPr>
        <w:footnoteReference w:id="132"/>
      </w:r>
      <w:r w:rsidRPr="00D17C40">
        <w:t xml:space="preserve"> Measuring the EEZ from fixed baselines also forms part of general customary international law: In evaluating State practice, the practice of specially affected States carries particular weight.</w:t>
      </w:r>
      <w:r w:rsidRPr="00D17C40">
        <w:rPr>
          <w:vertAlign w:val="superscript"/>
        </w:rPr>
        <w:footnoteReference w:id="133"/>
      </w:r>
      <w:r w:rsidRPr="00D17C40">
        <w:t xml:space="preserve"> Specially affected States are States that are most impacted by the issue which gives rise to the forming customary rule.</w:t>
      </w:r>
      <w:bookmarkStart w:id="159" w:name="_Ref187655257"/>
      <w:r w:rsidRPr="00D17C40">
        <w:rPr>
          <w:vertAlign w:val="superscript"/>
        </w:rPr>
        <w:footnoteReference w:id="134"/>
      </w:r>
      <w:bookmarkEnd w:id="159"/>
      <w:r w:rsidRPr="00D17C40">
        <w:t xml:space="preserve"> </w:t>
      </w:r>
    </w:p>
    <w:p w14:paraId="6C768D4B" w14:textId="68594702" w:rsidR="00D17C40" w:rsidRPr="00D17C40" w:rsidRDefault="005200ED" w:rsidP="00B41ED0">
      <w:pPr>
        <w:pStyle w:val="Memo"/>
        <w:widowControl/>
      </w:pPr>
      <w:r>
        <w:lastRenderedPageBreak/>
        <w:t>Being acutely vulnerable to sea-level rise and, accordingly, specially affected, the great majority of l</w:t>
      </w:r>
      <w:r w:rsidR="00D17C40" w:rsidRPr="00D17C40">
        <w:t>ow-lying coastal States have already fixed their baselines.</w:t>
      </w:r>
      <w:r w:rsidR="00D17C40" w:rsidRPr="00D17C40">
        <w:rPr>
          <w:vertAlign w:val="superscript"/>
        </w:rPr>
        <w:footnoteReference w:id="135"/>
      </w:r>
      <w:r w:rsidR="00D17C40" w:rsidRPr="00D17C40">
        <w:t xml:space="preserve"> Moreover, a multitude of States, including States not Party to UNCLOS, have endorsed fixing baselines independently from the Convention</w:t>
      </w:r>
      <w:r w:rsidR="005D0AF6">
        <w:t>.</w:t>
      </w:r>
      <w:r w:rsidR="00D17C40" w:rsidRPr="00D17C40">
        <w:rPr>
          <w:vertAlign w:val="superscript"/>
        </w:rPr>
        <w:footnoteReference w:id="136"/>
      </w:r>
      <w:r w:rsidR="00D17C40" w:rsidRPr="00D17C40">
        <w:t xml:space="preserve"> Hence, fixed baselines form part of general customary international law.</w:t>
      </w:r>
    </w:p>
    <w:p w14:paraId="1B1772DB" w14:textId="51AEB7DE" w:rsidR="00D17C40" w:rsidRPr="00D17C40" w:rsidRDefault="00D17C40" w:rsidP="00B41ED0">
      <w:pPr>
        <w:pStyle w:val="Memo"/>
        <w:widowControl/>
      </w:pPr>
      <w:r w:rsidRPr="00D17C40">
        <w:t>By issuing licenses to fish in those parts of the Triton Shoal within Ambrosia’s EEZ, as measured from its fixed baselines,</w:t>
      </w:r>
      <w:r w:rsidRPr="00D17C40">
        <w:rPr>
          <w:vertAlign w:val="superscript"/>
        </w:rPr>
        <w:footnoteReference w:id="137"/>
      </w:r>
      <w:r w:rsidRPr="00D17C40">
        <w:t xml:space="preserve"> </w:t>
      </w:r>
      <w:proofErr w:type="spellStart"/>
      <w:r w:rsidRPr="00D17C40">
        <w:t>Rovinia</w:t>
      </w:r>
      <w:proofErr w:type="spellEnd"/>
      <w:r w:rsidRPr="00D17C40">
        <w:t xml:space="preserve"> violates general customary international law.</w:t>
      </w:r>
    </w:p>
    <w:p w14:paraId="6D9DF1BB" w14:textId="30CFF0CB" w:rsidR="00D17C40" w:rsidRPr="00D17C40" w:rsidRDefault="00D17C40" w:rsidP="00B41ED0">
      <w:pPr>
        <w:pStyle w:val="berschrift2"/>
        <w:keepNext w:val="0"/>
        <w:widowControl/>
      </w:pPr>
      <w:bookmarkStart w:id="160" w:name="_Toc183298348"/>
      <w:bookmarkStart w:id="161" w:name="_Toc181644120"/>
      <w:bookmarkStart w:id="162" w:name="_Toc180269637"/>
      <w:bookmarkStart w:id="163" w:name="_Toc187434083"/>
      <w:bookmarkStart w:id="164" w:name="_Toc187681671"/>
      <w:bookmarkStart w:id="165" w:name="_Toc187692173"/>
      <w:r w:rsidRPr="00D17C40">
        <w:t xml:space="preserve">In any case, </w:t>
      </w:r>
      <w:proofErr w:type="spellStart"/>
      <w:r w:rsidRPr="00D17C40">
        <w:t>Rovinia</w:t>
      </w:r>
      <w:proofErr w:type="spellEnd"/>
      <w:r w:rsidRPr="00D17C40">
        <w:t xml:space="preserve"> violates regional customary international law</w:t>
      </w:r>
      <w:bookmarkEnd w:id="160"/>
      <w:bookmarkEnd w:id="161"/>
      <w:bookmarkEnd w:id="162"/>
      <w:r w:rsidRPr="00D17C40">
        <w:t xml:space="preserve"> </w:t>
      </w:r>
      <w:r w:rsidR="00126CD7">
        <w:t>on</w:t>
      </w:r>
      <w:r w:rsidRPr="00D17C40">
        <w:t xml:space="preserve"> the Paine Peninsula.</w:t>
      </w:r>
      <w:bookmarkEnd w:id="163"/>
      <w:bookmarkEnd w:id="164"/>
      <w:bookmarkEnd w:id="165"/>
    </w:p>
    <w:p w14:paraId="5F4F7949" w14:textId="0CFF86F2" w:rsidR="00D17C40" w:rsidRPr="00D17C40" w:rsidRDefault="00D17C40" w:rsidP="00B41ED0">
      <w:pPr>
        <w:pStyle w:val="Memo"/>
        <w:widowControl/>
      </w:pPr>
      <w:r w:rsidRPr="00D17C40">
        <w:t xml:space="preserve">Under regional customary international law </w:t>
      </w:r>
      <w:r w:rsidR="00126CD7">
        <w:t>on</w:t>
      </w:r>
      <w:r w:rsidRPr="00D17C40">
        <w:t xml:space="preserve"> the Paine Peninsula, maritime zones may be measured from fixed baselines </w:t>
      </w:r>
      <w:r w:rsidRPr="005D0AF6">
        <w:rPr>
          <w:bCs/>
        </w:rPr>
        <w:t>(</w:t>
      </w:r>
      <w:r w:rsidRPr="00D17C40">
        <w:rPr>
          <w:b/>
          <w:bCs/>
        </w:rPr>
        <w:t>1.</w:t>
      </w:r>
      <w:r w:rsidRPr="005D0AF6">
        <w:rPr>
          <w:bCs/>
        </w:rPr>
        <w:t>)</w:t>
      </w:r>
      <w:r w:rsidRPr="00D17C40">
        <w:t xml:space="preserve">. </w:t>
      </w:r>
      <w:proofErr w:type="spellStart"/>
      <w:r w:rsidRPr="00D17C40">
        <w:t>Rovinia</w:t>
      </w:r>
      <w:proofErr w:type="spellEnd"/>
      <w:r w:rsidRPr="00D17C40">
        <w:t xml:space="preserve"> is not a persistent objector </w:t>
      </w:r>
      <w:r w:rsidRPr="005D0AF6">
        <w:rPr>
          <w:bCs/>
        </w:rPr>
        <w:t>(</w:t>
      </w:r>
      <w:r w:rsidRPr="00D17C40">
        <w:rPr>
          <w:b/>
          <w:bCs/>
        </w:rPr>
        <w:t>2.</w:t>
      </w:r>
      <w:r w:rsidRPr="005D0AF6">
        <w:rPr>
          <w:bCs/>
        </w:rPr>
        <w:t>)</w:t>
      </w:r>
      <w:r w:rsidRPr="005D0AF6">
        <w:t xml:space="preserve">. </w:t>
      </w:r>
    </w:p>
    <w:p w14:paraId="06ECC428" w14:textId="4ADC4205" w:rsidR="00D17C40" w:rsidRPr="00D17C40" w:rsidRDefault="00D17C40" w:rsidP="00B41ED0">
      <w:pPr>
        <w:pStyle w:val="berschrift3a"/>
        <w:keepNext w:val="0"/>
        <w:numPr>
          <w:ilvl w:val="0"/>
          <w:numId w:val="31"/>
        </w:numPr>
      </w:pPr>
      <w:bookmarkStart w:id="166" w:name="_Toc187434084"/>
      <w:bookmarkStart w:id="167" w:name="_Toc187681672"/>
      <w:bookmarkStart w:id="168" w:name="_Toc187692174"/>
      <w:r w:rsidRPr="00D17C40">
        <w:t xml:space="preserve">Under regional customary international law </w:t>
      </w:r>
      <w:r w:rsidR="00126CD7">
        <w:t>on</w:t>
      </w:r>
      <w:r w:rsidRPr="00D17C40">
        <w:t xml:space="preserve"> the Paine Peninsula, maritime zones may be measured from fixed baselines.</w:t>
      </w:r>
      <w:bookmarkEnd w:id="166"/>
      <w:bookmarkEnd w:id="167"/>
      <w:bookmarkEnd w:id="168"/>
    </w:p>
    <w:p w14:paraId="442DF5D1" w14:textId="570939F0" w:rsidR="00D17C40" w:rsidRPr="00D17C40" w:rsidRDefault="00D17C40" w:rsidP="00B41ED0">
      <w:pPr>
        <w:pStyle w:val="Memo"/>
        <w:widowControl/>
        <w:rPr>
          <w:lang w:val="en-GB"/>
        </w:rPr>
      </w:pPr>
      <w:r w:rsidRPr="00D17C40">
        <w:t xml:space="preserve">As this Court held in the </w:t>
      </w:r>
      <w:r w:rsidRPr="00D17C40">
        <w:rPr>
          <w:i/>
          <w:iCs/>
        </w:rPr>
        <w:t xml:space="preserve">Asylum Case, </w:t>
      </w:r>
      <w:r w:rsidRPr="00D17C40">
        <w:t>customary international law can emerge regionally and, consequently, only apply to a limited number of States.</w:t>
      </w:r>
      <w:r w:rsidRPr="00D17C40">
        <w:rPr>
          <w:vertAlign w:val="superscript"/>
        </w:rPr>
        <w:footnoteReference w:id="138"/>
      </w:r>
      <w:r w:rsidRPr="00D17C40">
        <w:t xml:space="preserve"> Its emergence requires extensive and </w:t>
      </w:r>
      <w:r w:rsidR="000A5D4D">
        <w:t>consistent</w:t>
      </w:r>
      <w:r w:rsidRPr="00D17C40">
        <w:t xml:space="preserve"> practice as well as </w:t>
      </w:r>
      <w:proofErr w:type="spellStart"/>
      <w:r w:rsidRPr="00D17C40">
        <w:rPr>
          <w:i/>
          <w:iCs/>
        </w:rPr>
        <w:t>opinio</w:t>
      </w:r>
      <w:proofErr w:type="spellEnd"/>
      <w:r w:rsidRPr="00D17C40">
        <w:rPr>
          <w:i/>
          <w:iCs/>
        </w:rPr>
        <w:t xml:space="preserve"> juris</w:t>
      </w:r>
      <w:r w:rsidRPr="00D17C40">
        <w:t xml:space="preserve"> among the States concerned.</w:t>
      </w:r>
      <w:r w:rsidRPr="00D17C40">
        <w:rPr>
          <w:vertAlign w:val="superscript"/>
        </w:rPr>
        <w:footnoteReference w:id="139"/>
      </w:r>
    </w:p>
    <w:p w14:paraId="323C311D" w14:textId="725F2862" w:rsidR="00D17C40" w:rsidRPr="00D17C40" w:rsidRDefault="00D17C40" w:rsidP="00B41ED0">
      <w:pPr>
        <w:pStyle w:val="Memo"/>
        <w:widowControl/>
        <w:rPr>
          <w:lang w:val="en-GB"/>
        </w:rPr>
      </w:pPr>
      <w:r w:rsidRPr="00D17C40">
        <w:rPr>
          <w:lang w:val="en-GB"/>
        </w:rPr>
        <w:t xml:space="preserve">By 2016, all States </w:t>
      </w:r>
      <w:r w:rsidR="00502FDE">
        <w:rPr>
          <w:lang w:val="en-GB"/>
        </w:rPr>
        <w:t>on</w:t>
      </w:r>
      <w:r w:rsidRPr="00D17C40">
        <w:rPr>
          <w:lang w:val="en-GB"/>
        </w:rPr>
        <w:t xml:space="preserve"> the Paine Peninsula except for </w:t>
      </w:r>
      <w:proofErr w:type="spellStart"/>
      <w:r w:rsidRPr="00D17C40">
        <w:rPr>
          <w:lang w:val="en-GB"/>
        </w:rPr>
        <w:t>Rovinia</w:t>
      </w:r>
      <w:proofErr w:type="spellEnd"/>
      <w:r w:rsidRPr="00D17C40">
        <w:rPr>
          <w:lang w:val="en-GB"/>
        </w:rPr>
        <w:t xml:space="preserve"> had enacted national legislation fixing their baselines.</w:t>
      </w:r>
      <w:r w:rsidRPr="00D17C40">
        <w:rPr>
          <w:vertAlign w:val="superscript"/>
          <w:lang w:val="en-GB"/>
        </w:rPr>
        <w:footnoteReference w:id="140"/>
      </w:r>
      <w:r w:rsidRPr="00D17C40">
        <w:rPr>
          <w:lang w:val="en-GB"/>
        </w:rPr>
        <w:t xml:space="preserve"> Since then, all OCDP Member States but </w:t>
      </w:r>
      <w:proofErr w:type="spellStart"/>
      <w:r w:rsidRPr="00D17C40">
        <w:rPr>
          <w:lang w:val="en-GB"/>
        </w:rPr>
        <w:t>Rovinia</w:t>
      </w:r>
      <w:proofErr w:type="spellEnd"/>
      <w:r w:rsidRPr="00D17C40">
        <w:rPr>
          <w:lang w:val="en-GB"/>
        </w:rPr>
        <w:t xml:space="preserve"> have annually voted in favour of resolutions endorsing the practice of measuring maritime zones </w:t>
      </w:r>
      <w:r w:rsidRPr="00D17C40">
        <w:rPr>
          <w:lang w:val="en-GB"/>
        </w:rPr>
        <w:lastRenderedPageBreak/>
        <w:t>from fixed baselines.</w:t>
      </w:r>
      <w:r w:rsidRPr="00D17C40">
        <w:rPr>
          <w:vertAlign w:val="superscript"/>
          <w:lang w:val="en-GB"/>
        </w:rPr>
        <w:footnoteReference w:id="141"/>
      </w:r>
      <w:r w:rsidRPr="00D17C40">
        <w:rPr>
          <w:lang w:val="en-GB"/>
        </w:rPr>
        <w:t xml:space="preserve"> </w:t>
      </w:r>
      <w:r w:rsidR="005D0AF6">
        <w:rPr>
          <w:lang w:val="en-GB"/>
        </w:rPr>
        <w:t>T</w:t>
      </w:r>
      <w:r w:rsidRPr="00D17C40">
        <w:rPr>
          <w:lang w:val="en-GB"/>
        </w:rPr>
        <w:t xml:space="preserve">he first </w:t>
      </w:r>
      <w:r w:rsidR="005D0AF6">
        <w:rPr>
          <w:lang w:val="en-GB"/>
        </w:rPr>
        <w:t>resolution</w:t>
      </w:r>
      <w:r w:rsidRPr="00D17C40">
        <w:rPr>
          <w:lang w:val="en-GB"/>
        </w:rPr>
        <w:t xml:space="preserve"> described this practice as a regional rule applicable to all States of the Paine Peninsula.</w:t>
      </w:r>
      <w:r w:rsidRPr="00D17C40">
        <w:rPr>
          <w:vertAlign w:val="superscript"/>
          <w:lang w:val="en-GB"/>
        </w:rPr>
        <w:footnoteReference w:id="142"/>
      </w:r>
    </w:p>
    <w:p w14:paraId="4A34E560" w14:textId="1DE372DE" w:rsidR="00D17C40" w:rsidRPr="00D17C40" w:rsidRDefault="00D17C40" w:rsidP="00B41ED0">
      <w:pPr>
        <w:pStyle w:val="Memo"/>
        <w:widowControl/>
        <w:rPr>
          <w:lang w:val="en-GB"/>
        </w:rPr>
      </w:pPr>
      <w:r w:rsidRPr="00D17C40">
        <w:t xml:space="preserve">Thus, under regional customary international law </w:t>
      </w:r>
      <w:r w:rsidR="00126CD7">
        <w:t>on</w:t>
      </w:r>
      <w:r w:rsidRPr="00D17C40">
        <w:t xml:space="preserve"> the Paine Peninsula, maritime zones may be measured from fixed baselines.</w:t>
      </w:r>
    </w:p>
    <w:p w14:paraId="6A50646C" w14:textId="77777777" w:rsidR="00D17C40" w:rsidRPr="00D17C40" w:rsidRDefault="00D17C40" w:rsidP="00B41ED0">
      <w:pPr>
        <w:pStyle w:val="berschrift3a"/>
        <w:keepNext w:val="0"/>
      </w:pPr>
      <w:bookmarkStart w:id="169" w:name="_Toc187434085"/>
      <w:bookmarkStart w:id="170" w:name="_Toc187681673"/>
      <w:bookmarkStart w:id="171" w:name="_Toc187692175"/>
      <w:proofErr w:type="spellStart"/>
      <w:r w:rsidRPr="00D17C40">
        <w:t>Rovinia</w:t>
      </w:r>
      <w:proofErr w:type="spellEnd"/>
      <w:r w:rsidRPr="00D17C40">
        <w:t xml:space="preserve"> is not a persistent objector.</w:t>
      </w:r>
      <w:bookmarkEnd w:id="169"/>
      <w:bookmarkEnd w:id="170"/>
      <w:bookmarkEnd w:id="171"/>
    </w:p>
    <w:p w14:paraId="29296731" w14:textId="77777777" w:rsidR="00D17C40" w:rsidRPr="00D17C40" w:rsidRDefault="00D17C40" w:rsidP="00B41ED0">
      <w:pPr>
        <w:pStyle w:val="Memo"/>
        <w:widowControl/>
      </w:pPr>
      <w:r w:rsidRPr="00D17C40">
        <w:t>Where a State has objected to a rule of customary international law from its inception, the rule does not apply to that State for as long as it maintains its objection.</w:t>
      </w:r>
      <w:r w:rsidRPr="00D17C40">
        <w:rPr>
          <w:vertAlign w:val="superscript"/>
        </w:rPr>
        <w:footnoteReference w:id="143"/>
      </w:r>
      <w:r w:rsidRPr="00D17C40">
        <w:t xml:space="preserve"> The objection must be maintained persistently, meaning repeatedly beyond isolated objections, and consistently, meaning without contradictions.</w:t>
      </w:r>
      <w:r w:rsidRPr="00D17C40">
        <w:rPr>
          <w:vertAlign w:val="superscript"/>
          <w:lang w:val="en-GB"/>
        </w:rPr>
        <w:footnoteReference w:id="144"/>
      </w:r>
      <w:r w:rsidRPr="00D17C40">
        <w:rPr>
          <w:lang w:val="en-GB"/>
        </w:rPr>
        <w:t xml:space="preserve"> Contradictions lie in accepting a norm on a minority of occasions in the midst of the State’s general policy of objecting.</w:t>
      </w:r>
      <w:r w:rsidRPr="00D17C40">
        <w:rPr>
          <w:vertAlign w:val="superscript"/>
          <w:lang w:val="en-GB"/>
        </w:rPr>
        <w:footnoteReference w:id="145"/>
      </w:r>
      <w:r w:rsidRPr="00D17C40">
        <w:rPr>
          <w:lang w:val="en-GB"/>
        </w:rPr>
        <w:t xml:space="preserve"> </w:t>
      </w:r>
    </w:p>
    <w:p w14:paraId="3468821E" w14:textId="3DD4BC21" w:rsidR="00D17C40" w:rsidRPr="00D17C40" w:rsidRDefault="00D17C40" w:rsidP="00B41ED0">
      <w:pPr>
        <w:pStyle w:val="Memo"/>
        <w:widowControl/>
      </w:pPr>
      <w:r w:rsidRPr="00D17C40">
        <w:t xml:space="preserve">On 6 March 2023, </w:t>
      </w:r>
      <w:proofErr w:type="spellStart"/>
      <w:r w:rsidRPr="00D17C40">
        <w:t>Rovinia</w:t>
      </w:r>
      <w:proofErr w:type="spellEnd"/>
      <w:r w:rsidRPr="00D17C40">
        <w:t xml:space="preserve"> abstained from voting on an OCDP resolution </w:t>
      </w:r>
      <w:proofErr w:type="spellStart"/>
      <w:r w:rsidRPr="00D17C40">
        <w:t>emphasi</w:t>
      </w:r>
      <w:r w:rsidR="005D0AF6">
        <w:t>s</w:t>
      </w:r>
      <w:r w:rsidRPr="00D17C40">
        <w:t>ing</w:t>
      </w:r>
      <w:proofErr w:type="spellEnd"/>
      <w:r w:rsidRPr="00D17C40">
        <w:t xml:space="preserve"> the importance of fixed baselines, thereby contributing to its adoption by the </w:t>
      </w:r>
      <w:proofErr w:type="spellStart"/>
      <w:r w:rsidRPr="00D17C40">
        <w:t>Organi</w:t>
      </w:r>
      <w:r w:rsidR="005D0AF6">
        <w:t>s</w:t>
      </w:r>
      <w:r w:rsidRPr="00D17C40">
        <w:t>ation</w:t>
      </w:r>
      <w:proofErr w:type="spellEnd"/>
      <w:r w:rsidRPr="00D17C40">
        <w:t>.</w:t>
      </w:r>
      <w:r w:rsidRPr="00D17C40">
        <w:rPr>
          <w:vertAlign w:val="superscript"/>
        </w:rPr>
        <w:footnoteReference w:id="146"/>
      </w:r>
      <w:r w:rsidRPr="00D17C40">
        <w:t xml:space="preserve"> In doing so, </w:t>
      </w:r>
      <w:proofErr w:type="spellStart"/>
      <w:r w:rsidRPr="00D17C40">
        <w:t>Rovinia</w:t>
      </w:r>
      <w:proofErr w:type="spellEnd"/>
      <w:r w:rsidRPr="00D17C40">
        <w:t xml:space="preserve"> exposed its broader objection as inconsistent. Hence, </w:t>
      </w:r>
      <w:proofErr w:type="spellStart"/>
      <w:r w:rsidRPr="00D17C40">
        <w:t>Rovinia</w:t>
      </w:r>
      <w:proofErr w:type="spellEnd"/>
      <w:r w:rsidRPr="00D17C40">
        <w:t xml:space="preserve"> is not a persistent objector. </w:t>
      </w:r>
    </w:p>
    <w:p w14:paraId="28547F08" w14:textId="77777777" w:rsidR="00D17C40" w:rsidRPr="00D17C40" w:rsidRDefault="00D17C40" w:rsidP="00B41ED0">
      <w:pPr>
        <w:pStyle w:val="Memo"/>
        <w:widowControl/>
      </w:pPr>
      <w:r w:rsidRPr="00D17C40">
        <w:t>By issuing licenses to fish in those parts of the Triton Shoal within Ambrosia’s EEZ as measured from its fixed baseline,</w:t>
      </w:r>
      <w:r w:rsidRPr="00D17C40">
        <w:rPr>
          <w:vertAlign w:val="superscript"/>
        </w:rPr>
        <w:footnoteReference w:id="147"/>
      </w:r>
      <w:r w:rsidRPr="00D17C40">
        <w:t xml:space="preserve"> </w:t>
      </w:r>
      <w:proofErr w:type="spellStart"/>
      <w:r w:rsidRPr="00D17C40">
        <w:t>Rovinia</w:t>
      </w:r>
      <w:proofErr w:type="spellEnd"/>
      <w:r w:rsidRPr="00D17C40">
        <w:t xml:space="preserve"> violates regional customary international law of the Paine Peninsula.</w:t>
      </w:r>
    </w:p>
    <w:p w14:paraId="4C9A3058" w14:textId="4CC92482" w:rsidR="00D17C40" w:rsidRPr="00522E52" w:rsidRDefault="00D17C40" w:rsidP="00B41ED0">
      <w:pPr>
        <w:pStyle w:val="berschrift2"/>
        <w:keepNext w:val="0"/>
        <w:widowControl/>
      </w:pPr>
      <w:bookmarkStart w:id="172" w:name="_Toc187434086"/>
      <w:bookmarkStart w:id="173" w:name="_Toc183298351"/>
      <w:bookmarkStart w:id="174" w:name="_Toc187681674"/>
      <w:bookmarkStart w:id="175" w:name="_Toc187692176"/>
      <w:proofErr w:type="spellStart"/>
      <w:r w:rsidRPr="00522E52">
        <w:t>Rovinia</w:t>
      </w:r>
      <w:proofErr w:type="spellEnd"/>
      <w:r w:rsidRPr="00522E52">
        <w:t xml:space="preserve"> is obligated to cease issuing</w:t>
      </w:r>
      <w:r w:rsidR="00333E68">
        <w:t xml:space="preserve"> fishing</w:t>
      </w:r>
      <w:r w:rsidRPr="00522E52">
        <w:t xml:space="preserve"> licenses </w:t>
      </w:r>
      <w:r w:rsidR="005D0AF6" w:rsidRPr="00522E52">
        <w:t>for</w:t>
      </w:r>
      <w:r w:rsidRPr="00522E52">
        <w:t xml:space="preserve"> those parts of the Triton Shoal in Ambrosia’s EEZ and to revoke existing licenses.</w:t>
      </w:r>
      <w:bookmarkEnd w:id="172"/>
      <w:bookmarkEnd w:id="173"/>
      <w:bookmarkEnd w:id="174"/>
      <w:bookmarkEnd w:id="175"/>
    </w:p>
    <w:p w14:paraId="523D8306" w14:textId="08CD2BE7" w:rsidR="00D17C40" w:rsidRPr="00D17C40" w:rsidRDefault="00D17C40" w:rsidP="00B41ED0">
      <w:pPr>
        <w:pStyle w:val="Memo"/>
        <w:widowControl/>
      </w:pPr>
      <w:r w:rsidRPr="00D17C40">
        <w:t>Under customary international law, a State responsible for a continuing violation of international law is obligated to cease that act</w:t>
      </w:r>
      <w:bookmarkStart w:id="176" w:name="_Ref187655725"/>
      <w:r w:rsidRPr="00D17C40">
        <w:rPr>
          <w:vertAlign w:val="superscript"/>
        </w:rPr>
        <w:footnoteReference w:id="148"/>
      </w:r>
      <w:bookmarkEnd w:id="176"/>
      <w:r w:rsidRPr="00D17C40">
        <w:t xml:space="preserve"> and to make restitution, i.e. </w:t>
      </w:r>
      <w:r w:rsidR="00126CD7">
        <w:t xml:space="preserve">to </w:t>
      </w:r>
      <w:r w:rsidRPr="00D17C40">
        <w:t xml:space="preserve">re-establish the </w:t>
      </w:r>
      <w:r w:rsidRPr="00D17C40">
        <w:lastRenderedPageBreak/>
        <w:t>situation which existed prior to the wrongful act.</w:t>
      </w:r>
      <w:r w:rsidRPr="00D17C40">
        <w:rPr>
          <w:vertAlign w:val="superscript"/>
        </w:rPr>
        <w:footnoteReference w:id="149"/>
      </w:r>
      <w:r w:rsidRPr="00D17C40">
        <w:t xml:space="preserve"> If the State has repeatedly breached an obligation, implying the possibility of further breaches, the violation is continuing.</w:t>
      </w:r>
      <w:r w:rsidRPr="00D17C40">
        <w:rPr>
          <w:vertAlign w:val="superscript"/>
        </w:rPr>
        <w:footnoteReference w:id="150"/>
      </w:r>
    </w:p>
    <w:p w14:paraId="1CD85BF7" w14:textId="077DF417" w:rsidR="00D17C40" w:rsidRPr="00D17C40" w:rsidRDefault="00D17C40" w:rsidP="00B41ED0">
      <w:pPr>
        <w:pStyle w:val="Memo"/>
        <w:widowControl/>
      </w:pPr>
      <w:proofErr w:type="spellStart"/>
      <w:r w:rsidRPr="00D17C40">
        <w:t>Rovinia</w:t>
      </w:r>
      <w:proofErr w:type="spellEnd"/>
      <w:r w:rsidRPr="00D17C40">
        <w:t xml:space="preserve"> has been issuing licenses to fish in those parts of the Triton Shoal in Ambrosia’s EEZ for the past six years.</w:t>
      </w:r>
      <w:r w:rsidRPr="00D17C40">
        <w:rPr>
          <w:vertAlign w:val="superscript"/>
        </w:rPr>
        <w:footnoteReference w:id="151"/>
      </w:r>
      <w:r w:rsidRPr="00D17C40">
        <w:t xml:space="preserve"> This constitutes a violation of Article 56(1)(a) UNCLOS, general</w:t>
      </w:r>
      <w:r w:rsidR="005D0AF6">
        <w:t>,</w:t>
      </w:r>
      <w:r w:rsidRPr="00D17C40">
        <w:t xml:space="preserve"> and regional customary international law.</w:t>
      </w:r>
      <w:r w:rsidRPr="00D17C40">
        <w:rPr>
          <w:vertAlign w:val="superscript"/>
        </w:rPr>
        <w:footnoteReference w:id="152"/>
      </w:r>
      <w:r w:rsidRPr="00D17C40">
        <w:t xml:space="preserve"> All requests for cessation of that conduct</w:t>
      </w:r>
      <w:r w:rsidR="00522E52">
        <w:t xml:space="preserve"> </w:t>
      </w:r>
      <w:r w:rsidRPr="00D17C40">
        <w:t>were ignored.</w:t>
      </w:r>
      <w:r w:rsidRPr="00D17C40">
        <w:rPr>
          <w:vertAlign w:val="superscript"/>
        </w:rPr>
        <w:footnoteReference w:id="153"/>
      </w:r>
      <w:r w:rsidRPr="00D17C40">
        <w:t xml:space="preserve"> </w:t>
      </w:r>
    </w:p>
    <w:p w14:paraId="2E5A6C12" w14:textId="495ECD83" w:rsidR="00DB069A" w:rsidRDefault="00D17C40" w:rsidP="00B41ED0">
      <w:pPr>
        <w:pStyle w:val="Memo"/>
        <w:widowControl/>
      </w:pPr>
      <w:r w:rsidRPr="00D17C40">
        <w:t xml:space="preserve">Hence, </w:t>
      </w:r>
      <w:proofErr w:type="spellStart"/>
      <w:r w:rsidRPr="00D17C40">
        <w:t>Rovinia</w:t>
      </w:r>
      <w:proofErr w:type="spellEnd"/>
      <w:r w:rsidRPr="00D17C40">
        <w:t xml:space="preserve"> is obligated to cease issuing </w:t>
      </w:r>
      <w:r w:rsidR="001F57EB">
        <w:t xml:space="preserve">fishing </w:t>
      </w:r>
      <w:r w:rsidRPr="00D17C40">
        <w:t xml:space="preserve">licenses in those parts of the Triton Shoal in Ambrosia’s EEZ and to revoke existing licenses. </w:t>
      </w:r>
    </w:p>
    <w:p w14:paraId="4784E5D0" w14:textId="6C5C66C6" w:rsidR="00C43CC7" w:rsidRDefault="00C43CC7" w:rsidP="00B41ED0">
      <w:pPr>
        <w:widowControl/>
        <w:suppressAutoHyphens w:val="0"/>
        <w:spacing w:line="240" w:lineRule="auto"/>
        <w:ind w:firstLine="0"/>
        <w:jc w:val="left"/>
      </w:pPr>
      <w:r>
        <w:br w:type="page"/>
      </w:r>
    </w:p>
    <w:p w14:paraId="47AC636A" w14:textId="77777777" w:rsidR="00830421" w:rsidRPr="00830421" w:rsidRDefault="00830421" w:rsidP="005C5AE2">
      <w:pPr>
        <w:pStyle w:val="berschrift1"/>
        <w:rPr>
          <w:lang w:val="en-GB"/>
        </w:rPr>
      </w:pPr>
      <w:bookmarkStart w:id="177" w:name="_Toc187254369"/>
      <w:bookmarkStart w:id="178" w:name="_Toc187681675"/>
      <w:bookmarkStart w:id="179" w:name="_Toc187692177"/>
      <w:proofErr w:type="spellStart"/>
      <w:r w:rsidRPr="00830421">
        <w:rPr>
          <w:lang w:val="en-GB"/>
        </w:rPr>
        <w:lastRenderedPageBreak/>
        <w:t>Rovinia’s</w:t>
      </w:r>
      <w:proofErr w:type="spellEnd"/>
      <w:r w:rsidRPr="00830421">
        <w:rPr>
          <w:lang w:val="en-GB"/>
        </w:rPr>
        <w:t xml:space="preserve"> seizure and sale of Ambrosia’s aircraft pursuant to the </w:t>
      </w:r>
      <w:proofErr w:type="spellStart"/>
      <w:r w:rsidRPr="00830421">
        <w:rPr>
          <w:lang w:val="en-GB"/>
        </w:rPr>
        <w:t>Permola</w:t>
      </w:r>
      <w:proofErr w:type="spellEnd"/>
      <w:r w:rsidRPr="00830421">
        <w:rPr>
          <w:lang w:val="en-GB"/>
        </w:rPr>
        <w:t xml:space="preserve"> court’s decision on 14 July 2023 on the basis of the Transitional Council’s purported waiver of immunity violated international law.</w:t>
      </w:r>
      <w:bookmarkEnd w:id="177"/>
      <w:bookmarkEnd w:id="178"/>
      <w:bookmarkEnd w:id="179"/>
    </w:p>
    <w:p w14:paraId="3B6EA99B" w14:textId="77777777" w:rsidR="00830421" w:rsidRPr="00830421" w:rsidRDefault="00830421" w:rsidP="00B41ED0">
      <w:pPr>
        <w:pStyle w:val="Memo"/>
        <w:widowControl/>
      </w:pPr>
      <w:proofErr w:type="spellStart"/>
      <w:r w:rsidRPr="00830421">
        <w:t>Rovinia’s</w:t>
      </w:r>
      <w:proofErr w:type="spellEnd"/>
      <w:r w:rsidRPr="00830421">
        <w:t xml:space="preserve"> seizure and sale of Ambrosia’s aircraft The Falcon violated its immunity from enforcement under customary international law (</w:t>
      </w:r>
      <w:r w:rsidRPr="005D0AF6">
        <w:rPr>
          <w:b/>
        </w:rPr>
        <w:t>I.</w:t>
      </w:r>
      <w:r w:rsidRPr="00830421">
        <w:t>) and Article 18(b) VCLT (</w:t>
      </w:r>
      <w:r w:rsidRPr="005D0AF6">
        <w:rPr>
          <w:b/>
        </w:rPr>
        <w:t>II.</w:t>
      </w:r>
      <w:r w:rsidRPr="00830421">
        <w:t>).</w:t>
      </w:r>
    </w:p>
    <w:p w14:paraId="1F6D7FD2" w14:textId="77777777" w:rsidR="00830421" w:rsidRPr="00830421" w:rsidRDefault="00830421" w:rsidP="00B41ED0">
      <w:pPr>
        <w:pStyle w:val="berschrift2"/>
        <w:keepNext w:val="0"/>
        <w:widowControl/>
        <w:numPr>
          <w:ilvl w:val="0"/>
          <w:numId w:val="32"/>
        </w:numPr>
        <w:rPr>
          <w:lang w:val="en-GB"/>
        </w:rPr>
      </w:pPr>
      <w:bookmarkStart w:id="180" w:name="_Toc187254370"/>
      <w:bookmarkStart w:id="181" w:name="_Toc183903341"/>
      <w:bookmarkStart w:id="182" w:name="_Toc187681676"/>
      <w:bookmarkStart w:id="183" w:name="_Toc187692178"/>
      <w:proofErr w:type="spellStart"/>
      <w:r w:rsidRPr="00830421">
        <w:rPr>
          <w:lang w:val="en-GB"/>
        </w:rPr>
        <w:t>Rovinia’s</w:t>
      </w:r>
      <w:proofErr w:type="spellEnd"/>
      <w:r w:rsidRPr="00830421">
        <w:rPr>
          <w:lang w:val="en-GB"/>
        </w:rPr>
        <w:t xml:space="preserve"> seizure and sale of Ambrosia’s aircraft The Falcon violated its immunity from enforcement under customary international law.</w:t>
      </w:r>
      <w:bookmarkEnd w:id="180"/>
      <w:bookmarkEnd w:id="181"/>
      <w:bookmarkEnd w:id="182"/>
      <w:bookmarkEnd w:id="183"/>
    </w:p>
    <w:p w14:paraId="46CD4CF7" w14:textId="77777777" w:rsidR="00830421" w:rsidRPr="00830421" w:rsidRDefault="00830421" w:rsidP="00B41ED0">
      <w:pPr>
        <w:pStyle w:val="Memo"/>
        <w:widowControl/>
      </w:pPr>
      <w:r w:rsidRPr="00830421">
        <w:t xml:space="preserve">The seizure and sale of The Falcon was a measure of constraint against property entitled to immunity from enforcement </w:t>
      </w:r>
      <w:r w:rsidRPr="005D0AF6">
        <w:t>(</w:t>
      </w:r>
      <w:r w:rsidRPr="00830421">
        <w:rPr>
          <w:b/>
        </w:rPr>
        <w:t>1.</w:t>
      </w:r>
      <w:r w:rsidRPr="005D0AF6">
        <w:t>).</w:t>
      </w:r>
      <w:r w:rsidRPr="00830421">
        <w:t xml:space="preserve"> The immunity of the </w:t>
      </w:r>
      <w:proofErr w:type="spellStart"/>
      <w:r w:rsidRPr="00830421">
        <w:t>The</w:t>
      </w:r>
      <w:proofErr w:type="spellEnd"/>
      <w:r w:rsidRPr="00830421">
        <w:t xml:space="preserve"> Falcon was not effectively waived </w:t>
      </w:r>
      <w:r w:rsidRPr="005D0AF6">
        <w:t>(</w:t>
      </w:r>
      <w:r w:rsidRPr="00830421">
        <w:rPr>
          <w:b/>
        </w:rPr>
        <w:t>2.</w:t>
      </w:r>
      <w:r w:rsidRPr="005D0AF6">
        <w:t>).</w:t>
      </w:r>
    </w:p>
    <w:p w14:paraId="4D0E89FA" w14:textId="77777777" w:rsidR="00830421" w:rsidRPr="00830421" w:rsidRDefault="00830421" w:rsidP="00B41ED0">
      <w:pPr>
        <w:pStyle w:val="berschrift3a"/>
        <w:keepNext w:val="0"/>
        <w:numPr>
          <w:ilvl w:val="0"/>
          <w:numId w:val="33"/>
        </w:numPr>
      </w:pPr>
      <w:bookmarkStart w:id="184" w:name="_Toc187254371"/>
      <w:bookmarkStart w:id="185" w:name="_Toc187681677"/>
      <w:bookmarkStart w:id="186" w:name="_Toc187692179"/>
      <w:bookmarkStart w:id="187" w:name="_Toc183903342"/>
      <w:r w:rsidRPr="00830421">
        <w:t>The seizure and sale of The Falcon was a measure of constraint against property entitled to immunity from enforcement.</w:t>
      </w:r>
      <w:bookmarkEnd w:id="184"/>
      <w:bookmarkEnd w:id="185"/>
      <w:bookmarkEnd w:id="186"/>
    </w:p>
    <w:bookmarkEnd w:id="187"/>
    <w:p w14:paraId="41D02B64" w14:textId="77777777" w:rsidR="00830421" w:rsidRPr="00830421" w:rsidRDefault="00830421" w:rsidP="00B41ED0">
      <w:pPr>
        <w:pStyle w:val="Memo"/>
        <w:widowControl/>
        <w:ind w:firstLine="0"/>
        <w:rPr>
          <w:lang w:val="en-GB"/>
        </w:rPr>
      </w:pPr>
      <w:r w:rsidRPr="00830421">
        <w:rPr>
          <w:lang w:val="en-GB"/>
        </w:rPr>
        <w:t xml:space="preserve">This Court confirmed that under customary international law, as codified in Article 19 of the United Nations Convention on Jurisdictional Immunities of States and their Property </w:t>
      </w:r>
      <w:r w:rsidRPr="005D0AF6">
        <w:rPr>
          <w:bCs/>
          <w:lang w:val="en-GB"/>
        </w:rPr>
        <w:t>(‘</w:t>
      </w:r>
      <w:r w:rsidRPr="00830421">
        <w:rPr>
          <w:b/>
          <w:bCs/>
          <w:lang w:val="en-GB"/>
        </w:rPr>
        <w:t>UNCJISP</w:t>
      </w:r>
      <w:r w:rsidRPr="005D0AF6">
        <w:rPr>
          <w:bCs/>
          <w:lang w:val="en-GB"/>
        </w:rPr>
        <w:t>’</w:t>
      </w:r>
      <w:r w:rsidRPr="005D0AF6">
        <w:rPr>
          <w:lang w:val="en-GB"/>
        </w:rPr>
        <w:t>),</w:t>
      </w:r>
      <w:r w:rsidRPr="00830421">
        <w:rPr>
          <w:vertAlign w:val="superscript"/>
        </w:rPr>
        <w:footnoteReference w:id="154"/>
      </w:r>
      <w:r w:rsidRPr="00830421">
        <w:rPr>
          <w:lang w:val="en-GB"/>
        </w:rPr>
        <w:t xml:space="preserve"> no State may take measures of constraint in connection with a court proceeding against property of another State which is intended for use or in use for government non-commercial purposes.</w:t>
      </w:r>
      <w:r w:rsidRPr="00830421">
        <w:rPr>
          <w:vertAlign w:val="superscript"/>
        </w:rPr>
        <w:footnoteReference w:id="155"/>
      </w:r>
      <w:r w:rsidRPr="00830421">
        <w:rPr>
          <w:lang w:val="en-GB"/>
        </w:rPr>
        <w:t xml:space="preserve"> The seizure and sale of an object are measures of constraint.</w:t>
      </w:r>
      <w:r w:rsidRPr="00830421">
        <w:rPr>
          <w:vertAlign w:val="superscript"/>
        </w:rPr>
        <w:footnoteReference w:id="156"/>
      </w:r>
    </w:p>
    <w:p w14:paraId="6A1D608F" w14:textId="4EB8BB83" w:rsidR="00830421" w:rsidRPr="00830421" w:rsidRDefault="00830421" w:rsidP="00B41ED0">
      <w:pPr>
        <w:pStyle w:val="Memo"/>
        <w:widowControl/>
      </w:pPr>
      <w:r w:rsidRPr="00830421">
        <w:t>The Falcon, being an aircraft owned by the Ambrosian Airforce,</w:t>
      </w:r>
      <w:r w:rsidRPr="005D0AF6">
        <w:rPr>
          <w:vertAlign w:val="superscript"/>
        </w:rPr>
        <w:footnoteReference w:id="157"/>
      </w:r>
      <w:r w:rsidRPr="00830421">
        <w:t xml:space="preserve"> qualified as State </w:t>
      </w:r>
      <w:r w:rsidR="005D0AF6">
        <w:t>p</w:t>
      </w:r>
      <w:r w:rsidRPr="00830421">
        <w:t>roperty. It was further intended for use and in fact used for non-commercial governmental purposes.</w:t>
      </w:r>
      <w:r w:rsidRPr="005D0AF6">
        <w:rPr>
          <w:vertAlign w:val="superscript"/>
        </w:rPr>
        <w:footnoteReference w:id="158"/>
      </w:r>
      <w:r w:rsidRPr="00830421">
        <w:t xml:space="preserve"> </w:t>
      </w:r>
      <w:proofErr w:type="spellStart"/>
      <w:r w:rsidRPr="00830421">
        <w:t>Rovinia</w:t>
      </w:r>
      <w:proofErr w:type="spellEnd"/>
      <w:r w:rsidRPr="00830421">
        <w:t xml:space="preserve"> </w:t>
      </w:r>
      <w:r w:rsidRPr="00C17C95">
        <w:t>seized and sold</w:t>
      </w:r>
      <w:r w:rsidRPr="00830421">
        <w:t xml:space="preserve"> The Falcon in connection with the </w:t>
      </w:r>
      <w:proofErr w:type="spellStart"/>
      <w:r w:rsidRPr="005D0AF6">
        <w:rPr>
          <w:i/>
        </w:rPr>
        <w:t>O’Mander</w:t>
      </w:r>
      <w:proofErr w:type="spellEnd"/>
      <w:r w:rsidRPr="005D0AF6">
        <w:rPr>
          <w:i/>
        </w:rPr>
        <w:t xml:space="preserve"> Corp. v. Union of Ambrosia</w:t>
      </w:r>
      <w:r w:rsidRPr="00830421">
        <w:t xml:space="preserve"> lawsuit before the </w:t>
      </w:r>
      <w:proofErr w:type="spellStart"/>
      <w:r w:rsidRPr="00830421">
        <w:t>Permola</w:t>
      </w:r>
      <w:proofErr w:type="spellEnd"/>
      <w:r w:rsidRPr="00830421">
        <w:t xml:space="preserve"> Court. This constituted a measure of constraint against property entitled to immunity from enforcement.</w:t>
      </w:r>
    </w:p>
    <w:p w14:paraId="040E47DD" w14:textId="77777777" w:rsidR="00830421" w:rsidRPr="00830421" w:rsidRDefault="00830421" w:rsidP="00B41ED0">
      <w:pPr>
        <w:pStyle w:val="berschrift3a"/>
        <w:keepNext w:val="0"/>
      </w:pPr>
      <w:bookmarkStart w:id="188" w:name="_Toc183903343"/>
      <w:bookmarkStart w:id="189" w:name="_Toc183456829"/>
      <w:bookmarkStart w:id="190" w:name="_Toc187254372"/>
      <w:bookmarkStart w:id="191" w:name="_Toc187681678"/>
      <w:bookmarkStart w:id="192" w:name="_Toc187692180"/>
      <w:r w:rsidRPr="00830421">
        <w:t>The immunity of The Falcon was not effectively waived</w:t>
      </w:r>
      <w:bookmarkEnd w:id="188"/>
      <w:bookmarkEnd w:id="189"/>
      <w:r w:rsidRPr="00830421">
        <w:t>.</w:t>
      </w:r>
      <w:bookmarkEnd w:id="190"/>
      <w:bookmarkEnd w:id="191"/>
      <w:bookmarkEnd w:id="192"/>
    </w:p>
    <w:p w14:paraId="32E78AB4" w14:textId="4C669A21" w:rsidR="00830421" w:rsidRPr="00830421" w:rsidRDefault="00830421" w:rsidP="00B41ED0">
      <w:pPr>
        <w:pStyle w:val="Memo"/>
        <w:widowControl/>
      </w:pPr>
      <w:r w:rsidRPr="00830421">
        <w:rPr>
          <w:lang w:val="en-GB"/>
        </w:rPr>
        <w:t xml:space="preserve">Measures of constraint against foreign State property may be taken to the extent that the affected State has expressly consented to them, thereby waiving the property’s immunity from </w:t>
      </w:r>
      <w:r w:rsidRPr="00830421">
        <w:rPr>
          <w:lang w:val="en-GB"/>
        </w:rPr>
        <w:lastRenderedPageBreak/>
        <w:t>enforcement.</w:t>
      </w:r>
      <w:r w:rsidRPr="00830421">
        <w:rPr>
          <w:vertAlign w:val="superscript"/>
        </w:rPr>
        <w:footnoteReference w:id="159"/>
      </w:r>
      <w:r w:rsidRPr="00830421">
        <w:rPr>
          <w:lang w:val="en-GB"/>
        </w:rPr>
        <w:t xml:space="preserve"> </w:t>
      </w:r>
      <w:r w:rsidRPr="00830421">
        <w:t>A waiver of immunity may take the form of a unilateral declaration,</w:t>
      </w:r>
      <w:r w:rsidRPr="00830421">
        <w:rPr>
          <w:vertAlign w:val="superscript"/>
        </w:rPr>
        <w:footnoteReference w:id="160"/>
      </w:r>
      <w:r w:rsidRPr="00830421">
        <w:t xml:space="preserve"> which only binds a State internationally if it is issued by an authority vested with the power to do so.</w:t>
      </w:r>
      <w:r w:rsidRPr="00830421">
        <w:rPr>
          <w:vertAlign w:val="superscript"/>
        </w:rPr>
        <w:footnoteReference w:id="161"/>
      </w:r>
      <w:r w:rsidRPr="00830421">
        <w:t xml:space="preserve"> By virtue of their functions, only Heads of State, Heads of Government and Ministers of Foreign Affairs have this capacity.</w:t>
      </w:r>
      <w:r w:rsidRPr="00830421">
        <w:rPr>
          <w:vertAlign w:val="superscript"/>
        </w:rPr>
        <w:footnoteReference w:id="162"/>
      </w:r>
      <w:r w:rsidRPr="00830421">
        <w:t xml:space="preserve"> </w:t>
      </w:r>
    </w:p>
    <w:p w14:paraId="77C0F5AD" w14:textId="2BB390E0" w:rsidR="00830421" w:rsidRPr="00830421" w:rsidRDefault="00830421" w:rsidP="00B41ED0">
      <w:pPr>
        <w:pStyle w:val="Memo"/>
        <w:widowControl/>
        <w:rPr>
          <w:lang w:val="en-GB"/>
        </w:rPr>
      </w:pPr>
      <w:r w:rsidRPr="00830421">
        <w:rPr>
          <w:lang w:val="en-GB"/>
        </w:rPr>
        <w:t xml:space="preserve">Ms. </w:t>
      </w:r>
      <w:proofErr w:type="spellStart"/>
      <w:r w:rsidRPr="00830421">
        <w:rPr>
          <w:lang w:val="en-GB"/>
        </w:rPr>
        <w:t>Piretis</w:t>
      </w:r>
      <w:proofErr w:type="spellEnd"/>
      <w:r w:rsidRPr="00830421">
        <w:rPr>
          <w:lang w:val="en-GB"/>
        </w:rPr>
        <w:t xml:space="preserve"> issued a purported waiver of immunity for The Falcon.</w:t>
      </w:r>
      <w:r w:rsidRPr="00830421">
        <w:rPr>
          <w:vertAlign w:val="superscript"/>
        </w:rPr>
        <w:footnoteReference w:id="163"/>
      </w:r>
      <w:r w:rsidRPr="00830421">
        <w:rPr>
          <w:lang w:val="en-GB"/>
        </w:rPr>
        <w:t xml:space="preserve"> However, she was neither Head of State nor Head of Government of Ambrosia at the time the waiver was issued, as those positions were held by </w:t>
      </w:r>
      <w:r w:rsidR="005D0AF6">
        <w:rPr>
          <w:lang w:val="en-GB"/>
        </w:rPr>
        <w:t>Acting President</w:t>
      </w:r>
      <w:r w:rsidRPr="00830421">
        <w:rPr>
          <w:lang w:val="en-GB"/>
        </w:rPr>
        <w:t xml:space="preserve"> Zavala: </w:t>
      </w:r>
      <w:r w:rsidR="00CA7E5B">
        <w:rPr>
          <w:lang w:val="en-GB"/>
        </w:rPr>
        <w:t xml:space="preserve">Acting President Zavala’s </w:t>
      </w:r>
      <w:r w:rsidRPr="00830421">
        <w:rPr>
          <w:lang w:val="en-GB"/>
        </w:rPr>
        <w:t xml:space="preserve">government was the government of Ambrosia under customary international law </w:t>
      </w:r>
      <w:r w:rsidRPr="005D0AF6">
        <w:rPr>
          <w:bCs/>
          <w:lang w:val="en-GB"/>
        </w:rPr>
        <w:t>(</w:t>
      </w:r>
      <w:r w:rsidRPr="00830421">
        <w:rPr>
          <w:b/>
          <w:bCs/>
          <w:lang w:val="en-GB"/>
        </w:rPr>
        <w:t>a.</w:t>
      </w:r>
      <w:r w:rsidRPr="005D0AF6">
        <w:rPr>
          <w:bCs/>
          <w:lang w:val="en-GB"/>
        </w:rPr>
        <w:t>)</w:t>
      </w:r>
      <w:r w:rsidRPr="005D0AF6">
        <w:rPr>
          <w:lang w:val="en-GB"/>
        </w:rPr>
        <w:t>.</w:t>
      </w:r>
      <w:r w:rsidRPr="00830421">
        <w:rPr>
          <w:lang w:val="en-GB"/>
        </w:rPr>
        <w:t xml:space="preserve"> </w:t>
      </w:r>
      <w:r w:rsidRPr="00830421">
        <w:t xml:space="preserve">Even if the Transitional Council was Ambrosia’s government under international law, </w:t>
      </w:r>
      <w:proofErr w:type="spellStart"/>
      <w:r w:rsidRPr="00830421">
        <w:t>Rovinia</w:t>
      </w:r>
      <w:proofErr w:type="spellEnd"/>
      <w:r w:rsidRPr="00830421">
        <w:t xml:space="preserve"> was obligated under Article I(a) OCDP Charter to withhold recognition from it</w:t>
      </w:r>
      <w:r w:rsidRPr="00830421">
        <w:rPr>
          <w:lang w:val="en-GB"/>
        </w:rPr>
        <w:t xml:space="preserve"> </w:t>
      </w:r>
      <w:r w:rsidRPr="005D0AF6">
        <w:rPr>
          <w:bCs/>
          <w:lang w:val="en-GB"/>
        </w:rPr>
        <w:t>(</w:t>
      </w:r>
      <w:r w:rsidRPr="00830421">
        <w:rPr>
          <w:b/>
          <w:bCs/>
          <w:lang w:val="en-GB"/>
        </w:rPr>
        <w:t>b</w:t>
      </w:r>
      <w:r w:rsidRPr="005D0AF6">
        <w:rPr>
          <w:bCs/>
          <w:lang w:val="en-GB"/>
        </w:rPr>
        <w:t>)</w:t>
      </w:r>
      <w:r w:rsidRPr="005D0AF6">
        <w:rPr>
          <w:lang w:val="en-GB"/>
        </w:rPr>
        <w:t>.</w:t>
      </w:r>
    </w:p>
    <w:p w14:paraId="409DE954" w14:textId="4FACEF94" w:rsidR="00830421" w:rsidRPr="00830421" w:rsidRDefault="005D0AF6" w:rsidP="00B41ED0">
      <w:pPr>
        <w:pStyle w:val="berschrift4"/>
        <w:keepNext w:val="0"/>
        <w:numPr>
          <w:ilvl w:val="0"/>
          <w:numId w:val="34"/>
        </w:numPr>
      </w:pPr>
      <w:bookmarkStart w:id="194" w:name="_Toc187254373"/>
      <w:bookmarkStart w:id="195" w:name="_Toc187681679"/>
      <w:bookmarkStart w:id="196" w:name="_Toc187692181"/>
      <w:r>
        <w:t>Acting President Zavala’s</w:t>
      </w:r>
      <w:r w:rsidR="00830421" w:rsidRPr="00830421">
        <w:t xml:space="preserve"> government was the government of Ambrosia under customary international law.</w:t>
      </w:r>
      <w:bookmarkEnd w:id="194"/>
      <w:bookmarkEnd w:id="195"/>
      <w:bookmarkEnd w:id="196"/>
    </w:p>
    <w:p w14:paraId="050D228C" w14:textId="27717198" w:rsidR="00830421" w:rsidRPr="00AC6890" w:rsidRDefault="00830421" w:rsidP="00B41ED0">
      <w:pPr>
        <w:pStyle w:val="Memo"/>
        <w:widowControl/>
      </w:pPr>
      <w:r w:rsidRPr="00830421">
        <w:rPr>
          <w:lang w:val="en-GB"/>
        </w:rPr>
        <w:t>There can only be one government capable of representing a State internationally.</w:t>
      </w:r>
      <w:r w:rsidRPr="00830421">
        <w:rPr>
          <w:vertAlign w:val="superscript"/>
        </w:rPr>
        <w:footnoteReference w:id="164"/>
      </w:r>
      <w:r w:rsidRPr="00830421">
        <w:rPr>
          <w:lang w:val="en-GB"/>
        </w:rPr>
        <w:t xml:space="preserve"> </w:t>
      </w:r>
      <w:r w:rsidRPr="00AC6890">
        <w:rPr>
          <w:lang w:val="en-GB"/>
        </w:rPr>
        <w:t>Under customary international law, a constitutionally legitimate government enjoys governmental status, even in the presence of a rival entity exercising effective control over the territory of the State: Since the 1990s, State practice has favoured constitutionally legitimate governments over entities exercising effective control, as demonstrated in both State practice on the recognition of governments</w:t>
      </w:r>
      <w:r w:rsidRPr="00DA07B1">
        <w:rPr>
          <w:vertAlign w:val="superscript"/>
        </w:rPr>
        <w:footnoteReference w:id="165"/>
      </w:r>
      <w:r w:rsidRPr="00AC6890">
        <w:rPr>
          <w:lang w:val="en-GB"/>
        </w:rPr>
        <w:t xml:space="preserve"> and in unanimously adopted </w:t>
      </w:r>
      <w:r w:rsidR="0047136C">
        <w:rPr>
          <w:lang w:val="en-GB"/>
        </w:rPr>
        <w:t>UN</w:t>
      </w:r>
      <w:r w:rsidRPr="00AC6890">
        <w:rPr>
          <w:lang w:val="en-GB"/>
        </w:rPr>
        <w:t xml:space="preserve"> Security Council and UNGA </w:t>
      </w:r>
      <w:r w:rsidRPr="00AC6890">
        <w:rPr>
          <w:lang w:val="en-GB"/>
        </w:rPr>
        <w:lastRenderedPageBreak/>
        <w:t>resolutions on Haiti in 1993</w:t>
      </w:r>
      <w:r w:rsidR="005D0AF6">
        <w:rPr>
          <w:lang w:val="en-GB"/>
        </w:rPr>
        <w:t>,</w:t>
      </w:r>
      <w:r w:rsidRPr="005D0AF6">
        <w:rPr>
          <w:vertAlign w:val="superscript"/>
        </w:rPr>
        <w:footnoteReference w:id="166"/>
      </w:r>
      <w:r w:rsidRPr="00AC6890">
        <w:rPr>
          <w:lang w:val="en-GB"/>
        </w:rPr>
        <w:t xml:space="preserve"> Sierra Leone in 1997</w:t>
      </w:r>
      <w:r w:rsidR="0047136C">
        <w:rPr>
          <w:lang w:val="en-GB"/>
        </w:rPr>
        <w:t>,</w:t>
      </w:r>
      <w:r w:rsidRPr="005D0AF6">
        <w:rPr>
          <w:vertAlign w:val="superscript"/>
        </w:rPr>
        <w:footnoteReference w:id="167"/>
      </w:r>
      <w:r w:rsidRPr="00AC6890">
        <w:rPr>
          <w:lang w:val="en-GB"/>
        </w:rPr>
        <w:t xml:space="preserve"> Honduras in 2009</w:t>
      </w:r>
      <w:r w:rsidR="0047136C">
        <w:rPr>
          <w:lang w:val="en-GB"/>
        </w:rPr>
        <w:t>,</w:t>
      </w:r>
      <w:r w:rsidRPr="0047136C">
        <w:rPr>
          <w:vertAlign w:val="superscript"/>
        </w:rPr>
        <w:footnoteReference w:id="168"/>
      </w:r>
      <w:r w:rsidRPr="00AC6890">
        <w:rPr>
          <w:lang w:val="en-GB"/>
        </w:rPr>
        <w:t xml:space="preserve"> Côte d’Ivoire in 2011</w:t>
      </w:r>
      <w:r w:rsidRPr="0047136C">
        <w:rPr>
          <w:vertAlign w:val="superscript"/>
        </w:rPr>
        <w:footnoteReference w:id="169"/>
      </w:r>
      <w:r w:rsidRPr="00AC6890">
        <w:rPr>
          <w:lang w:val="en-GB"/>
        </w:rPr>
        <w:t xml:space="preserve"> and </w:t>
      </w:r>
      <w:r w:rsidR="0047136C">
        <w:rPr>
          <w:lang w:val="en-GB"/>
        </w:rPr>
        <w:t>T</w:t>
      </w:r>
      <w:r w:rsidRPr="00AC6890">
        <w:rPr>
          <w:lang w:val="en-GB"/>
        </w:rPr>
        <w:t>he Gambia in 2017</w:t>
      </w:r>
      <w:r w:rsidRPr="0047136C">
        <w:rPr>
          <w:vertAlign w:val="superscript"/>
        </w:rPr>
        <w:footnoteReference w:id="170"/>
      </w:r>
      <w:r w:rsidRPr="00AC6890">
        <w:rPr>
          <w:lang w:val="en-GB"/>
        </w:rPr>
        <w:t xml:space="preserve">. In further resolutions, the UNGA consistently accepted the credentials of the representatives of forcibly ousted constitutionally legitimate governments despite the presence of other entities </w:t>
      </w:r>
      <w:r w:rsidRPr="00AC6890">
        <w:t>in effective control.</w:t>
      </w:r>
      <w:r w:rsidRPr="0047136C">
        <w:rPr>
          <w:vertAlign w:val="superscript"/>
        </w:rPr>
        <w:footnoteReference w:id="171"/>
      </w:r>
      <w:r w:rsidRPr="00AC6890">
        <w:t xml:space="preserve"> Moreover, the justifications of States when </w:t>
      </w:r>
      <w:proofErr w:type="spellStart"/>
      <w:r w:rsidRPr="00AC6890">
        <w:t>recogni</w:t>
      </w:r>
      <w:r w:rsidR="0047136C">
        <w:t>s</w:t>
      </w:r>
      <w:r w:rsidRPr="00AC6890">
        <w:t>ing</w:t>
      </w:r>
      <w:proofErr w:type="spellEnd"/>
      <w:r w:rsidRPr="00AC6890">
        <w:t xml:space="preserve"> governments</w:t>
      </w:r>
      <w:r w:rsidRPr="0047136C">
        <w:rPr>
          <w:vertAlign w:val="superscript"/>
        </w:rPr>
        <w:footnoteReference w:id="172"/>
      </w:r>
      <w:r w:rsidRPr="00AC6890">
        <w:t xml:space="preserve"> and the voting </w:t>
      </w:r>
      <w:proofErr w:type="spellStart"/>
      <w:r w:rsidRPr="00AC6890">
        <w:t>behaviour</w:t>
      </w:r>
      <w:proofErr w:type="spellEnd"/>
      <w:r w:rsidRPr="00AC6890">
        <w:t xml:space="preserve"> of States regarding the above</w:t>
      </w:r>
      <w:r w:rsidR="004A4573">
        <w:t>-</w:t>
      </w:r>
      <w:r w:rsidRPr="00AC6890">
        <w:t xml:space="preserve">mentioned resolutions express the necessary </w:t>
      </w:r>
      <w:proofErr w:type="spellStart"/>
      <w:r w:rsidRPr="0047136C">
        <w:rPr>
          <w:i/>
        </w:rPr>
        <w:t>opinio</w:t>
      </w:r>
      <w:proofErr w:type="spellEnd"/>
      <w:r w:rsidRPr="0047136C">
        <w:rPr>
          <w:i/>
        </w:rPr>
        <w:t xml:space="preserve"> juris</w:t>
      </w:r>
      <w:r w:rsidRPr="00AC6890">
        <w:t>. Constitutional legitimacy is established when a government has come into power in accordance with the constitutional order of the State.</w:t>
      </w:r>
      <w:r w:rsidRPr="0047136C">
        <w:rPr>
          <w:vertAlign w:val="superscript"/>
        </w:rPr>
        <w:footnoteReference w:id="173"/>
      </w:r>
      <w:r w:rsidRPr="00AC6890">
        <w:t xml:space="preserve"> </w:t>
      </w:r>
    </w:p>
    <w:p w14:paraId="63F2FEF8" w14:textId="7EA87CD6" w:rsidR="00830421" w:rsidRPr="00AC6890" w:rsidRDefault="00830421" w:rsidP="00B41ED0">
      <w:pPr>
        <w:pStyle w:val="Memo"/>
        <w:widowControl/>
      </w:pPr>
      <w:r w:rsidRPr="00AC6890">
        <w:lastRenderedPageBreak/>
        <w:t>The Ambrosian Constitution provides for a democratic political system.</w:t>
      </w:r>
      <w:r w:rsidRPr="0047136C">
        <w:rPr>
          <w:vertAlign w:val="superscript"/>
        </w:rPr>
        <w:footnoteReference w:id="174"/>
      </w:r>
      <w:r w:rsidRPr="00AC6890">
        <w:t xml:space="preserve"> In the event of the temporary incapacity of the President, who is both Head of State and Head of Government,</w:t>
      </w:r>
      <w:r w:rsidRPr="0047136C">
        <w:rPr>
          <w:vertAlign w:val="superscript"/>
        </w:rPr>
        <w:footnoteReference w:id="175"/>
      </w:r>
      <w:r w:rsidRPr="00AC6890">
        <w:t xml:space="preserve"> the powers of the office devolve upon the Vice-President.</w:t>
      </w:r>
      <w:r w:rsidRPr="0047136C">
        <w:rPr>
          <w:vertAlign w:val="superscript"/>
        </w:rPr>
        <w:footnoteReference w:id="176"/>
      </w:r>
      <w:r w:rsidRPr="0047136C">
        <w:rPr>
          <w:vertAlign w:val="superscript"/>
        </w:rPr>
        <w:t xml:space="preserve"> </w:t>
      </w:r>
      <w:r w:rsidR="004F2272">
        <w:t>Ms.</w:t>
      </w:r>
      <w:r w:rsidR="0047136C">
        <w:t xml:space="preserve"> Zavala’s election as </w:t>
      </w:r>
      <w:r w:rsidRPr="00AC6890">
        <w:t xml:space="preserve">Vice-President and her assumption of presidential duties following President </w:t>
      </w:r>
      <w:proofErr w:type="spellStart"/>
      <w:r w:rsidRPr="00AC6890">
        <w:t>Derey’s</w:t>
      </w:r>
      <w:proofErr w:type="spellEnd"/>
      <w:r w:rsidRPr="00AC6890">
        <w:t xml:space="preserve"> stroke were in accordance with the Ambrosian Constitution.</w:t>
      </w:r>
      <w:r w:rsidRPr="0047136C">
        <w:rPr>
          <w:vertAlign w:val="superscript"/>
        </w:rPr>
        <w:footnoteReference w:id="177"/>
      </w:r>
      <w:r w:rsidRPr="00AC6890">
        <w:t xml:space="preserve"> In direct contrast, the Transitional Council seized power through a </w:t>
      </w:r>
      <w:r w:rsidRPr="0047136C">
        <w:rPr>
          <w:i/>
        </w:rPr>
        <w:t>coup d’état</w:t>
      </w:r>
      <w:r w:rsidRPr="00AC6890">
        <w:t>,</w:t>
      </w:r>
      <w:r w:rsidRPr="0047136C">
        <w:rPr>
          <w:vertAlign w:val="superscript"/>
        </w:rPr>
        <w:footnoteReference w:id="178"/>
      </w:r>
      <w:r w:rsidRPr="00AC6890">
        <w:t xml:space="preserve"> demonstrating a blatant disregard for Ambrosia’s constitutional order. </w:t>
      </w:r>
    </w:p>
    <w:p w14:paraId="7C2C4D14" w14:textId="5C255F49" w:rsidR="00830421" w:rsidRPr="00AC6890" w:rsidRDefault="00830421" w:rsidP="00B41ED0">
      <w:pPr>
        <w:pStyle w:val="Memo"/>
        <w:widowControl/>
      </w:pPr>
      <w:r w:rsidRPr="00AC6890">
        <w:t xml:space="preserve">Therefore, </w:t>
      </w:r>
      <w:r w:rsidR="0047136C">
        <w:t>Acting President Zavala’s</w:t>
      </w:r>
      <w:r w:rsidRPr="00AC6890">
        <w:t xml:space="preserve"> government was the government of Ambrosia under customary international law</w:t>
      </w:r>
      <w:r w:rsidR="0047136C">
        <w:t>.</w:t>
      </w:r>
    </w:p>
    <w:p w14:paraId="4A95E210" w14:textId="77777777" w:rsidR="00830421" w:rsidRPr="00830421" w:rsidRDefault="00830421" w:rsidP="00B41ED0">
      <w:pPr>
        <w:pStyle w:val="berschrift4"/>
        <w:keepNext w:val="0"/>
      </w:pPr>
      <w:bookmarkStart w:id="197" w:name="_Toc187254374"/>
      <w:bookmarkStart w:id="198" w:name="_Toc187681680"/>
      <w:bookmarkStart w:id="199" w:name="_Toc187692182"/>
      <w:r w:rsidRPr="00830421">
        <w:t xml:space="preserve">Even if the Transitional Council was Ambrosia’s government under international law, </w:t>
      </w:r>
      <w:proofErr w:type="spellStart"/>
      <w:r w:rsidRPr="00830421">
        <w:t>Rovinia</w:t>
      </w:r>
      <w:proofErr w:type="spellEnd"/>
      <w:r w:rsidRPr="00830421">
        <w:t xml:space="preserve"> was obligated under Article I(a) OCDP Charter to withhold recognition from it.</w:t>
      </w:r>
      <w:bookmarkEnd w:id="197"/>
      <w:bookmarkEnd w:id="198"/>
      <w:bookmarkEnd w:id="199"/>
      <w:r w:rsidRPr="00830421">
        <w:t xml:space="preserve"> </w:t>
      </w:r>
    </w:p>
    <w:p w14:paraId="730E6BEE" w14:textId="77777777" w:rsidR="00830421" w:rsidRPr="00AC6890" w:rsidRDefault="00830421" w:rsidP="00B41ED0">
      <w:pPr>
        <w:pStyle w:val="Memo"/>
        <w:widowControl/>
      </w:pPr>
      <w:r w:rsidRPr="00AC6890">
        <w:t xml:space="preserve">By </w:t>
      </w:r>
      <w:proofErr w:type="spellStart"/>
      <w:r w:rsidRPr="00AC6890">
        <w:t>recognising</w:t>
      </w:r>
      <w:proofErr w:type="spellEnd"/>
      <w:r w:rsidRPr="00AC6890">
        <w:t xml:space="preserve"> an entity as the government of another State, the </w:t>
      </w:r>
      <w:proofErr w:type="spellStart"/>
      <w:r w:rsidRPr="00AC6890">
        <w:t>recognising</w:t>
      </w:r>
      <w:proofErr w:type="spellEnd"/>
      <w:r w:rsidRPr="00AC6890">
        <w:t xml:space="preserve"> State accepts the legal consequences of such status, including the entity’s authority to claim and waive immunities respectively.</w:t>
      </w:r>
      <w:r w:rsidRPr="0047136C">
        <w:rPr>
          <w:vertAlign w:val="superscript"/>
        </w:rPr>
        <w:footnoteReference w:id="179"/>
      </w:r>
      <w:r w:rsidRPr="00AC6890">
        <w:t xml:space="preserve"> While recognition or refusal thereof is in principle discretionary,</w:t>
      </w:r>
      <w:bookmarkStart w:id="200" w:name="_Ref187656373"/>
      <w:r w:rsidRPr="0047136C">
        <w:rPr>
          <w:vertAlign w:val="superscript"/>
        </w:rPr>
        <w:footnoteReference w:id="180"/>
      </w:r>
      <w:bookmarkEnd w:id="200"/>
      <w:r w:rsidRPr="00AC6890">
        <w:t xml:space="preserve"> a State may undertake a legal obligation to withhold recognition from governments of other States.</w:t>
      </w:r>
      <w:r w:rsidRPr="0047136C">
        <w:rPr>
          <w:vertAlign w:val="superscript"/>
        </w:rPr>
        <w:footnoteReference w:id="181"/>
      </w:r>
      <w:r w:rsidRPr="00AC6890">
        <w:t xml:space="preserve"> For instance, the African Union Member States have agreed not to </w:t>
      </w:r>
      <w:proofErr w:type="spellStart"/>
      <w:r w:rsidRPr="00AC6890">
        <w:t>recognise</w:t>
      </w:r>
      <w:proofErr w:type="spellEnd"/>
      <w:r w:rsidRPr="00AC6890">
        <w:t xml:space="preserve"> governments of other Member States that have risen to power unconstitutionally.</w:t>
      </w:r>
      <w:r w:rsidRPr="0047136C">
        <w:rPr>
          <w:vertAlign w:val="superscript"/>
        </w:rPr>
        <w:footnoteReference w:id="182"/>
      </w:r>
    </w:p>
    <w:p w14:paraId="0B4F8DCA" w14:textId="579E2AEF" w:rsidR="00830421" w:rsidRPr="00830421" w:rsidRDefault="00830421" w:rsidP="00B41ED0">
      <w:pPr>
        <w:pStyle w:val="Memo"/>
        <w:widowControl/>
        <w:rPr>
          <w:lang w:val="en-GB"/>
        </w:rPr>
      </w:pPr>
      <w:r w:rsidRPr="00AC6890">
        <w:t>In Article I(a) OCDP Charter, the Member States agreed to “protect</w:t>
      </w:r>
      <w:r w:rsidR="0047136C">
        <w:t xml:space="preserve"> [</w:t>
      </w:r>
      <w:r w:rsidRPr="00AC6890">
        <w:t>…</w:t>
      </w:r>
      <w:r w:rsidR="0047136C">
        <w:t>] [</w:t>
      </w:r>
      <w:r w:rsidRPr="00AC6890">
        <w:t>their</w:t>
      </w:r>
      <w:r w:rsidR="0047136C">
        <w:t>]</w:t>
      </w:r>
      <w:r w:rsidRPr="00AC6890">
        <w:t xml:space="preserve"> democratic institutions”.</w:t>
      </w:r>
      <w:r w:rsidRPr="00C97E20">
        <w:rPr>
          <w:vertAlign w:val="superscript"/>
        </w:rPr>
        <w:footnoteReference w:id="183"/>
      </w:r>
      <w:r w:rsidRPr="00AC6890">
        <w:t xml:space="preserve"> The exercise of governmental authority by elected officials constitutes a </w:t>
      </w:r>
      <w:r w:rsidRPr="00AC6890">
        <w:lastRenderedPageBreak/>
        <w:t>democratic institution,</w:t>
      </w:r>
      <w:r w:rsidRPr="00C97E20">
        <w:rPr>
          <w:vertAlign w:val="superscript"/>
        </w:rPr>
        <w:footnoteReference w:id="184"/>
      </w:r>
      <w:r w:rsidRPr="00AC6890">
        <w:t xml:space="preserve"> and to “protect” democratic institutions ordinarily means to maintain their integrity.</w:t>
      </w:r>
      <w:r w:rsidRPr="00C97E20">
        <w:rPr>
          <w:vertAlign w:val="superscript"/>
        </w:rPr>
        <w:footnoteReference w:id="185"/>
      </w:r>
      <w:r w:rsidRPr="00AC6890">
        <w:t xml:space="preserve"> </w:t>
      </w:r>
      <w:proofErr w:type="spellStart"/>
      <w:r w:rsidRPr="00AC6890">
        <w:t>Recognising</w:t>
      </w:r>
      <w:proofErr w:type="spellEnd"/>
      <w:r w:rsidRPr="00AC6890">
        <w:t xml:space="preserve"> an undemocratic government, i.e. a government which has not risen to power through elections,</w:t>
      </w:r>
      <w:r w:rsidRPr="00C97E20">
        <w:rPr>
          <w:vertAlign w:val="superscript"/>
        </w:rPr>
        <w:footnoteReference w:id="186"/>
      </w:r>
      <w:r w:rsidRPr="00AC6890">
        <w:t xml:space="preserve"> is inherently incompatible with the protection of the democratic institution of governmental authority being exercised by elected officials. Moreover, since the obligations set forth in Article I OCDP Charter also embody the purposes of the </w:t>
      </w:r>
      <w:proofErr w:type="spellStart"/>
      <w:r w:rsidRPr="00AC6890">
        <w:t>Organisation</w:t>
      </w:r>
      <w:proofErr w:type="spellEnd"/>
      <w:r w:rsidRPr="00AC6890">
        <w:t>,</w:t>
      </w:r>
      <w:r w:rsidRPr="00C97E20">
        <w:rPr>
          <w:vertAlign w:val="superscript"/>
        </w:rPr>
        <w:footnoteReference w:id="187"/>
      </w:r>
      <w:r w:rsidRPr="00AC6890">
        <w:t xml:space="preserve"> </w:t>
      </w:r>
      <w:proofErr w:type="spellStart"/>
      <w:r w:rsidRPr="00AC6890">
        <w:t>recognising</w:t>
      </w:r>
      <w:proofErr w:type="spellEnd"/>
      <w:r w:rsidRPr="00AC6890">
        <w:t xml:space="preserve"> an undemocratic government would be in contradiction with the spirit of the OCDP. Consequently, Article I(a) OCDP Charter imposes a legal obligation on Member States to withhold recognition from undemocratic governments of other </w:t>
      </w:r>
      <w:r w:rsidRPr="00830421">
        <w:rPr>
          <w:lang w:val="en-GB"/>
        </w:rPr>
        <w:t>Member States.</w:t>
      </w:r>
    </w:p>
    <w:p w14:paraId="05FF2978" w14:textId="77777777" w:rsidR="00830421" w:rsidRPr="00AC6890" w:rsidRDefault="00830421" w:rsidP="00B41ED0">
      <w:pPr>
        <w:pStyle w:val="Memo"/>
        <w:widowControl/>
      </w:pPr>
      <w:r w:rsidRPr="00AC6890">
        <w:t>The Transitional Council rose to power by ousting the democratically elected government and establishing itself absent any electoral process.</w:t>
      </w:r>
      <w:r w:rsidRPr="00C97E20">
        <w:rPr>
          <w:vertAlign w:val="superscript"/>
        </w:rPr>
        <w:footnoteReference w:id="188"/>
      </w:r>
      <w:r w:rsidRPr="00AC6890">
        <w:t xml:space="preserve"> It was, therefore, undemocratic. </w:t>
      </w:r>
    </w:p>
    <w:p w14:paraId="28E6A514" w14:textId="77777777" w:rsidR="00830421" w:rsidRPr="00AC6890" w:rsidRDefault="00830421" w:rsidP="00B41ED0">
      <w:pPr>
        <w:pStyle w:val="Memo"/>
        <w:widowControl/>
      </w:pPr>
      <w:r w:rsidRPr="00AC6890">
        <w:t xml:space="preserve">Thus, </w:t>
      </w:r>
      <w:proofErr w:type="spellStart"/>
      <w:r w:rsidRPr="00AC6890">
        <w:t>Rovinia</w:t>
      </w:r>
      <w:proofErr w:type="spellEnd"/>
      <w:r w:rsidRPr="00AC6890">
        <w:t xml:space="preserve"> was obligated under Article I(a) OCDP Charter to withhold recognition from the Transitional Council.</w:t>
      </w:r>
    </w:p>
    <w:p w14:paraId="3357CADB" w14:textId="77777777" w:rsidR="00830421" w:rsidRPr="00830421" w:rsidRDefault="00830421" w:rsidP="00B41ED0">
      <w:pPr>
        <w:pStyle w:val="berschrift2"/>
        <w:keepNext w:val="0"/>
        <w:widowControl/>
      </w:pPr>
      <w:bookmarkStart w:id="201" w:name="_Toc187254375"/>
      <w:bookmarkStart w:id="202" w:name="_Toc187681681"/>
      <w:bookmarkStart w:id="203" w:name="_Toc187692183"/>
      <w:proofErr w:type="spellStart"/>
      <w:r w:rsidRPr="00830421">
        <w:t>Rovinia’s</w:t>
      </w:r>
      <w:proofErr w:type="spellEnd"/>
      <w:r w:rsidRPr="00830421">
        <w:t xml:space="preserve"> seizure and sale of The Falcon violated Article 18(b) VCLT.</w:t>
      </w:r>
      <w:bookmarkEnd w:id="201"/>
      <w:bookmarkEnd w:id="202"/>
      <w:bookmarkEnd w:id="203"/>
      <w:r w:rsidRPr="00830421">
        <w:t xml:space="preserve"> </w:t>
      </w:r>
    </w:p>
    <w:p w14:paraId="4A0DFE30" w14:textId="16CD43E0" w:rsidR="00830421" w:rsidRPr="00AC6890" w:rsidRDefault="00830421" w:rsidP="00B41ED0">
      <w:pPr>
        <w:pStyle w:val="Memo"/>
        <w:widowControl/>
      </w:pPr>
      <w:r w:rsidRPr="00AC6890">
        <w:t>Under Article 18(b) VCLT, a State is oblig</w:t>
      </w:r>
      <w:r w:rsidR="00C97E20">
        <w:t>ed</w:t>
      </w:r>
      <w:r w:rsidRPr="00AC6890">
        <w:t xml:space="preserve"> to refrain from acts which would defeat the object and purpose of a treaty when it has expressed its consent to be bound by the treaty, pending the treaty’s entry into force. Defeating the object and purpose of a treaty involves conduct contrary to a provision essential to </w:t>
      </w:r>
      <w:r w:rsidR="00CA7E5B">
        <w:t>the treaty’s</w:t>
      </w:r>
      <w:r w:rsidRPr="00AC6890">
        <w:t xml:space="preserve"> accomplishment.</w:t>
      </w:r>
      <w:r w:rsidRPr="00C97E20">
        <w:rPr>
          <w:vertAlign w:val="superscript"/>
        </w:rPr>
        <w:footnoteReference w:id="189"/>
      </w:r>
      <w:r w:rsidRPr="00AC6890">
        <w:t xml:space="preserve"> An </w:t>
      </w:r>
      <w:r w:rsidR="00CA7E5B">
        <w:t>“</w:t>
      </w:r>
      <w:r w:rsidRPr="00AC6890">
        <w:t>essential</w:t>
      </w:r>
      <w:r w:rsidR="00CA7E5B">
        <w:t>”</w:t>
      </w:r>
      <w:r w:rsidRPr="00AC6890">
        <w:t xml:space="preserve"> </w:t>
      </w:r>
      <w:r w:rsidRPr="00AC6890">
        <w:lastRenderedPageBreak/>
        <w:t>provision is one that lies at the heart of a treaty, without which future performance of the treaty would be mostly without interest to the Parties.</w:t>
      </w:r>
      <w:r w:rsidRPr="00C97E20">
        <w:rPr>
          <w:vertAlign w:val="superscript"/>
        </w:rPr>
        <w:footnoteReference w:id="190"/>
      </w:r>
    </w:p>
    <w:p w14:paraId="15DD4DFC" w14:textId="77777777" w:rsidR="00830421" w:rsidRPr="00AC6890" w:rsidRDefault="00830421" w:rsidP="00B41ED0">
      <w:pPr>
        <w:pStyle w:val="Memo"/>
        <w:widowControl/>
      </w:pPr>
      <w:r w:rsidRPr="00AC6890">
        <w:t>The UNCJISP has not entered into force yet.</w:t>
      </w:r>
      <w:r w:rsidRPr="00C97E20">
        <w:rPr>
          <w:vertAlign w:val="superscript"/>
        </w:rPr>
        <w:footnoteReference w:id="191"/>
      </w:r>
      <w:r w:rsidRPr="00AC6890">
        <w:t xml:space="preserve"> As stated in its Preamble, the Convention’s object and purpose is to promote legal certainty regarding the international law of State immunity,</w:t>
      </w:r>
      <w:r w:rsidRPr="00C97E20">
        <w:rPr>
          <w:vertAlign w:val="superscript"/>
        </w:rPr>
        <w:footnoteReference w:id="192"/>
      </w:r>
      <w:r w:rsidRPr="00AC6890">
        <w:t xml:space="preserve"> which comprises immunity from jurisdiction and immunity from enforcement.</w:t>
      </w:r>
      <w:r w:rsidRPr="00C97E20">
        <w:rPr>
          <w:vertAlign w:val="superscript"/>
        </w:rPr>
        <w:footnoteReference w:id="193"/>
      </w:r>
      <w:r w:rsidRPr="00AC6890">
        <w:t xml:space="preserve"> Alongside Article 18 UNCJISP, Article 19 UNCJISP codifies the State’s immunity from enforcement.</w:t>
      </w:r>
      <w:r w:rsidRPr="00C97E20">
        <w:rPr>
          <w:vertAlign w:val="superscript"/>
        </w:rPr>
        <w:footnoteReference w:id="194"/>
      </w:r>
      <w:r w:rsidRPr="00AC6890">
        <w:t xml:space="preserve"> Being, therefore, at the heart of the Convention, it constitutes an essential provision for the accomplishment of the treaty’s object and purpose.</w:t>
      </w:r>
    </w:p>
    <w:p w14:paraId="66056827" w14:textId="77777777" w:rsidR="00830421" w:rsidRPr="00AC6890" w:rsidRDefault="00830421" w:rsidP="00B41ED0">
      <w:pPr>
        <w:pStyle w:val="Memo"/>
        <w:widowControl/>
      </w:pPr>
      <w:proofErr w:type="spellStart"/>
      <w:r w:rsidRPr="00AC6890">
        <w:t>Rovinia</w:t>
      </w:r>
      <w:proofErr w:type="spellEnd"/>
      <w:r w:rsidRPr="00AC6890">
        <w:t xml:space="preserve"> is Party to the UNCJISP.</w:t>
      </w:r>
      <w:r w:rsidRPr="00C97E20">
        <w:rPr>
          <w:vertAlign w:val="superscript"/>
        </w:rPr>
        <w:footnoteReference w:id="195"/>
      </w:r>
      <w:r w:rsidRPr="00AC6890">
        <w:t xml:space="preserve"> Through the judicial seizure and sale of The Falcon, </w:t>
      </w:r>
      <w:proofErr w:type="spellStart"/>
      <w:r w:rsidRPr="00AC6890">
        <w:t>Rovinia</w:t>
      </w:r>
      <w:proofErr w:type="spellEnd"/>
      <w:r w:rsidRPr="00AC6890">
        <w:t xml:space="preserve"> acted contrary to Article 19 UNCJISP</w:t>
      </w:r>
      <w:r w:rsidRPr="00C97E20">
        <w:rPr>
          <w:vertAlign w:val="superscript"/>
        </w:rPr>
        <w:footnoteReference w:id="196"/>
      </w:r>
      <w:r w:rsidRPr="00AC6890">
        <w:t xml:space="preserve"> and thereby defeated the object and purpose of the treaty. </w:t>
      </w:r>
    </w:p>
    <w:p w14:paraId="5D42D20B" w14:textId="7A133C69" w:rsidR="00D17C40" w:rsidRPr="00AC6890" w:rsidRDefault="00830421" w:rsidP="00B41ED0">
      <w:pPr>
        <w:pStyle w:val="Memo"/>
        <w:widowControl/>
      </w:pPr>
      <w:r w:rsidRPr="00AC6890">
        <w:t xml:space="preserve">Thus, </w:t>
      </w:r>
      <w:proofErr w:type="spellStart"/>
      <w:r w:rsidRPr="00AC6890">
        <w:t>Rovinia’s</w:t>
      </w:r>
      <w:proofErr w:type="spellEnd"/>
      <w:r w:rsidRPr="00AC6890">
        <w:t xml:space="preserve"> seizure and sale of The Falcon violated Article 18(b) VCLT. </w:t>
      </w:r>
    </w:p>
    <w:p w14:paraId="3B1C4B33" w14:textId="27BD2A88" w:rsidR="00D17C40" w:rsidRDefault="00D17C40" w:rsidP="00D17C40"/>
    <w:p w14:paraId="1F155BFB" w14:textId="77777777" w:rsidR="00D17C40" w:rsidRPr="00D17C40" w:rsidRDefault="00D17C40" w:rsidP="00D17C40">
      <w:pPr>
        <w:sectPr w:rsidR="00D17C40" w:rsidRPr="00D17C40" w:rsidSect="006A08DC">
          <w:pgSz w:w="11906" w:h="16838" w:code="9"/>
          <w:pgMar w:top="1474" w:right="1474" w:bottom="1474" w:left="1474" w:header="720" w:footer="720" w:gutter="0"/>
          <w:pgNumType w:start="1"/>
          <w:cols w:space="720"/>
          <w:docGrid w:linePitch="360"/>
        </w:sectPr>
      </w:pPr>
    </w:p>
    <w:p w14:paraId="16B33A0B" w14:textId="3810E874" w:rsidR="009E1E24" w:rsidRPr="008F51B5" w:rsidRDefault="009E1E24" w:rsidP="005C5AE2">
      <w:pPr>
        <w:pStyle w:val="Ober-berschrift"/>
      </w:pPr>
      <w:bookmarkStart w:id="204" w:name="_Toc187486746"/>
      <w:bookmarkStart w:id="205" w:name="_Toc187487044"/>
      <w:bookmarkStart w:id="206" w:name="_Toc187487393"/>
      <w:bookmarkStart w:id="207" w:name="_Toc187681682"/>
      <w:bookmarkStart w:id="208" w:name="_Toc187692184"/>
      <w:r w:rsidRPr="007C1059">
        <w:lastRenderedPageBreak/>
        <w:t>Prayer for Relief</w:t>
      </w:r>
      <w:bookmarkEnd w:id="204"/>
      <w:bookmarkEnd w:id="205"/>
      <w:bookmarkEnd w:id="206"/>
      <w:bookmarkEnd w:id="207"/>
      <w:bookmarkEnd w:id="208"/>
    </w:p>
    <w:p w14:paraId="21A2C9D7" w14:textId="77777777" w:rsidR="00195DE7" w:rsidRDefault="00195DE7" w:rsidP="00195DE7">
      <w:pPr>
        <w:pStyle w:val="Memo"/>
        <w:ind w:firstLine="0"/>
      </w:pPr>
      <w:r>
        <w:t xml:space="preserve">The Union of Ambrosia respectfully requests this </w:t>
      </w:r>
      <w:proofErr w:type="spellStart"/>
      <w:r>
        <w:t>Honourable</w:t>
      </w:r>
      <w:proofErr w:type="spellEnd"/>
      <w:r>
        <w:t xml:space="preserve"> Court to adjudge and declare that:</w:t>
      </w:r>
    </w:p>
    <w:p w14:paraId="7D261152" w14:textId="77777777" w:rsidR="00195DE7" w:rsidRDefault="00195DE7" w:rsidP="00195DE7">
      <w:pPr>
        <w:pStyle w:val="Memo"/>
      </w:pPr>
    </w:p>
    <w:p w14:paraId="38737D49" w14:textId="77777777" w:rsidR="00195DE7" w:rsidRDefault="00195DE7" w:rsidP="00195DE7">
      <w:pPr>
        <w:pStyle w:val="Memo"/>
        <w:numPr>
          <w:ilvl w:val="0"/>
          <w:numId w:val="47"/>
        </w:numPr>
      </w:pPr>
      <w:r>
        <w:t>The Court has jurisdiction to entertain Ambrosia’s submission (b);</w:t>
      </w:r>
    </w:p>
    <w:p w14:paraId="419A3528" w14:textId="77777777" w:rsidR="00195DE7" w:rsidRDefault="00195DE7" w:rsidP="00195DE7">
      <w:pPr>
        <w:pStyle w:val="Memo"/>
        <w:ind w:left="644" w:firstLine="0"/>
      </w:pPr>
    </w:p>
    <w:p w14:paraId="53F61EFD" w14:textId="77777777" w:rsidR="00195DE7" w:rsidRDefault="00195DE7" w:rsidP="00195DE7">
      <w:pPr>
        <w:pStyle w:val="Memo"/>
        <w:numPr>
          <w:ilvl w:val="0"/>
          <w:numId w:val="47"/>
        </w:numPr>
      </w:pPr>
      <w:proofErr w:type="spellStart"/>
      <w:r>
        <w:t>Rovinia</w:t>
      </w:r>
      <w:proofErr w:type="spellEnd"/>
      <w:r>
        <w:t xml:space="preserve"> violated the international legal rules on jurisdiction and immunity by asserting and prosecuting Ms. Gertrude Cross;</w:t>
      </w:r>
    </w:p>
    <w:p w14:paraId="240FB97C" w14:textId="77777777" w:rsidR="00195DE7" w:rsidRDefault="00195DE7" w:rsidP="00195DE7">
      <w:pPr>
        <w:pStyle w:val="Memo"/>
        <w:ind w:firstLine="0"/>
      </w:pPr>
    </w:p>
    <w:p w14:paraId="0A4BA144" w14:textId="77777777" w:rsidR="00195DE7" w:rsidRDefault="00195DE7" w:rsidP="00195DE7">
      <w:pPr>
        <w:pStyle w:val="Memo"/>
        <w:numPr>
          <w:ilvl w:val="0"/>
          <w:numId w:val="47"/>
        </w:numPr>
      </w:pPr>
      <w:proofErr w:type="spellStart"/>
      <w:r>
        <w:t>Rovinia’s</w:t>
      </w:r>
      <w:proofErr w:type="spellEnd"/>
      <w:r>
        <w:t xml:space="preserve"> issuance of licenses to fish in those parts of the Triton Shoal within 200 nautical miles of Ambrosia’s fixed baseline violates international law and must cease, with existing licenses revoked; and</w:t>
      </w:r>
    </w:p>
    <w:p w14:paraId="127671AB" w14:textId="77777777" w:rsidR="00195DE7" w:rsidRDefault="00195DE7" w:rsidP="00195DE7">
      <w:pPr>
        <w:pStyle w:val="Memo"/>
        <w:ind w:firstLine="0"/>
      </w:pPr>
    </w:p>
    <w:p w14:paraId="64F356EE" w14:textId="5C1BF343" w:rsidR="00195DE7" w:rsidRDefault="00195DE7" w:rsidP="00195DE7">
      <w:pPr>
        <w:pStyle w:val="Memo"/>
        <w:numPr>
          <w:ilvl w:val="0"/>
          <w:numId w:val="47"/>
        </w:numPr>
      </w:pPr>
      <w:proofErr w:type="spellStart"/>
      <w:r>
        <w:t>Rovinia’s</w:t>
      </w:r>
      <w:proofErr w:type="spellEnd"/>
      <w:r>
        <w:t xml:space="preserve"> seizure and sale of Ambrosia’s aircraft pursuant to the </w:t>
      </w:r>
      <w:proofErr w:type="spellStart"/>
      <w:r>
        <w:t>Permola</w:t>
      </w:r>
      <w:proofErr w:type="spellEnd"/>
      <w:r>
        <w:t xml:space="preserve"> court’s decision on 14 July 2023 on the basis of the Transitional Council’s purported waiver of immunity violated international law.</w:t>
      </w:r>
    </w:p>
    <w:p w14:paraId="665ACFEF" w14:textId="77777777" w:rsidR="00195DE7" w:rsidRDefault="00195DE7" w:rsidP="00195DE7">
      <w:pPr>
        <w:pStyle w:val="Listenabsatz"/>
      </w:pPr>
    </w:p>
    <w:p w14:paraId="44E7FE1B" w14:textId="77777777" w:rsidR="00195DE7" w:rsidRDefault="00195DE7" w:rsidP="00195DE7">
      <w:pPr>
        <w:pStyle w:val="Memo"/>
        <w:ind w:left="644" w:firstLine="0"/>
      </w:pPr>
    </w:p>
    <w:p w14:paraId="130C3C6F" w14:textId="77777777" w:rsidR="00195DE7" w:rsidRDefault="00195DE7" w:rsidP="00195DE7">
      <w:pPr>
        <w:pStyle w:val="Memo"/>
        <w:ind w:left="644" w:firstLine="0"/>
      </w:pPr>
    </w:p>
    <w:p w14:paraId="57773402" w14:textId="77777777" w:rsidR="00195DE7" w:rsidRDefault="00195DE7" w:rsidP="00195DE7">
      <w:pPr>
        <w:pStyle w:val="Memo"/>
        <w:ind w:left="644" w:firstLine="0"/>
        <w:jc w:val="right"/>
      </w:pPr>
      <w:r>
        <w:t>Respectfully submitted,</w:t>
      </w:r>
    </w:p>
    <w:p w14:paraId="131307B9" w14:textId="0EC53821" w:rsidR="00195DE7" w:rsidRPr="001760A1" w:rsidRDefault="001760A1" w:rsidP="00195DE7">
      <w:pPr>
        <w:pStyle w:val="Memo"/>
        <w:ind w:left="644" w:firstLine="0"/>
        <w:jc w:val="right"/>
        <w:rPr>
          <w:b/>
          <w:bCs/>
          <w:smallCaps/>
        </w:rPr>
      </w:pPr>
      <w:r>
        <w:rPr>
          <w:b/>
          <w:bCs/>
          <w:smallCaps/>
        </w:rPr>
        <w:t>Agents for the Union of Ambrosia</w:t>
      </w:r>
    </w:p>
    <w:p w14:paraId="04FE18AB" w14:textId="09645288" w:rsidR="007501EF" w:rsidRDefault="007501EF" w:rsidP="007501EF">
      <w:pPr>
        <w:pStyle w:val="Memo"/>
      </w:pPr>
    </w:p>
    <w:p w14:paraId="68BEF2A9" w14:textId="77777777" w:rsidR="00AE165D" w:rsidRPr="00151E05" w:rsidRDefault="00AE165D" w:rsidP="007501EF">
      <w:pPr>
        <w:pStyle w:val="Memo"/>
      </w:pPr>
    </w:p>
    <w:sectPr w:rsidR="00AE165D" w:rsidRPr="00151E05" w:rsidSect="00B41ED0">
      <w:footerReference w:type="default" r:id="rId12"/>
      <w:pgSz w:w="11906" w:h="16838" w:code="9"/>
      <w:pgMar w:top="1474" w:right="1474" w:bottom="1474" w:left="147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CED88" w14:textId="77777777" w:rsidR="00F30069" w:rsidRDefault="00F30069">
      <w:r>
        <w:separator/>
      </w:r>
    </w:p>
  </w:endnote>
  <w:endnote w:type="continuationSeparator" w:id="0">
    <w:p w14:paraId="6AA38009" w14:textId="77777777" w:rsidR="00F30069" w:rsidRDefault="00F30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2599B" w14:textId="77777777" w:rsidR="007C1059" w:rsidRDefault="007C1059" w:rsidP="00D26599">
    <w:pPr>
      <w:pStyle w:val="Fuzeile"/>
      <w:jc w:val="center"/>
    </w:pPr>
    <w:r>
      <w:fldChar w:fldCharType="begin"/>
    </w:r>
    <w:r>
      <w:instrText>PAGE   \* MERGEFORMAT</w:instrText>
    </w:r>
    <w:r>
      <w:fldChar w:fldCharType="separate"/>
    </w:r>
    <w:r w:rsidRPr="00665C34">
      <w:rPr>
        <w:noProof/>
        <w:lang w:val="de-DE"/>
      </w:rPr>
      <w:t>VI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8168A" w14:textId="77777777" w:rsidR="007C1059" w:rsidRDefault="007C1059" w:rsidP="00D26599">
    <w:pPr>
      <w:pStyle w:val="Fuzeile"/>
      <w:jc w:val="center"/>
    </w:pPr>
    <w:r>
      <w:fldChar w:fldCharType="begin"/>
    </w:r>
    <w:r>
      <w:instrText>PAGE   \* MERGEFORMAT</w:instrText>
    </w:r>
    <w:r>
      <w:fldChar w:fldCharType="separate"/>
    </w:r>
    <w:r w:rsidRPr="00B2635F">
      <w:rPr>
        <w:noProof/>
        <w:lang w:val="de-DE"/>
      </w:rPr>
      <w:t>VIII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D7B6" w14:textId="77777777" w:rsidR="007C1059" w:rsidRDefault="007C1059" w:rsidP="00D26599">
    <w:pPr>
      <w:pStyle w:val="Fuzeile"/>
      <w:jc w:val="center"/>
    </w:pPr>
    <w:r w:rsidRPr="009E1E24">
      <w:fldChar w:fldCharType="begin"/>
    </w:r>
    <w:r w:rsidRPr="009E1E24">
      <w:instrText>PAGE   \* MERGEFORMAT</w:instrText>
    </w:r>
    <w:r w:rsidRPr="009E1E24">
      <w:fldChar w:fldCharType="separate"/>
    </w:r>
    <w:r w:rsidRPr="009E1E24">
      <w:rPr>
        <w:noProof/>
        <w:lang w:val="de-DE"/>
      </w:rPr>
      <w:t>VIII</w:t>
    </w:r>
    <w:r w:rsidRPr="009E1E2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662F47" w14:textId="77777777" w:rsidR="00F30069" w:rsidRDefault="00F30069" w:rsidP="00A0253D">
      <w:pPr>
        <w:ind w:firstLine="0"/>
      </w:pPr>
      <w:r>
        <w:separator/>
      </w:r>
    </w:p>
  </w:footnote>
  <w:footnote w:type="continuationSeparator" w:id="0">
    <w:p w14:paraId="58B370B3" w14:textId="77777777" w:rsidR="00F30069" w:rsidRDefault="00F30069" w:rsidP="00F82A47">
      <w:r>
        <w:separator/>
      </w:r>
    </w:p>
    <w:p w14:paraId="76F77823" w14:textId="77777777" w:rsidR="00F30069" w:rsidRPr="00F82A47" w:rsidRDefault="00F30069" w:rsidP="00F82A47">
      <w:pPr>
        <w:pStyle w:val="Fuzeile"/>
        <w:ind w:firstLine="0"/>
        <w:rPr>
          <w:lang w:val="de-DE"/>
        </w:rPr>
      </w:pPr>
    </w:p>
  </w:footnote>
  <w:footnote w:id="1">
    <w:p w14:paraId="13FE4E57" w14:textId="775B902F"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Charter of the United Nations (‘</w:t>
      </w:r>
      <w:r w:rsidRPr="0084038D">
        <w:rPr>
          <w:bCs/>
          <w:color w:val="000000" w:themeColor="text1"/>
          <w:lang w:val="en-US"/>
        </w:rPr>
        <w:t>UN</w:t>
      </w:r>
      <w:r w:rsidRPr="0084038D">
        <w:rPr>
          <w:color w:val="000000" w:themeColor="text1"/>
          <w:lang w:val="en-US"/>
        </w:rPr>
        <w:t xml:space="preserve"> </w:t>
      </w:r>
      <w:r w:rsidRPr="0084038D">
        <w:rPr>
          <w:bCs/>
          <w:color w:val="000000" w:themeColor="text1"/>
          <w:lang w:val="en-US"/>
        </w:rPr>
        <w:t>Charter’</w:t>
      </w:r>
      <w:r w:rsidRPr="0084038D">
        <w:rPr>
          <w:color w:val="000000" w:themeColor="text1"/>
          <w:lang w:val="en-US"/>
        </w:rPr>
        <w:t>) and Statute of the International Court of Justice (signed 26 June 1945, entered into force 24 October 1945) XV United Nations (‘</w:t>
      </w:r>
      <w:r w:rsidRPr="0084038D">
        <w:rPr>
          <w:bCs/>
          <w:color w:val="000000" w:themeColor="text1"/>
          <w:lang w:val="en-US"/>
        </w:rPr>
        <w:t>UN</w:t>
      </w:r>
      <w:r w:rsidRPr="0084038D">
        <w:rPr>
          <w:color w:val="000000" w:themeColor="text1"/>
          <w:lang w:val="en-US"/>
        </w:rPr>
        <w:t>’) Conference on International Organization 335, amendments in 557 UN Treaty Series 143, 638 UN Treaty Series 308 and 892 UN Treaty Series 119.</w:t>
      </w:r>
    </w:p>
  </w:footnote>
  <w:footnote w:id="2">
    <w:p w14:paraId="1E101BA0"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[12].</w:t>
      </w:r>
    </w:p>
  </w:footnote>
  <w:footnote w:id="3">
    <w:p w14:paraId="6B008F8E"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[10].</w:t>
      </w:r>
    </w:p>
  </w:footnote>
  <w:footnote w:id="4">
    <w:p w14:paraId="0F9030E7" w14:textId="4078417E"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i/>
          <w:iCs/>
          <w:color w:val="000000" w:themeColor="text1"/>
          <w:lang w:val="en-US"/>
        </w:rPr>
        <w:t xml:space="preserve"> </w:t>
      </w:r>
      <w:r w:rsidRPr="0084038D">
        <w:rPr>
          <w:i/>
          <w:color w:val="000000" w:themeColor="text1"/>
          <w:lang w:val="en-GB"/>
        </w:rPr>
        <w:t xml:space="preserve">Allegations of Genocide under the Convention on the Prevention and Punishment of the Crime of Genocide </w:t>
      </w:r>
      <w:r w:rsidRPr="0084038D">
        <w:rPr>
          <w:iCs/>
          <w:color w:val="000000" w:themeColor="text1"/>
          <w:lang w:val="en-GB"/>
        </w:rPr>
        <w:t>(</w:t>
      </w:r>
      <w:r w:rsidRPr="0084038D">
        <w:rPr>
          <w:i/>
          <w:color w:val="000000" w:themeColor="text1"/>
          <w:lang w:val="en-GB"/>
        </w:rPr>
        <w:t>Ukraine v Russia</w:t>
      </w:r>
      <w:r>
        <w:rPr>
          <w:i/>
          <w:color w:val="000000" w:themeColor="text1"/>
          <w:lang w:val="en-GB"/>
        </w:rPr>
        <w:t>: 32 States intervening</w:t>
      </w:r>
      <w:r w:rsidRPr="0084038D">
        <w:rPr>
          <w:iCs/>
          <w:color w:val="000000" w:themeColor="text1"/>
          <w:lang w:val="en-GB"/>
        </w:rPr>
        <w:t>)</w:t>
      </w:r>
      <w:r w:rsidRPr="0084038D">
        <w:rPr>
          <w:color w:val="000000" w:themeColor="text1"/>
          <w:lang w:val="en-GB"/>
        </w:rPr>
        <w:t xml:space="preserve"> (Preliminary Objections) [2024] </w:t>
      </w:r>
      <w:r w:rsidRPr="0084038D">
        <w:rPr>
          <w:color w:val="000000" w:themeColor="text1"/>
          <w:lang w:val="en-US"/>
        </w:rPr>
        <w:t xml:space="preserve">ICJ </w:t>
      </w:r>
      <w:r>
        <w:rPr>
          <w:color w:val="000000" w:themeColor="text1"/>
          <w:lang w:val="en-US"/>
        </w:rPr>
        <w:t>General List No 182</w:t>
      </w:r>
      <w:r w:rsidRPr="0084038D">
        <w:rPr>
          <w:color w:val="000000" w:themeColor="text1"/>
          <w:lang w:val="en-GB"/>
        </w:rPr>
        <w:t xml:space="preserve"> [44].</w:t>
      </w:r>
    </w:p>
  </w:footnote>
  <w:footnote w:id="5">
    <w:p w14:paraId="29B0BA34" w14:textId="587D1ADB"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[69]</w:t>
      </w:r>
      <w:r w:rsidR="00E65D8A">
        <w:rPr>
          <w:color w:val="000000" w:themeColor="text1"/>
          <w:lang w:val="en-US"/>
        </w:rPr>
        <w:t>-</w:t>
      </w:r>
      <w:r w:rsidRPr="0084038D">
        <w:rPr>
          <w:color w:val="000000" w:themeColor="text1"/>
          <w:lang w:val="en-US"/>
        </w:rPr>
        <w:t>[70].</w:t>
      </w:r>
    </w:p>
  </w:footnote>
  <w:footnote w:id="6">
    <w:p w14:paraId="7BE41DC6"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[12].</w:t>
      </w:r>
    </w:p>
  </w:footnote>
  <w:footnote w:id="7">
    <w:p w14:paraId="795740AB" w14:textId="27BAD1DD"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Vienna Convention on the Law of Treaties (adopted 2</w:t>
      </w:r>
      <w:r>
        <w:rPr>
          <w:color w:val="000000" w:themeColor="text1"/>
          <w:lang w:val="en-US"/>
        </w:rPr>
        <w:t>3</w:t>
      </w:r>
      <w:r w:rsidRPr="0084038D">
        <w:rPr>
          <w:color w:val="000000" w:themeColor="text1"/>
          <w:lang w:val="en-US"/>
        </w:rPr>
        <w:t xml:space="preserve"> May 1969, entered into force 27 January 1980) 1155 UN Treaty Series 331 (‘</w:t>
      </w:r>
      <w:r w:rsidRPr="0084038D">
        <w:rPr>
          <w:bCs/>
          <w:color w:val="000000" w:themeColor="text1"/>
          <w:lang w:val="en-US"/>
        </w:rPr>
        <w:t>VCLT</w:t>
      </w:r>
      <w:r w:rsidRPr="0084038D">
        <w:rPr>
          <w:color w:val="000000" w:themeColor="text1"/>
          <w:lang w:val="en-US"/>
        </w:rPr>
        <w:t>’).</w:t>
      </w:r>
    </w:p>
  </w:footnote>
  <w:footnote w:id="8">
    <w:p w14:paraId="2358D72F" w14:textId="0488B81B" w:rsidR="007C1059" w:rsidRPr="0084038D" w:rsidRDefault="007C1059" w:rsidP="00D17C40">
      <w:pPr>
        <w:pStyle w:val="Funotentext"/>
        <w:rPr>
          <w:color w:val="000000" w:themeColor="text1"/>
          <w:lang w:val="en-GB"/>
        </w:rPr>
      </w:pPr>
      <w:r w:rsidRPr="0084038D">
        <w:rPr>
          <w:rStyle w:val="Funotenzeichen"/>
          <w:color w:val="000000" w:themeColor="text1"/>
          <w:lang w:val="en-GB"/>
        </w:rPr>
        <w:footnoteRef/>
      </w:r>
      <w:r w:rsidRPr="0084038D">
        <w:rPr>
          <w:color w:val="000000" w:themeColor="text1"/>
          <w:lang w:val="en-GB"/>
        </w:rPr>
        <w:t xml:space="preserve"> </w:t>
      </w:r>
      <w:r w:rsidRPr="0084038D">
        <w:rPr>
          <w:i/>
          <w:iCs/>
          <w:color w:val="000000" w:themeColor="text1"/>
          <w:lang w:val="en-US"/>
        </w:rPr>
        <w:t xml:space="preserve">Phosphates in Morocco </w:t>
      </w:r>
      <w:r w:rsidRPr="0084038D">
        <w:rPr>
          <w:color w:val="000000" w:themeColor="text1"/>
          <w:lang w:val="en-US"/>
        </w:rPr>
        <w:t>(</w:t>
      </w:r>
      <w:r w:rsidRPr="0084038D">
        <w:rPr>
          <w:i/>
          <w:iCs/>
          <w:color w:val="000000" w:themeColor="text1"/>
          <w:lang w:val="en-US"/>
        </w:rPr>
        <w:t>Italy v France</w:t>
      </w:r>
      <w:r w:rsidRPr="0084038D">
        <w:rPr>
          <w:color w:val="000000" w:themeColor="text1"/>
          <w:lang w:val="en-US"/>
        </w:rPr>
        <w:t>)</w:t>
      </w:r>
      <w:r w:rsidRPr="0084038D">
        <w:rPr>
          <w:i/>
          <w:iCs/>
          <w:color w:val="000000" w:themeColor="text1"/>
          <w:lang w:val="en-US"/>
        </w:rPr>
        <w:t xml:space="preserve"> </w:t>
      </w:r>
      <w:r w:rsidRPr="0084038D">
        <w:rPr>
          <w:color w:val="000000" w:themeColor="text1"/>
          <w:lang w:val="en-US"/>
        </w:rPr>
        <w:t>(Preliminary Objections) [1938] P</w:t>
      </w:r>
      <w:r w:rsidR="00774392">
        <w:rPr>
          <w:color w:val="000000" w:themeColor="text1"/>
          <w:lang w:val="en-US"/>
        </w:rPr>
        <w:t>ermanent Court of International Justice (‘PCIJ’)</w:t>
      </w:r>
      <w:r w:rsidRPr="0084038D">
        <w:rPr>
          <w:color w:val="000000" w:themeColor="text1"/>
          <w:lang w:val="en-US"/>
        </w:rPr>
        <w:t> Rep Series A/B No 74</w:t>
      </w:r>
      <w:r w:rsidRPr="00AA2865">
        <w:rPr>
          <w:color w:val="000000" w:themeColor="text1"/>
          <w:lang w:val="en-US"/>
        </w:rPr>
        <w:t>, 23-24.</w:t>
      </w:r>
    </w:p>
  </w:footnote>
  <w:footnote w:id="9">
    <w:p w14:paraId="2243F1AE" w14:textId="0728F46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The Electricity Company of Sofia and Bulgaria </w:t>
      </w:r>
      <w:r w:rsidRPr="0084038D">
        <w:rPr>
          <w:color w:val="000000" w:themeColor="text1"/>
          <w:lang w:val="en-US"/>
        </w:rPr>
        <w:t>(</w:t>
      </w:r>
      <w:r w:rsidRPr="0084038D">
        <w:rPr>
          <w:i/>
          <w:iCs/>
          <w:color w:val="000000" w:themeColor="text1"/>
          <w:lang w:val="en-US"/>
        </w:rPr>
        <w:t>Belgium v Bulgaria</w:t>
      </w:r>
      <w:r w:rsidRPr="0084038D">
        <w:rPr>
          <w:color w:val="000000" w:themeColor="text1"/>
          <w:lang w:val="en-US"/>
        </w:rPr>
        <w:t>)</w:t>
      </w:r>
      <w:r w:rsidRPr="0084038D">
        <w:rPr>
          <w:i/>
          <w:iCs/>
          <w:color w:val="000000" w:themeColor="text1"/>
          <w:lang w:val="en-US"/>
        </w:rPr>
        <w:t xml:space="preserve"> </w:t>
      </w:r>
      <w:r w:rsidRPr="0084038D">
        <w:rPr>
          <w:color w:val="000000" w:themeColor="text1"/>
          <w:lang w:val="en-US"/>
        </w:rPr>
        <w:t xml:space="preserve">(Preliminary Objection) [1939] </w:t>
      </w:r>
      <w:r w:rsidRPr="0084038D">
        <w:rPr>
          <w:color w:val="000000" w:themeColor="text1"/>
        </w:rPr>
        <w:t>PCIJ Rep</w:t>
      </w:r>
      <w:r w:rsidRPr="0084038D">
        <w:rPr>
          <w:color w:val="000000" w:themeColor="text1"/>
          <w:lang w:val="en-US"/>
        </w:rPr>
        <w:t xml:space="preserve"> Series A/B No 77, </w:t>
      </w:r>
      <w:r w:rsidRPr="00AA2865">
        <w:rPr>
          <w:color w:val="000000" w:themeColor="text1"/>
          <w:lang w:val="en-US"/>
        </w:rPr>
        <w:t>82.</w:t>
      </w:r>
    </w:p>
  </w:footnote>
  <w:footnote w:id="10">
    <w:p w14:paraId="239B5E41" w14:textId="13446523"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Case Concerning Right of Passage over Indian Territory </w:t>
      </w:r>
      <w:r w:rsidRPr="0084038D">
        <w:rPr>
          <w:color w:val="000000" w:themeColor="text1"/>
          <w:lang w:val="en-US"/>
        </w:rPr>
        <w:t>(</w:t>
      </w:r>
      <w:r w:rsidRPr="0084038D">
        <w:rPr>
          <w:i/>
          <w:iCs/>
          <w:color w:val="000000" w:themeColor="text1"/>
          <w:lang w:val="en-US"/>
        </w:rPr>
        <w:t>Portugal v India</w:t>
      </w:r>
      <w:r w:rsidRPr="0084038D">
        <w:rPr>
          <w:color w:val="000000" w:themeColor="text1"/>
          <w:lang w:val="en-US"/>
        </w:rPr>
        <w:t>)</w:t>
      </w:r>
      <w:r w:rsidRPr="0084038D">
        <w:rPr>
          <w:i/>
          <w:iCs/>
          <w:color w:val="000000" w:themeColor="text1"/>
          <w:lang w:val="en-US"/>
        </w:rPr>
        <w:t xml:space="preserve"> </w:t>
      </w:r>
      <w:r w:rsidRPr="0084038D">
        <w:rPr>
          <w:color w:val="000000" w:themeColor="text1"/>
          <w:lang w:val="en-US"/>
        </w:rPr>
        <w:t>(Merits) [1960] ICJ Rep 6 (‘</w:t>
      </w:r>
      <w:r w:rsidRPr="0084038D">
        <w:rPr>
          <w:i/>
          <w:iCs/>
          <w:color w:val="000000" w:themeColor="text1"/>
        </w:rPr>
        <w:t>Right of Passage</w:t>
      </w:r>
      <w:r w:rsidRPr="0084038D">
        <w:rPr>
          <w:color w:val="000000" w:themeColor="text1"/>
        </w:rPr>
        <w:t>’)</w:t>
      </w:r>
      <w:r w:rsidRPr="0084038D">
        <w:rPr>
          <w:color w:val="000000" w:themeColor="text1"/>
          <w:lang w:val="en-GB"/>
        </w:rPr>
        <w:t>,</w:t>
      </w:r>
      <w:r w:rsidRPr="0084038D">
        <w:rPr>
          <w:color w:val="000000" w:themeColor="text1"/>
          <w:lang w:val="en-US"/>
        </w:rPr>
        <w:t xml:space="preserve"> 34.</w:t>
      </w:r>
    </w:p>
  </w:footnote>
  <w:footnote w:id="11">
    <w:p w14:paraId="1A7BA661" w14:textId="796E3E01" w:rsidR="007C1059" w:rsidRPr="0084038D" w:rsidRDefault="007C1059" w:rsidP="00D17C40">
      <w:pPr>
        <w:pStyle w:val="Funotentext"/>
        <w:jc w:val="left"/>
        <w:rPr>
          <w:color w:val="000000" w:themeColor="text1"/>
          <w:lang w:val="en-US"/>
        </w:rPr>
      </w:pPr>
      <w:r w:rsidRPr="0084038D">
        <w:rPr>
          <w:rStyle w:val="Funotenzeichen"/>
          <w:color w:val="000000" w:themeColor="text1"/>
        </w:rPr>
        <w:footnoteRef/>
      </w:r>
      <w:r w:rsidRPr="0084038D">
        <w:rPr>
          <w:color w:val="000000" w:themeColor="text1"/>
          <w:lang w:val="en-US"/>
        </w:rPr>
        <w:t xml:space="preserve"> Ibid.</w:t>
      </w:r>
    </w:p>
  </w:footnote>
  <w:footnote w:id="12">
    <w:p w14:paraId="14AA84A6" w14:textId="5132280C" w:rsidR="007C1059" w:rsidRPr="0084038D" w:rsidRDefault="007C1059" w:rsidP="007E7084">
      <w:pPr>
        <w:pStyle w:val="Funotentext"/>
        <w:rPr>
          <w:color w:val="000000" w:themeColor="text1"/>
          <w:lang w:val="en-US"/>
        </w:rPr>
      </w:pPr>
      <w:r w:rsidRPr="0084038D">
        <w:rPr>
          <w:rStyle w:val="Funotenzeichen"/>
          <w:color w:val="000000" w:themeColor="text1"/>
        </w:rPr>
        <w:footnoteRef/>
      </w:r>
      <w:r w:rsidRPr="0084038D">
        <w:rPr>
          <w:i/>
          <w:iCs/>
          <w:color w:val="000000" w:themeColor="text1"/>
          <w:lang w:val="en-US"/>
        </w:rPr>
        <w:t xml:space="preserve"> Case Concerning Certain Property </w:t>
      </w:r>
      <w:r w:rsidRPr="0084038D">
        <w:rPr>
          <w:color w:val="000000" w:themeColor="text1"/>
          <w:lang w:val="en-US"/>
        </w:rPr>
        <w:t>(</w:t>
      </w:r>
      <w:r w:rsidRPr="0084038D">
        <w:rPr>
          <w:i/>
          <w:iCs/>
          <w:color w:val="000000" w:themeColor="text1"/>
          <w:lang w:val="en-US"/>
        </w:rPr>
        <w:t>Liechtenstein v Germany</w:t>
      </w:r>
      <w:r w:rsidRPr="0084038D">
        <w:rPr>
          <w:color w:val="000000" w:themeColor="text1"/>
          <w:lang w:val="en-US"/>
        </w:rPr>
        <w:t>)</w:t>
      </w:r>
      <w:r w:rsidRPr="0084038D">
        <w:rPr>
          <w:i/>
          <w:iCs/>
          <w:color w:val="000000" w:themeColor="text1"/>
          <w:lang w:val="en-US"/>
        </w:rPr>
        <w:t xml:space="preserve"> </w:t>
      </w:r>
      <w:r w:rsidRPr="0084038D">
        <w:rPr>
          <w:color w:val="000000" w:themeColor="text1"/>
          <w:lang w:val="en-US"/>
        </w:rPr>
        <w:t xml:space="preserve">(Preliminary Objections) [2005] ICJ Rep 6 </w:t>
      </w:r>
      <w:r w:rsidR="00966CE4" w:rsidRPr="0084038D">
        <w:rPr>
          <w:color w:val="000000" w:themeColor="text1"/>
          <w:lang w:val="en-US"/>
        </w:rPr>
        <w:t>[52].</w:t>
      </w:r>
    </w:p>
  </w:footnote>
  <w:footnote w:id="13">
    <w:p w14:paraId="6CAF8AA0" w14:textId="0C486AB4"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Ibid </w:t>
      </w:r>
      <w:r w:rsidR="00966CE4" w:rsidRPr="0084038D">
        <w:rPr>
          <w:color w:val="000000" w:themeColor="text1"/>
          <w:lang w:val="en-US"/>
        </w:rPr>
        <w:t>[51]</w:t>
      </w:r>
      <w:r w:rsidR="00966CE4">
        <w:rPr>
          <w:color w:val="000000" w:themeColor="text1"/>
          <w:lang w:val="en-US"/>
        </w:rPr>
        <w:t>-</w:t>
      </w:r>
      <w:r w:rsidR="00966CE4" w:rsidRPr="0084038D">
        <w:rPr>
          <w:color w:val="000000" w:themeColor="text1"/>
          <w:lang w:val="en-US"/>
        </w:rPr>
        <w:t>[52].</w:t>
      </w:r>
    </w:p>
  </w:footnote>
  <w:footnote w:id="14">
    <w:p w14:paraId="2566106A" w14:textId="32CD90C2"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Jurisdictional Immunities of the State (Germany v Italy: Greece intervening) </w:t>
      </w:r>
      <w:r w:rsidRPr="0084038D">
        <w:rPr>
          <w:color w:val="000000" w:themeColor="text1"/>
          <w:lang w:val="en-US"/>
        </w:rPr>
        <w:t>(Judgment) [2012] ICJ Rep 99 (‘</w:t>
      </w:r>
      <w:r w:rsidRPr="0084038D">
        <w:rPr>
          <w:i/>
          <w:iCs/>
          <w:color w:val="000000" w:themeColor="text1"/>
          <w:lang w:val="en-US"/>
        </w:rPr>
        <w:t>Jurisdictional</w:t>
      </w:r>
      <w:r w:rsidRPr="0084038D">
        <w:rPr>
          <w:color w:val="000000" w:themeColor="text1"/>
          <w:lang w:val="en-US"/>
        </w:rPr>
        <w:t xml:space="preserve"> </w:t>
      </w:r>
      <w:r w:rsidRPr="0084038D">
        <w:rPr>
          <w:i/>
          <w:iCs/>
          <w:color w:val="000000" w:themeColor="text1"/>
          <w:lang w:val="en-US"/>
        </w:rPr>
        <w:t>Immunities</w:t>
      </w:r>
      <w:r w:rsidRPr="0084038D">
        <w:rPr>
          <w:iCs/>
          <w:color w:val="000000" w:themeColor="text1"/>
          <w:lang w:val="en-US"/>
        </w:rPr>
        <w:t>’</w:t>
      </w:r>
      <w:r w:rsidRPr="0084038D">
        <w:rPr>
          <w:color w:val="000000" w:themeColor="text1"/>
          <w:lang w:val="en-US"/>
        </w:rPr>
        <w:t>) [44].</w:t>
      </w:r>
    </w:p>
  </w:footnote>
  <w:footnote w:id="15">
    <w:p w14:paraId="579088C0" w14:textId="7777777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color w:val="000000" w:themeColor="text1"/>
        </w:rPr>
        <w:t>Interpretation of the Agreement of 25 March 1951 between the WHO and Egypt</w:t>
      </w:r>
      <w:r w:rsidRPr="0084038D">
        <w:rPr>
          <w:color w:val="000000" w:themeColor="text1"/>
        </w:rPr>
        <w:t xml:space="preserve"> (Advisory Opinion) [1980] ICJ Rep 73 [38]</w:t>
      </w:r>
      <w:r w:rsidRPr="0084038D">
        <w:rPr>
          <w:color w:val="000000" w:themeColor="text1"/>
          <w:lang w:val="en-GB"/>
        </w:rPr>
        <w:t>.</w:t>
      </w:r>
    </w:p>
  </w:footnote>
  <w:footnote w:id="16">
    <w:p w14:paraId="5EDB0A36"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[10].</w:t>
      </w:r>
    </w:p>
  </w:footnote>
  <w:footnote w:id="17">
    <w:p w14:paraId="14239901"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US"/>
        </w:rPr>
        <w:t xml:space="preserve"> Ibid [11].</w:t>
      </w:r>
    </w:p>
  </w:footnote>
  <w:footnote w:id="18">
    <w:p w14:paraId="34B1779B"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[67].</w:t>
      </w:r>
    </w:p>
  </w:footnote>
  <w:footnote w:id="19">
    <w:p w14:paraId="174650A6" w14:textId="77777777" w:rsidR="007C1059" w:rsidRPr="0084038D" w:rsidRDefault="007C1059" w:rsidP="00D17C40">
      <w:pPr>
        <w:pStyle w:val="Funotentext"/>
        <w:rPr>
          <w:color w:val="000000" w:themeColor="text1"/>
          <w:highlight w:val="yellow"/>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[61], [63].</w:t>
      </w:r>
    </w:p>
  </w:footnote>
  <w:footnote w:id="20">
    <w:p w14:paraId="7F90B3E3"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[61]-[66], [69]-[70].</w:t>
      </w:r>
    </w:p>
  </w:footnote>
  <w:footnote w:id="21">
    <w:p w14:paraId="6D520585"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[25], [50].</w:t>
      </w:r>
    </w:p>
  </w:footnote>
  <w:footnote w:id="22">
    <w:p w14:paraId="7EAABB78" w14:textId="77777777" w:rsidR="007C1059" w:rsidRPr="0084038D" w:rsidRDefault="007C1059" w:rsidP="00D17C40">
      <w:pPr>
        <w:pStyle w:val="Funotentext"/>
        <w:rPr>
          <w:color w:val="000000" w:themeColor="text1"/>
          <w:highlight w:val="green"/>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[12].</w:t>
      </w:r>
    </w:p>
  </w:footnote>
  <w:footnote w:id="23">
    <w:p w14:paraId="76E6EA0B"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US"/>
        </w:rPr>
        <w:t xml:space="preserve"> See A.I.</w:t>
      </w:r>
    </w:p>
  </w:footnote>
  <w:footnote w:id="24">
    <w:p w14:paraId="13ADA727"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[61].</w:t>
      </w:r>
    </w:p>
  </w:footnote>
  <w:footnote w:id="25">
    <w:p w14:paraId="07F24017" w14:textId="7777777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Case Concerning Military and Paramilitary Activities in and against Nicaragua </w:t>
      </w:r>
      <w:r w:rsidRPr="0084038D">
        <w:rPr>
          <w:color w:val="000000" w:themeColor="text1"/>
          <w:lang w:val="en-US"/>
        </w:rPr>
        <w:t>(</w:t>
      </w:r>
      <w:r w:rsidRPr="0084038D">
        <w:rPr>
          <w:i/>
          <w:iCs/>
          <w:color w:val="000000" w:themeColor="text1"/>
          <w:lang w:val="en-US"/>
        </w:rPr>
        <w:t>Nicaragua v United States</w:t>
      </w:r>
      <w:r w:rsidRPr="0084038D">
        <w:rPr>
          <w:color w:val="000000" w:themeColor="text1"/>
          <w:lang w:val="en-US"/>
        </w:rPr>
        <w:t>)</w:t>
      </w:r>
      <w:r w:rsidRPr="0084038D">
        <w:rPr>
          <w:i/>
          <w:iCs/>
          <w:color w:val="000000" w:themeColor="text1"/>
          <w:lang w:val="en-US"/>
        </w:rPr>
        <w:t xml:space="preserve"> </w:t>
      </w:r>
      <w:r w:rsidRPr="0084038D">
        <w:rPr>
          <w:color w:val="000000" w:themeColor="text1"/>
          <w:lang w:val="en-US"/>
        </w:rPr>
        <w:t>(Merits) [1986] ICJ Rep 14</w:t>
      </w:r>
      <w:r w:rsidRPr="0084038D">
        <w:rPr>
          <w:color w:val="000000" w:themeColor="text1"/>
          <w:lang w:val="en-GB"/>
        </w:rPr>
        <w:t xml:space="preserve"> [205].</w:t>
      </w:r>
    </w:p>
  </w:footnote>
  <w:footnote w:id="26">
    <w:p w14:paraId="73915951" w14:textId="3C2A72D5"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Nationality Decrees Issued in Tunis and Morocco </w:t>
      </w:r>
      <w:r w:rsidRPr="0084038D">
        <w:rPr>
          <w:color w:val="000000" w:themeColor="text1"/>
          <w:lang w:val="en-US"/>
        </w:rPr>
        <w:t>(Advisory Opinion) [1923] PCIJ Rep Series B No 4, 24.</w:t>
      </w:r>
    </w:p>
  </w:footnote>
  <w:footnote w:id="27">
    <w:p w14:paraId="2A1C63A6" w14:textId="0B4FE3CD"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Georg </w:t>
      </w:r>
      <w:r w:rsidRPr="0084038D">
        <w:rPr>
          <w:color w:val="000000" w:themeColor="text1"/>
          <w:lang w:val="en-US"/>
        </w:rPr>
        <w:t xml:space="preserve">Nolte, ‘Article 2(7)’ in Bruno Simma et al (eds), </w:t>
      </w:r>
      <w:r w:rsidRPr="0084038D">
        <w:rPr>
          <w:i/>
          <w:iCs/>
          <w:color w:val="000000" w:themeColor="text1"/>
          <w:lang w:val="en-US"/>
        </w:rPr>
        <w:t>The Charter of the United Nations: A Commentary</w:t>
      </w:r>
      <w:r w:rsidRPr="0084038D">
        <w:rPr>
          <w:color w:val="000000" w:themeColor="text1"/>
          <w:lang w:val="en-US"/>
        </w:rPr>
        <w:t xml:space="preserve"> (4</w:t>
      </w:r>
      <w:r w:rsidRPr="00946A01">
        <w:rPr>
          <w:color w:val="000000" w:themeColor="text1"/>
          <w:vertAlign w:val="superscript"/>
          <w:lang w:val="en-US"/>
        </w:rPr>
        <w:t>th</w:t>
      </w:r>
      <w:r w:rsidRPr="0084038D">
        <w:rPr>
          <w:color w:val="000000" w:themeColor="text1"/>
          <w:lang w:val="en-US"/>
        </w:rPr>
        <w:t xml:space="preserve"> edn, Oxford University Press 2024) 421, 435. </w:t>
      </w:r>
    </w:p>
  </w:footnote>
  <w:footnote w:id="28">
    <w:p w14:paraId="1E27AE73" w14:textId="02BEFDAC"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Article 2(7) UN Charter.</w:t>
      </w:r>
    </w:p>
  </w:footnote>
  <w:footnote w:id="29">
    <w:p w14:paraId="735C2EC4" w14:textId="15D2E11A"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UN General Assembly (‘</w:t>
      </w:r>
      <w:r w:rsidRPr="0084038D">
        <w:rPr>
          <w:bCs/>
          <w:color w:val="000000" w:themeColor="text1"/>
          <w:lang w:val="en-US"/>
        </w:rPr>
        <w:t>UNGA</w:t>
      </w:r>
      <w:r w:rsidRPr="0084038D">
        <w:rPr>
          <w:color w:val="000000" w:themeColor="text1"/>
          <w:lang w:val="en-US"/>
        </w:rPr>
        <w:t>’) Resolution 272(III) (30 April 1949) UN Doc A/RES/272(III) [</w:t>
      </w:r>
      <w:r w:rsidRPr="0084038D">
        <w:rPr>
          <w:color w:val="000000" w:themeColor="text1"/>
        </w:rPr>
        <w:t>3</w:t>
      </w:r>
      <w:r w:rsidRPr="0084038D">
        <w:rPr>
          <w:color w:val="000000" w:themeColor="text1"/>
          <w:lang w:val="en-US"/>
        </w:rPr>
        <w:t>]; UNGA Resolution 294(IV) (22 October 1949) UN Doc A/RES/294(IV) Preamble; UNGA Resolution 44(I) (8 December 1946) UN Doc A/RES/44(I) [</w:t>
      </w:r>
      <w:r w:rsidRPr="0084038D">
        <w:rPr>
          <w:color w:val="000000" w:themeColor="text1"/>
        </w:rPr>
        <w:t>2</w:t>
      </w:r>
      <w:r w:rsidRPr="0084038D">
        <w:rPr>
          <w:color w:val="000000" w:themeColor="text1"/>
          <w:lang w:val="en-US"/>
        </w:rPr>
        <w:t xml:space="preserve">]. </w:t>
      </w:r>
    </w:p>
  </w:footnote>
  <w:footnote w:id="30">
    <w:p w14:paraId="327B0FDD" w14:textId="27ADCFF3"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International Convention for the Protection of All Persons from Enforced Disappearance (adopted 20 December 2006, entered into force 23 December 2010) 2716 UN Treaty Series 3 (‘</w:t>
      </w:r>
      <w:r w:rsidRPr="0084038D">
        <w:rPr>
          <w:bCs/>
          <w:color w:val="000000" w:themeColor="text1"/>
          <w:lang w:val="en-US"/>
        </w:rPr>
        <w:t>ICPPED</w:t>
      </w:r>
      <w:r w:rsidRPr="0084038D">
        <w:rPr>
          <w:color w:val="000000" w:themeColor="text1"/>
          <w:lang w:val="en-US"/>
        </w:rPr>
        <w:t>’).</w:t>
      </w:r>
    </w:p>
  </w:footnote>
  <w:footnote w:id="31">
    <w:p w14:paraId="361C5219"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[68].</w:t>
      </w:r>
    </w:p>
  </w:footnote>
  <w:footnote w:id="32">
    <w:p w14:paraId="7786677D" w14:textId="1B026803"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Articles </w:t>
      </w:r>
      <w:r w:rsidRPr="0084038D">
        <w:rPr>
          <w:color w:val="000000" w:themeColor="text1"/>
        </w:rPr>
        <w:t>14(1), 12(3)(a), 10(1), 10(3) ICPPED.</w:t>
      </w:r>
    </w:p>
  </w:footnote>
  <w:footnote w:id="33">
    <w:p w14:paraId="7A3D2184" w14:textId="0484C4F1"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US"/>
        </w:rPr>
        <w:t xml:space="preserve"> </w:t>
      </w:r>
      <w:r w:rsidRPr="0084038D">
        <w:rPr>
          <w:i/>
          <w:iCs/>
          <w:color w:val="000000" w:themeColor="text1"/>
        </w:rPr>
        <w:t>Right of Passage</w:t>
      </w:r>
      <w:r w:rsidRPr="0084038D">
        <w:rPr>
          <w:i/>
          <w:iCs/>
          <w:color w:val="000000" w:themeColor="text1"/>
          <w:lang w:val="en-US"/>
        </w:rPr>
        <w:t xml:space="preserve">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_Ref187649618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10</w:t>
      </w:r>
      <w:r w:rsidRPr="0084038D">
        <w:rPr>
          <w:color w:val="000000" w:themeColor="text1"/>
          <w:lang w:val="en-US"/>
        </w:rPr>
        <w:fldChar w:fldCharType="end"/>
      </w:r>
      <w:r w:rsidRPr="0084038D">
        <w:rPr>
          <w:color w:val="000000" w:themeColor="text1"/>
          <w:lang w:val="en-US"/>
        </w:rPr>
        <w:t>) 33.</w:t>
      </w:r>
    </w:p>
  </w:footnote>
  <w:footnote w:id="34">
    <w:p w14:paraId="163BAF94" w14:textId="05A76F45"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Case Concerning the</w:t>
      </w:r>
      <w:r w:rsidRPr="0084038D">
        <w:rPr>
          <w:color w:val="000000" w:themeColor="text1"/>
          <w:lang w:val="en-GB"/>
        </w:rPr>
        <w:t xml:space="preserve"> </w:t>
      </w:r>
      <w:r w:rsidRPr="0084038D">
        <w:rPr>
          <w:i/>
          <w:iCs/>
          <w:color w:val="000000" w:themeColor="text1"/>
          <w:lang w:val="en-US"/>
        </w:rPr>
        <w:t>Arrest</w:t>
      </w:r>
      <w:r w:rsidRPr="0084038D">
        <w:rPr>
          <w:color w:val="000000" w:themeColor="text1"/>
          <w:lang w:val="en-US"/>
        </w:rPr>
        <w:t xml:space="preserve"> </w:t>
      </w:r>
      <w:r w:rsidRPr="0084038D">
        <w:rPr>
          <w:i/>
          <w:iCs/>
          <w:color w:val="000000" w:themeColor="text1"/>
          <w:lang w:val="en-US"/>
        </w:rPr>
        <w:t xml:space="preserve">Warrant of 11 April 2000 </w:t>
      </w:r>
      <w:r w:rsidRPr="0084038D">
        <w:rPr>
          <w:iCs/>
          <w:color w:val="000000" w:themeColor="text1"/>
          <w:lang w:val="en-US"/>
        </w:rPr>
        <w:t>(</w:t>
      </w:r>
      <w:r w:rsidRPr="0084038D">
        <w:rPr>
          <w:i/>
          <w:iCs/>
          <w:color w:val="000000" w:themeColor="text1"/>
          <w:lang w:val="en-US"/>
        </w:rPr>
        <w:t>Democratic Republic of the Congo v Belgium</w:t>
      </w:r>
      <w:r w:rsidRPr="0084038D">
        <w:rPr>
          <w:iCs/>
          <w:color w:val="000000" w:themeColor="text1"/>
          <w:lang w:val="en-US"/>
        </w:rPr>
        <w:t>) (Judgment) [2002] ICJ Rep 3 (‘</w:t>
      </w:r>
      <w:r w:rsidRPr="0084038D">
        <w:rPr>
          <w:i/>
          <w:iCs/>
          <w:color w:val="000000" w:themeColor="text1"/>
          <w:lang w:val="en-US"/>
        </w:rPr>
        <w:t>Arrest Warrant</w:t>
      </w:r>
      <w:r w:rsidRPr="0084038D">
        <w:rPr>
          <w:iCs/>
          <w:color w:val="000000" w:themeColor="text1"/>
          <w:lang w:val="en-US"/>
        </w:rPr>
        <w:t>’)</w:t>
      </w:r>
      <w:r w:rsidRPr="0084038D">
        <w:rPr>
          <w:color w:val="000000" w:themeColor="text1"/>
          <w:lang w:val="en-US"/>
        </w:rPr>
        <w:t xml:space="preserve"> [61].</w:t>
      </w:r>
    </w:p>
  </w:footnote>
  <w:footnote w:id="35">
    <w:p w14:paraId="0ACB8687" w14:textId="1CADF495"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Cedric </w:t>
      </w:r>
      <w:r w:rsidRPr="0084038D">
        <w:rPr>
          <w:color w:val="000000" w:themeColor="text1"/>
          <w:lang w:val="en-US"/>
        </w:rPr>
        <w:t xml:space="preserve">Ryngaert, </w:t>
      </w:r>
      <w:r w:rsidRPr="0084038D">
        <w:rPr>
          <w:i/>
          <w:iCs/>
          <w:color w:val="000000" w:themeColor="text1"/>
          <w:lang w:val="en-US"/>
        </w:rPr>
        <w:t xml:space="preserve">Jurisdiction in International Law </w:t>
      </w:r>
      <w:r w:rsidRPr="0084038D">
        <w:rPr>
          <w:color w:val="000000" w:themeColor="text1"/>
          <w:lang w:val="en-US"/>
        </w:rPr>
        <w:t>(2</w:t>
      </w:r>
      <w:r w:rsidR="005605CF" w:rsidRPr="005605CF">
        <w:rPr>
          <w:color w:val="000000" w:themeColor="text1"/>
          <w:vertAlign w:val="superscript"/>
          <w:lang w:val="en-US"/>
        </w:rPr>
        <w:t>nd</w:t>
      </w:r>
      <w:r w:rsidR="005605CF">
        <w:rPr>
          <w:color w:val="000000" w:themeColor="text1"/>
          <w:lang w:val="en-US"/>
        </w:rPr>
        <w:t xml:space="preserve"> </w:t>
      </w:r>
      <w:r w:rsidRPr="0084038D">
        <w:rPr>
          <w:color w:val="000000" w:themeColor="text1"/>
          <w:lang w:val="en-US"/>
        </w:rPr>
        <w:t>edn, Oxford University Press 20</w:t>
      </w:r>
      <w:r>
        <w:rPr>
          <w:color w:val="000000" w:themeColor="text1"/>
          <w:lang w:val="en-US"/>
        </w:rPr>
        <w:t>15</w:t>
      </w:r>
      <w:r w:rsidRPr="0084038D">
        <w:rPr>
          <w:color w:val="000000" w:themeColor="text1"/>
          <w:lang w:val="en-US"/>
        </w:rPr>
        <w:t>) (‘</w:t>
      </w:r>
      <w:r w:rsidRPr="0084038D">
        <w:rPr>
          <w:i/>
          <w:iCs/>
          <w:color w:val="000000" w:themeColor="text1"/>
          <w:lang w:val="en-US"/>
        </w:rPr>
        <w:t>Ryngaert</w:t>
      </w:r>
      <w:r w:rsidRPr="0084038D">
        <w:rPr>
          <w:color w:val="000000" w:themeColor="text1"/>
          <w:lang w:val="en-US"/>
        </w:rPr>
        <w:t>’) 29.</w:t>
      </w:r>
    </w:p>
  </w:footnote>
  <w:footnote w:id="36">
    <w:p w14:paraId="3CF4A0A4"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[25], [63].</w:t>
      </w:r>
    </w:p>
  </w:footnote>
  <w:footnote w:id="37">
    <w:p w14:paraId="2D298598" w14:textId="7B152F4A"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bookmarkStart w:id="68" w:name="_Hlk187447667"/>
      <w:r w:rsidRPr="0084038D">
        <w:rPr>
          <w:i/>
          <w:color w:val="000000" w:themeColor="text1"/>
          <w:lang w:val="en-GB"/>
        </w:rPr>
        <w:t xml:space="preserve">The Case of the S.S. “Lotus” </w:t>
      </w:r>
      <w:r w:rsidRPr="0084038D">
        <w:rPr>
          <w:color w:val="000000" w:themeColor="text1"/>
          <w:lang w:val="en-GB"/>
        </w:rPr>
        <w:t>(</w:t>
      </w:r>
      <w:r w:rsidRPr="0084038D">
        <w:rPr>
          <w:i/>
          <w:color w:val="000000" w:themeColor="text1"/>
          <w:lang w:val="en-GB"/>
        </w:rPr>
        <w:t>French Republic v Turkish Republic</w:t>
      </w:r>
      <w:r w:rsidRPr="0084038D">
        <w:rPr>
          <w:color w:val="000000" w:themeColor="text1"/>
          <w:lang w:val="en-GB"/>
        </w:rPr>
        <w:t>) (Judgment) [1927] PCIJ Rep Series A No 10, 19.</w:t>
      </w:r>
      <w:bookmarkEnd w:id="68"/>
    </w:p>
  </w:footnote>
  <w:footnote w:id="38">
    <w:p w14:paraId="2CF6E4CC" w14:textId="3B8BFD64"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Arrest Warrant </w:t>
      </w:r>
      <w:r w:rsidRPr="0084038D">
        <w:rPr>
          <w:iCs/>
          <w:color w:val="000000" w:themeColor="text1"/>
          <w:lang w:val="en-US"/>
        </w:rPr>
        <w:t xml:space="preserve">(n </w:t>
      </w:r>
      <w:r w:rsidRPr="0084038D">
        <w:rPr>
          <w:iCs/>
          <w:color w:val="000000" w:themeColor="text1"/>
          <w:lang w:val="en-US"/>
        </w:rPr>
        <w:fldChar w:fldCharType="begin"/>
      </w:r>
      <w:r w:rsidRPr="0084038D">
        <w:rPr>
          <w:iCs/>
          <w:color w:val="000000" w:themeColor="text1"/>
          <w:lang w:val="en-US"/>
        </w:rPr>
        <w:instrText xml:space="preserve"> NOTEREF _Ref187650265 \h  \* MERGEFORMAT </w:instrText>
      </w:r>
      <w:r w:rsidRPr="0084038D">
        <w:rPr>
          <w:iCs/>
          <w:color w:val="000000" w:themeColor="text1"/>
          <w:lang w:val="en-US"/>
        </w:rPr>
      </w:r>
      <w:r w:rsidRPr="0084038D">
        <w:rPr>
          <w:iCs/>
          <w:color w:val="000000" w:themeColor="text1"/>
          <w:lang w:val="en-US"/>
        </w:rPr>
        <w:fldChar w:fldCharType="separate"/>
      </w:r>
      <w:r w:rsidRPr="0084038D">
        <w:rPr>
          <w:iCs/>
          <w:color w:val="000000" w:themeColor="text1"/>
          <w:lang w:val="en-US"/>
        </w:rPr>
        <w:t>34</w:t>
      </w:r>
      <w:r w:rsidRPr="0084038D">
        <w:rPr>
          <w:iCs/>
          <w:color w:val="000000" w:themeColor="text1"/>
          <w:lang w:val="en-US"/>
        </w:rPr>
        <w:fldChar w:fldCharType="end"/>
      </w:r>
      <w:r w:rsidRPr="0084038D">
        <w:rPr>
          <w:iCs/>
          <w:color w:val="000000" w:themeColor="text1"/>
          <w:lang w:val="en-US"/>
        </w:rPr>
        <w:t xml:space="preserve">) </w:t>
      </w:r>
      <w:r w:rsidRPr="0084038D">
        <w:rPr>
          <w:color w:val="000000" w:themeColor="text1"/>
          <w:lang w:val="en-US"/>
        </w:rPr>
        <w:t>(Separate Opinion of Judge Guillaume) [2002] ICJ Rep 35 [4].</w:t>
      </w:r>
    </w:p>
  </w:footnote>
  <w:footnote w:id="39">
    <w:p w14:paraId="16B43204" w14:textId="7483FC55"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North Sea Continental Shelf Cases (Germany v Denmark; Germany v Netherlands) </w:t>
      </w:r>
      <w:r w:rsidRPr="0084038D">
        <w:rPr>
          <w:color w:val="000000" w:themeColor="text1"/>
          <w:lang w:val="en-US"/>
        </w:rPr>
        <w:t>(Merits) [1969] ICJ Rep 3 (‘</w:t>
      </w:r>
      <w:r w:rsidRPr="0084038D">
        <w:rPr>
          <w:i/>
          <w:color w:val="000000" w:themeColor="text1"/>
          <w:lang w:val="en-US"/>
        </w:rPr>
        <w:t>North Sea Continental Shelf</w:t>
      </w:r>
      <w:r w:rsidRPr="0084038D">
        <w:rPr>
          <w:color w:val="000000" w:themeColor="text1"/>
          <w:lang w:val="en-US"/>
        </w:rPr>
        <w:t>’) [74], [77].</w:t>
      </w:r>
    </w:p>
  </w:footnote>
  <w:footnote w:id="40">
    <w:p w14:paraId="19EF7702" w14:textId="5E2B13EA" w:rsidR="007C1059" w:rsidRPr="0084038D" w:rsidRDefault="007C1059" w:rsidP="00431008">
      <w:pPr>
        <w:widowControl/>
        <w:suppressAutoHyphens w:val="0"/>
        <w:spacing w:line="240" w:lineRule="auto"/>
        <w:ind w:firstLine="0"/>
        <w:jc w:val="left"/>
        <w:rPr>
          <w:rFonts w:eastAsiaTheme="minorHAnsi" w:cs="Times New Roman"/>
          <w:color w:val="000000" w:themeColor="text1"/>
          <w:lang w:val="en-GB" w:eastAsia="de-DE"/>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§5 </w:t>
      </w:r>
      <w:bookmarkStart w:id="70" w:name="_Hlk187592570"/>
      <w:r w:rsidRPr="0084038D">
        <w:rPr>
          <w:color w:val="000000" w:themeColor="text1"/>
          <w:lang w:val="en-GB"/>
        </w:rPr>
        <w:t xml:space="preserve">German </w:t>
      </w:r>
      <w:bookmarkEnd w:id="70"/>
      <w:r w:rsidRPr="0084038D">
        <w:rPr>
          <w:rFonts w:eastAsia="Times New Roman" w:cs="Times New Roman"/>
          <w:color w:val="000000" w:themeColor="text1"/>
          <w:lang w:val="en"/>
        </w:rPr>
        <w:t xml:space="preserve">Criminal Code (2009) </w:t>
      </w:r>
      <w:r w:rsidRPr="0084038D">
        <w:rPr>
          <w:color w:val="000000" w:themeColor="text1"/>
          <w:lang w:val="en-GB"/>
        </w:rPr>
        <w:t>&lt;https://www.gesetze-im-internet.de/stgb/__5.html&gt; (</w:t>
      </w:r>
      <w:r w:rsidRPr="0084038D">
        <w:rPr>
          <w:b/>
          <w:color w:val="000000" w:themeColor="text1"/>
          <w:lang w:val="en-GB"/>
        </w:rPr>
        <w:t>Germany</w:t>
      </w:r>
      <w:r w:rsidRPr="0084038D">
        <w:rPr>
          <w:color w:val="000000" w:themeColor="text1"/>
          <w:lang w:val="en-GB"/>
        </w:rPr>
        <w:t xml:space="preserve">); </w:t>
      </w:r>
      <w:r w:rsidRPr="0084038D">
        <w:rPr>
          <w:color w:val="000000" w:themeColor="text1"/>
        </w:rPr>
        <w:t xml:space="preserve">§5 </w:t>
      </w:r>
      <w:r w:rsidRPr="0084038D">
        <w:rPr>
          <w:rFonts w:eastAsia="Times New Roman" w:cs="Times New Roman"/>
          <w:color w:val="000000" w:themeColor="text1"/>
          <w:lang w:val="en"/>
        </w:rPr>
        <w:t xml:space="preserve">US Code Title 18 - Crimes and Criminal Procedure (2022) </w:t>
      </w:r>
      <w:r w:rsidRPr="0084038D">
        <w:rPr>
          <w:color w:val="000000" w:themeColor="text1"/>
        </w:rPr>
        <w:t>&lt;https://www.</w:t>
      </w:r>
      <w:r w:rsidRPr="0084038D">
        <w:rPr>
          <w:color w:val="000000" w:themeColor="text1"/>
        </w:rPr>
        <w:br/>
        <w:t>law.cornell.edu/uscode/text/18/5&gt; (</w:t>
      </w:r>
      <w:r w:rsidRPr="0084038D">
        <w:rPr>
          <w:b/>
          <w:color w:val="000000" w:themeColor="text1"/>
        </w:rPr>
        <w:t>United States</w:t>
      </w:r>
      <w:r w:rsidRPr="0084038D">
        <w:rPr>
          <w:color w:val="000000" w:themeColor="text1"/>
        </w:rPr>
        <w:t xml:space="preserve">); Article 2 Japanese </w:t>
      </w:r>
      <w:r w:rsidRPr="0084038D">
        <w:rPr>
          <w:rFonts w:eastAsia="Times New Roman" w:cs="Times New Roman"/>
          <w:color w:val="000000" w:themeColor="text1"/>
          <w:lang w:val="en"/>
        </w:rPr>
        <w:t xml:space="preserve">Penal Code (1907) </w:t>
      </w:r>
      <w:r w:rsidRPr="0084038D">
        <w:rPr>
          <w:color w:val="000000" w:themeColor="text1"/>
        </w:rPr>
        <w:t>&lt;https://www.japaneselawtranslation.go.jp/en/laws/view/3581/en&gt; 2025 (</w:t>
      </w:r>
      <w:r w:rsidRPr="0084038D">
        <w:rPr>
          <w:b/>
          <w:color w:val="000000" w:themeColor="text1"/>
        </w:rPr>
        <w:t>Japan</w:t>
      </w:r>
      <w:r w:rsidRPr="0084038D">
        <w:rPr>
          <w:color w:val="000000" w:themeColor="text1"/>
        </w:rPr>
        <w:t>); Article 5 Brazilian Penal Code (1984) &lt;https://www.planalto.gov.br/ccivil_03/decreto-lei/del2848</w:t>
      </w:r>
      <w:r w:rsidRPr="0084038D">
        <w:rPr>
          <w:color w:val="000000" w:themeColor="text1"/>
        </w:rPr>
        <w:br/>
        <w:t>compilado.htm&gt; (</w:t>
      </w:r>
      <w:r w:rsidRPr="0084038D">
        <w:rPr>
          <w:b/>
          <w:color w:val="000000" w:themeColor="text1"/>
        </w:rPr>
        <w:t>Brazil</w:t>
      </w:r>
      <w:r w:rsidRPr="0084038D">
        <w:rPr>
          <w:color w:val="000000" w:themeColor="text1"/>
        </w:rPr>
        <w:t>) all accessed 12 January 2025.</w:t>
      </w:r>
    </w:p>
  </w:footnote>
  <w:footnote w:id="41">
    <w:p w14:paraId="12B53A02" w14:textId="35A7D1B3"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Arrest Warrant </w:t>
      </w:r>
      <w:r w:rsidRPr="0084038D">
        <w:rPr>
          <w:iCs/>
          <w:color w:val="000000" w:themeColor="text1"/>
          <w:lang w:val="en-US"/>
        </w:rPr>
        <w:t xml:space="preserve">(n </w:t>
      </w:r>
      <w:r w:rsidRPr="0084038D">
        <w:rPr>
          <w:iCs/>
          <w:color w:val="000000" w:themeColor="text1"/>
          <w:lang w:val="en-US"/>
        </w:rPr>
        <w:fldChar w:fldCharType="begin"/>
      </w:r>
      <w:r w:rsidRPr="0084038D">
        <w:rPr>
          <w:iCs/>
          <w:color w:val="000000" w:themeColor="text1"/>
          <w:lang w:val="en-US"/>
        </w:rPr>
        <w:instrText xml:space="preserve"> NOTEREF _Ref187650265 \h  \* MERGEFORMAT </w:instrText>
      </w:r>
      <w:r w:rsidRPr="0084038D">
        <w:rPr>
          <w:iCs/>
          <w:color w:val="000000" w:themeColor="text1"/>
          <w:lang w:val="en-US"/>
        </w:rPr>
      </w:r>
      <w:r w:rsidRPr="0084038D">
        <w:rPr>
          <w:iCs/>
          <w:color w:val="000000" w:themeColor="text1"/>
          <w:lang w:val="en-US"/>
        </w:rPr>
        <w:fldChar w:fldCharType="separate"/>
      </w:r>
      <w:r w:rsidRPr="0084038D">
        <w:rPr>
          <w:iCs/>
          <w:color w:val="000000" w:themeColor="text1"/>
          <w:lang w:val="en-US"/>
        </w:rPr>
        <w:t>34</w:t>
      </w:r>
      <w:r w:rsidRPr="0084038D">
        <w:rPr>
          <w:iCs/>
          <w:color w:val="000000" w:themeColor="text1"/>
          <w:lang w:val="en-US"/>
        </w:rPr>
        <w:fldChar w:fldCharType="end"/>
      </w:r>
      <w:r w:rsidRPr="0084038D">
        <w:rPr>
          <w:iCs/>
          <w:color w:val="000000" w:themeColor="text1"/>
          <w:lang w:val="en-US"/>
        </w:rPr>
        <w:t xml:space="preserve">) </w:t>
      </w:r>
      <w:r w:rsidRPr="0084038D">
        <w:rPr>
          <w:color w:val="000000" w:themeColor="text1"/>
          <w:lang w:val="en-US"/>
        </w:rPr>
        <w:t xml:space="preserve">(Separate Opinion of Judge Guillaume) [2002] ICJ Rep 35 [4]. </w:t>
      </w:r>
    </w:p>
  </w:footnote>
  <w:footnote w:id="42">
    <w:p w14:paraId="4D7F0DA2" w14:textId="022483C4" w:rsidR="007C1059" w:rsidRPr="0084038D" w:rsidRDefault="007C1059" w:rsidP="00AC6890">
      <w:pPr>
        <w:pStyle w:val="Funotentext"/>
        <w:rPr>
          <w:color w:val="000000" w:themeColor="text1"/>
          <w:highlight w:val="yellow"/>
          <w:lang w:val="en-US"/>
        </w:rPr>
      </w:pPr>
      <w:r w:rsidRPr="0084038D">
        <w:rPr>
          <w:rStyle w:val="Funotenzeichen"/>
          <w:color w:val="000000" w:themeColor="text1"/>
        </w:rPr>
        <w:footnoteRef/>
      </w:r>
      <w:r w:rsidRPr="0084038D">
        <w:rPr>
          <w:color w:val="000000" w:themeColor="text1"/>
          <w:lang w:val="en-US"/>
        </w:rPr>
        <w:t xml:space="preserve"> </w:t>
      </w:r>
      <w:r w:rsidRPr="0084038D">
        <w:rPr>
          <w:i/>
          <w:iCs/>
          <w:color w:val="000000" w:themeColor="text1"/>
          <w:lang w:val="en-US"/>
        </w:rPr>
        <w:t>Ryngaert</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_Ref187650384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35</w:t>
      </w:r>
      <w:r w:rsidRPr="0084038D">
        <w:rPr>
          <w:color w:val="000000" w:themeColor="text1"/>
          <w:lang w:val="en-US"/>
        </w:rPr>
        <w:fldChar w:fldCharType="end"/>
      </w:r>
      <w:r w:rsidRPr="0084038D">
        <w:rPr>
          <w:color w:val="000000" w:themeColor="text1"/>
          <w:lang w:val="en-US"/>
        </w:rPr>
        <w:t>) 99, 104, 110.</w:t>
      </w:r>
    </w:p>
  </w:footnote>
  <w:footnote w:id="43">
    <w:p w14:paraId="1E3ACE74" w14:textId="789D1925"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James Crawford,</w:t>
      </w:r>
      <w:r w:rsidRPr="0084038D">
        <w:rPr>
          <w:rFonts w:ascii="Merriweather" w:hAnsi="Merriweather" w:cs="Cambria"/>
          <w:bCs/>
          <w:color w:val="000000" w:themeColor="text1"/>
          <w:sz w:val="39"/>
          <w:szCs w:val="39"/>
          <w:shd w:val="clear" w:color="auto" w:fill="FFFFFF"/>
          <w:lang w:val="en-US" w:eastAsia="en-US"/>
        </w:rPr>
        <w:t xml:space="preserve"> </w:t>
      </w:r>
      <w:r w:rsidRPr="0084038D">
        <w:rPr>
          <w:i/>
          <w:iCs/>
          <w:color w:val="000000" w:themeColor="text1"/>
          <w:lang w:val="en-US"/>
        </w:rPr>
        <w:t xml:space="preserve">Brownlie’s Principles of Public International Law </w:t>
      </w:r>
      <w:r w:rsidRPr="0084038D">
        <w:rPr>
          <w:color w:val="000000" w:themeColor="text1"/>
          <w:lang w:val="en-US"/>
        </w:rPr>
        <w:t>(9</w:t>
      </w:r>
      <w:r w:rsidRPr="0015677A">
        <w:rPr>
          <w:color w:val="000000" w:themeColor="text1"/>
          <w:lang w:val="en-US"/>
        </w:rPr>
        <w:t>th</w:t>
      </w:r>
      <w:r w:rsidRPr="0084038D">
        <w:rPr>
          <w:color w:val="000000" w:themeColor="text1"/>
          <w:lang w:val="en-US"/>
        </w:rPr>
        <w:t xml:space="preserve"> edn, Oxford University Press 2019) 444; </w:t>
      </w:r>
      <w:bookmarkStart w:id="74" w:name="_Hlk187651081"/>
      <w:r w:rsidRPr="0084038D">
        <w:rPr>
          <w:color w:val="000000" w:themeColor="text1"/>
          <w:lang w:val="en-US"/>
        </w:rPr>
        <w:t>eg Section 12(4), Chapter 23 British</w:t>
      </w:r>
      <w:r w:rsidRPr="0084038D">
        <w:rPr>
          <w:b/>
          <w:color w:val="000000" w:themeColor="text1"/>
          <w:lang w:val="en-US"/>
        </w:rPr>
        <w:t xml:space="preserve"> </w:t>
      </w:r>
      <w:r w:rsidRPr="0084038D">
        <w:rPr>
          <w:bCs/>
          <w:color w:val="000000" w:themeColor="text1"/>
          <w:lang w:val="en-US"/>
        </w:rPr>
        <w:t xml:space="preserve">Bribery Act (2010) </w:t>
      </w:r>
      <w:r w:rsidRPr="0084038D">
        <w:rPr>
          <w:b/>
          <w:color w:val="000000" w:themeColor="text1"/>
          <w:lang w:val="en-US"/>
        </w:rPr>
        <w:t>&lt;</w:t>
      </w:r>
      <w:r w:rsidRPr="0084038D">
        <w:rPr>
          <w:color w:val="000000" w:themeColor="text1"/>
          <w:lang w:val="en-US"/>
        </w:rPr>
        <w:t>https://www.legislation.gov.uk/ukpga/2010/23/data.pdf&gt; accessed 12 January 2025 (</w:t>
      </w:r>
      <w:r w:rsidRPr="0084038D">
        <w:rPr>
          <w:b/>
          <w:color w:val="000000" w:themeColor="text1"/>
          <w:lang w:val="en-US"/>
        </w:rPr>
        <w:t>United Kingdom</w:t>
      </w:r>
      <w:r w:rsidRPr="0084038D">
        <w:rPr>
          <w:color w:val="000000" w:themeColor="text1"/>
          <w:lang w:val="en-US"/>
        </w:rPr>
        <w:t>).</w:t>
      </w:r>
      <w:bookmarkEnd w:id="74"/>
    </w:p>
  </w:footnote>
  <w:footnote w:id="44">
    <w:p w14:paraId="510F005F" w14:textId="77777777"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Clarifications [7]; Statement of Agreed Facts [8].</w:t>
      </w:r>
    </w:p>
  </w:footnote>
  <w:footnote w:id="45">
    <w:p w14:paraId="478E1A3F" w14:textId="285685A5"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[27].</w:t>
      </w:r>
    </w:p>
  </w:footnote>
  <w:footnote w:id="46">
    <w:p w14:paraId="3191C5A5" w14:textId="4DDFB179"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Ryngaert</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_Ref187650384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35</w:t>
      </w:r>
      <w:r w:rsidRPr="0084038D">
        <w:rPr>
          <w:color w:val="000000" w:themeColor="text1"/>
          <w:lang w:val="en-US"/>
        </w:rPr>
        <w:fldChar w:fldCharType="end"/>
      </w:r>
      <w:r w:rsidRPr="0084038D">
        <w:rPr>
          <w:color w:val="000000" w:themeColor="text1"/>
          <w:lang w:val="en-US"/>
        </w:rPr>
        <w:t xml:space="preserve">) 126. </w:t>
      </w:r>
    </w:p>
  </w:footnote>
  <w:footnote w:id="47">
    <w:p w14:paraId="40580DDA" w14:textId="6038CC99"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GB"/>
        </w:rPr>
        <w:t xml:space="preserve">Arrest Warrant </w:t>
      </w:r>
      <w:r w:rsidRPr="0084038D">
        <w:rPr>
          <w:iCs/>
          <w:color w:val="000000" w:themeColor="text1"/>
          <w:lang w:val="en-GB"/>
        </w:rPr>
        <w:t xml:space="preserve">(n </w:t>
      </w:r>
      <w:r w:rsidRPr="0084038D">
        <w:rPr>
          <w:iCs/>
          <w:color w:val="000000" w:themeColor="text1"/>
          <w:lang w:val="en-GB"/>
        </w:rPr>
        <w:fldChar w:fldCharType="begin"/>
      </w:r>
      <w:r w:rsidRPr="0084038D">
        <w:rPr>
          <w:iCs/>
          <w:color w:val="000000" w:themeColor="text1"/>
          <w:lang w:val="en-GB"/>
        </w:rPr>
        <w:instrText xml:space="preserve"> NOTEREF _Ref187650265 \h  \* MERGEFORMAT </w:instrText>
      </w:r>
      <w:r w:rsidRPr="0084038D">
        <w:rPr>
          <w:iCs/>
          <w:color w:val="000000" w:themeColor="text1"/>
          <w:lang w:val="en-GB"/>
        </w:rPr>
      </w:r>
      <w:r w:rsidRPr="0084038D">
        <w:rPr>
          <w:iCs/>
          <w:color w:val="000000" w:themeColor="text1"/>
          <w:lang w:val="en-GB"/>
        </w:rPr>
        <w:fldChar w:fldCharType="separate"/>
      </w:r>
      <w:r w:rsidRPr="0084038D">
        <w:rPr>
          <w:iCs/>
          <w:color w:val="000000" w:themeColor="text1"/>
          <w:lang w:val="en-GB"/>
        </w:rPr>
        <w:t>34</w:t>
      </w:r>
      <w:r w:rsidRPr="0084038D">
        <w:rPr>
          <w:iCs/>
          <w:color w:val="000000" w:themeColor="text1"/>
          <w:lang w:val="en-GB"/>
        </w:rPr>
        <w:fldChar w:fldCharType="end"/>
      </w:r>
      <w:r w:rsidRPr="0084038D">
        <w:rPr>
          <w:iCs/>
          <w:color w:val="000000" w:themeColor="text1"/>
          <w:lang w:val="en-GB"/>
        </w:rPr>
        <w:t>)</w:t>
      </w:r>
      <w:r w:rsidRPr="0084038D">
        <w:rPr>
          <w:color w:val="000000" w:themeColor="text1"/>
          <w:lang w:val="en-US"/>
        </w:rPr>
        <w:t xml:space="preserve"> (Joint Separate Opinion of Judges Higgins, Kooijmans and Buergenthal)</w:t>
      </w:r>
      <w:r w:rsidRPr="0084038D">
        <w:rPr>
          <w:i/>
          <w:iCs/>
          <w:color w:val="000000" w:themeColor="text1"/>
          <w:lang w:val="en-US"/>
        </w:rPr>
        <w:t xml:space="preserve"> </w:t>
      </w:r>
      <w:r w:rsidRPr="0084038D">
        <w:rPr>
          <w:color w:val="000000" w:themeColor="text1"/>
          <w:lang w:val="en-US"/>
        </w:rPr>
        <w:t xml:space="preserve">ICJ Rep 63 </w:t>
      </w:r>
      <w:r w:rsidRPr="0084038D">
        <w:rPr>
          <w:color w:val="000000" w:themeColor="text1"/>
          <w:lang w:val="en-GB"/>
        </w:rPr>
        <w:t>[60</w:t>
      </w:r>
      <w:r w:rsidR="00E65D8A">
        <w:rPr>
          <w:color w:val="000000" w:themeColor="text1"/>
          <w:lang w:val="en-GB"/>
        </w:rPr>
        <w:t>]</w:t>
      </w:r>
      <w:r w:rsidRPr="0084038D">
        <w:rPr>
          <w:color w:val="000000" w:themeColor="text1"/>
          <w:lang w:val="en-GB"/>
        </w:rPr>
        <w:t>-</w:t>
      </w:r>
      <w:r w:rsidR="00E65D8A">
        <w:rPr>
          <w:color w:val="000000" w:themeColor="text1"/>
          <w:lang w:val="en-GB"/>
        </w:rPr>
        <w:t>[</w:t>
      </w:r>
      <w:r w:rsidRPr="0084038D">
        <w:rPr>
          <w:color w:val="000000" w:themeColor="text1"/>
          <w:lang w:val="en-GB"/>
        </w:rPr>
        <w:t>62];</w:t>
      </w:r>
      <w:r w:rsidRPr="0084038D">
        <w:rPr>
          <w:rFonts w:cs="Cambria"/>
          <w:color w:val="000000" w:themeColor="text1"/>
          <w:lang w:val="en-GB" w:eastAsia="en-US"/>
        </w:rPr>
        <w:t xml:space="preserve"> </w:t>
      </w:r>
      <w:r w:rsidRPr="0084038D">
        <w:rPr>
          <w:color w:val="000000" w:themeColor="text1"/>
          <w:lang w:val="en-GB"/>
        </w:rPr>
        <w:t>International Law Commission (‘ILC’), ‘Draft Code of Crimes against the Peace and Security of Mankind’ (1996) UN Doc A/51/10 Articles 8, 18.</w:t>
      </w:r>
    </w:p>
  </w:footnote>
  <w:footnote w:id="48">
    <w:p w14:paraId="0D1845E8" w14:textId="77777777" w:rsidR="007C1059" w:rsidRPr="0084038D" w:rsidRDefault="007C1059" w:rsidP="00AC6890">
      <w:pPr>
        <w:pStyle w:val="Funotentext"/>
        <w:rPr>
          <w:b/>
          <w:color w:val="000000" w:themeColor="text1"/>
          <w:lang w:val="en-US"/>
        </w:rPr>
      </w:pPr>
      <w:r w:rsidRPr="0084038D">
        <w:rPr>
          <w:rStyle w:val="Funotenzeichen"/>
          <w:color w:val="000000" w:themeColor="text1"/>
        </w:rPr>
        <w:footnoteRef/>
      </w:r>
      <w:r w:rsidRPr="0084038D">
        <w:rPr>
          <w:color w:val="000000" w:themeColor="text1"/>
        </w:rPr>
        <w:t xml:space="preserve"> Article 5 ICPPED.</w:t>
      </w:r>
    </w:p>
  </w:footnote>
  <w:footnote w:id="49">
    <w:p w14:paraId="773E835C" w14:textId="173C1BB6"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Prosecut</w:t>
      </w:r>
      <w:r>
        <w:rPr>
          <w:i/>
          <w:iCs/>
          <w:color w:val="000000" w:themeColor="text1"/>
          <w:lang w:val="en-US"/>
        </w:rPr>
        <w:t>o</w:t>
      </w:r>
      <w:r w:rsidRPr="0084038D">
        <w:rPr>
          <w:i/>
          <w:iCs/>
          <w:color w:val="000000" w:themeColor="text1"/>
          <w:lang w:val="en-US"/>
        </w:rPr>
        <w:t>r v Tadi</w:t>
      </w:r>
      <w:r w:rsidR="00E65D8A">
        <w:rPr>
          <w:i/>
          <w:iCs/>
          <w:color w:val="000000" w:themeColor="text1"/>
          <w:lang w:val="en-US"/>
        </w:rPr>
        <w:t>ć</w:t>
      </w:r>
      <w:r w:rsidRPr="0084038D">
        <w:rPr>
          <w:i/>
          <w:iCs/>
          <w:color w:val="000000" w:themeColor="text1"/>
          <w:lang w:val="en-US"/>
        </w:rPr>
        <w:t> </w:t>
      </w:r>
      <w:r w:rsidRPr="0084038D">
        <w:rPr>
          <w:color w:val="000000" w:themeColor="text1"/>
          <w:lang w:val="en-US"/>
        </w:rPr>
        <w:t xml:space="preserve">(Opinion </w:t>
      </w:r>
      <w:r>
        <w:rPr>
          <w:color w:val="000000" w:themeColor="text1"/>
          <w:lang w:val="en-US"/>
        </w:rPr>
        <w:t xml:space="preserve">and </w:t>
      </w:r>
      <w:r w:rsidRPr="0084038D">
        <w:rPr>
          <w:color w:val="000000" w:themeColor="text1"/>
          <w:lang w:val="en-US"/>
        </w:rPr>
        <w:t xml:space="preserve">Judgment) (1997) International </w:t>
      </w:r>
      <w:r>
        <w:rPr>
          <w:color w:val="000000" w:themeColor="text1"/>
          <w:lang w:val="en-US"/>
        </w:rPr>
        <w:t xml:space="preserve">Criminal </w:t>
      </w:r>
      <w:r w:rsidRPr="0084038D">
        <w:rPr>
          <w:color w:val="000000" w:themeColor="text1"/>
          <w:lang w:val="en-US"/>
        </w:rPr>
        <w:t>Tribunal for the former Yugoslavia (‘ICTY’) Case No IT-94-1-T</w:t>
      </w:r>
      <w:r w:rsidRPr="0084038D">
        <w:rPr>
          <w:i/>
          <w:iCs/>
          <w:color w:val="000000" w:themeColor="text1"/>
          <w:lang w:val="en-US"/>
        </w:rPr>
        <w:t xml:space="preserve"> </w:t>
      </w:r>
      <w:r w:rsidRPr="0084038D">
        <w:rPr>
          <w:color w:val="000000" w:themeColor="text1"/>
          <w:lang w:val="en-GB"/>
        </w:rPr>
        <w:t>[648].</w:t>
      </w:r>
    </w:p>
  </w:footnote>
  <w:footnote w:id="50">
    <w:p w14:paraId="34425576" w14:textId="5D47A013"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bookmarkStart w:id="81" w:name="_Hlk186778371"/>
      <w:r w:rsidRPr="0084038D">
        <w:rPr>
          <w:color w:val="000000" w:themeColor="text1"/>
          <w:lang w:val="en-US"/>
        </w:rPr>
        <w:t>Human Rights Watch recognised it for 2,500 victims: Human Rights Watch, ‘Myanmar: Hundreds Forcibly Disappeared’ (2 April 2021) &lt;https://www.hrw.org/news/2021/04/02</w:t>
      </w:r>
      <w:r w:rsidRPr="0084038D">
        <w:rPr>
          <w:color w:val="000000" w:themeColor="text1"/>
          <w:lang w:val="en-US"/>
        </w:rPr>
        <w:br/>
        <w:t>/myanmar-hundreds-forcibly-disappeared&gt;; International Commission of Jurists recognised it for over 3000 victims: International Commission of Jurists, ‘Egypt: end widespread and systematic enforced disappearances’ (30 August 2023) &lt;https://www.icj.org/egypt-end-widespread-and-systematic-enforced-disappearances/&gt; all accessed 12 January 202</w:t>
      </w:r>
      <w:bookmarkEnd w:id="81"/>
      <w:r w:rsidRPr="0084038D">
        <w:rPr>
          <w:color w:val="000000" w:themeColor="text1"/>
          <w:lang w:val="en-US"/>
        </w:rPr>
        <w:t>5.</w:t>
      </w:r>
    </w:p>
  </w:footnote>
  <w:footnote w:id="51">
    <w:p w14:paraId="6FD55F37" w14:textId="086C3342"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Statement of Agreed Facts </w:t>
      </w:r>
      <w:r w:rsidRPr="0084038D">
        <w:rPr>
          <w:color w:val="000000" w:themeColor="text1"/>
          <w:lang w:val="en-US"/>
        </w:rPr>
        <w:t>[25], [50].</w:t>
      </w:r>
    </w:p>
  </w:footnote>
  <w:footnote w:id="52">
    <w:p w14:paraId="34CEE148" w14:textId="5EF2ED45" w:rsidR="007C1059" w:rsidRPr="0084038D" w:rsidRDefault="007C1059">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Convention against Torture and Other Cruel, Inhuman or Degrading Treatment or Punishment (adopted 10 December 1984, entered into force 26 June 1987) 1465 UN Treaty Series 85.</w:t>
      </w:r>
    </w:p>
  </w:footnote>
  <w:footnote w:id="53">
    <w:p w14:paraId="67B2A887" w14:textId="731094F1"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color w:val="000000" w:themeColor="text1"/>
          <w:lang w:val="en-GB"/>
        </w:rPr>
        <w:t xml:space="preserve">Questions relating to the Obligation to Prosecute or Extradite </w:t>
      </w:r>
      <w:r w:rsidRPr="0015677A">
        <w:rPr>
          <w:color w:val="000000" w:themeColor="text1"/>
          <w:lang w:val="en-GB"/>
        </w:rPr>
        <w:t>(</w:t>
      </w:r>
      <w:r w:rsidRPr="0084038D">
        <w:rPr>
          <w:i/>
          <w:color w:val="000000" w:themeColor="text1"/>
          <w:lang w:val="en-GB"/>
        </w:rPr>
        <w:t>Belgium v Senegal</w:t>
      </w:r>
      <w:r w:rsidRPr="0015677A">
        <w:rPr>
          <w:color w:val="000000" w:themeColor="text1"/>
          <w:lang w:val="en-GB"/>
        </w:rPr>
        <w:t xml:space="preserve">) </w:t>
      </w:r>
      <w:r w:rsidRPr="0084038D">
        <w:rPr>
          <w:color w:val="000000" w:themeColor="text1"/>
          <w:lang w:val="en-GB"/>
        </w:rPr>
        <w:t>(Merits) [2012] ICJ Rep 422 (‘</w:t>
      </w:r>
      <w:r w:rsidRPr="0084038D">
        <w:rPr>
          <w:i/>
          <w:color w:val="000000" w:themeColor="text1"/>
          <w:lang w:val="en-GB"/>
        </w:rPr>
        <w:t>Prosecute or Extradite</w:t>
      </w:r>
      <w:r w:rsidRPr="0084038D">
        <w:rPr>
          <w:color w:val="000000" w:themeColor="text1"/>
          <w:lang w:val="en-GB"/>
        </w:rPr>
        <w:t>’)</w:t>
      </w:r>
      <w:r w:rsidRPr="0084038D">
        <w:rPr>
          <w:i/>
          <w:color w:val="000000" w:themeColor="text1"/>
          <w:lang w:val="en-GB"/>
        </w:rPr>
        <w:t xml:space="preserve"> </w:t>
      </w:r>
      <w:r w:rsidRPr="0084038D">
        <w:rPr>
          <w:color w:val="000000" w:themeColor="text1"/>
          <w:lang w:val="en-GB"/>
        </w:rPr>
        <w:t>[75</w:t>
      </w:r>
      <w:r w:rsidRPr="0084038D">
        <w:rPr>
          <w:color w:val="000000" w:themeColor="text1"/>
          <w:lang w:val="en-US"/>
        </w:rPr>
        <w:t>].</w:t>
      </w:r>
    </w:p>
  </w:footnote>
  <w:footnote w:id="54">
    <w:p w14:paraId="0E66977E" w14:textId="64D888A8" w:rsidR="007C1059" w:rsidRPr="00924653" w:rsidRDefault="007C1059" w:rsidP="00AC6890">
      <w:pPr>
        <w:pStyle w:val="Funotentext"/>
        <w:rPr>
          <w:b/>
          <w:color w:val="000000" w:themeColor="text1"/>
          <w:lang w:val="en-GB"/>
        </w:rPr>
      </w:pPr>
      <w:r w:rsidRPr="00CA7E5B">
        <w:rPr>
          <w:rStyle w:val="Funotenzeichen"/>
          <w:color w:val="000000" w:themeColor="text1"/>
        </w:rPr>
        <w:footnoteRef/>
      </w:r>
      <w:r w:rsidRPr="00CA7E5B">
        <w:rPr>
          <w:color w:val="000000" w:themeColor="text1"/>
        </w:rPr>
        <w:t xml:space="preserve"> </w:t>
      </w:r>
      <w:bookmarkStart w:id="88" w:name="_Hlk187599966"/>
      <w:r w:rsidRPr="00CA7E5B">
        <w:rPr>
          <w:color w:val="000000" w:themeColor="text1"/>
          <w:lang w:val="en-GB"/>
        </w:rPr>
        <w:t xml:space="preserve">Bryan Garner (ed), </w:t>
      </w:r>
      <w:r w:rsidRPr="00CA7E5B">
        <w:rPr>
          <w:i/>
          <w:color w:val="000000" w:themeColor="text1"/>
          <w:lang w:val="en-GB"/>
        </w:rPr>
        <w:t>Black’s Law Dictionary</w:t>
      </w:r>
      <w:r w:rsidRPr="00CA7E5B">
        <w:rPr>
          <w:color w:val="000000" w:themeColor="text1"/>
          <w:lang w:val="en-GB"/>
        </w:rPr>
        <w:t xml:space="preserve"> (11</w:t>
      </w:r>
      <w:r w:rsidRPr="00CA7E5B">
        <w:rPr>
          <w:color w:val="000000" w:themeColor="text1"/>
          <w:vertAlign w:val="superscript"/>
          <w:lang w:val="en-GB"/>
        </w:rPr>
        <w:t>th</w:t>
      </w:r>
      <w:r w:rsidRPr="00CA7E5B">
        <w:rPr>
          <w:color w:val="000000" w:themeColor="text1"/>
          <w:lang w:val="en-GB"/>
        </w:rPr>
        <w:t xml:space="preserve"> edn, Thomson Reuters 2019)</w:t>
      </w:r>
      <w:bookmarkEnd w:id="88"/>
      <w:r w:rsidRPr="00CA7E5B">
        <w:rPr>
          <w:color w:val="000000" w:themeColor="text1"/>
          <w:lang w:val="en-GB"/>
        </w:rPr>
        <w:t xml:space="preserve"> 688 ‘establish’.</w:t>
      </w:r>
    </w:p>
  </w:footnote>
  <w:footnote w:id="55">
    <w:p w14:paraId="10CE7A98" w14:textId="0742B5A9" w:rsidR="007C1059" w:rsidRPr="0084038D" w:rsidRDefault="007C1059" w:rsidP="00AC6890">
      <w:pPr>
        <w:pStyle w:val="Funotentext"/>
        <w:rPr>
          <w:color w:val="000000" w:themeColor="text1"/>
          <w:highlight w:val="yellow"/>
          <w:lang w:val="en-GB"/>
        </w:rPr>
      </w:pPr>
      <w:r w:rsidRPr="0084038D">
        <w:rPr>
          <w:rStyle w:val="Funotenzeichen"/>
          <w:color w:val="000000" w:themeColor="text1"/>
        </w:rPr>
        <w:footnoteRef/>
      </w:r>
      <w:r w:rsidRPr="0084038D">
        <w:rPr>
          <w:color w:val="000000" w:themeColor="text1"/>
          <w:lang w:val="en-GB"/>
        </w:rPr>
        <w:t xml:space="preserve"> Ibid 718 ‘exercise’.</w:t>
      </w:r>
    </w:p>
  </w:footnote>
  <w:footnote w:id="56">
    <w:p w14:paraId="5C41C713" w14:textId="6C5F8138"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Commission on Human Rights, </w:t>
      </w:r>
      <w:r w:rsidRPr="0084038D">
        <w:rPr>
          <w:color w:val="000000" w:themeColor="text1"/>
          <w:lang w:val="en-US"/>
        </w:rPr>
        <w:t>‘Civil and Political Rights, including the Question of Enforced or Involuntary Disappearances’ (10 March 2005) UN Doc E/CN.4/2005/66 [50].</w:t>
      </w:r>
    </w:p>
  </w:footnote>
  <w:footnote w:id="57">
    <w:p w14:paraId="627F0409" w14:textId="4BF9745E"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rPr>
        <w:t xml:space="preserve">Decision of the Supreme Court </w:t>
      </w:r>
      <w:r w:rsidRPr="0084038D">
        <w:rPr>
          <w:i/>
          <w:color w:val="000000" w:themeColor="text1"/>
          <w:lang w:val="en-GB"/>
        </w:rPr>
        <w:t>C</w:t>
      </w:r>
      <w:r w:rsidRPr="0084038D">
        <w:rPr>
          <w:i/>
          <w:color w:val="000000" w:themeColor="text1"/>
        </w:rPr>
        <w:t xml:space="preserve">oncerning the Guatemala Genocide </w:t>
      </w:r>
      <w:r w:rsidRPr="0084038D">
        <w:rPr>
          <w:color w:val="000000" w:themeColor="text1"/>
          <w:lang w:val="en-US"/>
        </w:rPr>
        <w:t>(2003) 42 International Legal Materials 686</w:t>
      </w:r>
      <w:r>
        <w:rPr>
          <w:color w:val="000000" w:themeColor="text1"/>
          <w:lang w:val="en-US"/>
        </w:rPr>
        <w:t xml:space="preserve"> (Spanish Supreme Court)</w:t>
      </w:r>
      <w:r w:rsidRPr="0084038D">
        <w:rPr>
          <w:color w:val="000000" w:themeColor="text1"/>
          <w:lang w:val="en-US"/>
        </w:rPr>
        <w:t xml:space="preserve"> 705 (</w:t>
      </w:r>
      <w:r w:rsidRPr="0084038D">
        <w:rPr>
          <w:b/>
          <w:color w:val="000000" w:themeColor="text1"/>
          <w:lang w:val="en-US"/>
        </w:rPr>
        <w:t>Spain</w:t>
      </w:r>
      <w:r w:rsidRPr="0084038D">
        <w:rPr>
          <w:color w:val="000000" w:themeColor="text1"/>
          <w:lang w:val="en-US"/>
        </w:rPr>
        <w:t>);</w:t>
      </w:r>
      <w:r w:rsidRPr="0084038D">
        <w:rPr>
          <w:b/>
          <w:color w:val="000000" w:themeColor="text1"/>
          <w:lang w:val="en-US"/>
        </w:rPr>
        <w:t xml:space="preserve"> </w:t>
      </w:r>
      <w:bookmarkStart w:id="93" w:name="_Hlk187651851"/>
      <w:r w:rsidRPr="0084038D">
        <w:rPr>
          <w:i/>
          <w:color w:val="000000" w:themeColor="text1"/>
          <w:lang w:val="en-US"/>
        </w:rPr>
        <w:t>Center for Constitutional Rights et al v Donald Rumsfeld et al</w:t>
      </w:r>
      <w:r w:rsidRPr="0084038D">
        <w:rPr>
          <w:color w:val="000000" w:themeColor="text1"/>
          <w:lang w:val="en-US"/>
        </w:rPr>
        <w:t xml:space="preserve"> (2005) 45 International Legal Materials 119 </w:t>
      </w:r>
      <w:r w:rsidRPr="00BD6715">
        <w:rPr>
          <w:color w:val="000000" w:themeColor="text1"/>
          <w:lang w:val="en-US"/>
        </w:rPr>
        <w:t>(</w:t>
      </w:r>
      <w:r w:rsidRPr="00BD6715">
        <w:rPr>
          <w:rFonts w:eastAsia="Times New Roman"/>
          <w:color w:val="000000" w:themeColor="text1"/>
          <w:lang w:val="en"/>
        </w:rPr>
        <w:t>Decision of the General Federal Prosecutor at the Federal Court of Justice</w:t>
      </w:r>
      <w:r w:rsidRPr="00BD6715">
        <w:rPr>
          <w:color w:val="000000" w:themeColor="text1"/>
          <w:lang w:val="en-US"/>
        </w:rPr>
        <w:t>)</w:t>
      </w:r>
      <w:bookmarkEnd w:id="93"/>
      <w:r w:rsidRPr="00BD6715">
        <w:rPr>
          <w:color w:val="000000" w:themeColor="text1"/>
          <w:lang w:val="en-US"/>
        </w:rPr>
        <w:t xml:space="preserve"> </w:t>
      </w:r>
      <w:r w:rsidRPr="0084038D">
        <w:rPr>
          <w:color w:val="000000" w:themeColor="text1"/>
          <w:lang w:val="en-US"/>
        </w:rPr>
        <w:t>120 (</w:t>
      </w:r>
      <w:r w:rsidRPr="0084038D">
        <w:rPr>
          <w:b/>
          <w:color w:val="000000" w:themeColor="text1"/>
          <w:lang w:val="en-US"/>
        </w:rPr>
        <w:t>Germany</w:t>
      </w:r>
      <w:r w:rsidRPr="0084038D">
        <w:rPr>
          <w:color w:val="000000" w:themeColor="text1"/>
          <w:lang w:val="en-US"/>
        </w:rPr>
        <w:t>).</w:t>
      </w:r>
    </w:p>
  </w:footnote>
  <w:footnote w:id="58">
    <w:p w14:paraId="22BBCBDF" w14:textId="5B659712"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Statements made during the Sixth Committee’s </w:t>
      </w:r>
      <w:r>
        <w:rPr>
          <w:color w:val="000000" w:themeColor="text1"/>
          <w:lang w:val="en-GB"/>
        </w:rPr>
        <w:t>S</w:t>
      </w:r>
      <w:r w:rsidRPr="0084038D">
        <w:rPr>
          <w:color w:val="000000" w:themeColor="text1"/>
          <w:lang w:val="en-GB"/>
        </w:rPr>
        <w:t xml:space="preserve">eventy-seventh </w:t>
      </w:r>
      <w:r>
        <w:rPr>
          <w:color w:val="000000" w:themeColor="text1"/>
          <w:lang w:val="en-GB"/>
        </w:rPr>
        <w:t>S</w:t>
      </w:r>
      <w:r w:rsidRPr="0084038D">
        <w:rPr>
          <w:color w:val="000000" w:themeColor="text1"/>
          <w:lang w:val="en-GB"/>
        </w:rPr>
        <w:t>ession on the scope and application of the principle of universal jurisdiction (2022)</w:t>
      </w:r>
      <w:r>
        <w:rPr>
          <w:color w:val="000000" w:themeColor="text1"/>
          <w:lang w:val="en-GB"/>
        </w:rPr>
        <w:t>:</w:t>
      </w:r>
      <w:r w:rsidRPr="0084038D">
        <w:rPr>
          <w:color w:val="000000" w:themeColor="text1"/>
          <w:lang w:val="en-GB"/>
        </w:rPr>
        <w:t xml:space="preserve"> &lt;</w:t>
      </w:r>
      <w:r w:rsidRPr="0084038D">
        <w:rPr>
          <w:color w:val="000000" w:themeColor="text1"/>
        </w:rPr>
        <w:t>https://www.un.org</w:t>
      </w:r>
      <w:r w:rsidRPr="0084038D">
        <w:rPr>
          <w:color w:val="000000" w:themeColor="text1"/>
        </w:rPr>
        <w:br/>
        <w:t>/en/ga/sixth/77/pdfs/statements/universal_jurisdiction/12mtg_pakistan.pdf</w:t>
      </w:r>
      <w:r w:rsidRPr="0084038D">
        <w:rPr>
          <w:color w:val="000000" w:themeColor="text1"/>
          <w:lang w:val="en-GB"/>
        </w:rPr>
        <w:t>&gt;, 2 (</w:t>
      </w:r>
      <w:r w:rsidRPr="0084038D">
        <w:rPr>
          <w:b/>
          <w:color w:val="000000" w:themeColor="text1"/>
          <w:lang w:val="en-GB"/>
        </w:rPr>
        <w:t>Pakistan</w:t>
      </w:r>
      <w:r w:rsidRPr="0084038D">
        <w:rPr>
          <w:color w:val="000000" w:themeColor="text1"/>
          <w:lang w:val="en-GB"/>
        </w:rPr>
        <w:t>); &lt;https://www.un.org/en/ga/sixth/77/pdfs/statements/universal_jurisdiction/12mtg_nam.pdf&gt;, 3 (</w:t>
      </w:r>
      <w:r w:rsidRPr="0084038D">
        <w:rPr>
          <w:b/>
          <w:color w:val="000000" w:themeColor="text1"/>
          <w:lang w:val="en-GB"/>
        </w:rPr>
        <w:t>Iran</w:t>
      </w:r>
      <w:r w:rsidRPr="0084038D">
        <w:rPr>
          <w:color w:val="000000" w:themeColor="text1"/>
          <w:lang w:val="en-GB"/>
        </w:rPr>
        <w:t>); &lt;</w:t>
      </w:r>
      <w:r w:rsidRPr="0084038D">
        <w:rPr>
          <w:bCs/>
          <w:color w:val="000000" w:themeColor="text1"/>
          <w:lang w:val="en-GB"/>
        </w:rPr>
        <w:t>https://www.un.org/en/ga/sixth/77/pdfs/statements/universal_jurisdiction/12mtg_</w:t>
      </w:r>
      <w:r w:rsidRPr="0084038D">
        <w:rPr>
          <w:bCs/>
          <w:color w:val="000000" w:themeColor="text1"/>
          <w:lang w:val="en-GB"/>
        </w:rPr>
        <w:br/>
        <w:t>singapore.pdf&gt;, 1 (</w:t>
      </w:r>
      <w:r w:rsidRPr="0084038D">
        <w:rPr>
          <w:b/>
          <w:bCs/>
          <w:color w:val="000000" w:themeColor="text1"/>
          <w:lang w:val="en-GB"/>
        </w:rPr>
        <w:t>Singapore</w:t>
      </w:r>
      <w:r w:rsidRPr="0084038D">
        <w:rPr>
          <w:bCs/>
          <w:color w:val="000000" w:themeColor="text1"/>
          <w:lang w:val="en-GB"/>
        </w:rPr>
        <w:t>)</w:t>
      </w:r>
      <w:r w:rsidRPr="0084038D">
        <w:rPr>
          <w:color w:val="000000" w:themeColor="text1"/>
          <w:lang w:val="en-GB"/>
        </w:rPr>
        <w:t>;</w:t>
      </w:r>
      <w:r w:rsidRPr="0084038D">
        <w:rPr>
          <w:color w:val="000000" w:themeColor="text1"/>
          <w:lang w:val="en-US"/>
        </w:rPr>
        <w:t xml:space="preserve"> &lt;</w:t>
      </w:r>
      <w:r w:rsidRPr="0084038D">
        <w:rPr>
          <w:color w:val="000000" w:themeColor="text1"/>
          <w:lang w:val="en-GB"/>
        </w:rPr>
        <w:t>https://www.un.org/en/ga/sixth/77/pdfs/statements/univer</w:t>
      </w:r>
      <w:r w:rsidRPr="0084038D">
        <w:rPr>
          <w:color w:val="000000" w:themeColor="text1"/>
          <w:lang w:val="en-GB"/>
        </w:rPr>
        <w:br/>
        <w:t>sal_jurisdiction/12mtg_czech.pdf&gt;, 1 (</w:t>
      </w:r>
      <w:r w:rsidRPr="0084038D">
        <w:rPr>
          <w:b/>
          <w:color w:val="000000" w:themeColor="text1"/>
          <w:lang w:val="en-GB"/>
        </w:rPr>
        <w:t>Czech Republic</w:t>
      </w:r>
      <w:r w:rsidRPr="0084038D">
        <w:rPr>
          <w:color w:val="000000" w:themeColor="text1"/>
          <w:lang w:val="en-GB"/>
        </w:rPr>
        <w:t xml:space="preserve">) all accessed </w:t>
      </w:r>
      <w:r>
        <w:rPr>
          <w:color w:val="000000" w:themeColor="text1"/>
          <w:lang w:val="en-GB"/>
        </w:rPr>
        <w:t>12</w:t>
      </w:r>
      <w:r w:rsidRPr="0084038D">
        <w:rPr>
          <w:color w:val="000000" w:themeColor="text1"/>
          <w:lang w:val="en-GB"/>
        </w:rPr>
        <w:t xml:space="preserve"> January 2025.</w:t>
      </w:r>
    </w:p>
  </w:footnote>
  <w:footnote w:id="59">
    <w:p w14:paraId="1988F159" w14:textId="64279A85" w:rsidR="007C1059" w:rsidRPr="0084038D" w:rsidRDefault="007C1059" w:rsidP="00AC6890">
      <w:pPr>
        <w:pStyle w:val="Funotentext"/>
        <w:tabs>
          <w:tab w:val="left" w:pos="7957"/>
        </w:tabs>
        <w:jc w:val="left"/>
        <w:rPr>
          <w:color w:val="000000" w:themeColor="text1"/>
          <w:lang w:val="en-US"/>
        </w:rPr>
      </w:pPr>
      <w:r w:rsidRPr="0084038D">
        <w:rPr>
          <w:rStyle w:val="Funotenzeichen"/>
          <w:color w:val="000000" w:themeColor="text1"/>
        </w:rPr>
        <w:footnoteRef/>
      </w:r>
      <w:r w:rsidRPr="0084038D">
        <w:rPr>
          <w:i/>
          <w:color w:val="000000" w:themeColor="text1"/>
        </w:rPr>
        <w:t xml:space="preserve"> </w:t>
      </w:r>
      <w:r w:rsidRPr="0084038D">
        <w:rPr>
          <w:color w:val="000000" w:themeColor="text1"/>
        </w:rPr>
        <w:t>Institut de Droit International</w:t>
      </w:r>
      <w:r w:rsidRPr="0084038D">
        <w:rPr>
          <w:color w:val="000000" w:themeColor="text1"/>
          <w:lang w:val="en-GB"/>
        </w:rPr>
        <w:t>,</w:t>
      </w:r>
      <w:r w:rsidRPr="0084038D">
        <w:rPr>
          <w:color w:val="000000" w:themeColor="text1"/>
          <w:lang w:val="en-US"/>
        </w:rPr>
        <w:t xml:space="preserve"> Resolution ‘</w:t>
      </w:r>
      <w:r w:rsidRPr="0084038D">
        <w:rPr>
          <w:color w:val="000000" w:themeColor="text1"/>
        </w:rPr>
        <w:t>Universal criminal jurisdiction with regard to the crime of genocide, crimes against humanity and war crimes</w:t>
      </w:r>
      <w:r w:rsidRPr="0084038D">
        <w:rPr>
          <w:color w:val="000000" w:themeColor="text1"/>
          <w:lang w:val="en-US"/>
        </w:rPr>
        <w:t xml:space="preserve">’ (Krakow </w:t>
      </w:r>
      <w:r w:rsidR="005605CF">
        <w:rPr>
          <w:color w:val="000000" w:themeColor="text1"/>
          <w:lang w:val="en-US"/>
        </w:rPr>
        <w:t>S</w:t>
      </w:r>
      <w:r w:rsidRPr="0084038D">
        <w:rPr>
          <w:color w:val="000000" w:themeColor="text1"/>
          <w:lang w:val="en-US"/>
        </w:rPr>
        <w:t>ession 2005) &lt;https://www.idi-iil.org/app/uploads/2017/06/2005_kra_03_en.pdf&gt; accessed 12 January 2025 [3c].</w:t>
      </w:r>
    </w:p>
  </w:footnote>
  <w:footnote w:id="60">
    <w:p w14:paraId="359F93D0" w14:textId="77777777"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Clarifications </w:t>
      </w:r>
      <w:r w:rsidRPr="0084038D">
        <w:rPr>
          <w:color w:val="000000" w:themeColor="text1"/>
          <w:lang w:val="en-GB"/>
        </w:rPr>
        <w:t>[5].</w:t>
      </w:r>
    </w:p>
  </w:footnote>
  <w:footnote w:id="61">
    <w:p w14:paraId="45F65A0B" w14:textId="785B57CF" w:rsidR="007C1059" w:rsidRPr="0084038D" w:rsidRDefault="007C1059" w:rsidP="00AC6890">
      <w:pPr>
        <w:pStyle w:val="Funotentext"/>
        <w:rPr>
          <w:color w:val="000000" w:themeColor="text1"/>
          <w:sz w:val="28"/>
          <w:szCs w:val="28"/>
        </w:rPr>
      </w:pPr>
      <w:r w:rsidRPr="0084038D">
        <w:rPr>
          <w:rStyle w:val="Funotenzeichen"/>
          <w:color w:val="000000" w:themeColor="text1"/>
        </w:rPr>
        <w:footnoteRef/>
      </w:r>
      <w:r w:rsidRPr="0084038D">
        <w:rPr>
          <w:color w:val="000000" w:themeColor="text1"/>
        </w:rPr>
        <w:t xml:space="preserve"> Ibid</w:t>
      </w:r>
      <w:r w:rsidRPr="0084038D">
        <w:rPr>
          <w:color w:val="000000" w:themeColor="text1"/>
          <w:lang w:val="en-GB"/>
        </w:rPr>
        <w:t xml:space="preserve">. </w:t>
      </w:r>
    </w:p>
  </w:footnote>
  <w:footnote w:id="62">
    <w:p w14:paraId="16E93CC7" w14:textId="77777777"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Statement of Agreed Facts [61].</w:t>
      </w:r>
    </w:p>
  </w:footnote>
  <w:footnote w:id="63">
    <w:p w14:paraId="0CCD5D89" w14:textId="228721A4"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Arrest Warrant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_Ref187650265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34</w:t>
      </w:r>
      <w:r w:rsidRPr="0084038D">
        <w:rPr>
          <w:color w:val="000000" w:themeColor="text1"/>
          <w:lang w:val="en-US"/>
        </w:rPr>
        <w:fldChar w:fldCharType="end"/>
      </w:r>
      <w:r w:rsidRPr="0084038D">
        <w:rPr>
          <w:color w:val="000000" w:themeColor="text1"/>
          <w:lang w:val="en-US"/>
        </w:rPr>
        <w:t>)</w:t>
      </w:r>
      <w:r w:rsidRPr="0084038D">
        <w:rPr>
          <w:color w:val="000000" w:themeColor="text1"/>
          <w:lang w:val="en-GB"/>
        </w:rPr>
        <w:t xml:space="preserve"> [61].</w:t>
      </w:r>
    </w:p>
  </w:footnote>
  <w:footnote w:id="64">
    <w:p w14:paraId="3D8A0FEF" w14:textId="77777777"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rPr>
        <w:t xml:space="preserve"> Ibid </w:t>
      </w:r>
      <w:r w:rsidRPr="0084038D">
        <w:rPr>
          <w:color w:val="000000" w:themeColor="text1"/>
          <w:lang w:val="en-GB"/>
        </w:rPr>
        <w:t>[53].</w:t>
      </w:r>
    </w:p>
  </w:footnote>
  <w:footnote w:id="65">
    <w:p w14:paraId="74922261" w14:textId="2A04BC60"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ILC, </w:t>
      </w:r>
      <w:r>
        <w:rPr>
          <w:color w:val="000000" w:themeColor="text1"/>
          <w:lang w:val="en-GB"/>
        </w:rPr>
        <w:t>‘</w:t>
      </w:r>
      <w:r w:rsidRPr="0084038D">
        <w:rPr>
          <w:color w:val="000000" w:themeColor="text1"/>
          <w:lang w:val="en-GB"/>
        </w:rPr>
        <w:t xml:space="preserve">Report of the International Law Commission </w:t>
      </w:r>
      <w:r>
        <w:rPr>
          <w:color w:val="000000" w:themeColor="text1"/>
          <w:lang w:val="en-GB"/>
        </w:rPr>
        <w:t xml:space="preserve">to the General Assembly </w:t>
      </w:r>
      <w:r w:rsidRPr="0084038D">
        <w:rPr>
          <w:color w:val="000000" w:themeColor="text1"/>
          <w:lang w:val="en-GB"/>
        </w:rPr>
        <w:t xml:space="preserve">on the work of its </w:t>
      </w:r>
      <w:r w:rsidR="005605CF">
        <w:rPr>
          <w:color w:val="000000" w:themeColor="text1"/>
          <w:lang w:val="en-GB"/>
        </w:rPr>
        <w:t>S</w:t>
      </w:r>
      <w:r w:rsidRPr="0084038D">
        <w:rPr>
          <w:color w:val="000000" w:themeColor="text1"/>
          <w:lang w:val="en-GB"/>
        </w:rPr>
        <w:t xml:space="preserve">eventy-third </w:t>
      </w:r>
      <w:r w:rsidR="005605CF">
        <w:rPr>
          <w:color w:val="000000" w:themeColor="text1"/>
          <w:lang w:val="en-GB"/>
        </w:rPr>
        <w:t>S</w:t>
      </w:r>
      <w:r w:rsidRPr="0084038D">
        <w:rPr>
          <w:color w:val="000000" w:themeColor="text1"/>
          <w:lang w:val="en-GB"/>
        </w:rPr>
        <w:t>ession</w:t>
      </w:r>
      <w:r>
        <w:rPr>
          <w:color w:val="000000" w:themeColor="text1"/>
          <w:lang w:val="en-GB"/>
        </w:rPr>
        <w:t>’</w:t>
      </w:r>
      <w:r w:rsidRPr="0084038D">
        <w:rPr>
          <w:color w:val="000000" w:themeColor="text1"/>
          <w:lang w:val="en-GB"/>
        </w:rPr>
        <w:t xml:space="preserve"> (18 April–3 June and 4 July–5 August 2022) UN Doc A/77/10, 188-286 (‘</w:t>
      </w:r>
      <w:r w:rsidRPr="0084038D">
        <w:rPr>
          <w:i/>
          <w:color w:val="000000" w:themeColor="text1"/>
          <w:lang w:val="en-GB"/>
        </w:rPr>
        <w:t xml:space="preserve">ILC, </w:t>
      </w:r>
      <w:r>
        <w:rPr>
          <w:i/>
          <w:color w:val="000000" w:themeColor="text1"/>
          <w:lang w:val="en-GB"/>
        </w:rPr>
        <w:t>D</w:t>
      </w:r>
      <w:r w:rsidRPr="0084038D">
        <w:rPr>
          <w:i/>
          <w:color w:val="000000" w:themeColor="text1"/>
          <w:lang w:val="en-GB"/>
        </w:rPr>
        <w:t xml:space="preserve">raft </w:t>
      </w:r>
      <w:r>
        <w:rPr>
          <w:i/>
          <w:color w:val="000000" w:themeColor="text1"/>
          <w:lang w:val="en-GB"/>
        </w:rPr>
        <w:t>A</w:t>
      </w:r>
      <w:r w:rsidRPr="0084038D">
        <w:rPr>
          <w:i/>
          <w:color w:val="000000" w:themeColor="text1"/>
          <w:lang w:val="en-GB"/>
        </w:rPr>
        <w:t>rticles on Immunity of State Officials</w:t>
      </w:r>
      <w:r w:rsidRPr="0084038D">
        <w:rPr>
          <w:color w:val="000000" w:themeColor="text1"/>
          <w:lang w:val="en-GB"/>
        </w:rPr>
        <w:t>’)</w:t>
      </w:r>
      <w:r w:rsidRPr="0084038D">
        <w:rPr>
          <w:b/>
          <w:bCs/>
          <w:color w:val="000000" w:themeColor="text1"/>
          <w:lang w:val="en-GB"/>
        </w:rPr>
        <w:t xml:space="preserve"> </w:t>
      </w:r>
      <w:r w:rsidRPr="002264FA">
        <w:rPr>
          <w:bCs/>
          <w:color w:val="000000" w:themeColor="text1"/>
          <w:lang w:val="en-GB"/>
        </w:rPr>
        <w:t>190,</w:t>
      </w:r>
      <w:r>
        <w:rPr>
          <w:b/>
          <w:bCs/>
          <w:color w:val="000000" w:themeColor="text1"/>
          <w:lang w:val="en-GB"/>
        </w:rPr>
        <w:t xml:space="preserve"> </w:t>
      </w:r>
      <w:r w:rsidRPr="0084038D">
        <w:rPr>
          <w:color w:val="000000" w:themeColor="text1"/>
          <w:lang w:val="en-GB"/>
        </w:rPr>
        <w:t>Draft</w:t>
      </w:r>
      <w:r w:rsidRPr="0084038D">
        <w:rPr>
          <w:b/>
          <w:bCs/>
          <w:color w:val="000000" w:themeColor="text1"/>
          <w:lang w:val="en-GB"/>
        </w:rPr>
        <w:t xml:space="preserve"> </w:t>
      </w:r>
      <w:r w:rsidRPr="0084038D">
        <w:rPr>
          <w:color w:val="000000" w:themeColor="text1"/>
          <w:lang w:val="en-GB"/>
        </w:rPr>
        <w:t>Article 2(a)(b).</w:t>
      </w:r>
    </w:p>
  </w:footnote>
  <w:footnote w:id="66">
    <w:p w14:paraId="253DEC49" w14:textId="4ECBC69B" w:rsidR="007C1059" w:rsidRPr="0084038D" w:rsidRDefault="007C1059" w:rsidP="00AC6890">
      <w:pPr>
        <w:pStyle w:val="Funotentext"/>
        <w:rPr>
          <w:color w:val="000000" w:themeColor="text1"/>
          <w:highlight w:val="yellow"/>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Jaffe v Miller et al</w:t>
      </w:r>
      <w:r w:rsidRPr="0084038D">
        <w:rPr>
          <w:color w:val="000000" w:themeColor="text1"/>
          <w:lang w:val="en-US"/>
        </w:rPr>
        <w:t xml:space="preserve"> (1993) 64 Ontario Court of Appeal 20 (Ontario Court of Appeal) 34, (</w:t>
      </w:r>
      <w:r w:rsidRPr="0084038D">
        <w:rPr>
          <w:b/>
          <w:color w:val="000000" w:themeColor="text1"/>
          <w:lang w:val="en-US"/>
        </w:rPr>
        <w:t>Canada</w:t>
      </w:r>
      <w:r w:rsidRPr="0084038D">
        <w:rPr>
          <w:color w:val="000000" w:themeColor="text1"/>
          <w:lang w:val="en-US"/>
        </w:rPr>
        <w:t>).</w:t>
      </w:r>
    </w:p>
  </w:footnote>
  <w:footnote w:id="67">
    <w:p w14:paraId="539E6889" w14:textId="2621CE0C" w:rsidR="007C1059" w:rsidRPr="0084038D" w:rsidRDefault="007C1059" w:rsidP="00AC6890">
      <w:pPr>
        <w:pStyle w:val="Funotentext"/>
        <w:rPr>
          <w:color w:val="000000" w:themeColor="text1"/>
          <w:lang w:val="en-US"/>
        </w:rPr>
      </w:pPr>
      <w:r w:rsidRPr="0084038D">
        <w:rPr>
          <w:rStyle w:val="Funotenzeichen"/>
          <w:color w:val="000000" w:themeColor="text1"/>
          <w:shd w:val="clear" w:color="auto" w:fill="FFFFFF" w:themeFill="background1"/>
        </w:rPr>
        <w:footnoteRef/>
      </w:r>
      <w:r w:rsidRPr="0084038D">
        <w:rPr>
          <w:color w:val="000000" w:themeColor="text1"/>
          <w:shd w:val="clear" w:color="auto" w:fill="FFFFFF" w:themeFill="background1"/>
          <w:lang w:val="en-US"/>
        </w:rPr>
        <w:t xml:space="preserve"> </w:t>
      </w:r>
      <w:r w:rsidRPr="0084038D">
        <w:rPr>
          <w:i/>
          <w:iCs/>
          <w:color w:val="000000" w:themeColor="text1"/>
          <w:shd w:val="clear" w:color="auto" w:fill="FFFFFF" w:themeFill="background1"/>
        </w:rPr>
        <w:t>Jones</w:t>
      </w:r>
      <w:r w:rsidRPr="00BD6715">
        <w:rPr>
          <w:i/>
          <w:iCs/>
          <w:color w:val="000000" w:themeColor="text1"/>
          <w:shd w:val="clear" w:color="auto" w:fill="FFFFFF" w:themeFill="background1"/>
          <w:lang w:val="en-GB"/>
        </w:rPr>
        <w:t xml:space="preserve"> et</w:t>
      </w:r>
      <w:r>
        <w:rPr>
          <w:i/>
          <w:iCs/>
          <w:color w:val="000000" w:themeColor="text1"/>
          <w:shd w:val="clear" w:color="auto" w:fill="FFFFFF" w:themeFill="background1"/>
          <w:lang w:val="en-GB"/>
        </w:rPr>
        <w:t xml:space="preserve"> al</w:t>
      </w:r>
      <w:r w:rsidRPr="0084038D">
        <w:rPr>
          <w:i/>
          <w:iCs/>
          <w:color w:val="000000" w:themeColor="text1"/>
        </w:rPr>
        <w:t xml:space="preserve"> v Saudi Arabia </w:t>
      </w:r>
      <w:r w:rsidRPr="0084038D">
        <w:rPr>
          <w:color w:val="000000" w:themeColor="text1"/>
          <w:lang w:val="en-GB"/>
        </w:rPr>
        <w:t>[2006] United Kingdom House of Lords</w:t>
      </w:r>
      <w:r w:rsidRPr="0084038D">
        <w:rPr>
          <w:color w:val="000000" w:themeColor="text1"/>
          <w:lang w:val="en-US"/>
        </w:rPr>
        <w:t xml:space="preserve"> 26 (House of Lords of the United Kingdom) (‘</w:t>
      </w:r>
      <w:r w:rsidRPr="0084038D">
        <w:rPr>
          <w:i/>
          <w:color w:val="000000" w:themeColor="text1"/>
          <w:lang w:val="en-US"/>
        </w:rPr>
        <w:t>Jones v Saudi Arabia’</w:t>
      </w:r>
      <w:r w:rsidRPr="0084038D">
        <w:rPr>
          <w:color w:val="000000" w:themeColor="text1"/>
          <w:lang w:val="en-US"/>
        </w:rPr>
        <w:t xml:space="preserve">) </w:t>
      </w:r>
      <w:r w:rsidRPr="0084038D">
        <w:rPr>
          <w:color w:val="000000" w:themeColor="text1"/>
          <w:lang w:val="en-GB"/>
        </w:rPr>
        <w:t>[45].</w:t>
      </w:r>
    </w:p>
  </w:footnote>
  <w:footnote w:id="68">
    <w:p w14:paraId="7F1D3C90" w14:textId="13DC84E6"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Statement of Agreed Facts </w:t>
      </w:r>
      <w:r w:rsidRPr="0084038D">
        <w:rPr>
          <w:color w:val="000000" w:themeColor="text1"/>
          <w:lang w:val="en-US"/>
        </w:rPr>
        <w:t>[8].</w:t>
      </w:r>
    </w:p>
  </w:footnote>
  <w:footnote w:id="69">
    <w:p w14:paraId="1FA956A0" w14:textId="40A1226E"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 xml:space="preserve">Jones et al v The United Kingdom </w:t>
      </w:r>
      <w:r w:rsidRPr="0084038D">
        <w:rPr>
          <w:iCs/>
          <w:color w:val="000000" w:themeColor="text1"/>
          <w:lang w:val="en-US"/>
        </w:rPr>
        <w:t>(2006)</w:t>
      </w:r>
      <w:r w:rsidRPr="0084038D">
        <w:rPr>
          <w:i/>
          <w:iCs/>
          <w:color w:val="000000" w:themeColor="text1"/>
          <w:lang w:val="en-US"/>
        </w:rPr>
        <w:t xml:space="preserve"> </w:t>
      </w:r>
      <w:r w:rsidRPr="0084038D">
        <w:rPr>
          <w:color w:val="000000" w:themeColor="text1"/>
          <w:lang w:val="en-US"/>
        </w:rPr>
        <w:t>App No 34356/06 and App No 40528/06 (European Court of Human Rights</w:t>
      </w:r>
      <w:r>
        <w:rPr>
          <w:color w:val="000000" w:themeColor="text1"/>
          <w:lang w:val="en-US"/>
        </w:rPr>
        <w:t>(‘ECtHR’)</w:t>
      </w:r>
      <w:r w:rsidRPr="0084038D">
        <w:rPr>
          <w:color w:val="000000" w:themeColor="text1"/>
          <w:lang w:val="en-US"/>
        </w:rPr>
        <w:t>) (‘</w:t>
      </w:r>
      <w:r w:rsidRPr="0084038D">
        <w:rPr>
          <w:i/>
          <w:iCs/>
          <w:color w:val="000000" w:themeColor="text1"/>
          <w:lang w:val="en-US"/>
        </w:rPr>
        <w:t>Jones v United Kingdom’</w:t>
      </w:r>
      <w:r w:rsidRPr="0084038D">
        <w:rPr>
          <w:color w:val="000000" w:themeColor="text1"/>
          <w:lang w:val="en-US"/>
        </w:rPr>
        <w:t>) [202].</w:t>
      </w:r>
    </w:p>
  </w:footnote>
  <w:footnote w:id="70">
    <w:p w14:paraId="3E6D0AC5" w14:textId="0E45D164"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ILC, Report of the International Law Commission on the work of its </w:t>
      </w:r>
      <w:r w:rsidR="005605CF">
        <w:rPr>
          <w:color w:val="000000" w:themeColor="text1"/>
          <w:lang w:val="en-GB"/>
        </w:rPr>
        <w:t>S</w:t>
      </w:r>
      <w:r w:rsidRPr="0084038D">
        <w:rPr>
          <w:color w:val="000000" w:themeColor="text1"/>
          <w:lang w:val="en-GB"/>
        </w:rPr>
        <w:t xml:space="preserve">eventy-third </w:t>
      </w:r>
      <w:r w:rsidR="005605CF">
        <w:rPr>
          <w:color w:val="000000" w:themeColor="text1"/>
          <w:lang w:val="en-GB"/>
        </w:rPr>
        <w:t>S</w:t>
      </w:r>
      <w:r w:rsidRPr="0084038D">
        <w:rPr>
          <w:color w:val="000000" w:themeColor="text1"/>
          <w:lang w:val="en-GB"/>
        </w:rPr>
        <w:t>ession´ (18 April–3 June and 4 July–5 August 2022) UN Doc A/77/10, 10-89 (‘ILC,</w:t>
      </w:r>
      <w:r w:rsidRPr="0084038D">
        <w:rPr>
          <w:i/>
          <w:color w:val="000000" w:themeColor="text1"/>
          <w:lang w:val="en-GB"/>
        </w:rPr>
        <w:t xml:space="preserve"> Draft </w:t>
      </w:r>
      <w:r>
        <w:rPr>
          <w:i/>
          <w:color w:val="000000" w:themeColor="text1"/>
          <w:lang w:val="en-GB"/>
        </w:rPr>
        <w:t>C</w:t>
      </w:r>
      <w:r w:rsidRPr="0084038D">
        <w:rPr>
          <w:i/>
          <w:color w:val="000000" w:themeColor="text1"/>
          <w:lang w:val="en-GB"/>
        </w:rPr>
        <w:t>onclusions on jus cogens</w:t>
      </w:r>
      <w:r w:rsidRPr="0084038D">
        <w:rPr>
          <w:color w:val="000000" w:themeColor="text1"/>
          <w:lang w:val="en-GB"/>
        </w:rPr>
        <w:t xml:space="preserve">’) </w:t>
      </w:r>
      <w:r>
        <w:rPr>
          <w:color w:val="000000" w:themeColor="text1"/>
          <w:lang w:val="en-GB"/>
        </w:rPr>
        <w:t xml:space="preserve">11, </w:t>
      </w:r>
      <w:r w:rsidRPr="0084038D">
        <w:rPr>
          <w:color w:val="000000" w:themeColor="text1"/>
          <w:lang w:val="en-GB"/>
        </w:rPr>
        <w:t xml:space="preserve">Draft </w:t>
      </w:r>
      <w:r w:rsidRPr="0084038D">
        <w:rPr>
          <w:color w:val="000000" w:themeColor="text1"/>
        </w:rPr>
        <w:t>Conclusion 2</w:t>
      </w:r>
      <w:r w:rsidRPr="0084038D">
        <w:rPr>
          <w:color w:val="000000" w:themeColor="text1"/>
          <w:lang w:val="en-GB"/>
        </w:rPr>
        <w:t>.</w:t>
      </w:r>
    </w:p>
  </w:footnote>
  <w:footnote w:id="71">
    <w:p w14:paraId="78430ED1" w14:textId="37D3B056"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Ibid 14, </w:t>
      </w:r>
      <w:r w:rsidRPr="0084038D">
        <w:rPr>
          <w:color w:val="000000" w:themeColor="text1"/>
          <w:lang w:val="en-US"/>
        </w:rPr>
        <w:t>Draft Conclusion 14(2).</w:t>
      </w:r>
    </w:p>
  </w:footnote>
  <w:footnote w:id="72">
    <w:p w14:paraId="3F9C4D4E" w14:textId="5A908011" w:rsidR="007C1059" w:rsidRPr="0084038D" w:rsidRDefault="007C1059" w:rsidP="00AC6890">
      <w:pPr>
        <w:pStyle w:val="Funotentext"/>
        <w:rPr>
          <w:i/>
          <w:iCs/>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iCs/>
          <w:color w:val="000000" w:themeColor="text1"/>
          <w:lang w:val="en-GB"/>
        </w:rPr>
        <w:t>Jurisdictional Immunities</w:t>
      </w:r>
      <w:r w:rsidRPr="0084038D">
        <w:rPr>
          <w:color w:val="000000" w:themeColor="text1"/>
          <w:lang w:val="en-GB"/>
        </w:rPr>
        <w:t xml:space="preserve"> (n </w:t>
      </w:r>
      <w:r w:rsidRPr="0084038D">
        <w:rPr>
          <w:color w:val="000000" w:themeColor="text1"/>
          <w:lang w:val="en-GB"/>
        </w:rPr>
        <w:fldChar w:fldCharType="begin"/>
      </w:r>
      <w:r w:rsidRPr="0084038D">
        <w:rPr>
          <w:color w:val="000000" w:themeColor="text1"/>
          <w:lang w:val="en-GB"/>
        </w:rPr>
        <w:instrText xml:space="preserve"> NOTEREF _Ref187649905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14</w:t>
      </w:r>
      <w:r w:rsidRPr="0084038D">
        <w:rPr>
          <w:color w:val="000000" w:themeColor="text1"/>
          <w:lang w:val="en-GB"/>
        </w:rPr>
        <w:fldChar w:fldCharType="end"/>
      </w:r>
      <w:r w:rsidRPr="0084038D">
        <w:rPr>
          <w:color w:val="000000" w:themeColor="text1"/>
          <w:lang w:val="en-GB"/>
        </w:rPr>
        <w:t>) [93].</w:t>
      </w:r>
    </w:p>
  </w:footnote>
  <w:footnote w:id="73">
    <w:p w14:paraId="6A4E7A08" w14:textId="5FC6980A"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00966CE4" w:rsidRPr="00966CE4">
        <w:rPr>
          <w:iCs/>
          <w:color w:val="000000" w:themeColor="text1"/>
          <w:lang w:val="en-GB"/>
        </w:rPr>
        <w:t>Ibid</w:t>
      </w:r>
      <w:r w:rsidRPr="0084038D">
        <w:rPr>
          <w:color w:val="000000" w:themeColor="text1"/>
          <w:lang w:val="en-GB"/>
        </w:rPr>
        <w:t xml:space="preserve"> [91].</w:t>
      </w:r>
    </w:p>
  </w:footnote>
  <w:footnote w:id="74">
    <w:p w14:paraId="5FAC76CC" w14:textId="05A0B7E4"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Jones v United Kingdom</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_Ref187652471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69</w:t>
      </w:r>
      <w:r w:rsidRPr="0084038D">
        <w:rPr>
          <w:color w:val="000000" w:themeColor="text1"/>
          <w:lang w:val="en-US"/>
        </w:rPr>
        <w:fldChar w:fldCharType="end"/>
      </w:r>
      <w:r w:rsidRPr="0084038D">
        <w:rPr>
          <w:color w:val="000000" w:themeColor="text1"/>
          <w:lang w:val="en-US"/>
        </w:rPr>
        <w:t>) [205].</w:t>
      </w:r>
    </w:p>
  </w:footnote>
  <w:footnote w:id="75">
    <w:p w14:paraId="76564D8B" w14:textId="01BB67FE"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Arrest Warrant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_Ref187650265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34</w:t>
      </w:r>
      <w:r w:rsidRPr="0084038D">
        <w:rPr>
          <w:color w:val="000000" w:themeColor="text1"/>
          <w:lang w:val="en-US"/>
        </w:rPr>
        <w:fldChar w:fldCharType="end"/>
      </w:r>
      <w:r w:rsidRPr="0084038D">
        <w:rPr>
          <w:color w:val="000000" w:themeColor="text1"/>
          <w:lang w:val="en-US"/>
        </w:rPr>
        <w:t>)</w:t>
      </w:r>
      <w:r w:rsidRPr="0084038D">
        <w:rPr>
          <w:color w:val="000000" w:themeColor="text1"/>
          <w:lang w:val="en-GB"/>
        </w:rPr>
        <w:t xml:space="preserve"> [60].</w:t>
      </w:r>
    </w:p>
  </w:footnote>
  <w:footnote w:id="76">
    <w:p w14:paraId="0F425444" w14:textId="00A55355" w:rsidR="007C1059" w:rsidRPr="0084038D" w:rsidRDefault="007C1059">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GB"/>
        </w:rPr>
        <w:t>Jurisdictional Immunities</w:t>
      </w:r>
      <w:r w:rsidRPr="0084038D">
        <w:rPr>
          <w:color w:val="000000" w:themeColor="text1"/>
          <w:lang w:val="en-GB"/>
        </w:rPr>
        <w:t xml:space="preserve">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_Ref187649905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14</w:t>
      </w:r>
      <w:r w:rsidRPr="0084038D">
        <w:rPr>
          <w:color w:val="000000" w:themeColor="text1"/>
          <w:lang w:val="en-US"/>
        </w:rPr>
        <w:fldChar w:fldCharType="end"/>
      </w:r>
      <w:r w:rsidRPr="0084038D">
        <w:rPr>
          <w:color w:val="000000" w:themeColor="text1"/>
          <w:lang w:val="en-US"/>
        </w:rPr>
        <w:t xml:space="preserve">) </w:t>
      </w:r>
      <w:r w:rsidRPr="0084038D">
        <w:rPr>
          <w:color w:val="000000" w:themeColor="text1"/>
          <w:lang w:val="en-GB"/>
        </w:rPr>
        <w:t>[95].</w:t>
      </w:r>
    </w:p>
  </w:footnote>
  <w:footnote w:id="77">
    <w:p w14:paraId="197B351E" w14:textId="17F753B1" w:rsidR="007C1059" w:rsidRPr="0084038D" w:rsidRDefault="007C1059">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Ibid; referring to </w:t>
      </w:r>
      <w:r w:rsidRPr="0084038D">
        <w:rPr>
          <w:i/>
          <w:color w:val="000000" w:themeColor="text1"/>
          <w:lang w:val="en-GB"/>
        </w:rPr>
        <w:t xml:space="preserve">Arrest Warrant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_Ref187650265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34</w:t>
      </w:r>
      <w:r w:rsidRPr="0084038D">
        <w:rPr>
          <w:color w:val="000000" w:themeColor="text1"/>
          <w:lang w:val="en-US"/>
        </w:rPr>
        <w:fldChar w:fldCharType="end"/>
      </w:r>
      <w:r w:rsidRPr="0084038D">
        <w:rPr>
          <w:color w:val="000000" w:themeColor="text1"/>
          <w:lang w:val="en-US"/>
        </w:rPr>
        <w:t>)</w:t>
      </w:r>
      <w:r w:rsidRPr="0084038D">
        <w:rPr>
          <w:color w:val="000000" w:themeColor="text1"/>
          <w:lang w:val="en-GB"/>
        </w:rPr>
        <w:t xml:space="preserve"> [58].</w:t>
      </w:r>
    </w:p>
  </w:footnote>
  <w:footnote w:id="78">
    <w:p w14:paraId="0CADDE92" w14:textId="044B0508" w:rsidR="007C1059" w:rsidRPr="0084038D" w:rsidRDefault="007C1059" w:rsidP="00AC6890">
      <w:pPr>
        <w:pStyle w:val="Funotentext"/>
        <w:rPr>
          <w:b/>
          <w:bCs/>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Sabbithi v Al Saleh</w:t>
      </w:r>
      <w:r w:rsidRPr="0084038D">
        <w:rPr>
          <w:color w:val="000000" w:themeColor="text1"/>
          <w:lang w:val="en-GB"/>
        </w:rPr>
        <w:t xml:space="preserve"> (2009) </w:t>
      </w:r>
      <w:r w:rsidRPr="0084038D">
        <w:rPr>
          <w:color w:val="000000" w:themeColor="text1"/>
          <w:lang w:val="en-US"/>
        </w:rPr>
        <w:t>605 Federal Supplements 2d 122 (United States District Court, District of Colombia)</w:t>
      </w:r>
      <w:r w:rsidRPr="0084038D">
        <w:rPr>
          <w:color w:val="000000" w:themeColor="text1"/>
          <w:lang w:val="en-GB"/>
        </w:rPr>
        <w:t xml:space="preserve"> [</w:t>
      </w:r>
      <w:r w:rsidRPr="0084038D">
        <w:rPr>
          <w:color w:val="000000" w:themeColor="text1"/>
          <w:lang w:val="en-US"/>
        </w:rPr>
        <w:t>II.B.3] (</w:t>
      </w:r>
      <w:r w:rsidRPr="0084038D">
        <w:rPr>
          <w:b/>
          <w:color w:val="000000" w:themeColor="text1"/>
          <w:lang w:val="en-US"/>
        </w:rPr>
        <w:t>United States</w:t>
      </w:r>
      <w:r w:rsidRPr="0084038D">
        <w:rPr>
          <w:color w:val="000000" w:themeColor="text1"/>
          <w:lang w:val="en-US"/>
        </w:rPr>
        <w:t xml:space="preserve">); </w:t>
      </w:r>
      <w:r w:rsidRPr="0084038D">
        <w:rPr>
          <w:i/>
          <w:color w:val="000000" w:themeColor="text1"/>
          <w:lang w:val="en-US"/>
        </w:rPr>
        <w:t>Jones v Saudi Arabia</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_Ref187652378 \h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67</w:t>
      </w:r>
      <w:r w:rsidRPr="0084038D">
        <w:rPr>
          <w:color w:val="000000" w:themeColor="text1"/>
          <w:lang w:val="en-US"/>
        </w:rPr>
        <w:fldChar w:fldCharType="end"/>
      </w:r>
      <w:r w:rsidRPr="0084038D">
        <w:rPr>
          <w:color w:val="000000" w:themeColor="text1"/>
          <w:lang w:val="en-US"/>
        </w:rPr>
        <w:t>)</w:t>
      </w:r>
      <w:r w:rsidRPr="0084038D">
        <w:rPr>
          <w:color w:val="000000" w:themeColor="text1"/>
          <w:lang w:val="en-GB"/>
        </w:rPr>
        <w:t xml:space="preserve"> [44] (</w:t>
      </w:r>
      <w:r w:rsidRPr="0084038D">
        <w:rPr>
          <w:b/>
          <w:color w:val="000000" w:themeColor="text1"/>
          <w:lang w:val="en-GB"/>
        </w:rPr>
        <w:t>United Kingdom</w:t>
      </w:r>
      <w:r w:rsidRPr="0084038D">
        <w:rPr>
          <w:color w:val="000000" w:themeColor="text1"/>
          <w:lang w:val="en-GB"/>
        </w:rPr>
        <w:t>)</w:t>
      </w:r>
      <w:r w:rsidRPr="0084038D">
        <w:rPr>
          <w:color w:val="000000" w:themeColor="text1"/>
          <w:lang w:val="en-US"/>
        </w:rPr>
        <w:t xml:space="preserve">; </w:t>
      </w:r>
      <w:r w:rsidRPr="0084038D">
        <w:rPr>
          <w:i/>
          <w:iCs/>
          <w:color w:val="000000" w:themeColor="text1"/>
          <w:lang w:val="en-US"/>
        </w:rPr>
        <w:t>Fang v Jiang</w:t>
      </w:r>
      <w:r w:rsidRPr="0084038D">
        <w:rPr>
          <w:color w:val="000000" w:themeColor="text1"/>
          <w:lang w:val="en-US"/>
        </w:rPr>
        <w:t xml:space="preserve"> (2007) Case No CIV 2004-404-5843 (New Zealand High Court)</w:t>
      </w:r>
      <w:r w:rsidRPr="0084038D">
        <w:rPr>
          <w:color w:val="000000" w:themeColor="text1"/>
          <w:lang w:val="en-GB"/>
        </w:rPr>
        <w:t xml:space="preserve"> (‘</w:t>
      </w:r>
      <w:r w:rsidRPr="0084038D">
        <w:rPr>
          <w:i/>
          <w:iCs/>
          <w:color w:val="000000" w:themeColor="text1"/>
          <w:lang w:val="en-GB"/>
        </w:rPr>
        <w:t>Fang v Jiang’</w:t>
      </w:r>
      <w:r w:rsidRPr="0084038D">
        <w:rPr>
          <w:color w:val="000000" w:themeColor="text1"/>
          <w:lang w:val="en-GB"/>
        </w:rPr>
        <w:t>) [73] (</w:t>
      </w:r>
      <w:r w:rsidRPr="0084038D">
        <w:rPr>
          <w:b/>
          <w:color w:val="000000" w:themeColor="text1"/>
          <w:lang w:val="en-GB"/>
        </w:rPr>
        <w:t>New Zealand</w:t>
      </w:r>
      <w:r w:rsidRPr="0084038D">
        <w:rPr>
          <w:color w:val="000000" w:themeColor="text1"/>
          <w:lang w:val="en-GB"/>
        </w:rPr>
        <w:t>).</w:t>
      </w:r>
    </w:p>
  </w:footnote>
  <w:footnote w:id="79">
    <w:p w14:paraId="05404ED3" w14:textId="4D0AB026"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481BE1">
        <w:rPr>
          <w:color w:val="000000" w:themeColor="text1"/>
          <w:lang w:val="en-GB"/>
        </w:rPr>
        <w:t>ILC,</w:t>
      </w:r>
      <w:r w:rsidRPr="0084038D">
        <w:rPr>
          <w:i/>
          <w:color w:val="000000" w:themeColor="text1"/>
          <w:lang w:val="en-GB"/>
        </w:rPr>
        <w:t xml:space="preserve"> Draft </w:t>
      </w:r>
      <w:r>
        <w:rPr>
          <w:i/>
          <w:color w:val="000000" w:themeColor="text1"/>
          <w:lang w:val="en-GB"/>
        </w:rPr>
        <w:t>C</w:t>
      </w:r>
      <w:r w:rsidRPr="0084038D">
        <w:rPr>
          <w:i/>
          <w:color w:val="000000" w:themeColor="text1"/>
          <w:lang w:val="en-GB"/>
        </w:rPr>
        <w:t>onclusions on jus cogens</w:t>
      </w:r>
      <w:r w:rsidRPr="0084038D">
        <w:rPr>
          <w:color w:val="000000" w:themeColor="text1"/>
        </w:rPr>
        <w:t xml:space="preserve"> </w:t>
      </w:r>
      <w:r w:rsidRPr="0084038D">
        <w:rPr>
          <w:color w:val="000000" w:themeColor="text1"/>
          <w:lang w:val="en-GB"/>
        </w:rPr>
        <w:t xml:space="preserve">(n </w:t>
      </w:r>
      <w:r w:rsidRPr="0084038D">
        <w:rPr>
          <w:color w:val="000000" w:themeColor="text1"/>
          <w:lang w:val="en-GB"/>
        </w:rPr>
        <w:fldChar w:fldCharType="begin"/>
      </w:r>
      <w:r w:rsidRPr="0084038D">
        <w:rPr>
          <w:color w:val="000000" w:themeColor="text1"/>
          <w:lang w:val="en-GB"/>
        </w:rPr>
        <w:instrText xml:space="preserve"> NOTEREF _Ref187652600 \h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70</w:t>
      </w:r>
      <w:r w:rsidRPr="0084038D">
        <w:rPr>
          <w:color w:val="000000" w:themeColor="text1"/>
          <w:lang w:val="en-GB"/>
        </w:rPr>
        <w:fldChar w:fldCharType="end"/>
      </w:r>
      <w:r w:rsidRPr="0084038D">
        <w:rPr>
          <w:color w:val="000000" w:themeColor="text1"/>
          <w:lang w:val="en-GB"/>
        </w:rPr>
        <w:t xml:space="preserve">) </w:t>
      </w:r>
      <w:r>
        <w:rPr>
          <w:color w:val="000000" w:themeColor="text1"/>
          <w:lang w:val="en-GB"/>
        </w:rPr>
        <w:t>12, D</w:t>
      </w:r>
      <w:r w:rsidRPr="0084038D">
        <w:rPr>
          <w:color w:val="000000" w:themeColor="text1"/>
          <w:lang w:val="en-GB"/>
        </w:rPr>
        <w:t xml:space="preserve">raft </w:t>
      </w:r>
      <w:r>
        <w:rPr>
          <w:color w:val="000000" w:themeColor="text1"/>
          <w:lang w:val="en-GB"/>
        </w:rPr>
        <w:t>Conclusion</w:t>
      </w:r>
      <w:r w:rsidRPr="0084038D">
        <w:rPr>
          <w:color w:val="000000" w:themeColor="text1"/>
          <w:lang w:val="en-US"/>
        </w:rPr>
        <w:t xml:space="preserve"> 3.</w:t>
      </w:r>
    </w:p>
  </w:footnote>
  <w:footnote w:id="80">
    <w:p w14:paraId="0F1CA895" w14:textId="224905CB"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Prosecute or Extradite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_Ref187651466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53</w:t>
      </w:r>
      <w:r w:rsidRPr="0084038D">
        <w:rPr>
          <w:color w:val="000000" w:themeColor="text1"/>
          <w:lang w:val="en-US"/>
        </w:rPr>
        <w:fldChar w:fldCharType="end"/>
      </w:r>
      <w:r w:rsidRPr="0084038D">
        <w:rPr>
          <w:color w:val="000000" w:themeColor="text1"/>
          <w:lang w:val="en-US"/>
        </w:rPr>
        <w:t>)</w:t>
      </w:r>
      <w:r w:rsidRPr="0084038D">
        <w:rPr>
          <w:color w:val="000000" w:themeColor="text1"/>
          <w:lang w:val="en-GB"/>
        </w:rPr>
        <w:t xml:space="preserve"> [99].</w:t>
      </w:r>
    </w:p>
  </w:footnote>
  <w:footnote w:id="81">
    <w:p w14:paraId="597C0AE2" w14:textId="0FADE75A"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481BE1">
        <w:rPr>
          <w:color w:val="000000" w:themeColor="text1"/>
          <w:lang w:val="en-GB"/>
        </w:rPr>
        <w:t xml:space="preserve">ILC, </w:t>
      </w:r>
      <w:r w:rsidRPr="0084038D">
        <w:rPr>
          <w:i/>
          <w:color w:val="000000" w:themeColor="text1"/>
          <w:lang w:val="en-GB"/>
        </w:rPr>
        <w:t xml:space="preserve">Draft </w:t>
      </w:r>
      <w:r>
        <w:rPr>
          <w:i/>
          <w:color w:val="000000" w:themeColor="text1"/>
          <w:lang w:val="en-GB"/>
        </w:rPr>
        <w:t>C</w:t>
      </w:r>
      <w:r w:rsidRPr="0084038D">
        <w:rPr>
          <w:i/>
          <w:color w:val="000000" w:themeColor="text1"/>
          <w:lang w:val="en-GB"/>
        </w:rPr>
        <w:t>onclusions on jus cogens</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_Ref187652600 \h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70</w:t>
      </w:r>
      <w:r w:rsidRPr="0084038D">
        <w:rPr>
          <w:color w:val="000000" w:themeColor="text1"/>
          <w:lang w:val="en-US"/>
        </w:rPr>
        <w:fldChar w:fldCharType="end"/>
      </w:r>
      <w:r w:rsidRPr="0084038D">
        <w:rPr>
          <w:color w:val="000000" w:themeColor="text1"/>
          <w:lang w:val="en-US"/>
        </w:rPr>
        <w:t xml:space="preserve">) </w:t>
      </w:r>
      <w:r>
        <w:rPr>
          <w:color w:val="000000" w:themeColor="text1"/>
          <w:lang w:val="en-US"/>
        </w:rPr>
        <w:t>11, D</w:t>
      </w:r>
      <w:r w:rsidRPr="0084038D">
        <w:rPr>
          <w:color w:val="000000" w:themeColor="text1"/>
          <w:lang w:val="en-US"/>
        </w:rPr>
        <w:t xml:space="preserve">raft </w:t>
      </w:r>
      <w:r>
        <w:rPr>
          <w:color w:val="000000" w:themeColor="text1"/>
          <w:lang w:val="en-GB"/>
        </w:rPr>
        <w:t>Conclusion</w:t>
      </w:r>
      <w:r w:rsidRPr="0084038D">
        <w:rPr>
          <w:color w:val="000000" w:themeColor="text1"/>
        </w:rPr>
        <w:t xml:space="preserve"> 2</w:t>
      </w:r>
      <w:r w:rsidRPr="0084038D">
        <w:rPr>
          <w:color w:val="000000" w:themeColor="text1"/>
          <w:lang w:val="en-GB"/>
        </w:rPr>
        <w:t>.</w:t>
      </w:r>
    </w:p>
  </w:footnote>
  <w:footnote w:id="82">
    <w:p w14:paraId="06BA6722" w14:textId="065268DF" w:rsidR="007C1059" w:rsidRPr="0084038D" w:rsidRDefault="007C1059" w:rsidP="00AC6890">
      <w:pPr>
        <w:pStyle w:val="Funotentext"/>
        <w:rPr>
          <w:color w:val="000000" w:themeColor="text1"/>
          <w:u w:val="single"/>
        </w:rPr>
      </w:pPr>
      <w:r w:rsidRPr="0084038D">
        <w:rPr>
          <w:rStyle w:val="Funotenzeichen"/>
          <w:color w:val="000000" w:themeColor="text1"/>
        </w:rPr>
        <w:footnoteRef/>
      </w:r>
      <w:r w:rsidRPr="0084038D">
        <w:rPr>
          <w:color w:val="000000" w:themeColor="text1"/>
          <w:lang w:val="en-US"/>
        </w:rPr>
        <w:t xml:space="preserve"> UN Treaty Collection, ‘Status of the International Convention for the Protection of all Persons from Enforced Disappearance’ &lt;https://treaties.un.org/Pages/ViewDetails.aspx?src</w:t>
      </w:r>
      <w:r w:rsidRPr="0084038D">
        <w:rPr>
          <w:color w:val="000000" w:themeColor="text1"/>
          <w:lang w:val="en-US"/>
        </w:rPr>
        <w:br/>
        <w:t>=IND&amp;mtdsg_no=IV-16&amp;chapter=4&amp;clang=_en &gt; accessed 12 January 2025, 1.</w:t>
      </w:r>
    </w:p>
  </w:footnote>
  <w:footnote w:id="83">
    <w:p w14:paraId="52C3E4DA" w14:textId="1752CABF"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lang w:val="en-US"/>
        </w:rPr>
        <w:t xml:space="preserve"> </w:t>
      </w:r>
      <w:r w:rsidRPr="00481BE1">
        <w:rPr>
          <w:color w:val="000000" w:themeColor="text1"/>
          <w:lang w:val="en-GB"/>
        </w:rPr>
        <w:t>ILC,</w:t>
      </w:r>
      <w:r w:rsidRPr="0084038D">
        <w:rPr>
          <w:i/>
          <w:color w:val="000000" w:themeColor="text1"/>
          <w:lang w:val="en-GB"/>
        </w:rPr>
        <w:t xml:space="preserve"> </w:t>
      </w:r>
      <w:r>
        <w:rPr>
          <w:i/>
          <w:color w:val="000000" w:themeColor="text1"/>
          <w:lang w:val="en-GB"/>
        </w:rPr>
        <w:t>D</w:t>
      </w:r>
      <w:r w:rsidRPr="0084038D">
        <w:rPr>
          <w:i/>
          <w:color w:val="000000" w:themeColor="text1"/>
          <w:lang w:val="en-GB"/>
        </w:rPr>
        <w:t xml:space="preserve">raft </w:t>
      </w:r>
      <w:r>
        <w:rPr>
          <w:i/>
          <w:color w:val="000000" w:themeColor="text1"/>
          <w:lang w:val="en-GB"/>
        </w:rPr>
        <w:t>C</w:t>
      </w:r>
      <w:r w:rsidRPr="0084038D">
        <w:rPr>
          <w:i/>
          <w:color w:val="000000" w:themeColor="text1"/>
          <w:lang w:val="en-GB"/>
        </w:rPr>
        <w:t xml:space="preserve">onclusions on jus cogens </w:t>
      </w:r>
      <w:r w:rsidRPr="0084038D">
        <w:rPr>
          <w:color w:val="000000" w:themeColor="text1"/>
          <w:lang w:val="en-GB"/>
        </w:rPr>
        <w:t xml:space="preserve">(n </w:t>
      </w:r>
      <w:r w:rsidRPr="0084038D">
        <w:rPr>
          <w:color w:val="000000" w:themeColor="text1"/>
          <w:lang w:val="en-GB"/>
        </w:rPr>
        <w:fldChar w:fldCharType="begin"/>
      </w:r>
      <w:r w:rsidRPr="0084038D">
        <w:rPr>
          <w:color w:val="000000" w:themeColor="text1"/>
          <w:lang w:val="en-GB"/>
        </w:rPr>
        <w:instrText xml:space="preserve"> NOTEREF _Ref187652600 \h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70</w:t>
      </w:r>
      <w:r w:rsidRPr="0084038D">
        <w:rPr>
          <w:color w:val="000000" w:themeColor="text1"/>
          <w:lang w:val="en-GB"/>
        </w:rPr>
        <w:fldChar w:fldCharType="end"/>
      </w:r>
      <w:r w:rsidRPr="0084038D">
        <w:rPr>
          <w:color w:val="000000" w:themeColor="text1"/>
          <w:lang w:val="en-GB"/>
        </w:rPr>
        <w:t>) 16,</w:t>
      </w:r>
      <w:r w:rsidRPr="0084038D">
        <w:rPr>
          <w:color w:val="000000" w:themeColor="text1"/>
          <w:lang w:val="en-US"/>
        </w:rPr>
        <w:t xml:space="preserve"> Draft Conclusion 23.</w:t>
      </w:r>
    </w:p>
  </w:footnote>
  <w:footnote w:id="84">
    <w:p w14:paraId="402F68FF" w14:textId="60A6DE5E"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481BE1">
        <w:rPr>
          <w:color w:val="000000" w:themeColor="text1"/>
          <w:lang w:val="en-GB"/>
        </w:rPr>
        <w:t>ILC,</w:t>
      </w:r>
      <w:r w:rsidRPr="0084038D">
        <w:rPr>
          <w:i/>
          <w:color w:val="000000" w:themeColor="text1"/>
          <w:lang w:val="en-GB"/>
        </w:rPr>
        <w:t xml:space="preserve"> </w:t>
      </w:r>
      <w:r>
        <w:rPr>
          <w:i/>
          <w:color w:val="000000" w:themeColor="text1"/>
          <w:lang w:val="en-GB"/>
        </w:rPr>
        <w:t>D</w:t>
      </w:r>
      <w:r w:rsidRPr="002264FA">
        <w:rPr>
          <w:i/>
          <w:color w:val="000000" w:themeColor="text1"/>
          <w:lang w:val="en-GB"/>
        </w:rPr>
        <w:t xml:space="preserve">raft </w:t>
      </w:r>
      <w:r>
        <w:rPr>
          <w:i/>
          <w:color w:val="000000" w:themeColor="text1"/>
          <w:lang w:val="en-GB"/>
        </w:rPr>
        <w:t>A</w:t>
      </w:r>
      <w:r w:rsidRPr="002264FA">
        <w:rPr>
          <w:i/>
          <w:color w:val="000000" w:themeColor="text1"/>
          <w:lang w:val="en-GB"/>
        </w:rPr>
        <w:t>rticles on I</w:t>
      </w:r>
      <w:r w:rsidRPr="0084038D">
        <w:rPr>
          <w:i/>
          <w:color w:val="000000" w:themeColor="text1"/>
          <w:lang w:val="en-GB"/>
        </w:rPr>
        <w:t xml:space="preserve">mmunity of State Officials </w:t>
      </w:r>
      <w:r w:rsidRPr="0084038D">
        <w:rPr>
          <w:color w:val="000000" w:themeColor="text1"/>
          <w:lang w:val="en-GB"/>
        </w:rPr>
        <w:t xml:space="preserve">(n </w:t>
      </w:r>
      <w:r w:rsidRPr="0084038D">
        <w:rPr>
          <w:color w:val="000000" w:themeColor="text1"/>
          <w:lang w:val="en-GB"/>
        </w:rPr>
        <w:fldChar w:fldCharType="begin"/>
      </w:r>
      <w:r w:rsidRPr="0084038D">
        <w:rPr>
          <w:color w:val="000000" w:themeColor="text1"/>
          <w:lang w:val="en-GB"/>
        </w:rPr>
        <w:instrText xml:space="preserve"> NOTEREF _Ref187652227 \h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65</w:t>
      </w:r>
      <w:r w:rsidRPr="0084038D">
        <w:rPr>
          <w:color w:val="000000" w:themeColor="text1"/>
          <w:lang w:val="en-GB"/>
        </w:rPr>
        <w:fldChar w:fldCharType="end"/>
      </w:r>
      <w:r w:rsidRPr="0084038D">
        <w:rPr>
          <w:color w:val="000000" w:themeColor="text1"/>
          <w:lang w:val="en-GB"/>
        </w:rPr>
        <w:t xml:space="preserve">) </w:t>
      </w:r>
      <w:r>
        <w:rPr>
          <w:color w:val="000000" w:themeColor="text1"/>
          <w:lang w:val="en-GB"/>
        </w:rPr>
        <w:t xml:space="preserve">190, Draft </w:t>
      </w:r>
      <w:r w:rsidRPr="0084038D">
        <w:rPr>
          <w:color w:val="000000" w:themeColor="text1"/>
          <w:lang w:val="en-US"/>
        </w:rPr>
        <w:t>Article 7(1)(b)</w:t>
      </w:r>
      <w:r w:rsidRPr="0084038D">
        <w:rPr>
          <w:color w:val="000000" w:themeColor="text1"/>
          <w:lang w:val="en-GB"/>
        </w:rPr>
        <w:t>.</w:t>
      </w:r>
    </w:p>
  </w:footnote>
  <w:footnote w:id="85">
    <w:p w14:paraId="75DBC464" w14:textId="54721670" w:rsidR="007C1059" w:rsidRPr="0084038D" w:rsidRDefault="007C1059" w:rsidP="00AC6890">
      <w:pPr>
        <w:pStyle w:val="Funotentext"/>
        <w:rPr>
          <w:color w:val="000000" w:themeColor="text1"/>
        </w:rPr>
      </w:pPr>
      <w:r w:rsidRPr="0084038D">
        <w:rPr>
          <w:rStyle w:val="Funotenzeichen"/>
          <w:color w:val="000000" w:themeColor="text1"/>
        </w:rPr>
        <w:footnoteRef/>
      </w:r>
      <w:r w:rsidRPr="0084038D">
        <w:rPr>
          <w:color w:val="000000" w:themeColor="text1"/>
          <w:lang w:val="en-GB"/>
        </w:rPr>
        <w:t xml:space="preserve"> Ibid Article 7(1)(f).</w:t>
      </w:r>
    </w:p>
  </w:footnote>
  <w:footnote w:id="86">
    <w:p w14:paraId="203EDBD5" w14:textId="366105A6"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ILC, (69</w:t>
      </w:r>
      <w:r w:rsidRPr="0084038D">
        <w:rPr>
          <w:color w:val="000000" w:themeColor="text1"/>
          <w:vertAlign w:val="superscript"/>
          <w:lang w:val="en-GB"/>
        </w:rPr>
        <w:t>th</w:t>
      </w:r>
      <w:r w:rsidRPr="0084038D">
        <w:rPr>
          <w:color w:val="000000" w:themeColor="text1"/>
          <w:lang w:val="en-GB"/>
        </w:rPr>
        <w:t xml:space="preserve"> </w:t>
      </w:r>
      <w:r w:rsidR="005605CF">
        <w:rPr>
          <w:color w:val="000000" w:themeColor="text1"/>
          <w:lang w:val="en-GB"/>
        </w:rPr>
        <w:t>S</w:t>
      </w:r>
      <w:r w:rsidRPr="0084038D">
        <w:rPr>
          <w:color w:val="000000" w:themeColor="text1"/>
          <w:lang w:val="en-GB"/>
        </w:rPr>
        <w:t xml:space="preserve">ession) </w:t>
      </w:r>
      <w:r w:rsidRPr="0084038D">
        <w:rPr>
          <w:color w:val="000000" w:themeColor="text1"/>
          <w:lang w:val="en-US"/>
        </w:rPr>
        <w:t>‘Summary Record of the 3365</w:t>
      </w:r>
      <w:r w:rsidR="005605CF" w:rsidRPr="005605CF">
        <w:rPr>
          <w:color w:val="000000" w:themeColor="text1"/>
          <w:vertAlign w:val="superscript"/>
          <w:lang w:val="en-US"/>
        </w:rPr>
        <w:t>th</w:t>
      </w:r>
      <w:r w:rsidR="005605CF">
        <w:rPr>
          <w:color w:val="000000" w:themeColor="text1"/>
          <w:lang w:val="en-US"/>
        </w:rPr>
        <w:t xml:space="preserve"> </w:t>
      </w:r>
      <w:r w:rsidRPr="0084038D">
        <w:rPr>
          <w:color w:val="000000" w:themeColor="text1"/>
          <w:lang w:val="en-US"/>
        </w:rPr>
        <w:t>meeting’ (30 May 2017) UN Doc A/CN.4/3365 [9].</w:t>
      </w:r>
    </w:p>
  </w:footnote>
  <w:footnote w:id="87">
    <w:p w14:paraId="15478F63" w14:textId="22E19FE2" w:rsidR="007C1059" w:rsidRPr="0084038D" w:rsidRDefault="007C1059" w:rsidP="00AC6890">
      <w:pPr>
        <w:pStyle w:val="Funotentext"/>
        <w:rPr>
          <w:bCs/>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ILC, ‘Immunity of State officials from foreign criminal jurisdiction: Comments and observations received from Governments’ (29 April–31 May and 1 July–2 August 2024) UN Doc A/CN.4/771:</w:t>
      </w:r>
      <w:r w:rsidRPr="0084038D">
        <w:rPr>
          <w:b/>
          <w:bCs/>
          <w:color w:val="000000" w:themeColor="text1"/>
        </w:rPr>
        <w:t xml:space="preserve"> </w:t>
      </w:r>
      <w:r w:rsidRPr="0084038D">
        <w:rPr>
          <w:bCs/>
          <w:color w:val="000000" w:themeColor="text1"/>
          <w:lang w:val="en-GB"/>
        </w:rPr>
        <w:t>55</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rPr>
        <w:t>Brazil</w:t>
      </w:r>
      <w:r w:rsidRPr="0084038D">
        <w:rPr>
          <w:bCs/>
          <w:color w:val="000000" w:themeColor="text1"/>
          <w:lang w:val="en-GB"/>
        </w:rPr>
        <w:t>)</w:t>
      </w:r>
      <w:r w:rsidRPr="0084038D">
        <w:rPr>
          <w:b/>
          <w:bCs/>
          <w:color w:val="000000" w:themeColor="text1"/>
        </w:rPr>
        <w:t xml:space="preserve">, </w:t>
      </w:r>
      <w:r w:rsidRPr="0084038D">
        <w:rPr>
          <w:bCs/>
          <w:color w:val="000000" w:themeColor="text1"/>
          <w:lang w:val="en-GB"/>
        </w:rPr>
        <w:t>62</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rPr>
        <w:t>Israel</w:t>
      </w:r>
      <w:r w:rsidRPr="0084038D">
        <w:rPr>
          <w:bCs/>
          <w:color w:val="000000" w:themeColor="text1"/>
          <w:lang w:val="en-GB"/>
        </w:rPr>
        <w:t>)</w:t>
      </w:r>
      <w:r w:rsidRPr="0084038D">
        <w:rPr>
          <w:b/>
          <w:bCs/>
          <w:color w:val="000000" w:themeColor="text1"/>
        </w:rPr>
        <w:t xml:space="preserve">, </w:t>
      </w:r>
      <w:r w:rsidRPr="0084038D">
        <w:rPr>
          <w:bCs/>
          <w:color w:val="000000" w:themeColor="text1"/>
          <w:lang w:val="en-GB"/>
        </w:rPr>
        <w:t>63 (</w:t>
      </w:r>
      <w:r w:rsidRPr="0084038D">
        <w:rPr>
          <w:b/>
          <w:bCs/>
          <w:color w:val="000000" w:themeColor="text1"/>
        </w:rPr>
        <w:t>Japan</w:t>
      </w:r>
      <w:r w:rsidRPr="0084038D">
        <w:rPr>
          <w:bCs/>
          <w:color w:val="000000" w:themeColor="text1"/>
          <w:lang w:val="en-GB"/>
        </w:rPr>
        <w:t>)</w:t>
      </w:r>
      <w:r w:rsidRPr="0084038D">
        <w:rPr>
          <w:bCs/>
          <w:color w:val="000000" w:themeColor="text1"/>
        </w:rPr>
        <w:t>,</w:t>
      </w:r>
      <w:r w:rsidRPr="0084038D">
        <w:rPr>
          <w:b/>
          <w:bCs/>
          <w:color w:val="000000" w:themeColor="text1"/>
          <w:lang w:val="en-GB"/>
        </w:rPr>
        <w:t xml:space="preserve"> </w:t>
      </w:r>
      <w:r w:rsidRPr="0084038D">
        <w:rPr>
          <w:bCs/>
          <w:color w:val="000000" w:themeColor="text1"/>
          <w:lang w:val="en-GB"/>
        </w:rPr>
        <w:t>81</w:t>
      </w:r>
      <w:r w:rsidRPr="0084038D">
        <w:rPr>
          <w:b/>
          <w:bCs/>
          <w:color w:val="000000" w:themeColor="text1"/>
        </w:rPr>
        <w:t xml:space="preserve"> </w:t>
      </w:r>
      <w:r w:rsidRPr="0084038D">
        <w:rPr>
          <w:bCs/>
          <w:color w:val="000000" w:themeColor="text1"/>
          <w:lang w:val="en-GB"/>
        </w:rPr>
        <w:t>(</w:t>
      </w:r>
      <w:r w:rsidRPr="0084038D">
        <w:rPr>
          <w:b/>
          <w:bCs/>
          <w:color w:val="000000" w:themeColor="text1"/>
        </w:rPr>
        <w:t>Russia</w:t>
      </w:r>
      <w:r w:rsidRPr="0084038D">
        <w:rPr>
          <w:bCs/>
          <w:color w:val="000000" w:themeColor="text1"/>
          <w:lang w:val="en-GB"/>
        </w:rPr>
        <w:t>)</w:t>
      </w:r>
      <w:r w:rsidRPr="0084038D">
        <w:rPr>
          <w:bCs/>
          <w:color w:val="000000" w:themeColor="text1"/>
        </w:rPr>
        <w:t>,</w:t>
      </w:r>
      <w:r w:rsidRPr="0084038D">
        <w:rPr>
          <w:b/>
          <w:bCs/>
          <w:color w:val="000000" w:themeColor="text1"/>
          <w:lang w:val="en-GB"/>
        </w:rPr>
        <w:t xml:space="preserve"> </w:t>
      </w:r>
      <w:r w:rsidRPr="0084038D">
        <w:rPr>
          <w:bCs/>
          <w:color w:val="000000" w:themeColor="text1"/>
          <w:lang w:val="en-GB"/>
        </w:rPr>
        <w:t>84</w:t>
      </w:r>
      <w:r w:rsidRPr="0084038D">
        <w:rPr>
          <w:b/>
          <w:bCs/>
          <w:color w:val="000000" w:themeColor="text1"/>
        </w:rPr>
        <w:t xml:space="preserve"> </w:t>
      </w:r>
      <w:r w:rsidRPr="0084038D">
        <w:rPr>
          <w:bCs/>
          <w:color w:val="000000" w:themeColor="text1"/>
          <w:lang w:val="en-GB"/>
        </w:rPr>
        <w:t>(</w:t>
      </w:r>
      <w:r w:rsidRPr="0084038D">
        <w:rPr>
          <w:b/>
          <w:bCs/>
          <w:color w:val="000000" w:themeColor="text1"/>
        </w:rPr>
        <w:t>Saudi Arabia</w:t>
      </w:r>
      <w:r w:rsidRPr="0084038D">
        <w:rPr>
          <w:bCs/>
          <w:color w:val="000000" w:themeColor="text1"/>
          <w:lang w:val="en-GB"/>
        </w:rPr>
        <w:t>)</w:t>
      </w:r>
      <w:r w:rsidRPr="0084038D">
        <w:rPr>
          <w:bCs/>
          <w:color w:val="000000" w:themeColor="text1"/>
        </w:rPr>
        <w:t>,</w:t>
      </w:r>
      <w:r w:rsidRPr="0084038D">
        <w:rPr>
          <w:b/>
          <w:bCs/>
          <w:color w:val="000000" w:themeColor="text1"/>
          <w:lang w:val="en-GB"/>
        </w:rPr>
        <w:t xml:space="preserve"> </w:t>
      </w:r>
      <w:r w:rsidRPr="0084038D">
        <w:rPr>
          <w:bCs/>
          <w:color w:val="000000" w:themeColor="text1"/>
          <w:lang w:val="en-GB"/>
        </w:rPr>
        <w:t>85</w:t>
      </w:r>
      <w:r w:rsidRPr="0084038D">
        <w:rPr>
          <w:b/>
          <w:bCs/>
          <w:color w:val="000000" w:themeColor="text1"/>
        </w:rPr>
        <w:t xml:space="preserve"> </w:t>
      </w:r>
      <w:r w:rsidRPr="0084038D">
        <w:rPr>
          <w:bCs/>
          <w:color w:val="000000" w:themeColor="text1"/>
          <w:lang w:val="en-GB"/>
        </w:rPr>
        <w:t>(</w:t>
      </w:r>
      <w:r w:rsidRPr="0084038D">
        <w:rPr>
          <w:b/>
          <w:bCs/>
          <w:color w:val="000000" w:themeColor="text1"/>
        </w:rPr>
        <w:t>Singapore</w:t>
      </w:r>
      <w:r w:rsidRPr="0084038D">
        <w:rPr>
          <w:bCs/>
          <w:color w:val="000000" w:themeColor="text1"/>
          <w:lang w:val="en-GB"/>
        </w:rPr>
        <w:t>)</w:t>
      </w:r>
      <w:r w:rsidRPr="0084038D">
        <w:rPr>
          <w:bCs/>
          <w:color w:val="000000" w:themeColor="text1"/>
        </w:rPr>
        <w:t>,</w:t>
      </w:r>
      <w:r w:rsidRPr="0084038D">
        <w:rPr>
          <w:b/>
          <w:bCs/>
          <w:color w:val="000000" w:themeColor="text1"/>
        </w:rPr>
        <w:t xml:space="preserve"> </w:t>
      </w:r>
      <w:r w:rsidRPr="0084038D">
        <w:rPr>
          <w:bCs/>
          <w:color w:val="000000" w:themeColor="text1"/>
          <w:lang w:val="en-GB"/>
        </w:rPr>
        <w:t>91</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rPr>
        <w:t>United Arab</w:t>
      </w:r>
      <w:r w:rsidRPr="0084038D">
        <w:rPr>
          <w:b/>
          <w:bCs/>
          <w:color w:val="000000" w:themeColor="text1"/>
          <w:lang w:val="en-GB"/>
        </w:rPr>
        <w:t> </w:t>
      </w:r>
      <w:r w:rsidRPr="0084038D">
        <w:rPr>
          <w:b/>
          <w:bCs/>
          <w:color w:val="000000" w:themeColor="text1"/>
        </w:rPr>
        <w:t>Emirates</w:t>
      </w:r>
      <w:r w:rsidRPr="0084038D">
        <w:rPr>
          <w:b/>
          <w:bCs/>
          <w:color w:val="000000" w:themeColor="text1"/>
          <w:lang w:val="en-GB"/>
        </w:rPr>
        <w:t>)</w:t>
      </w:r>
      <w:r w:rsidRPr="0084038D">
        <w:rPr>
          <w:bCs/>
          <w:color w:val="000000" w:themeColor="text1"/>
        </w:rPr>
        <w:t>,</w:t>
      </w:r>
      <w:r w:rsidRPr="0084038D">
        <w:rPr>
          <w:b/>
          <w:bCs/>
          <w:color w:val="000000" w:themeColor="text1"/>
        </w:rPr>
        <w:t xml:space="preserve"> </w:t>
      </w:r>
      <w:r w:rsidRPr="0084038D">
        <w:rPr>
          <w:bCs/>
          <w:color w:val="000000" w:themeColor="text1"/>
          <w:lang w:val="en-GB"/>
        </w:rPr>
        <w:t>98</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rPr>
        <w:t>United States</w:t>
      </w:r>
      <w:r w:rsidRPr="0084038D">
        <w:rPr>
          <w:bCs/>
          <w:color w:val="000000" w:themeColor="text1"/>
          <w:lang w:val="en-GB"/>
        </w:rPr>
        <w:t>)</w:t>
      </w:r>
      <w:r w:rsidRPr="0084038D">
        <w:rPr>
          <w:bCs/>
          <w:color w:val="000000" w:themeColor="text1"/>
        </w:rPr>
        <w:t>.</w:t>
      </w:r>
    </w:p>
  </w:footnote>
  <w:footnote w:id="88">
    <w:p w14:paraId="75547D30" w14:textId="7360577C"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Ibid 54 (</w:t>
      </w:r>
      <w:r w:rsidRPr="0084038D">
        <w:rPr>
          <w:b/>
          <w:bCs/>
          <w:color w:val="000000" w:themeColor="text1"/>
        </w:rPr>
        <w:t>Australia</w:t>
      </w:r>
      <w:r w:rsidRPr="0084038D">
        <w:rPr>
          <w:bCs/>
          <w:color w:val="000000" w:themeColor="text1"/>
          <w:lang w:val="en-GB"/>
        </w:rPr>
        <w:t>)</w:t>
      </w:r>
      <w:r w:rsidRPr="0084038D">
        <w:rPr>
          <w:bCs/>
          <w:color w:val="000000" w:themeColor="text1"/>
        </w:rPr>
        <w:t xml:space="preserve">, </w:t>
      </w:r>
      <w:r w:rsidRPr="0084038D">
        <w:rPr>
          <w:bCs/>
          <w:color w:val="000000" w:themeColor="text1"/>
          <w:lang w:val="en-GB"/>
        </w:rPr>
        <w:t>57 (</w:t>
      </w:r>
      <w:r w:rsidRPr="0084038D">
        <w:rPr>
          <w:b/>
          <w:bCs/>
          <w:color w:val="000000" w:themeColor="text1"/>
          <w:lang w:val="en-GB"/>
        </w:rPr>
        <w:t>France</w:t>
      </w:r>
      <w:r w:rsidRPr="0084038D">
        <w:rPr>
          <w:bCs/>
          <w:color w:val="000000" w:themeColor="text1"/>
          <w:lang w:val="en-GB"/>
        </w:rPr>
        <w:t>),</w:t>
      </w:r>
      <w:r w:rsidRPr="0084038D">
        <w:rPr>
          <w:b/>
          <w:bCs/>
          <w:color w:val="000000" w:themeColor="text1"/>
          <w:lang w:val="en-GB"/>
        </w:rPr>
        <w:t xml:space="preserve"> </w:t>
      </w:r>
      <w:r w:rsidRPr="0084038D">
        <w:rPr>
          <w:bCs/>
          <w:color w:val="000000" w:themeColor="text1"/>
          <w:lang w:val="en-GB"/>
        </w:rPr>
        <w:t>59</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lang w:val="en-GB"/>
        </w:rPr>
        <w:t>Germany</w:t>
      </w:r>
      <w:r w:rsidRPr="0084038D">
        <w:rPr>
          <w:bCs/>
          <w:color w:val="000000" w:themeColor="text1"/>
          <w:lang w:val="en-GB"/>
        </w:rPr>
        <w:t>), 61</w:t>
      </w:r>
      <w:r w:rsidRPr="0084038D">
        <w:rPr>
          <w:b/>
          <w:bCs/>
          <w:color w:val="000000" w:themeColor="text1"/>
          <w:lang w:val="en-GB"/>
        </w:rPr>
        <w:t xml:space="preserve"> </w:t>
      </w:r>
      <w:r w:rsidRPr="0084038D">
        <w:rPr>
          <w:bCs/>
          <w:color w:val="000000" w:themeColor="text1"/>
          <w:lang w:val="en-GB"/>
        </w:rPr>
        <w:t>(</w:t>
      </w:r>
      <w:r w:rsidRPr="0084038D">
        <w:rPr>
          <w:b/>
          <w:bCs/>
          <w:color w:val="000000" w:themeColor="text1"/>
          <w:lang w:val="en-GB"/>
        </w:rPr>
        <w:t>Iran</w:t>
      </w:r>
      <w:r w:rsidRPr="0084038D">
        <w:rPr>
          <w:bCs/>
          <w:color w:val="000000" w:themeColor="text1"/>
          <w:lang w:val="en-GB"/>
        </w:rPr>
        <w:t>),</w:t>
      </w:r>
      <w:r w:rsidRPr="0084038D">
        <w:rPr>
          <w:b/>
          <w:bCs/>
          <w:color w:val="000000" w:themeColor="text1"/>
          <w:lang w:val="en-GB"/>
        </w:rPr>
        <w:t xml:space="preserve"> </w:t>
      </w:r>
      <w:r w:rsidRPr="0084038D">
        <w:rPr>
          <w:bCs/>
          <w:color w:val="000000" w:themeColor="text1"/>
          <w:lang w:val="en-GB"/>
        </w:rPr>
        <w:t>97 (</w:t>
      </w:r>
      <w:r w:rsidRPr="0084038D">
        <w:rPr>
          <w:b/>
          <w:bCs/>
          <w:color w:val="000000" w:themeColor="text1"/>
          <w:lang w:val="en-GB"/>
        </w:rPr>
        <w:t>United Kingdom</w:t>
      </w:r>
      <w:r w:rsidRPr="0084038D">
        <w:rPr>
          <w:bCs/>
          <w:color w:val="000000" w:themeColor="text1"/>
          <w:lang w:val="en-GB"/>
        </w:rPr>
        <w:t>).</w:t>
      </w:r>
    </w:p>
  </w:footnote>
  <w:footnote w:id="89">
    <w:p w14:paraId="45538B6E" w14:textId="615DD97E" w:rsidR="007C1059" w:rsidRPr="0084038D" w:rsidRDefault="007C1059" w:rsidP="00AC6890">
      <w:pPr>
        <w:pStyle w:val="Funotentext"/>
        <w:rPr>
          <w:color w:val="000000" w:themeColor="text1"/>
          <w:highlight w:val="magenta"/>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Eg </w:t>
      </w:r>
      <w:r w:rsidRPr="0084038D">
        <w:rPr>
          <w:i/>
          <w:color w:val="000000" w:themeColor="text1"/>
          <w:lang w:val="en-US"/>
        </w:rPr>
        <w:t>Judgment of 28 January 2021</w:t>
      </w:r>
      <w:r w:rsidRPr="0084038D">
        <w:rPr>
          <w:color w:val="000000" w:themeColor="text1"/>
          <w:lang w:val="en-US"/>
        </w:rPr>
        <w:t xml:space="preserve"> (2021</w:t>
      </w:r>
      <w:r w:rsidRPr="009654BC">
        <w:rPr>
          <w:color w:val="000000" w:themeColor="text1"/>
          <w:lang w:val="en-US"/>
        </w:rPr>
        <w:t>) 3 StR</w:t>
      </w:r>
      <w:r w:rsidRPr="0084038D">
        <w:rPr>
          <w:color w:val="000000" w:themeColor="text1"/>
          <w:lang w:val="en-US"/>
        </w:rPr>
        <w:t xml:space="preserve"> 564/19 (Federal Court of Justice of Germany) [23] (</w:t>
      </w:r>
      <w:r w:rsidRPr="0084038D">
        <w:rPr>
          <w:b/>
          <w:color w:val="000000" w:themeColor="text1"/>
          <w:lang w:val="en-US"/>
        </w:rPr>
        <w:t>Germany</w:t>
      </w:r>
      <w:r w:rsidRPr="0084038D">
        <w:rPr>
          <w:color w:val="000000" w:themeColor="text1"/>
          <w:lang w:val="en-US"/>
        </w:rPr>
        <w:t>).</w:t>
      </w:r>
    </w:p>
  </w:footnote>
  <w:footnote w:id="90">
    <w:p w14:paraId="3118D181" w14:textId="59F4C08D" w:rsidR="007C1059" w:rsidRPr="0084038D" w:rsidRDefault="007C1059" w:rsidP="00AC6890">
      <w:pPr>
        <w:pStyle w:val="Funotentext"/>
        <w:jc w:val="left"/>
        <w:rPr>
          <w:color w:val="000000" w:themeColor="text1"/>
          <w:highlight w:val="cyan"/>
          <w:lang w:val="en-US"/>
        </w:rPr>
      </w:pPr>
      <w:r w:rsidRPr="0084038D">
        <w:rPr>
          <w:rStyle w:val="Funotenzeichen"/>
          <w:color w:val="000000" w:themeColor="text1"/>
        </w:rPr>
        <w:footnoteRef/>
      </w:r>
      <w:r w:rsidRPr="0084038D">
        <w:rPr>
          <w:b/>
          <w:color w:val="000000" w:themeColor="text1"/>
          <w:lang w:val="en-US"/>
        </w:rPr>
        <w:t xml:space="preserve"> </w:t>
      </w:r>
      <w:r w:rsidRPr="0084038D">
        <w:rPr>
          <w:color w:val="000000" w:themeColor="text1"/>
          <w:lang w:val="en-US"/>
        </w:rPr>
        <w:t xml:space="preserve">Eg </w:t>
      </w:r>
      <w:r w:rsidRPr="0084038D">
        <w:rPr>
          <w:i/>
          <w:iCs/>
          <w:color w:val="000000" w:themeColor="text1"/>
          <w:lang w:val="en-US"/>
        </w:rPr>
        <w:t xml:space="preserve">Attorney-General of the Government of Israel v Adolf Eichmann </w:t>
      </w:r>
      <w:r w:rsidRPr="0084038D">
        <w:rPr>
          <w:color w:val="000000" w:themeColor="text1"/>
          <w:lang w:val="en-US"/>
        </w:rPr>
        <w:t>(1962) 36 International Law Reports 277 (Supreme Court of Israel), 309 (</w:t>
      </w:r>
      <w:r w:rsidRPr="0084038D">
        <w:rPr>
          <w:b/>
          <w:color w:val="000000" w:themeColor="text1"/>
          <w:lang w:val="en-US"/>
        </w:rPr>
        <w:t>Israel</w:t>
      </w:r>
      <w:r w:rsidRPr="0084038D">
        <w:rPr>
          <w:color w:val="000000" w:themeColor="text1"/>
          <w:lang w:val="en-US"/>
        </w:rPr>
        <w:t>).</w:t>
      </w:r>
    </w:p>
  </w:footnote>
  <w:footnote w:id="91">
    <w:p w14:paraId="202A13D6" w14:textId="0368A577"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b/>
          <w:color w:val="000000" w:themeColor="text1"/>
          <w:lang w:val="en-US"/>
        </w:rPr>
        <w:t xml:space="preserve"> </w:t>
      </w:r>
      <w:r w:rsidRPr="0084038D">
        <w:rPr>
          <w:i/>
          <w:iCs/>
          <w:color w:val="000000" w:themeColor="text1"/>
          <w:lang w:val="en-US"/>
        </w:rPr>
        <w:t xml:space="preserve">Special Prosecutor v Hailemariam et al </w:t>
      </w:r>
      <w:r w:rsidRPr="0084038D">
        <w:rPr>
          <w:color w:val="000000" w:themeColor="text1"/>
          <w:lang w:val="en-US"/>
        </w:rPr>
        <w:t>(Preliminary objections)</w:t>
      </w:r>
      <w:r w:rsidRPr="0084038D">
        <w:rPr>
          <w:i/>
          <w:iCs/>
          <w:color w:val="000000" w:themeColor="text1"/>
          <w:lang w:val="en-US"/>
        </w:rPr>
        <w:t xml:space="preserve"> </w:t>
      </w:r>
      <w:r w:rsidRPr="0084038D">
        <w:rPr>
          <w:color w:val="000000" w:themeColor="text1"/>
          <w:lang w:val="en-US"/>
        </w:rPr>
        <w:t>(1995) Criminal File No 1/87 ILDC 555 (ET 1995) (Ethiopian Federal High Court) [H6] (</w:t>
      </w:r>
      <w:r w:rsidRPr="0084038D">
        <w:rPr>
          <w:b/>
          <w:color w:val="000000" w:themeColor="text1"/>
          <w:lang w:val="en-US"/>
        </w:rPr>
        <w:t>Ethiopia</w:t>
      </w:r>
      <w:r w:rsidRPr="0084038D">
        <w:rPr>
          <w:color w:val="000000" w:themeColor="text1"/>
          <w:lang w:val="en-US"/>
        </w:rPr>
        <w:t>).</w:t>
      </w:r>
    </w:p>
  </w:footnote>
  <w:footnote w:id="92">
    <w:p w14:paraId="0947C7A5" w14:textId="7F1D8D92"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State commentaries on immunity of State officials </w:t>
      </w:r>
      <w:r w:rsidRPr="0084038D">
        <w:rPr>
          <w:color w:val="000000" w:themeColor="text1"/>
          <w:lang w:val="en-GB"/>
        </w:rPr>
        <w:t xml:space="preserve">(n </w:t>
      </w:r>
      <w:r w:rsidRPr="0084038D">
        <w:rPr>
          <w:color w:val="000000" w:themeColor="text1"/>
          <w:lang w:val="en-GB"/>
        </w:rPr>
        <w:fldChar w:fldCharType="begin"/>
      </w:r>
      <w:r w:rsidRPr="0084038D">
        <w:rPr>
          <w:color w:val="000000" w:themeColor="text1"/>
          <w:lang w:val="en-GB"/>
        </w:rPr>
        <w:instrText xml:space="preserve"> NOTEREF _Ref187653158 \h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87</w:t>
      </w:r>
      <w:r w:rsidRPr="0084038D">
        <w:rPr>
          <w:color w:val="000000" w:themeColor="text1"/>
          <w:lang w:val="en-GB"/>
        </w:rPr>
        <w:fldChar w:fldCharType="end"/>
      </w:r>
      <w:r w:rsidRPr="0084038D">
        <w:rPr>
          <w:color w:val="000000" w:themeColor="text1"/>
          <w:lang w:val="en-GB"/>
        </w:rPr>
        <w:t>) 94</w:t>
      </w:r>
      <w:r>
        <w:rPr>
          <w:color w:val="000000" w:themeColor="text1"/>
          <w:lang w:val="en-GB"/>
        </w:rPr>
        <w:t>.</w:t>
      </w:r>
    </w:p>
  </w:footnote>
  <w:footnote w:id="93">
    <w:p w14:paraId="21C2C2AF" w14:textId="2EE0BF7C" w:rsidR="007C1059" w:rsidRPr="0084038D" w:rsidRDefault="007C1059" w:rsidP="00AC689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Ibid 82, 93.</w:t>
      </w:r>
    </w:p>
  </w:footnote>
  <w:footnote w:id="94">
    <w:p w14:paraId="47B380D3" w14:textId="7E205D79"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b/>
          <w:bCs/>
          <w:color w:val="000000" w:themeColor="text1"/>
          <w:lang w:val="en-US"/>
        </w:rPr>
        <w:t xml:space="preserve"> </w:t>
      </w:r>
      <w:r w:rsidRPr="0084038D">
        <w:rPr>
          <w:bCs/>
          <w:i/>
          <w:color w:val="000000" w:themeColor="text1"/>
          <w:lang w:val="en-US"/>
        </w:rPr>
        <w:t>Jones v Saudi Arabia</w:t>
      </w:r>
      <w:r w:rsidRPr="0084038D">
        <w:rPr>
          <w:bCs/>
          <w:color w:val="000000" w:themeColor="text1"/>
          <w:lang w:val="en-US"/>
        </w:rPr>
        <w:t xml:space="preserve"> (n </w:t>
      </w:r>
      <w:r w:rsidRPr="0084038D">
        <w:rPr>
          <w:bCs/>
          <w:color w:val="000000" w:themeColor="text1"/>
          <w:lang w:val="en-US"/>
        </w:rPr>
        <w:fldChar w:fldCharType="begin"/>
      </w:r>
      <w:r w:rsidRPr="0084038D">
        <w:rPr>
          <w:bCs/>
          <w:color w:val="000000" w:themeColor="text1"/>
          <w:lang w:val="en-US"/>
        </w:rPr>
        <w:instrText xml:space="preserve"> NOTEREF _Ref187652378 \h  \* MERGEFORMAT </w:instrText>
      </w:r>
      <w:r w:rsidRPr="0084038D">
        <w:rPr>
          <w:bCs/>
          <w:color w:val="000000" w:themeColor="text1"/>
          <w:lang w:val="en-US"/>
        </w:rPr>
      </w:r>
      <w:r w:rsidRPr="0084038D">
        <w:rPr>
          <w:bCs/>
          <w:color w:val="000000" w:themeColor="text1"/>
          <w:lang w:val="en-US"/>
        </w:rPr>
        <w:fldChar w:fldCharType="separate"/>
      </w:r>
      <w:r w:rsidRPr="0084038D">
        <w:rPr>
          <w:bCs/>
          <w:color w:val="000000" w:themeColor="text1"/>
          <w:lang w:val="en-US"/>
        </w:rPr>
        <w:t>67</w:t>
      </w:r>
      <w:r w:rsidRPr="0084038D">
        <w:rPr>
          <w:bCs/>
          <w:color w:val="000000" w:themeColor="text1"/>
          <w:lang w:val="en-US"/>
        </w:rPr>
        <w:fldChar w:fldCharType="end"/>
      </w:r>
      <w:r w:rsidRPr="0084038D">
        <w:rPr>
          <w:bCs/>
          <w:color w:val="000000" w:themeColor="text1"/>
          <w:lang w:val="en-US"/>
        </w:rPr>
        <w:t>) [35] (</w:t>
      </w:r>
      <w:r w:rsidRPr="0084038D">
        <w:rPr>
          <w:b/>
          <w:bCs/>
          <w:color w:val="000000" w:themeColor="text1"/>
          <w:lang w:val="en-US"/>
        </w:rPr>
        <w:t>United Kingdom</w:t>
      </w:r>
      <w:r w:rsidRPr="0084038D">
        <w:rPr>
          <w:bCs/>
          <w:color w:val="000000" w:themeColor="text1"/>
          <w:lang w:val="en-US"/>
        </w:rPr>
        <w:t>);</w:t>
      </w:r>
      <w:r w:rsidRPr="0084038D">
        <w:rPr>
          <w:b/>
          <w:bCs/>
          <w:color w:val="000000" w:themeColor="text1"/>
          <w:lang w:val="en-US"/>
        </w:rPr>
        <w:t xml:space="preserve"> </w:t>
      </w:r>
      <w:r w:rsidRPr="0084038D">
        <w:rPr>
          <w:bCs/>
          <w:i/>
          <w:color w:val="000000" w:themeColor="text1"/>
          <w:lang w:val="en-US"/>
        </w:rPr>
        <w:t>Fang v Jiang</w:t>
      </w:r>
      <w:r w:rsidRPr="0084038D">
        <w:rPr>
          <w:bCs/>
          <w:color w:val="000000" w:themeColor="text1"/>
          <w:lang w:val="en-US"/>
        </w:rPr>
        <w:t xml:space="preserve"> (n </w:t>
      </w:r>
      <w:r w:rsidRPr="0084038D">
        <w:rPr>
          <w:bCs/>
          <w:color w:val="000000" w:themeColor="text1"/>
          <w:lang w:val="en-US"/>
        </w:rPr>
        <w:fldChar w:fldCharType="begin"/>
      </w:r>
      <w:r w:rsidRPr="0084038D">
        <w:rPr>
          <w:bCs/>
          <w:color w:val="000000" w:themeColor="text1"/>
          <w:lang w:val="en-US"/>
        </w:rPr>
        <w:instrText xml:space="preserve"> NOTEREF _Ref187652762 \h  \* MERGEFORMAT </w:instrText>
      </w:r>
      <w:r w:rsidRPr="0084038D">
        <w:rPr>
          <w:bCs/>
          <w:color w:val="000000" w:themeColor="text1"/>
          <w:lang w:val="en-US"/>
        </w:rPr>
      </w:r>
      <w:r w:rsidRPr="0084038D">
        <w:rPr>
          <w:bCs/>
          <w:color w:val="000000" w:themeColor="text1"/>
          <w:lang w:val="en-US"/>
        </w:rPr>
        <w:fldChar w:fldCharType="separate"/>
      </w:r>
      <w:r w:rsidRPr="0084038D">
        <w:rPr>
          <w:bCs/>
          <w:color w:val="000000" w:themeColor="text1"/>
          <w:lang w:val="en-US"/>
        </w:rPr>
        <w:t>78</w:t>
      </w:r>
      <w:r w:rsidRPr="0084038D">
        <w:rPr>
          <w:bCs/>
          <w:color w:val="000000" w:themeColor="text1"/>
          <w:lang w:val="en-US"/>
        </w:rPr>
        <w:fldChar w:fldCharType="end"/>
      </w:r>
      <w:r w:rsidRPr="0084038D">
        <w:rPr>
          <w:bCs/>
          <w:color w:val="000000" w:themeColor="text1"/>
          <w:lang w:val="en-US"/>
        </w:rPr>
        <w:t>) [73] (</w:t>
      </w:r>
      <w:r w:rsidRPr="0084038D">
        <w:rPr>
          <w:b/>
          <w:bCs/>
          <w:color w:val="000000" w:themeColor="text1"/>
          <w:lang w:val="en-US"/>
        </w:rPr>
        <w:t>New Zealand</w:t>
      </w:r>
      <w:r w:rsidRPr="0084038D">
        <w:rPr>
          <w:bCs/>
          <w:color w:val="000000" w:themeColor="text1"/>
          <w:lang w:val="en-US"/>
        </w:rPr>
        <w:t>);</w:t>
      </w:r>
      <w:r w:rsidRPr="0084038D">
        <w:rPr>
          <w:b/>
          <w:bCs/>
          <w:color w:val="000000" w:themeColor="text1"/>
          <w:lang w:val="en-US"/>
        </w:rPr>
        <w:t xml:space="preserve"> </w:t>
      </w:r>
      <w:r w:rsidRPr="0084038D">
        <w:rPr>
          <w:i/>
          <w:color w:val="000000" w:themeColor="text1"/>
          <w:lang w:val="en-US"/>
        </w:rPr>
        <w:t>Judgment of the Criminal Chamber</w:t>
      </w:r>
      <w:r w:rsidRPr="0084038D">
        <w:rPr>
          <w:color w:val="000000" w:themeColor="text1"/>
          <w:lang w:val="en-US"/>
        </w:rPr>
        <w:t xml:space="preserve"> </w:t>
      </w:r>
      <w:r w:rsidRPr="0084038D">
        <w:rPr>
          <w:color w:val="000000" w:themeColor="text1"/>
          <w:lang w:val="en-GB"/>
        </w:rPr>
        <w:t>(2021) Case</w:t>
      </w:r>
      <w:r w:rsidRPr="0084038D">
        <w:rPr>
          <w:color w:val="000000" w:themeColor="text1"/>
          <w:lang w:val="en-US"/>
        </w:rPr>
        <w:t xml:space="preserve"> No-20-80.511 (French Court of Cassation)</w:t>
      </w:r>
      <w:r w:rsidRPr="0084038D">
        <w:rPr>
          <w:color w:val="000000" w:themeColor="text1"/>
          <w:lang w:val="en-GB"/>
        </w:rPr>
        <w:t xml:space="preserve"> [27] (</w:t>
      </w:r>
      <w:r w:rsidRPr="0084038D">
        <w:rPr>
          <w:b/>
          <w:color w:val="000000" w:themeColor="text1"/>
          <w:lang w:val="en-GB"/>
        </w:rPr>
        <w:t>France</w:t>
      </w:r>
      <w:r w:rsidRPr="0084038D">
        <w:rPr>
          <w:color w:val="000000" w:themeColor="text1"/>
          <w:lang w:val="en-GB"/>
        </w:rPr>
        <w:t>)</w:t>
      </w:r>
      <w:r w:rsidRPr="0084038D">
        <w:rPr>
          <w:color w:val="000000" w:themeColor="text1"/>
          <w:lang w:val="en-US"/>
        </w:rPr>
        <w:t xml:space="preserve">; </w:t>
      </w:r>
      <w:r w:rsidRPr="0084038D">
        <w:rPr>
          <w:i/>
          <w:iCs/>
          <w:color w:val="000000" w:themeColor="text1"/>
          <w:lang w:val="en-US"/>
        </w:rPr>
        <w:t xml:space="preserve">Sharon v Yaron </w:t>
      </w:r>
      <w:r w:rsidRPr="0084038D">
        <w:rPr>
          <w:color w:val="000000" w:themeColor="text1"/>
          <w:lang w:val="en-US"/>
        </w:rPr>
        <w:t>(2003) 42 International Legal Materials 596 (Belgian Court of Cassation), 600 (</w:t>
      </w:r>
      <w:r w:rsidRPr="0084038D">
        <w:rPr>
          <w:b/>
          <w:color w:val="000000" w:themeColor="text1"/>
          <w:lang w:val="en-US"/>
        </w:rPr>
        <w:t>Belgium</w:t>
      </w:r>
      <w:r w:rsidRPr="0084038D">
        <w:rPr>
          <w:color w:val="000000" w:themeColor="text1"/>
          <w:lang w:val="en-US"/>
        </w:rPr>
        <w:t xml:space="preserve">); </w:t>
      </w:r>
      <w:r w:rsidRPr="0084038D">
        <w:rPr>
          <w:i/>
          <w:iCs/>
          <w:color w:val="000000" w:themeColor="text1"/>
          <w:lang w:val="en-US"/>
        </w:rPr>
        <w:t xml:space="preserve">Zhang v Jiang Zemin </w:t>
      </w:r>
      <w:r w:rsidRPr="0084038D">
        <w:rPr>
          <w:color w:val="000000" w:themeColor="text1"/>
          <w:lang w:val="en-US"/>
        </w:rPr>
        <w:t>(2008) 141 International Law Reports 542 (New South Wales Supreme Court), 551 (</w:t>
      </w:r>
      <w:r w:rsidRPr="0084038D">
        <w:rPr>
          <w:b/>
          <w:color w:val="000000" w:themeColor="text1"/>
          <w:lang w:val="en-US"/>
        </w:rPr>
        <w:t>Australia</w:t>
      </w:r>
      <w:r w:rsidRPr="0084038D">
        <w:rPr>
          <w:color w:val="000000" w:themeColor="text1"/>
          <w:lang w:val="en-US"/>
        </w:rPr>
        <w:t xml:space="preserve">); </w:t>
      </w:r>
      <w:r w:rsidRPr="0084038D">
        <w:rPr>
          <w:i/>
          <w:iCs/>
          <w:color w:val="000000" w:themeColor="text1"/>
          <w:lang w:val="en-US"/>
        </w:rPr>
        <w:t xml:space="preserve">Ye v Zemin </w:t>
      </w:r>
      <w:r w:rsidRPr="0084038D">
        <w:rPr>
          <w:color w:val="000000" w:themeColor="text1"/>
          <w:lang w:val="en-US"/>
        </w:rPr>
        <w:t>(2004) 383 F.3d 620 (United States Court of Appeals), 626 (</w:t>
      </w:r>
      <w:r w:rsidRPr="0084038D">
        <w:rPr>
          <w:b/>
          <w:color w:val="000000" w:themeColor="text1"/>
          <w:lang w:val="en-US"/>
        </w:rPr>
        <w:t>United States</w:t>
      </w:r>
      <w:r w:rsidRPr="0084038D">
        <w:rPr>
          <w:color w:val="000000" w:themeColor="text1"/>
          <w:lang w:val="en-US"/>
        </w:rPr>
        <w:t>).</w:t>
      </w:r>
    </w:p>
  </w:footnote>
  <w:footnote w:id="95">
    <w:p w14:paraId="4C6202E8" w14:textId="48784514"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Article</w:t>
      </w:r>
      <w:r w:rsidRPr="0084038D">
        <w:rPr>
          <w:color w:val="000000" w:themeColor="text1"/>
          <w:lang w:val="en-GB"/>
        </w:rPr>
        <w:t>s</w:t>
      </w:r>
      <w:r w:rsidRPr="0084038D">
        <w:rPr>
          <w:color w:val="000000" w:themeColor="text1"/>
        </w:rPr>
        <w:t xml:space="preserve"> 2, </w:t>
      </w:r>
      <w:r w:rsidRPr="007C1059">
        <w:rPr>
          <w:color w:val="000000" w:themeColor="text1"/>
          <w:lang w:val="en-GB"/>
        </w:rPr>
        <w:t>11</w:t>
      </w:r>
      <w:r w:rsidRPr="0084038D">
        <w:rPr>
          <w:color w:val="000000" w:themeColor="text1"/>
          <w:lang w:val="en-US"/>
        </w:rPr>
        <w:t>(2) ICPPED</w:t>
      </w:r>
      <w:r w:rsidRPr="0084038D">
        <w:rPr>
          <w:color w:val="000000" w:themeColor="text1"/>
        </w:rPr>
        <w:t>.</w:t>
      </w:r>
      <w:r w:rsidRPr="0084038D">
        <w:rPr>
          <w:color w:val="000000" w:themeColor="text1"/>
          <w:lang w:val="en-US"/>
        </w:rPr>
        <w:t xml:space="preserve"> </w:t>
      </w:r>
    </w:p>
  </w:footnote>
  <w:footnote w:id="96">
    <w:p w14:paraId="67165978" w14:textId="61C1FDC9"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Article</w:t>
      </w:r>
      <w:r w:rsidRPr="0084038D">
        <w:rPr>
          <w:color w:val="000000" w:themeColor="text1"/>
          <w:lang w:val="en-GB"/>
        </w:rPr>
        <w:t>s</w:t>
      </w:r>
      <w:r w:rsidRPr="0084038D">
        <w:rPr>
          <w:color w:val="000000" w:themeColor="text1"/>
        </w:rPr>
        <w:t xml:space="preserve"> 13, 14, 15</w:t>
      </w:r>
      <w:r w:rsidRPr="0084038D">
        <w:rPr>
          <w:color w:val="000000" w:themeColor="text1"/>
          <w:lang w:val="en-US"/>
        </w:rPr>
        <w:t>,</w:t>
      </w:r>
      <w:r w:rsidRPr="0084038D">
        <w:rPr>
          <w:color w:val="000000" w:themeColor="text1"/>
        </w:rPr>
        <w:t xml:space="preserve"> 23 ICPPED.</w:t>
      </w:r>
      <w:r w:rsidRPr="0084038D">
        <w:rPr>
          <w:color w:val="000000" w:themeColor="text1"/>
          <w:lang w:val="en-US"/>
        </w:rPr>
        <w:t xml:space="preserve"> </w:t>
      </w:r>
    </w:p>
  </w:footnote>
  <w:footnote w:id="97">
    <w:p w14:paraId="5F732C9B" w14:textId="64272D10"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Commission on Human Rights, </w:t>
      </w:r>
      <w:r w:rsidRPr="0084038D">
        <w:rPr>
          <w:color w:val="000000" w:themeColor="text1"/>
          <w:lang w:val="en-US"/>
        </w:rPr>
        <w:t>‘Civil and Political Rights, including the Question of Enforced or Involuntary Disappearances’ (12 February 2003) UN Doc E/CN.4/2003/71 [48].</w:t>
      </w:r>
    </w:p>
  </w:footnote>
  <w:footnote w:id="98">
    <w:p w14:paraId="6083123E" w14:textId="3AAEE83D" w:rsidR="007C1059" w:rsidRPr="0084038D" w:rsidRDefault="007C1059" w:rsidP="00AC689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Arrest Warrant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_Ref187650265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34</w:t>
      </w:r>
      <w:r w:rsidRPr="0084038D">
        <w:rPr>
          <w:color w:val="000000" w:themeColor="text1"/>
          <w:lang w:val="en-US"/>
        </w:rPr>
        <w:fldChar w:fldCharType="end"/>
      </w:r>
      <w:r w:rsidRPr="0084038D">
        <w:rPr>
          <w:color w:val="000000" w:themeColor="text1"/>
          <w:lang w:val="en-US"/>
        </w:rPr>
        <w:t xml:space="preserve">) </w:t>
      </w:r>
      <w:r w:rsidRPr="0084038D">
        <w:rPr>
          <w:color w:val="000000" w:themeColor="text1"/>
          <w:lang w:val="en-GB"/>
        </w:rPr>
        <w:t>[59].</w:t>
      </w:r>
    </w:p>
  </w:footnote>
  <w:footnote w:id="99">
    <w:p w14:paraId="392E8415"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United Nations Convention on the Law of the Sea (concluded 10 December 1982, entered into force 16 November 1994) 1833 UN Treaty Series 3 (‘UNCLOS’).</w:t>
      </w:r>
    </w:p>
  </w:footnote>
  <w:footnote w:id="100">
    <w:p w14:paraId="488DE322" w14:textId="7777777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US"/>
        </w:rPr>
        <w:t xml:space="preserve"> Article 57 UNCLOS</w:t>
      </w:r>
      <w:r w:rsidRPr="0084038D">
        <w:rPr>
          <w:color w:val="000000" w:themeColor="text1"/>
          <w:lang w:val="en-GB"/>
        </w:rPr>
        <w:t>.</w:t>
      </w:r>
    </w:p>
  </w:footnote>
  <w:footnote w:id="101">
    <w:p w14:paraId="064F7076"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[68].</w:t>
      </w:r>
    </w:p>
  </w:footnote>
  <w:footnote w:id="102">
    <w:p w14:paraId="309A21EE" w14:textId="71166600"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[5]; Clarifications [2].</w:t>
      </w:r>
    </w:p>
  </w:footnote>
  <w:footnote w:id="103">
    <w:p w14:paraId="241470BE"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[13].</w:t>
      </w:r>
    </w:p>
  </w:footnote>
  <w:footnote w:id="104">
    <w:p w14:paraId="3F35F53A" w14:textId="52405FFC"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ILC, ‘Sea-level rise in relation to international law: First issues paper by Bogdan Aurescu and Nilüfer Oral, Co-Chairs of the Study Group on sea-level rise in relation to international law’ (28 February 2020) UN Doc A/CN.4/740 (‘</w:t>
      </w:r>
      <w:r w:rsidRPr="00481BE1">
        <w:rPr>
          <w:color w:val="000000" w:themeColor="text1"/>
          <w:lang w:val="en-GB"/>
        </w:rPr>
        <w:t>ILC,</w:t>
      </w:r>
      <w:r w:rsidRPr="0084038D">
        <w:rPr>
          <w:i/>
          <w:color w:val="000000" w:themeColor="text1"/>
          <w:lang w:val="en-GB"/>
        </w:rPr>
        <w:t xml:space="preserve"> First issues paper on sea-level rise</w:t>
      </w:r>
      <w:r w:rsidRPr="0084038D">
        <w:rPr>
          <w:color w:val="000000" w:themeColor="text1"/>
          <w:lang w:val="en-GB"/>
        </w:rPr>
        <w:t>’) [104(e)].</w:t>
      </w:r>
    </w:p>
  </w:footnote>
  <w:footnote w:id="105">
    <w:p w14:paraId="140D817F" w14:textId="333D171A"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Ibid [104(f)].</w:t>
      </w:r>
    </w:p>
  </w:footnote>
  <w:footnote w:id="106">
    <w:p w14:paraId="652DAD4A"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Jadhav Case</w:t>
      </w:r>
      <w:r w:rsidRPr="0084038D">
        <w:rPr>
          <w:color w:val="000000" w:themeColor="text1"/>
          <w:lang w:val="en-US"/>
        </w:rPr>
        <w:t xml:space="preserve"> (</w:t>
      </w:r>
      <w:r w:rsidRPr="0084038D">
        <w:rPr>
          <w:i/>
          <w:iCs/>
          <w:color w:val="000000" w:themeColor="text1"/>
          <w:lang w:val="en-US"/>
        </w:rPr>
        <w:t>India v Pakistan</w:t>
      </w:r>
      <w:r w:rsidRPr="0084038D">
        <w:rPr>
          <w:color w:val="000000" w:themeColor="text1"/>
          <w:lang w:val="en-US"/>
        </w:rPr>
        <w:t>) (Merits) [2019] ICJ Rep 418 [74].</w:t>
      </w:r>
    </w:p>
  </w:footnote>
  <w:footnote w:id="107">
    <w:p w14:paraId="245DED04"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Preamble UNCLOS.</w:t>
      </w:r>
    </w:p>
  </w:footnote>
  <w:footnote w:id="108">
    <w:p w14:paraId="425A72F7" w14:textId="2C8EE428"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B87B0D">
        <w:rPr>
          <w:color w:val="000000" w:themeColor="text1"/>
          <w:lang w:val="en-GB"/>
        </w:rPr>
        <w:t>ILC,</w:t>
      </w:r>
      <w:r w:rsidRPr="0084038D">
        <w:rPr>
          <w:i/>
          <w:color w:val="000000" w:themeColor="text1"/>
          <w:lang w:val="en-GB"/>
        </w:rPr>
        <w:t xml:space="preserve"> </w:t>
      </w:r>
      <w:r w:rsidRPr="0084038D">
        <w:rPr>
          <w:i/>
          <w:color w:val="000000" w:themeColor="text1"/>
        </w:rPr>
        <w:t xml:space="preserve">First issues paper </w:t>
      </w:r>
      <w:r w:rsidRPr="0084038D">
        <w:rPr>
          <w:i/>
          <w:color w:val="000000" w:themeColor="text1"/>
          <w:lang w:val="en-GB"/>
        </w:rPr>
        <w:t>on sea-level rise</w:t>
      </w:r>
      <w:r w:rsidRPr="0084038D">
        <w:rPr>
          <w:color w:val="000000" w:themeColor="text1"/>
          <w:lang w:val="en-GB"/>
        </w:rPr>
        <w:t xml:space="preserve"> </w:t>
      </w:r>
      <w:r w:rsidRPr="0084038D">
        <w:rPr>
          <w:color w:val="000000" w:themeColor="text1"/>
        </w:rPr>
        <w:t>(n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_Ref187653557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104</w:t>
      </w:r>
      <w:r w:rsidRPr="0084038D">
        <w:rPr>
          <w:color w:val="000000" w:themeColor="text1"/>
          <w:lang w:val="en-GB"/>
        </w:rPr>
        <w:fldChar w:fldCharType="end"/>
      </w:r>
      <w:r w:rsidRPr="0084038D">
        <w:rPr>
          <w:color w:val="000000" w:themeColor="text1"/>
        </w:rPr>
        <w:t>) [141(a)]</w:t>
      </w:r>
      <w:r w:rsidRPr="0084038D">
        <w:rPr>
          <w:color w:val="000000" w:themeColor="text1"/>
          <w:lang w:val="en-GB"/>
        </w:rPr>
        <w:t>.</w:t>
      </w:r>
    </w:p>
  </w:footnote>
  <w:footnote w:id="109">
    <w:p w14:paraId="22F956A2" w14:textId="500F6439"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Ibid [141(a)], [190(g)]</w:t>
      </w:r>
      <w:r w:rsidRPr="0084038D">
        <w:rPr>
          <w:color w:val="000000" w:themeColor="text1"/>
          <w:lang w:val="en-US"/>
        </w:rPr>
        <w:t xml:space="preserve">; David Caron, ‘Climate Change, Sea Level Rise and the Coming Uncertainty in Oceanic Boundaries: A proposal to Avoid Conflict’ in Seoung-Yong Hong/Jon Van Dyke (eds), </w:t>
      </w:r>
      <w:r w:rsidRPr="0084038D">
        <w:rPr>
          <w:i/>
          <w:iCs/>
          <w:color w:val="000000" w:themeColor="text1"/>
          <w:lang w:val="en-US"/>
        </w:rPr>
        <w:t xml:space="preserve">Maritime Boundary Disputes, Settlement Processes and the Law of the Sea </w:t>
      </w:r>
      <w:r w:rsidRPr="0084038D">
        <w:rPr>
          <w:color w:val="000000" w:themeColor="text1"/>
          <w:lang w:val="en-US"/>
        </w:rPr>
        <w:t>(Martinus Nijhoff 2008) 1, 13.</w:t>
      </w:r>
    </w:p>
  </w:footnote>
  <w:footnote w:id="110">
    <w:p w14:paraId="527D43B7" w14:textId="2A424FDB"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ILC; </w:t>
      </w:r>
      <w:r w:rsidRPr="0084038D">
        <w:rPr>
          <w:i/>
          <w:color w:val="000000" w:themeColor="text1"/>
          <w:lang w:val="en-US"/>
        </w:rPr>
        <w:t>First issues paper on sea-level rise</w:t>
      </w:r>
      <w:r w:rsidRPr="0084038D">
        <w:rPr>
          <w:color w:val="000000" w:themeColor="text1"/>
          <w:lang w:val="en-US"/>
        </w:rPr>
        <w:t xml:space="preserve"> (n </w:t>
      </w:r>
      <w:r w:rsidRPr="0084038D">
        <w:rPr>
          <w:color w:val="000000" w:themeColor="text1"/>
          <w:lang w:val="en-US"/>
        </w:rPr>
        <w:fldChar w:fldCharType="begin"/>
      </w:r>
      <w:r w:rsidRPr="0084038D">
        <w:rPr>
          <w:color w:val="000000" w:themeColor="text1"/>
          <w:lang w:val="en-US"/>
        </w:rPr>
        <w:instrText xml:space="preserve"> NOTEREF _Ref187653557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104</w:t>
      </w:r>
      <w:r w:rsidRPr="0084038D">
        <w:rPr>
          <w:color w:val="000000" w:themeColor="text1"/>
          <w:lang w:val="en-US"/>
        </w:rPr>
        <w:fldChar w:fldCharType="end"/>
      </w:r>
      <w:r w:rsidRPr="0084038D">
        <w:rPr>
          <w:color w:val="000000" w:themeColor="text1"/>
          <w:lang w:val="en-US"/>
        </w:rPr>
        <w:t>) [104(d)], [104(e)]; Committee on International Law and Sea Level Rise, ‘Final</w:t>
      </w:r>
      <w:r>
        <w:rPr>
          <w:color w:val="000000" w:themeColor="text1"/>
          <w:lang w:val="en-US"/>
        </w:rPr>
        <w:t xml:space="preserve"> </w:t>
      </w:r>
      <w:r w:rsidRPr="0084038D">
        <w:rPr>
          <w:color w:val="000000" w:themeColor="text1"/>
          <w:lang w:val="en-US"/>
        </w:rPr>
        <w:t>Report</w:t>
      </w:r>
      <w:r>
        <w:rPr>
          <w:color w:val="000000" w:themeColor="text1"/>
          <w:lang w:val="en-US"/>
        </w:rPr>
        <w:t>’</w:t>
      </w:r>
      <w:r w:rsidRPr="0084038D">
        <w:rPr>
          <w:color w:val="000000" w:themeColor="text1"/>
          <w:lang w:val="en-US"/>
        </w:rPr>
        <w:t xml:space="preserve"> in International Law Association Report of the eighty-first Conference (International Law Association, 2024) &lt;https://www.ila-hq.org/en/documents/final-report-committee-on-international-law-and-sea-level-rise-22-05-2024&gt; accessed 12 January 2025,  44.</w:t>
      </w:r>
    </w:p>
  </w:footnote>
  <w:footnote w:id="111">
    <w:p w14:paraId="2A9BAC88"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Preamble UNCLOS.</w:t>
      </w:r>
    </w:p>
  </w:footnote>
  <w:footnote w:id="112">
    <w:p w14:paraId="3136AA35"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Ibid.</w:t>
      </w:r>
    </w:p>
  </w:footnote>
  <w:footnote w:id="113">
    <w:p w14:paraId="192C9410"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iCs/>
          <w:color w:val="000000" w:themeColor="text1"/>
        </w:rPr>
        <w:t>Delimitation of the Maritime Boundary in the Gulf of Maine Area</w:t>
      </w:r>
      <w:r w:rsidRPr="0084038D">
        <w:rPr>
          <w:color w:val="000000" w:themeColor="text1"/>
        </w:rPr>
        <w:t xml:space="preserve"> (</w:t>
      </w:r>
      <w:r w:rsidRPr="0084038D">
        <w:rPr>
          <w:i/>
          <w:iCs/>
          <w:color w:val="000000" w:themeColor="text1"/>
        </w:rPr>
        <w:t>Canada v United</w:t>
      </w:r>
      <w:r w:rsidRPr="0084038D">
        <w:rPr>
          <w:i/>
          <w:iCs/>
          <w:color w:val="000000" w:themeColor="text1"/>
          <w:lang w:val="en-GB"/>
        </w:rPr>
        <w:t> </w:t>
      </w:r>
      <w:r w:rsidRPr="0084038D">
        <w:rPr>
          <w:i/>
          <w:iCs/>
          <w:color w:val="000000" w:themeColor="text1"/>
        </w:rPr>
        <w:t>States</w:t>
      </w:r>
      <w:r w:rsidRPr="0084038D">
        <w:rPr>
          <w:color w:val="000000" w:themeColor="text1"/>
        </w:rPr>
        <w:t>) (</w:t>
      </w:r>
      <w:r w:rsidRPr="0084038D">
        <w:rPr>
          <w:color w:val="000000" w:themeColor="text1"/>
          <w:lang w:val="en-GB"/>
        </w:rPr>
        <w:t>Judgment</w:t>
      </w:r>
      <w:r w:rsidRPr="0084038D">
        <w:rPr>
          <w:color w:val="000000" w:themeColor="text1"/>
        </w:rPr>
        <w:t>) [1984] ICJ Rep 246 [237].</w:t>
      </w:r>
    </w:p>
  </w:footnote>
  <w:footnote w:id="114">
    <w:p w14:paraId="5E38F75D" w14:textId="504099B3" w:rsidR="007C1059" w:rsidRPr="0084038D" w:rsidRDefault="007C1059" w:rsidP="00D17C40">
      <w:pPr>
        <w:pStyle w:val="Funotentext"/>
        <w:rPr>
          <w:color w:val="000000" w:themeColor="text1"/>
        </w:rPr>
      </w:pPr>
      <w:r w:rsidRPr="00B87B0D">
        <w:rPr>
          <w:rStyle w:val="Funotenzeichen"/>
          <w:color w:val="000000" w:themeColor="text1"/>
        </w:rPr>
        <w:footnoteRef/>
      </w:r>
      <w:r w:rsidRPr="0084038D">
        <w:rPr>
          <w:i/>
          <w:color w:val="000000" w:themeColor="text1"/>
          <w:lang w:val="en-GB"/>
        </w:rPr>
        <w:t xml:space="preserve"> </w:t>
      </w:r>
      <w:r w:rsidRPr="00B87B0D">
        <w:rPr>
          <w:color w:val="000000" w:themeColor="text1"/>
          <w:lang w:val="en-GB"/>
        </w:rPr>
        <w:t xml:space="preserve">ILC, </w:t>
      </w:r>
      <w:r w:rsidRPr="0084038D">
        <w:rPr>
          <w:i/>
          <w:color w:val="000000" w:themeColor="text1"/>
        </w:rPr>
        <w:t xml:space="preserve">First issues paper </w:t>
      </w:r>
      <w:r w:rsidRPr="0084038D">
        <w:rPr>
          <w:i/>
          <w:color w:val="000000" w:themeColor="text1"/>
          <w:lang w:val="en-GB"/>
        </w:rPr>
        <w:t>on sea-level rise</w:t>
      </w:r>
      <w:r w:rsidRPr="0084038D">
        <w:rPr>
          <w:color w:val="000000" w:themeColor="text1"/>
          <w:lang w:val="en-GB"/>
        </w:rPr>
        <w:t xml:space="preserve"> </w:t>
      </w:r>
      <w:r w:rsidRPr="0084038D">
        <w:rPr>
          <w:color w:val="000000" w:themeColor="text1"/>
        </w:rPr>
        <w:t>(n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_Ref187653557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104</w:t>
      </w:r>
      <w:r w:rsidRPr="0084038D">
        <w:rPr>
          <w:color w:val="000000" w:themeColor="text1"/>
          <w:lang w:val="en-GB"/>
        </w:rPr>
        <w:fldChar w:fldCharType="end"/>
      </w:r>
      <w:r w:rsidRPr="0084038D">
        <w:rPr>
          <w:color w:val="000000" w:themeColor="text1"/>
        </w:rPr>
        <w:t>) [190e], [217].</w:t>
      </w:r>
    </w:p>
  </w:footnote>
  <w:footnote w:id="115">
    <w:p w14:paraId="4A76848D" w14:textId="4DA70984" w:rsidR="007C1059" w:rsidRPr="0084038D" w:rsidRDefault="007C1059" w:rsidP="00D17C40">
      <w:pPr>
        <w:pStyle w:val="Funotentext"/>
        <w:rPr>
          <w:color w:val="000000" w:themeColor="text1"/>
        </w:rPr>
      </w:pPr>
      <w:r w:rsidRPr="00B87B0D">
        <w:rPr>
          <w:rStyle w:val="Funotenzeichen"/>
          <w:color w:val="000000" w:themeColor="text1"/>
        </w:rPr>
        <w:footnoteRef/>
      </w:r>
      <w:r w:rsidRPr="00B87B0D">
        <w:rPr>
          <w:color w:val="000000" w:themeColor="text1"/>
        </w:rPr>
        <w:t xml:space="preserve"> </w:t>
      </w:r>
      <w:r w:rsidRPr="00B87B0D">
        <w:rPr>
          <w:color w:val="000000" w:themeColor="text1"/>
          <w:lang w:val="en-GB"/>
        </w:rPr>
        <w:t>Ibid</w:t>
      </w:r>
      <w:r w:rsidRPr="0084038D">
        <w:rPr>
          <w:color w:val="000000" w:themeColor="text1"/>
        </w:rPr>
        <w:t xml:space="preserve"> ([190(c)],</w:t>
      </w:r>
      <w:r w:rsidRPr="0084038D">
        <w:rPr>
          <w:color w:val="000000" w:themeColor="text1"/>
          <w:lang w:val="en-US"/>
        </w:rPr>
        <w:t xml:space="preserve"> [</w:t>
      </w:r>
      <w:r w:rsidRPr="0084038D">
        <w:rPr>
          <w:color w:val="000000" w:themeColor="text1"/>
        </w:rPr>
        <w:t>190(d)].</w:t>
      </w:r>
    </w:p>
  </w:footnote>
  <w:footnote w:id="116">
    <w:p w14:paraId="3FC7DFED"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US"/>
        </w:rPr>
        <w:t xml:space="preserve"> ILC, ‘Sea-level rise in relation to international law</w:t>
      </w:r>
      <w:r w:rsidRPr="0084038D">
        <w:rPr>
          <w:color w:val="000000" w:themeColor="text1"/>
          <w:lang w:val="en-GB"/>
        </w:rPr>
        <w:t>:</w:t>
      </w:r>
      <w:r w:rsidRPr="0084038D">
        <w:rPr>
          <w:color w:val="000000" w:themeColor="text1"/>
          <w:lang w:val="en-US"/>
        </w:rPr>
        <w:t xml:space="preserve"> Additional paper to the first issues paper (2020), by Bogdan Aurescu and Nilüfer Oral, Co-Chairs of the Study Group on sea-level rise in relation to international law’ (13 February 2023) UN Doc A/CN.4/761 [183(c)], [183(d)].</w:t>
      </w:r>
    </w:p>
  </w:footnote>
  <w:footnote w:id="117">
    <w:p w14:paraId="71E6649B" w14:textId="0CEBAC9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ILC, </w:t>
      </w:r>
      <w:r w:rsidRPr="0084038D">
        <w:rPr>
          <w:i/>
          <w:color w:val="000000" w:themeColor="text1"/>
        </w:rPr>
        <w:t xml:space="preserve">First issues paper </w:t>
      </w:r>
      <w:r w:rsidRPr="0084038D">
        <w:rPr>
          <w:i/>
          <w:color w:val="000000" w:themeColor="text1"/>
          <w:lang w:val="en-GB"/>
        </w:rPr>
        <w:t>on sea-level rise</w:t>
      </w:r>
      <w:r w:rsidRPr="0084038D">
        <w:rPr>
          <w:color w:val="000000" w:themeColor="text1"/>
          <w:lang w:val="en-GB"/>
        </w:rPr>
        <w:t xml:space="preserve"> </w:t>
      </w:r>
      <w:r w:rsidRPr="0084038D">
        <w:rPr>
          <w:color w:val="000000" w:themeColor="text1"/>
        </w:rPr>
        <w:t>(n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_Ref187653557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104</w:t>
      </w:r>
      <w:r w:rsidRPr="0084038D">
        <w:rPr>
          <w:color w:val="000000" w:themeColor="text1"/>
          <w:lang w:val="en-GB"/>
        </w:rPr>
        <w:fldChar w:fldCharType="end"/>
      </w:r>
      <w:r w:rsidRPr="0084038D">
        <w:rPr>
          <w:color w:val="000000" w:themeColor="text1"/>
        </w:rPr>
        <w:t>) [104 (b)]; David Caron, ‘When Law Makes Climate Change Worse: Rethinking the Law of Baselines in Light of a Rising Sea Level’ (1990) 17 Ecology</w:t>
      </w:r>
      <w:r w:rsidRPr="006D2768">
        <w:rPr>
          <w:color w:val="000000" w:themeColor="text1"/>
          <w:lang w:val="en-GB"/>
        </w:rPr>
        <w:t xml:space="preserve"> </w:t>
      </w:r>
      <w:r>
        <w:rPr>
          <w:color w:val="000000" w:themeColor="text1"/>
          <w:lang w:val="en-GB"/>
        </w:rPr>
        <w:t>Law</w:t>
      </w:r>
      <w:r w:rsidRPr="0084038D">
        <w:rPr>
          <w:color w:val="000000" w:themeColor="text1"/>
        </w:rPr>
        <w:t xml:space="preserve"> Quarterly 621, 636.</w:t>
      </w:r>
    </w:p>
  </w:footnote>
  <w:footnote w:id="118">
    <w:p w14:paraId="2EAE8286" w14:textId="2680CEF3"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 xml:space="preserve">Travaux </w:t>
      </w:r>
      <w:bookmarkStart w:id="140" w:name="_Hlk187636030"/>
      <w:r w:rsidRPr="0084038D">
        <w:rPr>
          <w:i/>
          <w:color w:val="000000" w:themeColor="text1"/>
          <w:lang w:val="en-GB"/>
        </w:rPr>
        <w:t>préparatoires</w:t>
      </w:r>
      <w:bookmarkEnd w:id="140"/>
      <w:r w:rsidRPr="0084038D">
        <w:rPr>
          <w:color w:val="000000" w:themeColor="text1"/>
          <w:lang w:val="en-GB"/>
        </w:rPr>
        <w:t xml:space="preserve"> in </w:t>
      </w:r>
      <w:r w:rsidRPr="0084038D">
        <w:rPr>
          <w:i/>
          <w:color w:val="000000" w:themeColor="text1"/>
          <w:lang w:val="en-GB"/>
        </w:rPr>
        <w:t>Third United Nations Conference on the Law of the Sea</w:t>
      </w:r>
      <w:r w:rsidRPr="0084038D">
        <w:rPr>
          <w:color w:val="000000" w:themeColor="text1"/>
          <w:lang w:val="en-GB"/>
        </w:rPr>
        <w:t xml:space="preserve"> (1973-1982) UN Doc A/CONF.62; </w:t>
      </w:r>
      <w:r w:rsidRPr="0084038D">
        <w:rPr>
          <w:i/>
          <w:color w:val="000000" w:themeColor="text1"/>
          <w:lang w:val="en-GB"/>
        </w:rPr>
        <w:t xml:space="preserve">ILC, </w:t>
      </w:r>
      <w:r w:rsidRPr="0084038D">
        <w:rPr>
          <w:i/>
          <w:color w:val="000000" w:themeColor="text1"/>
        </w:rPr>
        <w:t>First issues paper</w:t>
      </w:r>
      <w:r w:rsidRPr="0084038D">
        <w:rPr>
          <w:i/>
          <w:color w:val="000000" w:themeColor="text1"/>
          <w:lang w:val="en-GB"/>
        </w:rPr>
        <w:t xml:space="preserve"> on sea-level rise</w:t>
      </w:r>
      <w:r w:rsidRPr="0084038D">
        <w:rPr>
          <w:color w:val="000000" w:themeColor="text1"/>
        </w:rPr>
        <w:t xml:space="preserve"> (n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_Ref187653557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104</w:t>
      </w:r>
      <w:r w:rsidRPr="0084038D">
        <w:rPr>
          <w:color w:val="000000" w:themeColor="text1"/>
          <w:lang w:val="en-GB"/>
        </w:rPr>
        <w:fldChar w:fldCharType="end"/>
      </w:r>
      <w:r w:rsidRPr="0084038D">
        <w:rPr>
          <w:color w:val="000000" w:themeColor="text1"/>
        </w:rPr>
        <w:t>) [104</w:t>
      </w:r>
      <w:r w:rsidRPr="0084038D">
        <w:rPr>
          <w:color w:val="000000" w:themeColor="text1"/>
          <w:lang w:val="en-GB"/>
        </w:rPr>
        <w:t>(a)</w:t>
      </w:r>
      <w:r w:rsidRPr="0084038D">
        <w:rPr>
          <w:color w:val="000000" w:themeColor="text1"/>
        </w:rPr>
        <w:t>]</w:t>
      </w:r>
      <w:r w:rsidRPr="0084038D">
        <w:rPr>
          <w:color w:val="000000" w:themeColor="text1"/>
          <w:lang w:val="en-GB"/>
        </w:rPr>
        <w:t>, [104(b)]</w:t>
      </w:r>
      <w:bookmarkStart w:id="141" w:name="_Hlk187451665"/>
      <w:r w:rsidRPr="0084038D">
        <w:rPr>
          <w:color w:val="000000" w:themeColor="text1"/>
          <w:lang w:val="en-GB"/>
        </w:rPr>
        <w:t>.</w:t>
      </w:r>
      <w:bookmarkEnd w:id="141"/>
    </w:p>
  </w:footnote>
  <w:footnote w:id="119">
    <w:p w14:paraId="77D21E07" w14:textId="29B0CCC3"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US"/>
        </w:rPr>
        <w:t xml:space="preserve"> ILC, ‘Report of the International Law Commission </w:t>
      </w:r>
      <w:r>
        <w:rPr>
          <w:color w:val="000000" w:themeColor="text1"/>
          <w:lang w:val="en-US"/>
        </w:rPr>
        <w:t xml:space="preserve">to the General Assembly </w:t>
      </w:r>
      <w:r w:rsidRPr="0084038D">
        <w:rPr>
          <w:color w:val="000000" w:themeColor="text1"/>
          <w:lang w:val="en-US"/>
        </w:rPr>
        <w:t xml:space="preserve">on the work of its </w:t>
      </w:r>
      <w:r w:rsidR="005605CF">
        <w:rPr>
          <w:color w:val="000000" w:themeColor="text1"/>
          <w:lang w:val="en-US"/>
        </w:rPr>
        <w:t>S</w:t>
      </w:r>
      <w:r w:rsidRPr="0084038D">
        <w:rPr>
          <w:color w:val="000000" w:themeColor="text1"/>
          <w:lang w:val="en-US"/>
        </w:rPr>
        <w:t xml:space="preserve">eventieth </w:t>
      </w:r>
      <w:r w:rsidR="005605CF">
        <w:rPr>
          <w:color w:val="000000" w:themeColor="text1"/>
          <w:lang w:val="en-US"/>
        </w:rPr>
        <w:t>S</w:t>
      </w:r>
      <w:r w:rsidRPr="0084038D">
        <w:rPr>
          <w:color w:val="000000" w:themeColor="text1"/>
          <w:lang w:val="en-US"/>
        </w:rPr>
        <w:t>ession’ [2018] vol 2(2) Yearbook of the ILC [52] (‘</w:t>
      </w:r>
      <w:r w:rsidRPr="0084038D">
        <w:rPr>
          <w:i/>
          <w:color w:val="000000" w:themeColor="text1"/>
          <w:lang w:val="en-US"/>
        </w:rPr>
        <w:t>ILC, Draft Conclusions on Subsequent practice, with commentaries</w:t>
      </w:r>
      <w:r w:rsidRPr="0084038D">
        <w:rPr>
          <w:color w:val="000000" w:themeColor="text1"/>
          <w:lang w:val="en-US"/>
        </w:rPr>
        <w:t>) Draft Conclusion 4(</w:t>
      </w:r>
      <w:r w:rsidRPr="0084038D">
        <w:rPr>
          <w:color w:val="000000" w:themeColor="text1"/>
          <w:lang w:val="en-GB"/>
        </w:rPr>
        <w:t>2).</w:t>
      </w:r>
    </w:p>
  </w:footnote>
  <w:footnote w:id="120">
    <w:p w14:paraId="52D6DA18" w14:textId="4B432FFC"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B87B0D">
        <w:rPr>
          <w:color w:val="000000" w:themeColor="text1"/>
        </w:rPr>
        <w:t>ILC</w:t>
      </w:r>
      <w:r w:rsidRPr="00B87B0D">
        <w:rPr>
          <w:color w:val="000000" w:themeColor="text1"/>
          <w:lang w:val="en-GB"/>
        </w:rPr>
        <w:t>,</w:t>
      </w:r>
      <w:r w:rsidRPr="0084038D">
        <w:rPr>
          <w:i/>
          <w:color w:val="000000" w:themeColor="text1"/>
        </w:rPr>
        <w:t xml:space="preserve"> </w:t>
      </w:r>
      <w:r w:rsidRPr="0084038D">
        <w:rPr>
          <w:i/>
          <w:color w:val="000000" w:themeColor="text1"/>
          <w:lang w:val="en-GB"/>
        </w:rPr>
        <w:t xml:space="preserve">Draft Conclusions on </w:t>
      </w:r>
      <w:r w:rsidRPr="0084038D">
        <w:rPr>
          <w:i/>
          <w:color w:val="000000" w:themeColor="text1"/>
        </w:rPr>
        <w:t>Subsequent practice</w:t>
      </w:r>
      <w:r w:rsidRPr="0084038D">
        <w:rPr>
          <w:i/>
          <w:color w:val="000000" w:themeColor="text1"/>
          <w:lang w:val="en-GB"/>
        </w:rPr>
        <w:t xml:space="preserve">, with commentaries </w:t>
      </w:r>
      <w:r w:rsidRPr="0084038D">
        <w:rPr>
          <w:color w:val="000000" w:themeColor="text1"/>
        </w:rPr>
        <w:t>(n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_Ref187654613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119</w:t>
      </w:r>
      <w:r w:rsidRPr="0084038D">
        <w:rPr>
          <w:color w:val="000000" w:themeColor="text1"/>
          <w:lang w:val="en-GB"/>
        </w:rPr>
        <w:fldChar w:fldCharType="end"/>
      </w:r>
      <w:r w:rsidRPr="0084038D">
        <w:rPr>
          <w:color w:val="000000" w:themeColor="text1"/>
        </w:rPr>
        <w:t xml:space="preserve">) </w:t>
      </w:r>
      <w:r w:rsidRPr="0084038D">
        <w:rPr>
          <w:color w:val="000000" w:themeColor="text1"/>
          <w:lang w:val="en-GB"/>
        </w:rPr>
        <w:t>Conclusion</w:t>
      </w:r>
      <w:r>
        <w:rPr>
          <w:color w:val="000000" w:themeColor="text1"/>
          <w:lang w:val="en-GB"/>
        </w:rPr>
        <w:t> </w:t>
      </w:r>
      <w:r w:rsidRPr="0084038D">
        <w:rPr>
          <w:color w:val="000000" w:themeColor="text1"/>
          <w:lang w:val="en-GB"/>
        </w:rPr>
        <w:t>10</w:t>
      </w:r>
      <w:r>
        <w:rPr>
          <w:color w:val="000000" w:themeColor="text1"/>
          <w:lang w:val="en-GB"/>
        </w:rPr>
        <w:t> </w:t>
      </w:r>
      <w:r w:rsidRPr="00946A01">
        <w:rPr>
          <w:color w:val="000000" w:themeColor="text1"/>
          <w:lang w:val="en-GB"/>
        </w:rPr>
        <w:t>[12</w:t>
      </w:r>
      <w:r w:rsidRPr="00C54F86">
        <w:rPr>
          <w:color w:val="000000" w:themeColor="text1"/>
          <w:lang w:val="en-GB"/>
        </w:rPr>
        <w:t xml:space="preserve">]; ILC, ‘Reports of the International Law Commission </w:t>
      </w:r>
      <w:r>
        <w:rPr>
          <w:color w:val="000000" w:themeColor="text1"/>
          <w:lang w:val="en-GB"/>
        </w:rPr>
        <w:t xml:space="preserve">to the General Assembly </w:t>
      </w:r>
      <w:r w:rsidRPr="00C54F86">
        <w:rPr>
          <w:color w:val="000000" w:themeColor="text1"/>
          <w:lang w:val="en-GB"/>
        </w:rPr>
        <w:t xml:space="preserve">on the second part of its </w:t>
      </w:r>
      <w:r w:rsidR="005605CF">
        <w:rPr>
          <w:color w:val="000000" w:themeColor="text1"/>
          <w:lang w:val="en-GB"/>
        </w:rPr>
        <w:t>S</w:t>
      </w:r>
      <w:r w:rsidRPr="00C54F86">
        <w:rPr>
          <w:color w:val="000000" w:themeColor="text1"/>
          <w:lang w:val="en-GB"/>
        </w:rPr>
        <w:t xml:space="preserve">eventeenth </w:t>
      </w:r>
      <w:r w:rsidR="005605CF">
        <w:rPr>
          <w:color w:val="000000" w:themeColor="text1"/>
          <w:lang w:val="en-GB"/>
        </w:rPr>
        <w:t>S</w:t>
      </w:r>
      <w:r w:rsidRPr="00C54F86">
        <w:rPr>
          <w:color w:val="000000" w:themeColor="text1"/>
          <w:lang w:val="en-GB"/>
        </w:rPr>
        <w:t xml:space="preserve">ession and on its </w:t>
      </w:r>
      <w:r w:rsidR="005605CF">
        <w:rPr>
          <w:color w:val="000000" w:themeColor="text1"/>
          <w:lang w:val="en-GB"/>
        </w:rPr>
        <w:t>E</w:t>
      </w:r>
      <w:r w:rsidRPr="00C54F86">
        <w:rPr>
          <w:color w:val="000000" w:themeColor="text1"/>
          <w:lang w:val="en-GB"/>
        </w:rPr>
        <w:t xml:space="preserve">ighteenth </w:t>
      </w:r>
      <w:r w:rsidR="005605CF">
        <w:rPr>
          <w:color w:val="000000" w:themeColor="text1"/>
          <w:lang w:val="en-GB"/>
        </w:rPr>
        <w:t>S</w:t>
      </w:r>
      <w:r w:rsidRPr="00C54F86">
        <w:rPr>
          <w:color w:val="000000" w:themeColor="text1"/>
          <w:lang w:val="en-GB"/>
        </w:rPr>
        <w:t>ession’ [1966] vol 2 Yearbook of the ILC 169 (‘Draft Articles on the law of treaties</w:t>
      </w:r>
      <w:r>
        <w:rPr>
          <w:color w:val="000000" w:themeColor="text1"/>
          <w:lang w:val="en-GB"/>
        </w:rPr>
        <w:t>,</w:t>
      </w:r>
      <w:r w:rsidRPr="00C54F86">
        <w:rPr>
          <w:color w:val="000000" w:themeColor="text1"/>
          <w:lang w:val="en-GB"/>
        </w:rPr>
        <w:t xml:space="preserve"> with commentaries’), 221, Draft Article 27 [15].’</w:t>
      </w:r>
    </w:p>
  </w:footnote>
  <w:footnote w:id="121">
    <w:p w14:paraId="1779A5C2" w14:textId="07EE872A"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GB"/>
        </w:rPr>
        <w:t>Loizidou v Turkey</w:t>
      </w:r>
      <w:r w:rsidRPr="0084038D">
        <w:rPr>
          <w:color w:val="000000" w:themeColor="text1"/>
          <w:lang w:val="en-GB"/>
        </w:rPr>
        <w:t xml:space="preserve"> (1995) App No 15318/89 (</w:t>
      </w:r>
      <w:r>
        <w:rPr>
          <w:color w:val="000000" w:themeColor="text1"/>
          <w:lang w:val="en-GB"/>
        </w:rPr>
        <w:t>ECtHR</w:t>
      </w:r>
      <w:r w:rsidRPr="0084038D">
        <w:rPr>
          <w:color w:val="000000" w:themeColor="text1"/>
          <w:lang w:val="en-GB"/>
        </w:rPr>
        <w:t xml:space="preserve">) [73], [79], [80]; </w:t>
      </w:r>
      <w:r w:rsidRPr="0084038D">
        <w:rPr>
          <w:i/>
          <w:color w:val="000000" w:themeColor="text1"/>
          <w:lang w:val="en-GB"/>
        </w:rPr>
        <w:t>ILC,</w:t>
      </w:r>
      <w:r>
        <w:rPr>
          <w:i/>
          <w:color w:val="000000" w:themeColor="text1"/>
          <w:lang w:val="en-GB"/>
        </w:rPr>
        <w:t xml:space="preserve"> </w:t>
      </w:r>
      <w:r w:rsidRPr="0084038D">
        <w:rPr>
          <w:i/>
          <w:color w:val="000000" w:themeColor="text1"/>
          <w:lang w:val="en-GB"/>
        </w:rPr>
        <w:t xml:space="preserve">Draft Conclusions on </w:t>
      </w:r>
      <w:r w:rsidRPr="0084038D">
        <w:rPr>
          <w:i/>
          <w:color w:val="000000" w:themeColor="text1"/>
          <w:lang w:val="en-US"/>
        </w:rPr>
        <w:t xml:space="preserve">Subsequent practice, with commentaries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_Ref187654613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119</w:t>
      </w:r>
      <w:r w:rsidRPr="0084038D">
        <w:rPr>
          <w:color w:val="000000" w:themeColor="text1"/>
          <w:lang w:val="en-US"/>
        </w:rPr>
        <w:fldChar w:fldCharType="end"/>
      </w:r>
      <w:r w:rsidRPr="0084038D">
        <w:rPr>
          <w:color w:val="000000" w:themeColor="text1"/>
          <w:lang w:val="en-US"/>
        </w:rPr>
        <w:t>) Draft Conclusion 10 [6].</w:t>
      </w:r>
    </w:p>
  </w:footnote>
  <w:footnote w:id="122">
    <w:p w14:paraId="30D8D18E" w14:textId="24FE572A"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iCs/>
          <w:color w:val="000000" w:themeColor="text1"/>
          <w:lang w:val="en-GB"/>
        </w:rPr>
        <w:t xml:space="preserve">Case Concerning the Temple of Preah Vihear </w:t>
      </w:r>
      <w:r w:rsidRPr="0084038D">
        <w:rPr>
          <w:color w:val="000000" w:themeColor="text1"/>
          <w:lang w:val="en-GB"/>
        </w:rPr>
        <w:t>(</w:t>
      </w:r>
      <w:r w:rsidRPr="0084038D">
        <w:rPr>
          <w:i/>
          <w:iCs/>
          <w:color w:val="000000" w:themeColor="text1"/>
          <w:lang w:val="en-GB"/>
        </w:rPr>
        <w:t>Cambodia v Thailand</w:t>
      </w:r>
      <w:r w:rsidRPr="0084038D">
        <w:rPr>
          <w:color w:val="000000" w:themeColor="text1"/>
          <w:lang w:val="en-GB"/>
        </w:rPr>
        <w:t>) (Merits) [1962] ICJ Rep 6 (‘</w:t>
      </w:r>
      <w:r w:rsidRPr="0084038D">
        <w:rPr>
          <w:i/>
          <w:color w:val="000000" w:themeColor="text1"/>
          <w:lang w:val="en-GB"/>
        </w:rPr>
        <w:t>Temple of Preah Vihear</w:t>
      </w:r>
      <w:r w:rsidRPr="0084038D">
        <w:rPr>
          <w:color w:val="000000" w:themeColor="text1"/>
          <w:lang w:val="en-GB"/>
        </w:rPr>
        <w:t>’), 23.</w:t>
      </w:r>
    </w:p>
  </w:footnote>
  <w:footnote w:id="123">
    <w:p w14:paraId="08EBF268" w14:textId="76A9842C"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iCs/>
          <w:color w:val="000000" w:themeColor="text1"/>
          <w:lang w:val="en-GB"/>
        </w:rPr>
        <w:t>Case Concerning</w:t>
      </w:r>
      <w:r w:rsidRPr="0084038D">
        <w:rPr>
          <w:i/>
          <w:iCs/>
          <w:color w:val="000000" w:themeColor="text1"/>
        </w:rPr>
        <w:t xml:space="preserve"> Military and Paramilitary Activities in and against Nicaragua </w:t>
      </w:r>
      <w:r w:rsidRPr="0084038D">
        <w:rPr>
          <w:color w:val="000000" w:themeColor="text1"/>
        </w:rPr>
        <w:t>(</w:t>
      </w:r>
      <w:r w:rsidRPr="0084038D">
        <w:rPr>
          <w:i/>
          <w:iCs/>
          <w:color w:val="000000" w:themeColor="text1"/>
        </w:rPr>
        <w:t>Nicaragua v United States</w:t>
      </w:r>
      <w:r w:rsidRPr="0084038D">
        <w:rPr>
          <w:color w:val="000000" w:themeColor="text1"/>
        </w:rPr>
        <w:t>) (</w:t>
      </w:r>
      <w:r w:rsidRPr="0084038D">
        <w:rPr>
          <w:color w:val="000000" w:themeColor="text1"/>
          <w:lang w:val="en-GB"/>
        </w:rPr>
        <w:t xml:space="preserve">Judgment) [1984] ICJ Rep 392 [39]; European Communities–Customs Classification of Frozen Boneless Chicken Cuts </w:t>
      </w:r>
      <w:r w:rsidRPr="0084038D">
        <w:rPr>
          <w:color w:val="000000" w:themeColor="text1"/>
          <w:sz w:val="22"/>
          <w:lang w:val="en-US"/>
        </w:rPr>
        <w:t>(</w:t>
      </w:r>
      <w:r w:rsidRPr="0084038D">
        <w:rPr>
          <w:color w:val="000000" w:themeColor="text1"/>
          <w:lang w:val="en-GB"/>
        </w:rPr>
        <w:t xml:space="preserve">2005) World Trade Organisation Appellate Body Report WT/DS269/AB/R and WT/DS286/AB/R [272]; </w:t>
      </w:r>
      <w:r w:rsidRPr="0084038D">
        <w:rPr>
          <w:i/>
          <w:color w:val="000000" w:themeColor="text1"/>
          <w:lang w:val="en-GB"/>
        </w:rPr>
        <w:t xml:space="preserve">ILC, Draft Conclusions on </w:t>
      </w:r>
      <w:r w:rsidRPr="0084038D">
        <w:rPr>
          <w:i/>
          <w:color w:val="000000" w:themeColor="text1"/>
          <w:lang w:val="en-US"/>
        </w:rPr>
        <w:t xml:space="preserve">Subsequent practice, with commentaries </w:t>
      </w:r>
      <w:r w:rsidRPr="0084038D">
        <w:rPr>
          <w:color w:val="000000" w:themeColor="text1"/>
          <w:lang w:val="en-US"/>
        </w:rPr>
        <w:t xml:space="preserve">(n </w:t>
      </w:r>
      <w:r w:rsidRPr="0084038D">
        <w:rPr>
          <w:color w:val="000000" w:themeColor="text1"/>
          <w:lang w:val="en-US"/>
        </w:rPr>
        <w:fldChar w:fldCharType="begin"/>
      </w:r>
      <w:r w:rsidRPr="0084038D">
        <w:rPr>
          <w:color w:val="000000" w:themeColor="text1"/>
          <w:lang w:val="en-US"/>
        </w:rPr>
        <w:instrText xml:space="preserve"> NOTEREF _Ref187654613 \h  \* MERGEFORMAT </w:instrText>
      </w:r>
      <w:r w:rsidRPr="0084038D">
        <w:rPr>
          <w:color w:val="000000" w:themeColor="text1"/>
          <w:lang w:val="en-US"/>
        </w:rPr>
      </w:r>
      <w:r w:rsidRPr="0084038D">
        <w:rPr>
          <w:color w:val="000000" w:themeColor="text1"/>
          <w:lang w:val="en-US"/>
        </w:rPr>
        <w:fldChar w:fldCharType="separate"/>
      </w:r>
      <w:r w:rsidRPr="0084038D">
        <w:rPr>
          <w:color w:val="000000" w:themeColor="text1"/>
          <w:lang w:val="en-US"/>
        </w:rPr>
        <w:t>119</w:t>
      </w:r>
      <w:r w:rsidRPr="0084038D">
        <w:rPr>
          <w:color w:val="000000" w:themeColor="text1"/>
          <w:lang w:val="en-US"/>
        </w:rPr>
        <w:fldChar w:fldCharType="end"/>
      </w:r>
      <w:r w:rsidRPr="0084038D">
        <w:rPr>
          <w:color w:val="000000" w:themeColor="text1"/>
          <w:lang w:val="en-US"/>
        </w:rPr>
        <w:t xml:space="preserve">) Draft Conclusion 10 </w:t>
      </w:r>
      <w:r w:rsidRPr="0084038D">
        <w:rPr>
          <w:color w:val="000000" w:themeColor="text1"/>
          <w:lang w:val="en-GB"/>
        </w:rPr>
        <w:t>[13], [14].</w:t>
      </w:r>
    </w:p>
  </w:footnote>
  <w:footnote w:id="124">
    <w:p w14:paraId="5EBF2DA3" w14:textId="44F06128"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GB"/>
        </w:rPr>
        <w:t>Temple of Preah Vihear</w:t>
      </w:r>
      <w:r w:rsidRPr="0084038D">
        <w:rPr>
          <w:color w:val="000000" w:themeColor="text1"/>
          <w:lang w:val="en-GB"/>
        </w:rPr>
        <w:t xml:space="preserve"> (n </w:t>
      </w:r>
      <w:r w:rsidRPr="0084038D">
        <w:rPr>
          <w:color w:val="000000" w:themeColor="text1"/>
          <w:lang w:val="en-GB"/>
        </w:rPr>
        <w:fldChar w:fldCharType="begin"/>
      </w:r>
      <w:r w:rsidRPr="0084038D">
        <w:rPr>
          <w:color w:val="000000" w:themeColor="text1"/>
          <w:lang w:val="en-GB"/>
        </w:rPr>
        <w:instrText xml:space="preserve"> NOTEREF _Ref187654837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122</w:t>
      </w:r>
      <w:r w:rsidRPr="0084038D">
        <w:rPr>
          <w:color w:val="000000" w:themeColor="text1"/>
          <w:lang w:val="en-GB"/>
        </w:rPr>
        <w:fldChar w:fldCharType="end"/>
      </w:r>
      <w:r w:rsidRPr="0084038D">
        <w:rPr>
          <w:color w:val="000000" w:themeColor="text1"/>
          <w:lang w:val="en-GB"/>
        </w:rPr>
        <w:t>)</w:t>
      </w:r>
      <w:r w:rsidRPr="0084038D">
        <w:rPr>
          <w:i/>
          <w:iCs/>
          <w:color w:val="000000" w:themeColor="text1"/>
          <w:lang w:val="en-GB"/>
        </w:rPr>
        <w:t xml:space="preserve"> </w:t>
      </w:r>
      <w:r w:rsidRPr="0084038D">
        <w:rPr>
          <w:color w:val="000000" w:themeColor="text1"/>
          <w:lang w:val="en-GB"/>
        </w:rPr>
        <w:t xml:space="preserve">23; </w:t>
      </w:r>
      <w:r w:rsidRPr="0084038D">
        <w:rPr>
          <w:i/>
          <w:color w:val="000000" w:themeColor="text1"/>
        </w:rPr>
        <w:t xml:space="preserve">Case </w:t>
      </w:r>
      <w:r w:rsidRPr="0084038D">
        <w:rPr>
          <w:i/>
          <w:color w:val="000000" w:themeColor="text1"/>
          <w:lang w:val="en-GB"/>
        </w:rPr>
        <w:t>C</w:t>
      </w:r>
      <w:r w:rsidRPr="0084038D">
        <w:rPr>
          <w:i/>
          <w:color w:val="000000" w:themeColor="text1"/>
        </w:rPr>
        <w:t xml:space="preserve">oncerning a </w:t>
      </w:r>
      <w:r w:rsidRPr="0084038D">
        <w:rPr>
          <w:i/>
          <w:color w:val="000000" w:themeColor="text1"/>
          <w:lang w:val="en-GB"/>
        </w:rPr>
        <w:t>D</w:t>
      </w:r>
      <w:r w:rsidRPr="0084038D">
        <w:rPr>
          <w:i/>
          <w:color w:val="000000" w:themeColor="text1"/>
        </w:rPr>
        <w:t xml:space="preserve">ispute between Argentina and Chile </w:t>
      </w:r>
      <w:r w:rsidRPr="0084038D">
        <w:rPr>
          <w:i/>
          <w:color w:val="000000" w:themeColor="text1"/>
          <w:lang w:val="en-GB"/>
        </w:rPr>
        <w:t>C</w:t>
      </w:r>
      <w:r w:rsidRPr="0084038D">
        <w:rPr>
          <w:i/>
          <w:color w:val="000000" w:themeColor="text1"/>
        </w:rPr>
        <w:t>oncerning the Beagle Channel</w:t>
      </w:r>
      <w:r w:rsidRPr="0084038D">
        <w:rPr>
          <w:color w:val="000000" w:themeColor="text1"/>
        </w:rPr>
        <w:t xml:space="preserve"> (1977) 11(2) R</w:t>
      </w:r>
      <w:r w:rsidRPr="0084038D">
        <w:rPr>
          <w:color w:val="000000" w:themeColor="text1"/>
          <w:lang w:val="en-GB"/>
        </w:rPr>
        <w:t xml:space="preserve">eports of International Arbitral Awards </w:t>
      </w:r>
      <w:r w:rsidRPr="007A47AB">
        <w:rPr>
          <w:color w:val="000000" w:themeColor="text1"/>
          <w:lang w:val="en-GB"/>
        </w:rPr>
        <w:t>55,</w:t>
      </w:r>
      <w:r w:rsidRPr="0084038D">
        <w:rPr>
          <w:color w:val="000000" w:themeColor="text1"/>
        </w:rPr>
        <w:t xml:space="preserve"> [169].</w:t>
      </w:r>
    </w:p>
  </w:footnote>
  <w:footnote w:id="125">
    <w:p w14:paraId="6746A659" w14:textId="0C17BF5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7A47AB">
        <w:rPr>
          <w:color w:val="000000" w:themeColor="text1"/>
          <w:lang w:val="en-GB"/>
        </w:rPr>
        <w:t>Submission</w:t>
      </w:r>
      <w:r w:rsidRPr="0084038D">
        <w:rPr>
          <w:color w:val="000000" w:themeColor="text1"/>
          <w:lang w:val="en-GB"/>
        </w:rPr>
        <w:t xml:space="preserve"> of the Pacific Island Forum (75</w:t>
      </w:r>
      <w:r w:rsidRPr="0084038D">
        <w:rPr>
          <w:color w:val="000000" w:themeColor="text1"/>
          <w:vertAlign w:val="superscript"/>
          <w:lang w:val="en-GB"/>
        </w:rPr>
        <w:t>th</w:t>
      </w:r>
      <w:r w:rsidRPr="0084038D">
        <w:rPr>
          <w:color w:val="000000" w:themeColor="text1"/>
          <w:lang w:val="en-GB"/>
        </w:rPr>
        <w:t xml:space="preserve"> </w:t>
      </w:r>
      <w:r w:rsidR="005605CF">
        <w:rPr>
          <w:color w:val="000000" w:themeColor="text1"/>
          <w:lang w:val="en-GB"/>
        </w:rPr>
        <w:t>S</w:t>
      </w:r>
      <w:r w:rsidRPr="0084038D">
        <w:rPr>
          <w:color w:val="000000" w:themeColor="text1"/>
          <w:lang w:val="en-GB"/>
        </w:rPr>
        <w:t>ession of the ILC, 2021) &lt;https://legal.un.org/ilc/sessions/75/pdfs/english/slr_pif.pdf&gt; accessed 12 January 2025</w:t>
      </w:r>
      <w:r w:rsidRPr="0084038D">
        <w:rPr>
          <w:rFonts w:eastAsia="Times New Roman"/>
          <w:snapToGrid w:val="0"/>
          <w:color w:val="000000" w:themeColor="text1"/>
          <w:w w:val="1"/>
          <w:sz w:val="2"/>
          <w:szCs w:val="2"/>
          <w:bdr w:val="none" w:sz="0" w:space="0" w:color="auto" w:frame="1"/>
          <w:shd w:val="clear" w:color="auto" w:fill="000000"/>
          <w:lang w:val="en-GB" w:bidi="x-none"/>
        </w:rPr>
        <w:t xml:space="preserve"> jj</w:t>
      </w:r>
      <w:r w:rsidRPr="0084038D">
        <w:rPr>
          <w:color w:val="000000" w:themeColor="text1"/>
          <w:lang w:val="en-GB"/>
        </w:rPr>
        <w:t>(‘</w:t>
      </w:r>
      <w:r w:rsidRPr="002B68AF">
        <w:rPr>
          <w:i/>
          <w:color w:val="000000" w:themeColor="text1"/>
          <w:lang w:val="en-GB"/>
        </w:rPr>
        <w:t>Submission of the Pacific Island Forum to the ILC</w:t>
      </w:r>
      <w:r w:rsidRPr="0084038D">
        <w:rPr>
          <w:color w:val="000000" w:themeColor="text1"/>
          <w:lang w:val="en-GB"/>
        </w:rPr>
        <w:t>’) [14] (</w:t>
      </w:r>
      <w:r w:rsidRPr="0084038D">
        <w:rPr>
          <w:b/>
          <w:bCs/>
          <w:color w:val="000000" w:themeColor="text1"/>
          <w:lang w:val="en-GB"/>
        </w:rPr>
        <w:t>Pacific Island Forum</w:t>
      </w:r>
      <w:r w:rsidRPr="0084038D">
        <w:rPr>
          <w:color w:val="000000" w:themeColor="text1"/>
          <w:lang w:val="en-GB"/>
        </w:rPr>
        <w:t>); Alliance of Small Island States, ‘Alliance of Small Island States Leaders’ Declaration’ (22 September 2021) (‘Alliance of Small Island States Leaders’ Declaration’) &lt;https://www.aosis.org/launch-of-the-alliance-of-small-island-states-leaders-declaration/&gt; accessed 12 January 2025 [41] (</w:t>
      </w:r>
      <w:r w:rsidRPr="0084038D">
        <w:rPr>
          <w:b/>
          <w:bCs/>
          <w:color w:val="000000" w:themeColor="text1"/>
          <w:lang w:val="en-GB"/>
        </w:rPr>
        <w:t>Alliance of Small Island States</w:t>
      </w:r>
      <w:r w:rsidRPr="0084038D">
        <w:rPr>
          <w:color w:val="000000" w:themeColor="text1"/>
          <w:lang w:val="en-GB"/>
        </w:rPr>
        <w:t xml:space="preserve">); </w:t>
      </w:r>
      <w:r w:rsidRPr="0084038D">
        <w:rPr>
          <w:color w:val="000000" w:themeColor="text1"/>
        </w:rPr>
        <w:t>UNGA Sixth Committee (78</w:t>
      </w:r>
      <w:r w:rsidRPr="0084038D">
        <w:rPr>
          <w:color w:val="000000" w:themeColor="text1"/>
          <w:vertAlign w:val="superscript"/>
          <w:lang w:val="en-GB"/>
        </w:rPr>
        <w:t>th</w:t>
      </w:r>
      <w:r w:rsidRPr="0084038D">
        <w:rPr>
          <w:color w:val="000000" w:themeColor="text1"/>
        </w:rPr>
        <w:t xml:space="preserve"> </w:t>
      </w:r>
      <w:r w:rsidR="005605CF" w:rsidRPr="005605CF">
        <w:rPr>
          <w:color w:val="000000" w:themeColor="text1"/>
          <w:lang w:val="en-GB"/>
        </w:rPr>
        <w:t>S</w:t>
      </w:r>
      <w:r w:rsidRPr="0084038D">
        <w:rPr>
          <w:color w:val="000000" w:themeColor="text1"/>
        </w:rPr>
        <w:t>ession) ‘Summary Record of the 23</w:t>
      </w:r>
      <w:r w:rsidRPr="0084038D">
        <w:rPr>
          <w:color w:val="000000" w:themeColor="text1"/>
          <w:vertAlign w:val="superscript"/>
          <w:lang w:val="en-GB"/>
        </w:rPr>
        <w:t>rd</w:t>
      </w:r>
      <w:r w:rsidRPr="0084038D">
        <w:rPr>
          <w:color w:val="000000" w:themeColor="text1"/>
        </w:rPr>
        <w:t xml:space="preserve"> meeting’ (23 October 2023) UN Doc A/C.6/78/SR.23 </w:t>
      </w:r>
      <w:r w:rsidRPr="0084038D">
        <w:rPr>
          <w:color w:val="000000" w:themeColor="text1"/>
          <w:lang w:val="en-GB"/>
        </w:rPr>
        <w:t>[54] (</w:t>
      </w:r>
      <w:r w:rsidRPr="0084038D">
        <w:rPr>
          <w:b/>
          <w:bCs/>
          <w:color w:val="000000" w:themeColor="text1"/>
          <w:lang w:val="en-GB"/>
        </w:rPr>
        <w:t>European Union</w:t>
      </w:r>
      <w:r w:rsidRPr="0084038D">
        <w:rPr>
          <w:color w:val="000000" w:themeColor="text1"/>
          <w:lang w:val="en-GB"/>
        </w:rPr>
        <w:t>); UN</w:t>
      </w:r>
      <w:r w:rsidR="00B87B0D">
        <w:rPr>
          <w:color w:val="000000" w:themeColor="text1"/>
          <w:lang w:val="en-GB"/>
        </w:rPr>
        <w:t xml:space="preserve"> </w:t>
      </w:r>
      <w:r w:rsidRPr="0084038D">
        <w:rPr>
          <w:color w:val="000000" w:themeColor="text1"/>
          <w:lang w:val="en-GB"/>
        </w:rPr>
        <w:t>S</w:t>
      </w:r>
      <w:r w:rsidR="00B87B0D">
        <w:rPr>
          <w:color w:val="000000" w:themeColor="text1"/>
          <w:lang w:val="en-GB"/>
        </w:rPr>
        <w:t>ecurity Council (‘UNSC’</w:t>
      </w:r>
      <w:r w:rsidR="00303E0C">
        <w:rPr>
          <w:color w:val="000000" w:themeColor="text1"/>
          <w:lang w:val="en-GB"/>
        </w:rPr>
        <w:t>)</w:t>
      </w:r>
      <w:r w:rsidRPr="0084038D">
        <w:rPr>
          <w:color w:val="000000" w:themeColor="text1"/>
          <w:lang w:val="en-GB"/>
        </w:rPr>
        <w:t xml:space="preserve"> Provisional Records (14 February 2023) UN Doc S/PV.9260, 18 (</w:t>
      </w:r>
      <w:r w:rsidRPr="0084038D">
        <w:rPr>
          <w:b/>
          <w:bCs/>
          <w:color w:val="000000" w:themeColor="text1"/>
          <w:lang w:val="en-GB"/>
        </w:rPr>
        <w:t>Japan</w:t>
      </w:r>
      <w:r w:rsidRPr="0084038D">
        <w:rPr>
          <w:color w:val="000000" w:themeColor="text1"/>
          <w:lang w:val="en-GB"/>
        </w:rPr>
        <w:t xml:space="preserve">); </w:t>
      </w:r>
      <w:r w:rsidRPr="0084038D">
        <w:rPr>
          <w:color w:val="000000" w:themeColor="text1"/>
          <w:lang w:val="en-US"/>
        </w:rPr>
        <w:t>UNGA Sixth Committee (78</w:t>
      </w:r>
      <w:r w:rsidRPr="007B21B8">
        <w:rPr>
          <w:color w:val="000000" w:themeColor="text1"/>
          <w:vertAlign w:val="superscript"/>
          <w:lang w:val="en-US"/>
        </w:rPr>
        <w:t>th</w:t>
      </w:r>
      <w:r w:rsidRPr="0084038D">
        <w:rPr>
          <w:color w:val="000000" w:themeColor="text1"/>
          <w:lang w:val="en-US"/>
        </w:rPr>
        <w:t xml:space="preserve"> </w:t>
      </w:r>
      <w:r w:rsidR="005605CF">
        <w:rPr>
          <w:color w:val="000000" w:themeColor="text1"/>
          <w:lang w:val="en-US"/>
        </w:rPr>
        <w:t>S</w:t>
      </w:r>
      <w:r w:rsidRPr="0084038D">
        <w:rPr>
          <w:color w:val="000000" w:themeColor="text1"/>
          <w:lang w:val="en-US"/>
        </w:rPr>
        <w:t>ession) ‘Summary Record of the 24</w:t>
      </w:r>
      <w:r w:rsidRPr="0084038D">
        <w:rPr>
          <w:color w:val="000000" w:themeColor="text1"/>
          <w:vertAlign w:val="superscript"/>
          <w:lang w:val="en-US"/>
        </w:rPr>
        <w:t>th</w:t>
      </w:r>
      <w:r w:rsidRPr="0084038D">
        <w:rPr>
          <w:color w:val="000000" w:themeColor="text1"/>
          <w:lang w:val="en-US"/>
        </w:rPr>
        <w:t xml:space="preserve"> meeting’ (24 October 2023) UN Doc A/C.6/78/SR.24 [96] (</w:t>
      </w:r>
      <w:r w:rsidRPr="0084038D">
        <w:rPr>
          <w:b/>
          <w:color w:val="000000" w:themeColor="text1"/>
          <w:lang w:val="en-US"/>
        </w:rPr>
        <w:t>Chile</w:t>
      </w:r>
      <w:r w:rsidRPr="0084038D">
        <w:rPr>
          <w:color w:val="000000" w:themeColor="text1"/>
          <w:lang w:val="en-US"/>
        </w:rPr>
        <w:t>).</w:t>
      </w:r>
    </w:p>
  </w:footnote>
  <w:footnote w:id="126">
    <w:p w14:paraId="1C687FE6"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Eg UNGA Resolution 78/108 (7 December 2023) UN Doc A/RES/78/108 [5]; UNGA Resolution 74/186 (18 December 2019) UN Doc A/RES/74/186 [4].</w:t>
      </w:r>
    </w:p>
  </w:footnote>
  <w:footnote w:id="127">
    <w:p w14:paraId="6FFF4CAE" w14:textId="7777777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Clarifications [3</w:t>
      </w:r>
      <w:r w:rsidRPr="0084038D">
        <w:rPr>
          <w:color w:val="000000" w:themeColor="text1"/>
          <w:sz w:val="26"/>
          <w:lang w:val="en-GB"/>
        </w:rPr>
        <w:t>]</w:t>
      </w:r>
      <w:r w:rsidRPr="0084038D">
        <w:rPr>
          <w:color w:val="000000" w:themeColor="text1"/>
          <w:lang w:val="en-GB"/>
        </w:rPr>
        <w:t>.</w:t>
      </w:r>
    </w:p>
  </w:footnote>
  <w:footnote w:id="128">
    <w:p w14:paraId="302D9CE8" w14:textId="1FA24BA8"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ILC, ‘Report of the International Law Commission on the Work of its </w:t>
      </w:r>
      <w:r w:rsidR="005605CF">
        <w:rPr>
          <w:color w:val="000000" w:themeColor="text1"/>
          <w:lang w:val="en-GB"/>
        </w:rPr>
        <w:t>S</w:t>
      </w:r>
      <w:r w:rsidRPr="0084038D">
        <w:rPr>
          <w:color w:val="000000" w:themeColor="text1"/>
          <w:lang w:val="en-GB"/>
        </w:rPr>
        <w:t xml:space="preserve">eventy-fourth </w:t>
      </w:r>
      <w:r w:rsidR="005605CF">
        <w:rPr>
          <w:color w:val="000000" w:themeColor="text1"/>
          <w:lang w:val="en-GB"/>
        </w:rPr>
        <w:t>S</w:t>
      </w:r>
      <w:r w:rsidRPr="0084038D">
        <w:rPr>
          <w:color w:val="000000" w:themeColor="text1"/>
          <w:lang w:val="en-GB"/>
        </w:rPr>
        <w:t xml:space="preserve">ession’ </w:t>
      </w:r>
      <w:r w:rsidRPr="0084038D">
        <w:rPr>
          <w:color w:val="000000" w:themeColor="text1"/>
        </w:rPr>
        <w:t>(24 April–2 June and 3 July–4 August 2023)</w:t>
      </w:r>
      <w:r w:rsidRPr="0084038D">
        <w:rPr>
          <w:color w:val="000000" w:themeColor="text1"/>
          <w:lang w:val="en-GB"/>
        </w:rPr>
        <w:t xml:space="preserve"> UN Doc A/78/10 [140].</w:t>
      </w:r>
    </w:p>
  </w:footnote>
  <w:footnote w:id="129">
    <w:p w14:paraId="60E9471F" w14:textId="59E18BB7" w:rsidR="007C1059" w:rsidRPr="002F4E2F" w:rsidRDefault="007C1059" w:rsidP="00D17C40">
      <w:pPr>
        <w:pStyle w:val="Funotentext"/>
        <w:rPr>
          <w:color w:val="000000" w:themeColor="text1"/>
          <w:lang w:val="en-GB"/>
        </w:rPr>
      </w:pPr>
      <w:r w:rsidRPr="002F4E2F">
        <w:rPr>
          <w:rStyle w:val="Funotenzeichen"/>
          <w:color w:val="000000" w:themeColor="text1"/>
        </w:rPr>
        <w:footnoteRef/>
      </w:r>
      <w:r w:rsidRPr="002F4E2F">
        <w:rPr>
          <w:color w:val="000000" w:themeColor="text1"/>
        </w:rPr>
        <w:t xml:space="preserve"> </w:t>
      </w:r>
      <w:r w:rsidRPr="002F4E2F">
        <w:rPr>
          <w:i/>
          <w:color w:val="000000" w:themeColor="text1"/>
          <w:lang w:val="en-GB"/>
        </w:rPr>
        <w:t xml:space="preserve">Alleged Violations of Sovereign Rights and Maritime Spaces in the </w:t>
      </w:r>
      <w:r w:rsidR="00966CE4" w:rsidRPr="002F4E2F">
        <w:rPr>
          <w:i/>
          <w:color w:val="000000" w:themeColor="text1"/>
          <w:lang w:val="en-GB"/>
        </w:rPr>
        <w:t>Caribbean</w:t>
      </w:r>
      <w:r w:rsidRPr="002F4E2F">
        <w:rPr>
          <w:i/>
          <w:color w:val="000000" w:themeColor="text1"/>
          <w:lang w:val="en-GB"/>
        </w:rPr>
        <w:t xml:space="preserve"> Sea</w:t>
      </w:r>
      <w:r w:rsidRPr="002F4E2F">
        <w:rPr>
          <w:color w:val="000000" w:themeColor="text1"/>
          <w:lang w:val="en-GB"/>
        </w:rPr>
        <w:t xml:space="preserve"> (</w:t>
      </w:r>
      <w:r w:rsidRPr="002F4E2F">
        <w:rPr>
          <w:i/>
          <w:color w:val="000000" w:themeColor="text1"/>
          <w:lang w:val="en-GB"/>
        </w:rPr>
        <w:t>Nicaragua v Colombia</w:t>
      </w:r>
      <w:r w:rsidRPr="002F4E2F">
        <w:rPr>
          <w:color w:val="000000" w:themeColor="text1"/>
          <w:lang w:val="en-GB"/>
        </w:rPr>
        <w:t>) (Judgment) [2022] ICJ Rep 266 [134].</w:t>
      </w:r>
    </w:p>
  </w:footnote>
  <w:footnote w:id="130">
    <w:p w14:paraId="705A5E1B" w14:textId="77777777"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Statement of Agreed Facts [22].</w:t>
      </w:r>
    </w:p>
  </w:footnote>
  <w:footnote w:id="131">
    <w:p w14:paraId="55D91696" w14:textId="2EF7563D"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See C.I.1.</w:t>
      </w:r>
    </w:p>
  </w:footnote>
  <w:footnote w:id="132">
    <w:p w14:paraId="04445E2D" w14:textId="5996C291"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i/>
          <w:iCs/>
          <w:color w:val="000000" w:themeColor="text1"/>
        </w:rPr>
        <w:t xml:space="preserve">Case </w:t>
      </w:r>
      <w:r w:rsidRPr="0084038D">
        <w:rPr>
          <w:i/>
          <w:iCs/>
          <w:color w:val="000000" w:themeColor="text1"/>
          <w:lang w:val="en-GB"/>
        </w:rPr>
        <w:t>C</w:t>
      </w:r>
      <w:r w:rsidRPr="0084038D">
        <w:rPr>
          <w:i/>
          <w:iCs/>
          <w:color w:val="000000" w:themeColor="text1"/>
        </w:rPr>
        <w:t xml:space="preserve">oncerning the Continental Shelf </w:t>
      </w:r>
      <w:r w:rsidRPr="0084038D">
        <w:rPr>
          <w:color w:val="000000" w:themeColor="text1"/>
        </w:rPr>
        <w:t>(</w:t>
      </w:r>
      <w:r w:rsidRPr="0084038D">
        <w:rPr>
          <w:i/>
          <w:iCs/>
          <w:color w:val="000000" w:themeColor="text1"/>
        </w:rPr>
        <w:t>Libya</w:t>
      </w:r>
      <w:r w:rsidRPr="0084038D">
        <w:rPr>
          <w:i/>
          <w:iCs/>
          <w:color w:val="000000" w:themeColor="text1"/>
          <w:lang w:val="en-GB"/>
        </w:rPr>
        <w:t xml:space="preserve"> </w:t>
      </w:r>
      <w:r w:rsidRPr="0084038D">
        <w:rPr>
          <w:i/>
          <w:iCs/>
          <w:color w:val="000000" w:themeColor="text1"/>
        </w:rPr>
        <w:t>v Malta</w:t>
      </w:r>
      <w:r w:rsidRPr="0084038D">
        <w:rPr>
          <w:color w:val="000000" w:themeColor="text1"/>
        </w:rPr>
        <w:t>) (</w:t>
      </w:r>
      <w:r w:rsidRPr="0084038D">
        <w:rPr>
          <w:color w:val="000000" w:themeColor="text1"/>
          <w:lang w:val="en-GB"/>
        </w:rPr>
        <w:t>Judgment</w:t>
      </w:r>
      <w:r w:rsidRPr="0084038D">
        <w:rPr>
          <w:color w:val="000000" w:themeColor="text1"/>
        </w:rPr>
        <w:t>) [1985] ICJ Rep 13</w:t>
      </w:r>
      <w:r w:rsidRPr="0084038D">
        <w:rPr>
          <w:color w:val="000000" w:themeColor="text1"/>
          <w:lang w:val="en-GB"/>
        </w:rPr>
        <w:t xml:space="preserve"> </w:t>
      </w:r>
      <w:r w:rsidRPr="0084038D">
        <w:rPr>
          <w:color w:val="000000" w:themeColor="text1"/>
        </w:rPr>
        <w:t>[34]</w:t>
      </w:r>
      <w:r w:rsidRPr="0084038D">
        <w:rPr>
          <w:color w:val="000000" w:themeColor="text1"/>
          <w:lang w:val="en-GB"/>
        </w:rPr>
        <w:t xml:space="preserve">; </w:t>
      </w:r>
      <w:r w:rsidRPr="0084038D">
        <w:rPr>
          <w:i/>
          <w:color w:val="000000" w:themeColor="text1"/>
          <w:lang w:val="en-US"/>
        </w:rPr>
        <w:t>Territorial and Maritime Dispute</w:t>
      </w:r>
      <w:r w:rsidRPr="0084038D">
        <w:rPr>
          <w:color w:val="000000" w:themeColor="text1"/>
          <w:lang w:val="en-US"/>
        </w:rPr>
        <w:t xml:space="preserve"> (</w:t>
      </w:r>
      <w:r w:rsidRPr="0084038D">
        <w:rPr>
          <w:i/>
          <w:color w:val="000000" w:themeColor="text1"/>
          <w:lang w:val="en-US"/>
        </w:rPr>
        <w:t>Nicaragua v Colombia</w:t>
      </w:r>
      <w:r w:rsidRPr="0084038D">
        <w:rPr>
          <w:color w:val="000000" w:themeColor="text1"/>
          <w:lang w:val="en-US"/>
        </w:rPr>
        <w:t>) (Judgment) [2012] ICJ Rep 624 [114]</w:t>
      </w:r>
      <w:r w:rsidRPr="0084038D">
        <w:rPr>
          <w:color w:val="000000" w:themeColor="text1"/>
        </w:rPr>
        <w:t>.</w:t>
      </w:r>
    </w:p>
  </w:footnote>
  <w:footnote w:id="133">
    <w:p w14:paraId="4DDD841E" w14:textId="6DE48981"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rPr>
        <w:t>North Sea Continental Shelf</w:t>
      </w:r>
      <w:r w:rsidRPr="0084038D">
        <w:rPr>
          <w:color w:val="000000" w:themeColor="text1"/>
        </w:rPr>
        <w:t xml:space="preserve"> (n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_Ref187650525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39</w:t>
      </w:r>
      <w:r w:rsidRPr="0084038D">
        <w:rPr>
          <w:color w:val="000000" w:themeColor="text1"/>
          <w:lang w:val="en-GB"/>
        </w:rPr>
        <w:fldChar w:fldCharType="end"/>
      </w:r>
      <w:r w:rsidRPr="0084038D">
        <w:rPr>
          <w:color w:val="000000" w:themeColor="text1"/>
        </w:rPr>
        <w:t xml:space="preserve">) </w:t>
      </w:r>
      <w:r w:rsidRPr="0084038D">
        <w:rPr>
          <w:color w:val="000000" w:themeColor="text1"/>
          <w:lang w:val="en-US"/>
        </w:rPr>
        <w:t>[74]</w:t>
      </w:r>
      <w:r w:rsidRPr="0084038D">
        <w:rPr>
          <w:color w:val="000000" w:themeColor="text1"/>
          <w:lang w:val="en-GB"/>
        </w:rPr>
        <w:t>.</w:t>
      </w:r>
    </w:p>
  </w:footnote>
  <w:footnote w:id="134">
    <w:p w14:paraId="46224D56" w14:textId="045887ED" w:rsidR="007C1059" w:rsidRPr="002B68AF" w:rsidRDefault="007C1059" w:rsidP="00D17C40">
      <w:pPr>
        <w:pStyle w:val="Funotentext"/>
        <w:rPr>
          <w:color w:val="000000" w:themeColor="text1"/>
          <w:highlight w:val="green"/>
          <w:lang w:val="en-US"/>
        </w:rPr>
      </w:pPr>
      <w:r w:rsidRPr="00C70AE0">
        <w:rPr>
          <w:rStyle w:val="Funotenzeichen"/>
          <w:color w:val="000000" w:themeColor="text1"/>
        </w:rPr>
        <w:footnoteRef/>
      </w:r>
      <w:r w:rsidRPr="00C70AE0">
        <w:rPr>
          <w:color w:val="000000" w:themeColor="text1"/>
        </w:rPr>
        <w:t xml:space="preserve"> </w:t>
      </w:r>
      <w:r w:rsidRPr="00C70AE0">
        <w:rPr>
          <w:color w:val="000000" w:themeColor="text1"/>
          <w:lang w:val="en-US"/>
        </w:rPr>
        <w:t>ILC, ‘</w:t>
      </w:r>
      <w:r w:rsidRPr="00C70AE0">
        <w:rPr>
          <w:color w:val="000000" w:themeColor="text1"/>
          <w:lang w:val="en-GB"/>
        </w:rPr>
        <w:t xml:space="preserve">Report of the International Law Commission </w:t>
      </w:r>
      <w:r>
        <w:rPr>
          <w:color w:val="000000" w:themeColor="text1"/>
          <w:lang w:val="en-GB"/>
        </w:rPr>
        <w:t xml:space="preserve">to the General Assembly </w:t>
      </w:r>
      <w:r w:rsidRPr="00C70AE0">
        <w:rPr>
          <w:color w:val="000000" w:themeColor="text1"/>
          <w:lang w:val="en-GB"/>
        </w:rPr>
        <w:t xml:space="preserve">on the work of its </w:t>
      </w:r>
      <w:r w:rsidR="005605CF">
        <w:rPr>
          <w:color w:val="000000" w:themeColor="text1"/>
          <w:lang w:val="en-GB"/>
        </w:rPr>
        <w:t>S</w:t>
      </w:r>
      <w:r w:rsidRPr="00C70AE0">
        <w:rPr>
          <w:color w:val="000000" w:themeColor="text1"/>
          <w:lang w:val="en-GB"/>
        </w:rPr>
        <w:t xml:space="preserve">eventieth </w:t>
      </w:r>
      <w:r w:rsidR="005605CF">
        <w:rPr>
          <w:color w:val="000000" w:themeColor="text1"/>
          <w:lang w:val="en-GB"/>
        </w:rPr>
        <w:t>S</w:t>
      </w:r>
      <w:r w:rsidRPr="00C70AE0">
        <w:rPr>
          <w:color w:val="000000" w:themeColor="text1"/>
          <w:lang w:val="en-GB"/>
        </w:rPr>
        <w:t>ession’ [2018] vol 2(2) Yearbook of the ILC [66] (‘</w:t>
      </w:r>
      <w:r w:rsidRPr="00C70AE0">
        <w:rPr>
          <w:i/>
          <w:color w:val="000000" w:themeColor="text1"/>
          <w:lang w:val="en-GB"/>
        </w:rPr>
        <w:t>ILC, Draft Conclusions on customary international law, with commentaries</w:t>
      </w:r>
      <w:r w:rsidRPr="00C70AE0">
        <w:rPr>
          <w:color w:val="000000" w:themeColor="text1"/>
          <w:lang w:val="en-GB"/>
        </w:rPr>
        <w:t>’) Draft Conclusion 8 [4</w:t>
      </w:r>
      <w:r w:rsidRPr="00C70AE0">
        <w:rPr>
          <w:color w:val="000000" w:themeColor="text1"/>
          <w:sz w:val="22"/>
          <w:lang w:val="en-GB"/>
        </w:rPr>
        <w:t>]</w:t>
      </w:r>
      <w:r w:rsidRPr="00C70AE0">
        <w:rPr>
          <w:color w:val="000000" w:themeColor="text1"/>
          <w:lang w:val="en-GB"/>
        </w:rPr>
        <w:t>.</w:t>
      </w:r>
    </w:p>
  </w:footnote>
  <w:footnote w:id="135">
    <w:p w14:paraId="2CFDBF4D" w14:textId="15AB5807" w:rsidR="007C1059" w:rsidRPr="0084038D" w:rsidRDefault="007C1059" w:rsidP="00D17C40">
      <w:pPr>
        <w:pStyle w:val="StandardWeb"/>
        <w:spacing w:before="0" w:beforeAutospacing="0" w:after="0" w:afterAutospacing="0"/>
        <w:jc w:val="both"/>
        <w:rPr>
          <w:rFonts w:ascii="Times New Roman" w:hAnsi="Times New Roman"/>
          <w:color w:val="000000" w:themeColor="text1"/>
          <w:sz w:val="24"/>
          <w:szCs w:val="24"/>
        </w:rPr>
      </w:pPr>
      <w:r w:rsidRPr="0084038D">
        <w:rPr>
          <w:rStyle w:val="Funotenzeichen"/>
          <w:rFonts w:ascii="Times New Roman" w:hAnsi="Times New Roman"/>
          <w:color w:val="000000" w:themeColor="text1"/>
          <w:sz w:val="24"/>
          <w:szCs w:val="24"/>
        </w:rPr>
        <w:footnoteRef/>
      </w:r>
      <w:r w:rsidRPr="0084038D">
        <w:rPr>
          <w:rFonts w:ascii="Times New Roman" w:hAnsi="Times New Roman"/>
          <w:color w:val="000000" w:themeColor="text1"/>
          <w:sz w:val="24"/>
          <w:szCs w:val="24"/>
          <w:lang w:val="en-US"/>
        </w:rPr>
        <w:t xml:space="preserve"> </w:t>
      </w:r>
      <w:r w:rsidRPr="0084038D">
        <w:rPr>
          <w:rFonts w:ascii="Times New Roman" w:hAnsi="Times New Roman"/>
          <w:i/>
          <w:color w:val="000000" w:themeColor="text1"/>
          <w:sz w:val="24"/>
          <w:szCs w:val="24"/>
          <w:lang w:val="en-US"/>
        </w:rPr>
        <w:t>Submission of the Pacific Island Forum to the ILC</w:t>
      </w:r>
      <w:r w:rsidRPr="0084038D">
        <w:rPr>
          <w:rFonts w:ascii="Times New Roman" w:hAnsi="Times New Roman"/>
          <w:color w:val="000000" w:themeColor="text1"/>
          <w:sz w:val="24"/>
          <w:szCs w:val="24"/>
          <w:lang w:val="en-US"/>
        </w:rPr>
        <w:t xml:space="preserve"> (n </w:t>
      </w:r>
      <w:r w:rsidRPr="0084038D">
        <w:rPr>
          <w:rFonts w:ascii="Times New Roman" w:hAnsi="Times New Roman"/>
          <w:color w:val="000000" w:themeColor="text1"/>
          <w:sz w:val="24"/>
          <w:szCs w:val="24"/>
          <w:lang w:val="en-US"/>
        </w:rPr>
        <w:fldChar w:fldCharType="begin"/>
      </w:r>
      <w:r w:rsidRPr="0084038D">
        <w:rPr>
          <w:rFonts w:ascii="Times New Roman" w:hAnsi="Times New Roman"/>
          <w:color w:val="000000" w:themeColor="text1"/>
          <w:sz w:val="24"/>
          <w:szCs w:val="24"/>
          <w:lang w:val="en-US"/>
        </w:rPr>
        <w:instrText xml:space="preserve"> NOTEREF _Ref187655413 \h  \* MERGEFORMAT </w:instrText>
      </w:r>
      <w:r w:rsidRPr="0084038D">
        <w:rPr>
          <w:rFonts w:ascii="Times New Roman" w:hAnsi="Times New Roman"/>
          <w:color w:val="000000" w:themeColor="text1"/>
          <w:sz w:val="24"/>
          <w:szCs w:val="24"/>
          <w:lang w:val="en-US"/>
        </w:rPr>
      </w:r>
      <w:r w:rsidRPr="0084038D">
        <w:rPr>
          <w:rFonts w:ascii="Times New Roman" w:hAnsi="Times New Roman"/>
          <w:color w:val="000000" w:themeColor="text1"/>
          <w:sz w:val="24"/>
          <w:szCs w:val="24"/>
          <w:lang w:val="en-US"/>
        </w:rPr>
        <w:fldChar w:fldCharType="separate"/>
      </w:r>
      <w:r w:rsidRPr="0084038D">
        <w:rPr>
          <w:rFonts w:ascii="Times New Roman" w:hAnsi="Times New Roman"/>
          <w:color w:val="000000" w:themeColor="text1"/>
          <w:sz w:val="24"/>
          <w:szCs w:val="24"/>
          <w:lang w:val="en-US"/>
        </w:rPr>
        <w:t>125</w:t>
      </w:r>
      <w:r w:rsidRPr="0084038D">
        <w:rPr>
          <w:rFonts w:ascii="Times New Roman" w:hAnsi="Times New Roman"/>
          <w:color w:val="000000" w:themeColor="text1"/>
          <w:sz w:val="24"/>
          <w:szCs w:val="24"/>
          <w:lang w:val="en-US"/>
        </w:rPr>
        <w:fldChar w:fldCharType="end"/>
      </w:r>
      <w:r w:rsidRPr="0084038D">
        <w:rPr>
          <w:rFonts w:ascii="Times New Roman" w:hAnsi="Times New Roman"/>
          <w:color w:val="000000" w:themeColor="text1"/>
          <w:sz w:val="24"/>
          <w:szCs w:val="24"/>
          <w:lang w:val="en-US"/>
        </w:rPr>
        <w:t xml:space="preserve">) [14]; </w:t>
      </w:r>
      <w:r w:rsidRPr="0084038D">
        <w:rPr>
          <w:rFonts w:ascii="Times New Roman" w:hAnsi="Times New Roman"/>
          <w:i/>
          <w:color w:val="000000" w:themeColor="text1"/>
          <w:sz w:val="24"/>
          <w:szCs w:val="24"/>
          <w:lang w:val="en-US"/>
        </w:rPr>
        <w:t xml:space="preserve">Alliance of Small Island States Leaders’ Declaration </w:t>
      </w:r>
      <w:r w:rsidRPr="0084038D">
        <w:rPr>
          <w:rFonts w:ascii="Times New Roman" w:hAnsi="Times New Roman"/>
          <w:color w:val="000000" w:themeColor="text1"/>
          <w:sz w:val="24"/>
          <w:szCs w:val="24"/>
          <w:lang w:val="en-US"/>
        </w:rPr>
        <w:t xml:space="preserve">(n </w:t>
      </w:r>
      <w:r w:rsidRPr="0084038D">
        <w:rPr>
          <w:rFonts w:ascii="Times New Roman" w:hAnsi="Times New Roman"/>
          <w:color w:val="000000" w:themeColor="text1"/>
          <w:sz w:val="24"/>
          <w:szCs w:val="24"/>
          <w:lang w:val="en-US"/>
        </w:rPr>
        <w:fldChar w:fldCharType="begin"/>
      </w:r>
      <w:r w:rsidRPr="0084038D">
        <w:rPr>
          <w:rFonts w:ascii="Times New Roman" w:hAnsi="Times New Roman"/>
          <w:color w:val="000000" w:themeColor="text1"/>
          <w:sz w:val="24"/>
          <w:szCs w:val="24"/>
          <w:lang w:val="en-US"/>
        </w:rPr>
        <w:instrText xml:space="preserve"> NOTEREF _Ref187655413 \h  \* MERGEFORMAT </w:instrText>
      </w:r>
      <w:r w:rsidRPr="0084038D">
        <w:rPr>
          <w:rFonts w:ascii="Times New Roman" w:hAnsi="Times New Roman"/>
          <w:color w:val="000000" w:themeColor="text1"/>
          <w:sz w:val="24"/>
          <w:szCs w:val="24"/>
          <w:lang w:val="en-US"/>
        </w:rPr>
      </w:r>
      <w:r w:rsidRPr="0084038D">
        <w:rPr>
          <w:rFonts w:ascii="Times New Roman" w:hAnsi="Times New Roman"/>
          <w:color w:val="000000" w:themeColor="text1"/>
          <w:sz w:val="24"/>
          <w:szCs w:val="24"/>
          <w:lang w:val="en-US"/>
        </w:rPr>
        <w:fldChar w:fldCharType="separate"/>
      </w:r>
      <w:r w:rsidRPr="0084038D">
        <w:rPr>
          <w:rFonts w:ascii="Times New Roman" w:hAnsi="Times New Roman"/>
          <w:color w:val="000000" w:themeColor="text1"/>
          <w:sz w:val="24"/>
          <w:szCs w:val="24"/>
          <w:lang w:val="en-US"/>
        </w:rPr>
        <w:t>125</w:t>
      </w:r>
      <w:r w:rsidRPr="0084038D">
        <w:rPr>
          <w:rFonts w:ascii="Times New Roman" w:hAnsi="Times New Roman"/>
          <w:color w:val="000000" w:themeColor="text1"/>
          <w:sz w:val="24"/>
          <w:szCs w:val="24"/>
          <w:lang w:val="en-US"/>
        </w:rPr>
        <w:fldChar w:fldCharType="end"/>
      </w:r>
      <w:r w:rsidRPr="0084038D">
        <w:rPr>
          <w:rFonts w:ascii="Times New Roman" w:hAnsi="Times New Roman"/>
          <w:color w:val="000000" w:themeColor="text1"/>
          <w:sz w:val="24"/>
          <w:szCs w:val="24"/>
          <w:lang w:val="en-US"/>
        </w:rPr>
        <w:t>) [41].</w:t>
      </w:r>
    </w:p>
  </w:footnote>
  <w:footnote w:id="136">
    <w:p w14:paraId="1DA0A565" w14:textId="0F505AB8"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Pacific Island Forum, ‘Declaration on preserving Maritime Zones in the Face of Climate Change-Related Sea-Level Rise’ (6 August 2021) &lt;https://forumsec.org/sites/default/files</w:t>
      </w:r>
      <w:r w:rsidRPr="0084038D">
        <w:rPr>
          <w:color w:val="000000" w:themeColor="text1"/>
          <w:lang w:val="en-GB"/>
        </w:rPr>
        <w:br/>
        <w:t>/2024-03/2021%20Declaration%20on%20Preserving%20Maritime%20Zones%20in%20the</w:t>
      </w:r>
      <w:r w:rsidRPr="0084038D">
        <w:rPr>
          <w:color w:val="000000" w:themeColor="text1"/>
          <w:lang w:val="en-GB"/>
        </w:rPr>
        <w:br/>
        <w:t>%20face%20of%20Climate%20Change-related%20Sea-level%20rise.pdf&gt; accessed 12 January 2025, 2 (</w:t>
      </w:r>
      <w:r w:rsidRPr="0084038D">
        <w:rPr>
          <w:b/>
          <w:bCs/>
          <w:color w:val="000000" w:themeColor="text1"/>
          <w:lang w:val="en-GB"/>
        </w:rPr>
        <w:t>Pacific Island Forum</w:t>
      </w:r>
      <w:r w:rsidRPr="0084038D">
        <w:rPr>
          <w:color w:val="000000" w:themeColor="text1"/>
          <w:lang w:val="en-GB"/>
        </w:rPr>
        <w:t xml:space="preserve">); </w:t>
      </w:r>
      <w:r w:rsidRPr="0084038D">
        <w:rPr>
          <w:color w:val="000000" w:themeColor="text1"/>
          <w:lang w:val="en-US"/>
        </w:rPr>
        <w:t>UNGA Sixth Committee (77</w:t>
      </w:r>
      <w:r w:rsidRPr="0084038D">
        <w:rPr>
          <w:color w:val="000000" w:themeColor="text1"/>
          <w:vertAlign w:val="superscript"/>
          <w:lang w:val="en-US"/>
        </w:rPr>
        <w:t>th</w:t>
      </w:r>
      <w:r w:rsidRPr="0084038D">
        <w:rPr>
          <w:color w:val="000000" w:themeColor="text1"/>
          <w:lang w:val="en-US"/>
        </w:rPr>
        <w:t xml:space="preserve"> </w:t>
      </w:r>
      <w:r w:rsidR="005605CF">
        <w:rPr>
          <w:color w:val="000000" w:themeColor="text1"/>
          <w:lang w:val="en-US"/>
        </w:rPr>
        <w:t>S</w:t>
      </w:r>
      <w:r w:rsidRPr="0084038D">
        <w:rPr>
          <w:color w:val="000000" w:themeColor="text1"/>
          <w:lang w:val="en-US"/>
        </w:rPr>
        <w:t>ession) ‘Summary Record of the 27</w:t>
      </w:r>
      <w:r w:rsidRPr="0084038D">
        <w:rPr>
          <w:color w:val="000000" w:themeColor="text1"/>
          <w:vertAlign w:val="superscript"/>
          <w:lang w:val="en-US"/>
        </w:rPr>
        <w:t>th</w:t>
      </w:r>
      <w:r w:rsidRPr="0084038D">
        <w:rPr>
          <w:color w:val="000000" w:themeColor="text1"/>
          <w:lang w:val="en-US"/>
        </w:rPr>
        <w:t xml:space="preserve"> meeting’ (28 October 2022) UN Doc A/C.6/77/SR.27 [6] (</w:t>
      </w:r>
      <w:r w:rsidRPr="0084038D">
        <w:rPr>
          <w:b/>
          <w:bCs/>
          <w:color w:val="000000" w:themeColor="text1"/>
          <w:lang w:val="en-US"/>
        </w:rPr>
        <w:t>United States</w:t>
      </w:r>
      <w:r w:rsidRPr="0084038D">
        <w:rPr>
          <w:color w:val="000000" w:themeColor="text1"/>
          <w:lang w:val="en-US"/>
        </w:rPr>
        <w:t xml:space="preserve">); </w:t>
      </w:r>
      <w:r w:rsidRPr="007A47AB">
        <w:rPr>
          <w:color w:val="000000" w:themeColor="text1"/>
          <w:lang w:val="en-GB"/>
        </w:rPr>
        <w:t>Submission of Colombia</w:t>
      </w:r>
      <w:r w:rsidRPr="0084038D">
        <w:rPr>
          <w:color w:val="000000" w:themeColor="text1"/>
          <w:lang w:val="en-GB"/>
        </w:rPr>
        <w:t xml:space="preserve"> (74</w:t>
      </w:r>
      <w:r w:rsidR="005605CF" w:rsidRPr="005605CF">
        <w:rPr>
          <w:color w:val="000000" w:themeColor="text1"/>
          <w:vertAlign w:val="superscript"/>
          <w:lang w:val="en-GB"/>
        </w:rPr>
        <w:t>th</w:t>
      </w:r>
      <w:r w:rsidR="005605CF">
        <w:rPr>
          <w:color w:val="000000" w:themeColor="text1"/>
          <w:lang w:val="en-GB"/>
        </w:rPr>
        <w:t xml:space="preserve"> S</w:t>
      </w:r>
      <w:r w:rsidRPr="0084038D">
        <w:rPr>
          <w:color w:val="000000" w:themeColor="text1"/>
          <w:lang w:val="en-GB"/>
        </w:rPr>
        <w:t>ession of the ILC, 2023) &lt;https://legal.un.org/ilc/sessions/</w:t>
      </w:r>
      <w:r w:rsidRPr="0084038D">
        <w:rPr>
          <w:color w:val="000000" w:themeColor="text1"/>
          <w:lang w:val="en-GB"/>
        </w:rPr>
        <w:br/>
        <w:t>74/pdfs/english/slr_colombia.pdf&gt; accessed 12 January 2025, 3 (</w:t>
      </w:r>
      <w:r w:rsidRPr="0084038D">
        <w:rPr>
          <w:b/>
          <w:bCs/>
          <w:color w:val="000000" w:themeColor="text1"/>
          <w:lang w:val="en-GB"/>
        </w:rPr>
        <w:t>Colombia</w:t>
      </w:r>
      <w:r w:rsidRPr="0084038D">
        <w:rPr>
          <w:color w:val="000000" w:themeColor="text1"/>
          <w:lang w:val="en-GB"/>
        </w:rPr>
        <w:t>).</w:t>
      </w:r>
    </w:p>
  </w:footnote>
  <w:footnote w:id="137">
    <w:p w14:paraId="36F5E4EA"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[22].</w:t>
      </w:r>
    </w:p>
  </w:footnote>
  <w:footnote w:id="138">
    <w:p w14:paraId="641FE33A" w14:textId="7337F4EF"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lang w:val="en-GB"/>
        </w:rPr>
        <w:t xml:space="preserve"> </w:t>
      </w:r>
      <w:r w:rsidRPr="0084038D">
        <w:rPr>
          <w:i/>
          <w:iCs/>
          <w:color w:val="000000" w:themeColor="text1"/>
        </w:rPr>
        <w:t>Asylum Case</w:t>
      </w:r>
      <w:r w:rsidRPr="0084038D">
        <w:rPr>
          <w:color w:val="000000" w:themeColor="text1"/>
        </w:rPr>
        <w:t xml:space="preserve"> (</w:t>
      </w:r>
      <w:r w:rsidRPr="0084038D">
        <w:rPr>
          <w:i/>
          <w:iCs/>
          <w:color w:val="000000" w:themeColor="text1"/>
        </w:rPr>
        <w:t>Colombia v Peru</w:t>
      </w:r>
      <w:r w:rsidRPr="0084038D">
        <w:rPr>
          <w:color w:val="000000" w:themeColor="text1"/>
        </w:rPr>
        <w:t>) (</w:t>
      </w:r>
      <w:r w:rsidRPr="0084038D">
        <w:rPr>
          <w:color w:val="000000" w:themeColor="text1"/>
          <w:lang w:val="en-GB"/>
        </w:rPr>
        <w:t>Judgment</w:t>
      </w:r>
      <w:r w:rsidRPr="0084038D">
        <w:rPr>
          <w:color w:val="000000" w:themeColor="text1"/>
        </w:rPr>
        <w:t>) [1950] ICJ Rep 266, 2</w:t>
      </w:r>
      <w:r w:rsidRPr="0084038D">
        <w:rPr>
          <w:color w:val="000000" w:themeColor="text1"/>
          <w:lang w:val="en-GB"/>
        </w:rPr>
        <w:t>76</w:t>
      </w:r>
      <w:r w:rsidRPr="0084038D">
        <w:rPr>
          <w:color w:val="000000" w:themeColor="text1"/>
        </w:rPr>
        <w:t xml:space="preserve">; </w:t>
      </w:r>
      <w:r w:rsidRPr="0084038D">
        <w:rPr>
          <w:i/>
          <w:color w:val="000000" w:themeColor="text1"/>
        </w:rPr>
        <w:t>ILC</w:t>
      </w:r>
      <w:r w:rsidRPr="0084038D">
        <w:rPr>
          <w:i/>
          <w:color w:val="000000" w:themeColor="text1"/>
          <w:lang w:val="en-GB"/>
        </w:rPr>
        <w:t>,</w:t>
      </w:r>
      <w:r w:rsidRPr="0084038D">
        <w:rPr>
          <w:i/>
          <w:color w:val="000000" w:themeColor="text1"/>
        </w:rPr>
        <w:t xml:space="preserve"> </w:t>
      </w:r>
      <w:r w:rsidRPr="0084038D">
        <w:rPr>
          <w:i/>
          <w:color w:val="000000" w:themeColor="text1"/>
          <w:lang w:val="en-GB"/>
        </w:rPr>
        <w:t>Draft Conclusions on c</w:t>
      </w:r>
      <w:r w:rsidRPr="0084038D">
        <w:rPr>
          <w:i/>
          <w:color w:val="000000" w:themeColor="text1"/>
        </w:rPr>
        <w:t>ustom</w:t>
      </w:r>
      <w:r w:rsidRPr="0084038D">
        <w:rPr>
          <w:i/>
          <w:color w:val="000000" w:themeColor="text1"/>
          <w:lang w:val="en-GB"/>
        </w:rPr>
        <w:t>ary international law, with commentaries</w:t>
      </w:r>
      <w:r w:rsidRPr="0084038D">
        <w:rPr>
          <w:i/>
          <w:color w:val="000000" w:themeColor="text1"/>
        </w:rPr>
        <w:t xml:space="preserve"> </w:t>
      </w:r>
      <w:r w:rsidRPr="0084038D">
        <w:rPr>
          <w:color w:val="000000" w:themeColor="text1"/>
        </w:rPr>
        <w:t>(n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_Ref187655257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134</w:t>
      </w:r>
      <w:r w:rsidRPr="0084038D">
        <w:rPr>
          <w:color w:val="000000" w:themeColor="text1"/>
          <w:lang w:val="en-GB"/>
        </w:rPr>
        <w:fldChar w:fldCharType="end"/>
      </w:r>
      <w:r w:rsidRPr="0084038D">
        <w:rPr>
          <w:color w:val="000000" w:themeColor="text1"/>
        </w:rPr>
        <w:t xml:space="preserve">) </w:t>
      </w:r>
      <w:r w:rsidRPr="0084038D">
        <w:rPr>
          <w:color w:val="000000" w:themeColor="text1"/>
          <w:lang w:val="en-GB"/>
        </w:rPr>
        <w:t xml:space="preserve">Draft </w:t>
      </w:r>
      <w:r w:rsidRPr="0084038D">
        <w:rPr>
          <w:color w:val="000000" w:themeColor="text1"/>
        </w:rPr>
        <w:t>Conclusion 16.</w:t>
      </w:r>
    </w:p>
  </w:footnote>
  <w:footnote w:id="139">
    <w:p w14:paraId="365D17F0" w14:textId="124148BC"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color w:val="000000" w:themeColor="text1"/>
        </w:rPr>
        <w:t>ILC</w:t>
      </w:r>
      <w:r w:rsidRPr="0084038D">
        <w:rPr>
          <w:i/>
          <w:color w:val="000000" w:themeColor="text1"/>
          <w:lang w:val="en-GB"/>
        </w:rPr>
        <w:t>,</w:t>
      </w:r>
      <w:r w:rsidRPr="0084038D">
        <w:rPr>
          <w:i/>
          <w:color w:val="000000" w:themeColor="text1"/>
        </w:rPr>
        <w:t xml:space="preserve"> </w:t>
      </w:r>
      <w:r w:rsidRPr="0084038D">
        <w:rPr>
          <w:i/>
          <w:color w:val="000000" w:themeColor="text1"/>
          <w:lang w:val="en-GB"/>
        </w:rPr>
        <w:t>Draft Conclusions on customary international law, with commentaries</w:t>
      </w:r>
      <w:r w:rsidRPr="0084038D">
        <w:rPr>
          <w:color w:val="000000" w:themeColor="text1"/>
          <w:lang w:val="en-GB"/>
        </w:rPr>
        <w:t xml:space="preserve"> (n </w:t>
      </w:r>
      <w:r w:rsidRPr="0084038D">
        <w:rPr>
          <w:color w:val="000000" w:themeColor="text1"/>
          <w:lang w:val="en-GB"/>
        </w:rPr>
        <w:fldChar w:fldCharType="begin"/>
      </w:r>
      <w:r w:rsidRPr="0084038D">
        <w:rPr>
          <w:color w:val="000000" w:themeColor="text1"/>
          <w:lang w:val="en-GB"/>
        </w:rPr>
        <w:instrText xml:space="preserve"> NOTEREF _Ref187655257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134</w:t>
      </w:r>
      <w:r w:rsidRPr="0084038D">
        <w:rPr>
          <w:color w:val="000000" w:themeColor="text1"/>
          <w:lang w:val="en-GB"/>
        </w:rPr>
        <w:fldChar w:fldCharType="end"/>
      </w:r>
      <w:r w:rsidRPr="0084038D">
        <w:rPr>
          <w:color w:val="000000" w:themeColor="text1"/>
          <w:lang w:val="en-GB"/>
        </w:rPr>
        <w:t>) Draft</w:t>
      </w:r>
      <w:r>
        <w:rPr>
          <w:color w:val="000000" w:themeColor="text1"/>
          <w:lang w:val="en-GB"/>
        </w:rPr>
        <w:t> </w:t>
      </w:r>
      <w:r w:rsidRPr="0084038D">
        <w:rPr>
          <w:color w:val="000000" w:themeColor="text1"/>
          <w:lang w:val="en-GB"/>
        </w:rPr>
        <w:t>Conclusion 16.</w:t>
      </w:r>
    </w:p>
  </w:footnote>
  <w:footnote w:id="140">
    <w:p w14:paraId="2C6C334C"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[18].</w:t>
      </w:r>
    </w:p>
  </w:footnote>
  <w:footnote w:id="141">
    <w:p w14:paraId="4DF8ADAB"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[20].</w:t>
      </w:r>
    </w:p>
  </w:footnote>
  <w:footnote w:id="142">
    <w:p w14:paraId="582B68C3"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[19].</w:t>
      </w:r>
    </w:p>
  </w:footnote>
  <w:footnote w:id="143">
    <w:p w14:paraId="145EF368" w14:textId="2760A83E" w:rsidR="007C1059" w:rsidRPr="0084038D" w:rsidRDefault="007C1059" w:rsidP="00D17C40">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iCs/>
          <w:color w:val="000000" w:themeColor="text1"/>
          <w:lang w:val="en-GB"/>
        </w:rPr>
        <w:t xml:space="preserve">Fisheries Case </w:t>
      </w:r>
      <w:r w:rsidRPr="0084038D">
        <w:rPr>
          <w:iCs/>
          <w:color w:val="000000" w:themeColor="text1"/>
          <w:lang w:val="en-GB"/>
        </w:rPr>
        <w:t>(</w:t>
      </w:r>
      <w:r w:rsidRPr="0084038D">
        <w:rPr>
          <w:i/>
          <w:iCs/>
          <w:color w:val="000000" w:themeColor="text1"/>
          <w:lang w:val="en-GB"/>
        </w:rPr>
        <w:t>United Kingdom v Norway</w:t>
      </w:r>
      <w:r w:rsidRPr="0084038D">
        <w:rPr>
          <w:iCs/>
          <w:color w:val="000000" w:themeColor="text1"/>
          <w:lang w:val="en-GB"/>
        </w:rPr>
        <w:t xml:space="preserve">) (Judgment) [1951] ICJ Rep 116, 131; </w:t>
      </w:r>
      <w:r w:rsidRPr="0084038D">
        <w:rPr>
          <w:i/>
          <w:color w:val="000000" w:themeColor="text1"/>
          <w:lang w:val="en-GB"/>
        </w:rPr>
        <w:t>ILC, Draft Conclusions on customary international law, with commentaries</w:t>
      </w:r>
      <w:r w:rsidRPr="0084038D">
        <w:rPr>
          <w:color w:val="000000" w:themeColor="text1"/>
          <w:lang w:val="en-GB"/>
        </w:rPr>
        <w:t xml:space="preserve"> (n </w:t>
      </w:r>
      <w:r w:rsidRPr="0084038D">
        <w:rPr>
          <w:color w:val="000000" w:themeColor="text1"/>
          <w:lang w:val="en-GB"/>
        </w:rPr>
        <w:fldChar w:fldCharType="begin"/>
      </w:r>
      <w:r w:rsidRPr="0084038D">
        <w:rPr>
          <w:color w:val="000000" w:themeColor="text1"/>
          <w:lang w:val="en-GB"/>
        </w:rPr>
        <w:instrText xml:space="preserve"> NOTEREF _Ref187655257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134</w:t>
      </w:r>
      <w:r w:rsidRPr="0084038D">
        <w:rPr>
          <w:color w:val="000000" w:themeColor="text1"/>
          <w:lang w:val="en-GB"/>
        </w:rPr>
        <w:fldChar w:fldCharType="end"/>
      </w:r>
      <w:r w:rsidRPr="0084038D">
        <w:rPr>
          <w:color w:val="000000" w:themeColor="text1"/>
          <w:lang w:val="en-GB"/>
        </w:rPr>
        <w:t>) Draft Conclusion 15(1).</w:t>
      </w:r>
    </w:p>
  </w:footnote>
  <w:footnote w:id="144">
    <w:p w14:paraId="19ACAC35" w14:textId="42230806" w:rsidR="007C1059" w:rsidRPr="0084038D" w:rsidRDefault="007C1059" w:rsidP="00D17C40">
      <w:pPr>
        <w:pStyle w:val="Funotentext"/>
        <w:rPr>
          <w:color w:val="000000" w:themeColor="text1"/>
          <w:lang w:val="en-GB"/>
        </w:rPr>
      </w:pPr>
      <w:r w:rsidRPr="0084038D">
        <w:rPr>
          <w:rStyle w:val="Funotenzeichen"/>
          <w:i/>
          <w:color w:val="000000" w:themeColor="text1"/>
        </w:rPr>
        <w:footnoteRef/>
      </w:r>
      <w:r w:rsidRPr="0084038D">
        <w:rPr>
          <w:i/>
          <w:color w:val="000000" w:themeColor="text1"/>
          <w:lang w:val="en-GB"/>
        </w:rPr>
        <w:t xml:space="preserve"> </w:t>
      </w:r>
      <w:r w:rsidRPr="00304E1E">
        <w:rPr>
          <w:color w:val="000000" w:themeColor="text1"/>
          <w:lang w:val="en-GB"/>
        </w:rPr>
        <w:t>ILC,</w:t>
      </w:r>
      <w:r w:rsidRPr="0084038D">
        <w:rPr>
          <w:i/>
          <w:color w:val="000000" w:themeColor="text1"/>
          <w:lang w:val="en-GB"/>
        </w:rPr>
        <w:t xml:space="preserve"> Draft Conclusions on customary international law </w:t>
      </w:r>
      <w:r w:rsidRPr="0084038D">
        <w:rPr>
          <w:color w:val="000000" w:themeColor="text1"/>
          <w:lang w:val="en-GB"/>
        </w:rPr>
        <w:t xml:space="preserve">(n </w:t>
      </w:r>
      <w:r w:rsidRPr="0084038D">
        <w:rPr>
          <w:color w:val="000000" w:themeColor="text1"/>
          <w:lang w:val="en-GB"/>
        </w:rPr>
        <w:fldChar w:fldCharType="begin"/>
      </w:r>
      <w:r w:rsidRPr="0084038D">
        <w:rPr>
          <w:color w:val="000000" w:themeColor="text1"/>
          <w:lang w:val="en-GB"/>
        </w:rPr>
        <w:instrText xml:space="preserve"> NOTEREF _Ref187655257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134</w:t>
      </w:r>
      <w:r w:rsidRPr="0084038D">
        <w:rPr>
          <w:color w:val="000000" w:themeColor="text1"/>
          <w:lang w:val="en-GB"/>
        </w:rPr>
        <w:fldChar w:fldCharType="end"/>
      </w:r>
      <w:r w:rsidRPr="0084038D">
        <w:rPr>
          <w:color w:val="000000" w:themeColor="text1"/>
          <w:lang w:val="en-GB"/>
        </w:rPr>
        <w:t>) Draft Conclusion 15</w:t>
      </w:r>
      <w:r w:rsidRPr="0084038D">
        <w:rPr>
          <w:color w:val="000000" w:themeColor="text1"/>
          <w:lang w:val="en-US"/>
        </w:rPr>
        <w:t xml:space="preserve"> </w:t>
      </w:r>
      <w:r w:rsidRPr="0084038D">
        <w:rPr>
          <w:color w:val="000000" w:themeColor="text1"/>
          <w:lang w:val="en-GB"/>
        </w:rPr>
        <w:t>[9].</w:t>
      </w:r>
    </w:p>
  </w:footnote>
  <w:footnote w:id="145">
    <w:p w14:paraId="1057356A" w14:textId="572856FE"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lang w:val="en-US"/>
        </w:rPr>
        <w:t xml:space="preserve"> </w:t>
      </w:r>
      <w:r w:rsidRPr="0084038D">
        <w:rPr>
          <w:color w:val="000000" w:themeColor="text1"/>
        </w:rPr>
        <w:t xml:space="preserve">James Green, </w:t>
      </w:r>
      <w:r w:rsidRPr="0084038D">
        <w:rPr>
          <w:i/>
          <w:iCs/>
          <w:color w:val="000000" w:themeColor="text1"/>
        </w:rPr>
        <w:t xml:space="preserve">The Persistent Objector in International Law </w:t>
      </w:r>
      <w:r w:rsidRPr="0084038D">
        <w:rPr>
          <w:color w:val="000000" w:themeColor="text1"/>
        </w:rPr>
        <w:t>(O</w:t>
      </w:r>
      <w:r w:rsidRPr="0084038D">
        <w:rPr>
          <w:color w:val="000000" w:themeColor="text1"/>
          <w:lang w:val="en-GB"/>
        </w:rPr>
        <w:t>xford University Press</w:t>
      </w:r>
      <w:r w:rsidRPr="0084038D">
        <w:rPr>
          <w:color w:val="000000" w:themeColor="text1"/>
        </w:rPr>
        <w:t xml:space="preserve"> 2016)</w:t>
      </w:r>
      <w:r w:rsidRPr="0084038D">
        <w:rPr>
          <w:color w:val="000000" w:themeColor="text1"/>
          <w:lang w:val="en-GB"/>
        </w:rPr>
        <w:t> </w:t>
      </w:r>
      <w:r w:rsidRPr="0084038D">
        <w:rPr>
          <w:color w:val="000000" w:themeColor="text1"/>
        </w:rPr>
        <w:t>109.</w:t>
      </w:r>
    </w:p>
  </w:footnote>
  <w:footnote w:id="146">
    <w:p w14:paraId="7CA8D3E8"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[33].</w:t>
      </w:r>
    </w:p>
  </w:footnote>
  <w:footnote w:id="147">
    <w:p w14:paraId="73D67885"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Ibid [22].</w:t>
      </w:r>
    </w:p>
  </w:footnote>
  <w:footnote w:id="148">
    <w:p w14:paraId="05DA6F4B" w14:textId="175B678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UNGA ‘Responsibility of States for internationally wrongful acts’ Resolution 56/83 (28 January 2002) UN Doc A/RES/56/83 </w:t>
      </w:r>
      <w:r w:rsidRPr="005200ED">
        <w:rPr>
          <w:color w:val="000000" w:themeColor="text1"/>
          <w:lang w:val="en-US"/>
        </w:rPr>
        <w:t>(‘ARSIWA’)</w:t>
      </w:r>
      <w:r w:rsidRPr="0084038D">
        <w:rPr>
          <w:color w:val="000000" w:themeColor="text1"/>
          <w:lang w:val="en-US"/>
        </w:rPr>
        <w:t xml:space="preserve"> Article 30(a)</w:t>
      </w:r>
      <w:r w:rsidRPr="0084038D">
        <w:rPr>
          <w:color w:val="000000" w:themeColor="text1"/>
        </w:rPr>
        <w:t xml:space="preserve">; </w:t>
      </w:r>
      <w:r w:rsidRPr="0084038D">
        <w:rPr>
          <w:i/>
          <w:iCs/>
          <w:color w:val="000000" w:themeColor="text1"/>
        </w:rPr>
        <w:t xml:space="preserve">Case </w:t>
      </w:r>
      <w:r w:rsidRPr="0084038D">
        <w:rPr>
          <w:i/>
          <w:iCs/>
          <w:color w:val="000000" w:themeColor="text1"/>
          <w:lang w:val="en-GB"/>
        </w:rPr>
        <w:t>C</w:t>
      </w:r>
      <w:r w:rsidRPr="0084038D">
        <w:rPr>
          <w:i/>
          <w:iCs/>
          <w:color w:val="000000" w:themeColor="text1"/>
        </w:rPr>
        <w:t xml:space="preserve">oncerning the </w:t>
      </w:r>
      <w:r w:rsidRPr="0084038D">
        <w:rPr>
          <w:i/>
          <w:iCs/>
          <w:color w:val="000000" w:themeColor="text1"/>
          <w:lang w:val="en-GB"/>
        </w:rPr>
        <w:t xml:space="preserve">Differences Between New Zealand and France Arising From the </w:t>
      </w:r>
      <w:r w:rsidRPr="0084038D">
        <w:rPr>
          <w:i/>
          <w:iCs/>
          <w:color w:val="000000" w:themeColor="text1"/>
        </w:rPr>
        <w:t>Rainbow Warrior</w:t>
      </w:r>
      <w:r w:rsidRPr="0084038D">
        <w:rPr>
          <w:i/>
          <w:iCs/>
          <w:color w:val="000000" w:themeColor="text1"/>
          <w:lang w:val="en-GB"/>
        </w:rPr>
        <w:t xml:space="preserve"> Affair</w:t>
      </w:r>
      <w:r w:rsidRPr="0084038D">
        <w:rPr>
          <w:color w:val="000000" w:themeColor="text1"/>
        </w:rPr>
        <w:t xml:space="preserve"> (</w:t>
      </w:r>
      <w:r w:rsidRPr="0084038D">
        <w:rPr>
          <w:i/>
          <w:iCs/>
          <w:color w:val="000000" w:themeColor="text1"/>
        </w:rPr>
        <w:t>New Zealand v France</w:t>
      </w:r>
      <w:r w:rsidRPr="0084038D">
        <w:rPr>
          <w:color w:val="000000" w:themeColor="text1"/>
        </w:rPr>
        <w:t>) (1990) 20 R</w:t>
      </w:r>
      <w:r w:rsidRPr="0084038D">
        <w:rPr>
          <w:color w:val="000000" w:themeColor="text1"/>
          <w:lang w:val="en-GB"/>
        </w:rPr>
        <w:t>eports of International Arbitral Awards</w:t>
      </w:r>
      <w:r w:rsidRPr="0084038D">
        <w:rPr>
          <w:color w:val="000000" w:themeColor="text1"/>
        </w:rPr>
        <w:t xml:space="preserve"> 215 [101], [105].</w:t>
      </w:r>
    </w:p>
  </w:footnote>
  <w:footnote w:id="149">
    <w:p w14:paraId="27EC5628" w14:textId="4508274D"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Article </w:t>
      </w:r>
      <w:r w:rsidRPr="005200ED">
        <w:rPr>
          <w:color w:val="000000" w:themeColor="text1"/>
        </w:rPr>
        <w:t>35</w:t>
      </w:r>
      <w:r w:rsidRPr="005200ED">
        <w:rPr>
          <w:i/>
          <w:color w:val="000000" w:themeColor="text1"/>
        </w:rPr>
        <w:t xml:space="preserve"> </w:t>
      </w:r>
      <w:r w:rsidRPr="005200ED">
        <w:rPr>
          <w:color w:val="000000" w:themeColor="text1"/>
        </w:rPr>
        <w:t>ARSIWA</w:t>
      </w:r>
      <w:r w:rsidRPr="0084038D">
        <w:rPr>
          <w:color w:val="000000" w:themeColor="text1"/>
        </w:rPr>
        <w:t xml:space="preserve"> (n</w:t>
      </w:r>
      <w:r w:rsidRPr="0084038D">
        <w:rPr>
          <w:color w:val="000000" w:themeColor="text1"/>
          <w:lang w:val="en-GB"/>
        </w:rPr>
        <w:t xml:space="preserve"> </w:t>
      </w:r>
      <w:r w:rsidRPr="0084038D">
        <w:rPr>
          <w:color w:val="000000" w:themeColor="text1"/>
          <w:lang w:val="en-GB"/>
        </w:rPr>
        <w:fldChar w:fldCharType="begin"/>
      </w:r>
      <w:r w:rsidRPr="0084038D">
        <w:rPr>
          <w:color w:val="000000" w:themeColor="text1"/>
          <w:lang w:val="en-GB"/>
        </w:rPr>
        <w:instrText xml:space="preserve"> NOTEREF _Ref187655725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148</w:t>
      </w:r>
      <w:r w:rsidRPr="0084038D">
        <w:rPr>
          <w:color w:val="000000" w:themeColor="text1"/>
          <w:lang w:val="en-GB"/>
        </w:rPr>
        <w:fldChar w:fldCharType="end"/>
      </w:r>
      <w:r w:rsidRPr="0084038D">
        <w:rPr>
          <w:color w:val="000000" w:themeColor="text1"/>
        </w:rPr>
        <w:t xml:space="preserve">); </w:t>
      </w:r>
      <w:r w:rsidRPr="0084038D">
        <w:rPr>
          <w:color w:val="000000" w:themeColor="text1"/>
          <w:lang w:val="en-GB"/>
        </w:rPr>
        <w:t xml:space="preserve">Case Concerning </w:t>
      </w:r>
      <w:r w:rsidRPr="0084038D">
        <w:rPr>
          <w:i/>
          <w:iCs/>
          <w:color w:val="000000" w:themeColor="text1"/>
        </w:rPr>
        <w:t>Pulp Mills on the River Uruguay</w:t>
      </w:r>
      <w:r w:rsidRPr="0084038D">
        <w:rPr>
          <w:color w:val="000000" w:themeColor="text1"/>
        </w:rPr>
        <w:t xml:space="preserve"> (</w:t>
      </w:r>
      <w:r w:rsidRPr="0084038D">
        <w:rPr>
          <w:i/>
          <w:iCs/>
          <w:color w:val="000000" w:themeColor="text1"/>
        </w:rPr>
        <w:t>Argentina v Uruguay</w:t>
      </w:r>
      <w:r w:rsidRPr="0084038D">
        <w:rPr>
          <w:color w:val="000000" w:themeColor="text1"/>
        </w:rPr>
        <w:t>) (</w:t>
      </w:r>
      <w:r w:rsidRPr="0084038D">
        <w:rPr>
          <w:color w:val="000000" w:themeColor="text1"/>
          <w:lang w:val="en-GB"/>
        </w:rPr>
        <w:t>Judgment</w:t>
      </w:r>
      <w:r w:rsidRPr="0084038D">
        <w:rPr>
          <w:color w:val="000000" w:themeColor="text1"/>
        </w:rPr>
        <w:t>) [2010] ICJ Rep 14 [273].</w:t>
      </w:r>
    </w:p>
  </w:footnote>
  <w:footnote w:id="150">
    <w:p w14:paraId="30B20211" w14:textId="72D50196"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lang w:val="en-GB"/>
        </w:rPr>
        <w:t xml:space="preserve"> </w:t>
      </w:r>
      <w:r w:rsidRPr="0084038D">
        <w:rPr>
          <w:color w:val="000000" w:themeColor="text1"/>
          <w:lang w:val="en-US"/>
        </w:rPr>
        <w:t xml:space="preserve">ILC, </w:t>
      </w:r>
      <w:r w:rsidRPr="00C70AE0">
        <w:rPr>
          <w:color w:val="000000" w:themeColor="text1"/>
          <w:lang w:val="en-US"/>
        </w:rPr>
        <w:t>‘</w:t>
      </w:r>
      <w:r w:rsidRPr="00C70AE0">
        <w:rPr>
          <w:color w:val="000000" w:themeColor="text1"/>
          <w:lang w:val="en-GB"/>
        </w:rPr>
        <w:t xml:space="preserve">Report of the Commission </w:t>
      </w:r>
      <w:r>
        <w:rPr>
          <w:color w:val="000000" w:themeColor="text1"/>
          <w:lang w:val="en-GB"/>
        </w:rPr>
        <w:t>to</w:t>
      </w:r>
      <w:r w:rsidRPr="00C70AE0">
        <w:rPr>
          <w:color w:val="000000" w:themeColor="text1"/>
          <w:lang w:val="en-GB"/>
        </w:rPr>
        <w:t xml:space="preserve"> the General Assembly on the work of its </w:t>
      </w:r>
      <w:r w:rsidR="005605CF">
        <w:rPr>
          <w:color w:val="000000" w:themeColor="text1"/>
          <w:lang w:val="en-GB"/>
        </w:rPr>
        <w:t>F</w:t>
      </w:r>
      <w:r w:rsidRPr="00C70AE0">
        <w:rPr>
          <w:color w:val="000000" w:themeColor="text1"/>
          <w:lang w:val="en-GB"/>
        </w:rPr>
        <w:t xml:space="preserve">ifty-third </w:t>
      </w:r>
      <w:r w:rsidR="005605CF">
        <w:rPr>
          <w:color w:val="000000" w:themeColor="text1"/>
          <w:lang w:val="en-GB"/>
        </w:rPr>
        <w:t>S</w:t>
      </w:r>
      <w:r w:rsidRPr="00C70AE0">
        <w:rPr>
          <w:color w:val="000000" w:themeColor="text1"/>
          <w:lang w:val="en-GB"/>
        </w:rPr>
        <w:t>ession</w:t>
      </w:r>
      <w:r w:rsidRPr="00C70AE0">
        <w:rPr>
          <w:color w:val="000000" w:themeColor="text1"/>
          <w:lang w:val="en-US"/>
        </w:rPr>
        <w:t xml:space="preserve">’ </w:t>
      </w:r>
      <w:r w:rsidRPr="00C70AE0">
        <w:rPr>
          <w:color w:val="000000" w:themeColor="text1"/>
          <w:lang w:val="en-GB"/>
        </w:rPr>
        <w:t>[</w:t>
      </w:r>
      <w:r w:rsidRPr="00C70AE0">
        <w:rPr>
          <w:color w:val="000000" w:themeColor="text1"/>
          <w:lang w:val="en-US"/>
        </w:rPr>
        <w:t>2001</w:t>
      </w:r>
      <w:r w:rsidRPr="00C70AE0">
        <w:rPr>
          <w:color w:val="000000" w:themeColor="text1"/>
          <w:lang w:val="en-GB"/>
        </w:rPr>
        <w:t>]</w:t>
      </w:r>
      <w:r w:rsidRPr="00C70AE0">
        <w:rPr>
          <w:color w:val="000000" w:themeColor="text1"/>
          <w:lang w:val="en-US"/>
        </w:rPr>
        <w:t xml:space="preserve"> vol </w:t>
      </w:r>
      <w:r w:rsidRPr="00C70AE0">
        <w:rPr>
          <w:color w:val="000000" w:themeColor="text1"/>
          <w:lang w:val="en-GB"/>
        </w:rPr>
        <w:t xml:space="preserve">2(2) </w:t>
      </w:r>
      <w:r w:rsidRPr="00C70AE0">
        <w:rPr>
          <w:color w:val="000000" w:themeColor="text1"/>
          <w:lang w:val="en-US"/>
        </w:rPr>
        <w:t>Yearbook of</w:t>
      </w:r>
      <w:r w:rsidRPr="00C70AE0">
        <w:rPr>
          <w:color w:val="000000" w:themeColor="text1"/>
          <w:lang w:val="en-GB"/>
        </w:rPr>
        <w:t xml:space="preserve"> </w:t>
      </w:r>
      <w:r w:rsidRPr="00C70AE0">
        <w:rPr>
          <w:color w:val="000000" w:themeColor="text1"/>
          <w:lang w:val="en-US"/>
        </w:rPr>
        <w:t>the ILC [77] (‘</w:t>
      </w:r>
      <w:r w:rsidRPr="00C70AE0">
        <w:rPr>
          <w:i/>
          <w:color w:val="000000" w:themeColor="text1"/>
          <w:lang w:val="en-US"/>
        </w:rPr>
        <w:t>ARSIWA, with commentaries</w:t>
      </w:r>
      <w:r w:rsidRPr="00C70AE0">
        <w:rPr>
          <w:color w:val="000000" w:themeColor="text1"/>
          <w:lang w:val="en-US"/>
        </w:rPr>
        <w:t>’)</w:t>
      </w:r>
      <w:r w:rsidRPr="00C70AE0">
        <w:rPr>
          <w:color w:val="000000" w:themeColor="text1"/>
          <w:lang w:val="en-GB"/>
        </w:rPr>
        <w:t xml:space="preserve"> Article 30 [</w:t>
      </w:r>
      <w:r w:rsidRPr="00C70AE0">
        <w:rPr>
          <w:color w:val="000000" w:themeColor="text1"/>
        </w:rPr>
        <w:t>3</w:t>
      </w:r>
      <w:r w:rsidRPr="00C70AE0">
        <w:rPr>
          <w:color w:val="000000" w:themeColor="text1"/>
          <w:lang w:val="en-GB"/>
        </w:rPr>
        <w:t>]</w:t>
      </w:r>
      <w:r w:rsidRPr="00C70AE0">
        <w:rPr>
          <w:color w:val="000000" w:themeColor="text1"/>
        </w:rPr>
        <w:t>.</w:t>
      </w:r>
    </w:p>
  </w:footnote>
  <w:footnote w:id="151">
    <w:p w14:paraId="38060F3B" w14:textId="77777777"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Statement of Agreed Facts [22].</w:t>
      </w:r>
    </w:p>
  </w:footnote>
  <w:footnote w:id="152">
    <w:p w14:paraId="5B832818" w14:textId="5651D304" w:rsidR="007C1059" w:rsidRPr="0084038D" w:rsidRDefault="007C1059" w:rsidP="00D17C40">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See C.I, C.II</w:t>
      </w:r>
      <w:r w:rsidRPr="0084038D">
        <w:rPr>
          <w:color w:val="000000" w:themeColor="text1"/>
          <w:lang w:val="en-GB"/>
        </w:rPr>
        <w:t xml:space="preserve">, </w:t>
      </w:r>
      <w:r w:rsidRPr="0084038D">
        <w:rPr>
          <w:color w:val="000000" w:themeColor="text1"/>
        </w:rPr>
        <w:t>C.III.</w:t>
      </w:r>
    </w:p>
  </w:footnote>
  <w:footnote w:id="153">
    <w:p w14:paraId="51A5FC81" w14:textId="77777777" w:rsidR="007C1059" w:rsidRPr="0084038D" w:rsidRDefault="007C1059" w:rsidP="00D17C40">
      <w:pPr>
        <w:pStyle w:val="Funotentext"/>
        <w:rPr>
          <w:color w:val="000000" w:themeColor="text1"/>
        </w:rPr>
      </w:pPr>
      <w:r w:rsidRPr="0084038D">
        <w:rPr>
          <w:rStyle w:val="Funotenzeichen"/>
          <w:color w:val="000000" w:themeColor="text1"/>
        </w:rPr>
        <w:footnoteRef/>
      </w:r>
      <w:r w:rsidRPr="0084038D">
        <w:rPr>
          <w:color w:val="000000" w:themeColor="text1"/>
        </w:rPr>
        <w:t xml:space="preserve"> Statement of Agreed Facts [22].</w:t>
      </w:r>
    </w:p>
  </w:footnote>
  <w:footnote w:id="154">
    <w:p w14:paraId="6B668110" w14:textId="112C4C94"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United Nations Convention o</w:t>
      </w:r>
      <w:r w:rsidRPr="0084038D">
        <w:rPr>
          <w:color w:val="000000" w:themeColor="text1"/>
          <w:lang w:val="en-GB"/>
        </w:rPr>
        <w:t>n Jurisdictional Immunities of States and Their Property (adopted 2 December 2004, not entered yet into force) UN Doc A</w:t>
      </w:r>
      <w:r w:rsidRPr="0084038D">
        <w:rPr>
          <w:color w:val="000000" w:themeColor="text1"/>
          <w:lang w:val="en-US"/>
        </w:rPr>
        <w:t xml:space="preserve">/RES/59/38 </w:t>
      </w:r>
      <w:r w:rsidRPr="0084038D">
        <w:rPr>
          <w:color w:val="000000" w:themeColor="text1"/>
          <w:lang w:val="en-GB"/>
        </w:rPr>
        <w:t>(‘UNCJISP’).</w:t>
      </w:r>
    </w:p>
  </w:footnote>
  <w:footnote w:id="155">
    <w:p w14:paraId="5672366D" w14:textId="27BB384A"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noProof/>
          <w:color w:val="000000" w:themeColor="text1"/>
          <w:lang w:val="en-GB"/>
        </w:rPr>
        <w:t>Jurisdictional Immunities</w:t>
      </w:r>
      <w:r w:rsidRPr="0084038D">
        <w:rPr>
          <w:i/>
          <w:iCs/>
          <w:noProof/>
          <w:color w:val="000000" w:themeColor="text1"/>
          <w:lang w:val="en-GB"/>
        </w:rPr>
        <w:t xml:space="preserve"> </w:t>
      </w:r>
      <w:r w:rsidRPr="0084038D">
        <w:rPr>
          <w:noProof/>
          <w:color w:val="000000" w:themeColor="text1"/>
          <w:lang w:val="en-GB"/>
        </w:rPr>
        <w:t xml:space="preserve">(n </w:t>
      </w:r>
      <w:r w:rsidRPr="0084038D">
        <w:rPr>
          <w:noProof/>
          <w:color w:val="000000" w:themeColor="text1"/>
          <w:lang w:val="en-GB"/>
        </w:rPr>
        <w:fldChar w:fldCharType="begin"/>
      </w:r>
      <w:r w:rsidRPr="0084038D">
        <w:rPr>
          <w:noProof/>
          <w:color w:val="000000" w:themeColor="text1"/>
          <w:lang w:val="en-GB"/>
        </w:rPr>
        <w:instrText xml:space="preserve"> NOTEREF _Ref187649905 \h </w:instrText>
      </w:r>
      <w:r w:rsidRPr="0084038D">
        <w:rPr>
          <w:noProof/>
          <w:color w:val="000000" w:themeColor="text1"/>
          <w:lang w:val="en-GB"/>
        </w:rPr>
      </w:r>
      <w:r w:rsidRPr="0084038D">
        <w:rPr>
          <w:noProof/>
          <w:color w:val="000000" w:themeColor="text1"/>
          <w:lang w:val="en-GB"/>
        </w:rPr>
        <w:fldChar w:fldCharType="separate"/>
      </w:r>
      <w:r w:rsidRPr="0084038D">
        <w:rPr>
          <w:noProof/>
          <w:color w:val="000000" w:themeColor="text1"/>
          <w:lang w:val="en-GB"/>
        </w:rPr>
        <w:t>14</w:t>
      </w:r>
      <w:r w:rsidRPr="0084038D">
        <w:rPr>
          <w:noProof/>
          <w:color w:val="000000" w:themeColor="text1"/>
          <w:lang w:val="en-GB"/>
        </w:rPr>
        <w:fldChar w:fldCharType="end"/>
      </w:r>
      <w:r w:rsidRPr="0084038D">
        <w:rPr>
          <w:noProof/>
          <w:color w:val="000000" w:themeColor="text1"/>
          <w:lang w:val="en-GB"/>
        </w:rPr>
        <w:t>)</w:t>
      </w:r>
      <w:r w:rsidRPr="0084038D">
        <w:rPr>
          <w:i/>
          <w:iCs/>
          <w:noProof/>
          <w:color w:val="000000" w:themeColor="text1"/>
          <w:lang w:val="en-GB"/>
        </w:rPr>
        <w:t xml:space="preserve"> </w:t>
      </w:r>
      <w:r w:rsidRPr="0084038D">
        <w:rPr>
          <w:noProof/>
          <w:color w:val="000000" w:themeColor="text1"/>
          <w:lang w:val="en-GB"/>
        </w:rPr>
        <w:t>[118].</w:t>
      </w:r>
    </w:p>
  </w:footnote>
  <w:footnote w:id="156">
    <w:p w14:paraId="769ED7EC" w14:textId="7046AEE7" w:rsidR="007C1059" w:rsidRPr="0084038D" w:rsidRDefault="007C1059" w:rsidP="00830421">
      <w:pPr>
        <w:pStyle w:val="Funotentext"/>
        <w:rPr>
          <w:color w:val="000000" w:themeColor="text1"/>
          <w:lang w:val="en-US"/>
        </w:rPr>
      </w:pPr>
      <w:r w:rsidRPr="00C54F86">
        <w:rPr>
          <w:rStyle w:val="Funotenzeichen"/>
          <w:color w:val="000000" w:themeColor="text1"/>
        </w:rPr>
        <w:footnoteRef/>
      </w:r>
      <w:r w:rsidRPr="00C54F86">
        <w:rPr>
          <w:color w:val="000000" w:themeColor="text1"/>
        </w:rPr>
        <w:t xml:space="preserve"> </w:t>
      </w:r>
      <w:r w:rsidRPr="00C54F86">
        <w:rPr>
          <w:color w:val="000000" w:themeColor="text1"/>
          <w:lang w:val="en-US"/>
        </w:rPr>
        <w:t xml:space="preserve">ILC, ‘Report of the International Law Commission to the General Assembly on the work of its </w:t>
      </w:r>
      <w:r w:rsidR="005605CF">
        <w:rPr>
          <w:color w:val="000000" w:themeColor="text1"/>
          <w:lang w:val="en-US"/>
        </w:rPr>
        <w:t>F</w:t>
      </w:r>
      <w:r w:rsidRPr="00C54F86">
        <w:rPr>
          <w:color w:val="000000" w:themeColor="text1"/>
          <w:lang w:val="en-US"/>
        </w:rPr>
        <w:t xml:space="preserve">ourty-third </w:t>
      </w:r>
      <w:r w:rsidR="005605CF">
        <w:rPr>
          <w:color w:val="000000" w:themeColor="text1"/>
          <w:lang w:val="en-US"/>
        </w:rPr>
        <w:t>S</w:t>
      </w:r>
      <w:r w:rsidRPr="00C54F86">
        <w:rPr>
          <w:color w:val="000000" w:themeColor="text1"/>
          <w:lang w:val="en-US"/>
        </w:rPr>
        <w:t>ession’ [1991] vol 2(2) Yearbook of the ILC [28] (‘</w:t>
      </w:r>
      <w:r w:rsidRPr="00F861A7">
        <w:rPr>
          <w:color w:val="000000" w:themeColor="text1"/>
          <w:lang w:val="en-US"/>
        </w:rPr>
        <w:t>ILC,</w:t>
      </w:r>
      <w:r w:rsidRPr="00C54F86">
        <w:rPr>
          <w:i/>
          <w:color w:val="000000" w:themeColor="text1"/>
          <w:lang w:val="en-US"/>
        </w:rPr>
        <w:t xml:space="preserve"> Draft Articles on Jurisdictional Immunities of States and Their Property</w:t>
      </w:r>
      <w:r w:rsidRPr="00C54F86">
        <w:rPr>
          <w:color w:val="000000" w:themeColor="text1"/>
          <w:lang w:val="en-US"/>
        </w:rPr>
        <w:t>’) Part IV [2].</w:t>
      </w:r>
    </w:p>
  </w:footnote>
  <w:footnote w:id="157">
    <w:p w14:paraId="46CE8141"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Statement of Agreed Facts [46].</w:t>
      </w:r>
    </w:p>
  </w:footnote>
  <w:footnote w:id="158">
    <w:p w14:paraId="7B4172A7"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Clarifications [8].</w:t>
      </w:r>
    </w:p>
  </w:footnote>
  <w:footnote w:id="159">
    <w:p w14:paraId="18D85AEB" w14:textId="4D509493"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i/>
          <w:color w:val="000000" w:themeColor="text1"/>
          <w:lang w:val="en-GB"/>
        </w:rPr>
        <w:t>Jurisdictional Immunities</w:t>
      </w:r>
      <w:r w:rsidRPr="0084038D">
        <w:rPr>
          <w:color w:val="000000" w:themeColor="text1"/>
          <w:lang w:val="en-GB"/>
        </w:rPr>
        <w:t xml:space="preserve"> (n </w:t>
      </w:r>
      <w:r w:rsidRPr="0084038D">
        <w:rPr>
          <w:color w:val="000000" w:themeColor="text1"/>
          <w:lang w:val="en-GB"/>
        </w:rPr>
        <w:fldChar w:fldCharType="begin"/>
      </w:r>
      <w:r w:rsidRPr="0084038D">
        <w:rPr>
          <w:color w:val="000000" w:themeColor="text1"/>
          <w:lang w:val="en-GB"/>
        </w:rPr>
        <w:instrText xml:space="preserve"> NOTEREF _Ref187649905 \h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lang w:val="en-GB"/>
        </w:rPr>
        <w:t>14</w:t>
      </w:r>
      <w:r w:rsidRPr="0084038D">
        <w:rPr>
          <w:color w:val="000000" w:themeColor="text1"/>
          <w:lang w:val="en-GB"/>
        </w:rPr>
        <w:fldChar w:fldCharType="end"/>
      </w:r>
      <w:r w:rsidRPr="0084038D">
        <w:rPr>
          <w:color w:val="000000" w:themeColor="text1"/>
          <w:lang w:val="en-GB"/>
        </w:rPr>
        <w:t>)</w:t>
      </w:r>
      <w:r w:rsidRPr="0084038D">
        <w:rPr>
          <w:i/>
          <w:iCs/>
          <w:color w:val="000000" w:themeColor="text1"/>
          <w:lang w:val="en-GB"/>
        </w:rPr>
        <w:t xml:space="preserve"> </w:t>
      </w:r>
      <w:r w:rsidRPr="0084038D">
        <w:rPr>
          <w:color w:val="000000" w:themeColor="text1"/>
          <w:lang w:val="en-GB"/>
        </w:rPr>
        <w:t>[118].</w:t>
      </w:r>
    </w:p>
  </w:footnote>
  <w:footnote w:id="160">
    <w:p w14:paraId="3F24B2BA"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bookmarkStart w:id="193" w:name="_Hlk187253923"/>
      <w:r w:rsidRPr="0084038D">
        <w:rPr>
          <w:color w:val="000000" w:themeColor="text1"/>
          <w:lang w:val="en-US"/>
        </w:rPr>
        <w:t xml:space="preserve">Frédéric Dopagne, ‘Waivers of Immunity from Execution’ in Tom Ruys et al (eds), </w:t>
      </w:r>
      <w:r w:rsidRPr="0084038D">
        <w:rPr>
          <w:i/>
          <w:color w:val="000000" w:themeColor="text1"/>
          <w:lang w:val="en-US"/>
        </w:rPr>
        <w:t>The Cambridge Handbook of Immunities and International Law</w:t>
      </w:r>
      <w:r w:rsidRPr="0084038D">
        <w:rPr>
          <w:color w:val="000000" w:themeColor="text1"/>
          <w:lang w:val="en-US"/>
        </w:rPr>
        <w:t xml:space="preserve"> (Cambridge University Press 2019) 389</w:t>
      </w:r>
      <w:bookmarkEnd w:id="193"/>
      <w:r w:rsidRPr="0084038D">
        <w:rPr>
          <w:color w:val="000000" w:themeColor="text1"/>
          <w:lang w:val="en-US"/>
        </w:rPr>
        <w:t>, 390.</w:t>
      </w:r>
    </w:p>
  </w:footnote>
  <w:footnote w:id="161">
    <w:p w14:paraId="7DE95CBD" w14:textId="7C4557F4" w:rsidR="007C1059" w:rsidRPr="0084038D" w:rsidRDefault="007C1059" w:rsidP="00830421">
      <w:pPr>
        <w:pStyle w:val="Funotentext"/>
        <w:rPr>
          <w:noProof/>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color w:val="000000" w:themeColor="text1"/>
          <w:lang w:val="en-US"/>
        </w:rPr>
        <w:t>Nuclear Tests Cases</w:t>
      </w:r>
      <w:r w:rsidRPr="0084038D">
        <w:rPr>
          <w:color w:val="000000" w:themeColor="text1"/>
          <w:lang w:val="en-US"/>
        </w:rPr>
        <w:t xml:space="preserve"> (</w:t>
      </w:r>
      <w:r w:rsidRPr="0084038D">
        <w:rPr>
          <w:i/>
          <w:color w:val="000000" w:themeColor="text1"/>
          <w:lang w:val="en-US"/>
        </w:rPr>
        <w:t>Australia v France</w:t>
      </w:r>
      <w:r w:rsidRPr="0084038D">
        <w:rPr>
          <w:color w:val="000000" w:themeColor="text1"/>
          <w:lang w:val="en-US"/>
        </w:rPr>
        <w:t>) (</w:t>
      </w:r>
      <w:r w:rsidRPr="0084038D">
        <w:rPr>
          <w:i/>
          <w:color w:val="000000" w:themeColor="text1"/>
          <w:lang w:val="en-US"/>
        </w:rPr>
        <w:t>New Zealand v France</w:t>
      </w:r>
      <w:r w:rsidRPr="0084038D">
        <w:rPr>
          <w:color w:val="000000" w:themeColor="text1"/>
          <w:lang w:val="en-US"/>
        </w:rPr>
        <w:t xml:space="preserve">) (Judgment) [1974] ICJ Rep 253 and 457 </w:t>
      </w:r>
      <w:r w:rsidRPr="00EB34CF">
        <w:rPr>
          <w:color w:val="000000" w:themeColor="text1"/>
          <w:lang w:val="en-US"/>
        </w:rPr>
        <w:t>[43] and [46], [49] and [51];</w:t>
      </w:r>
      <w:r w:rsidRPr="0084038D">
        <w:rPr>
          <w:color w:val="000000" w:themeColor="text1"/>
          <w:lang w:val="en-US"/>
        </w:rPr>
        <w:t xml:space="preserve"> </w:t>
      </w:r>
      <w:r w:rsidRPr="00C54F86">
        <w:rPr>
          <w:noProof/>
          <w:color w:val="000000" w:themeColor="text1"/>
          <w:lang w:val="en-GB"/>
        </w:rPr>
        <w:t xml:space="preserve">ILC, ‘Report of the International Law Commission to the General Assembly on the work of its </w:t>
      </w:r>
      <w:r w:rsidR="005605CF">
        <w:rPr>
          <w:noProof/>
          <w:color w:val="000000" w:themeColor="text1"/>
          <w:lang w:val="en-GB"/>
        </w:rPr>
        <w:t>F</w:t>
      </w:r>
      <w:r w:rsidRPr="00C54F86">
        <w:rPr>
          <w:noProof/>
          <w:color w:val="000000" w:themeColor="text1"/>
          <w:lang w:val="en-GB"/>
        </w:rPr>
        <w:t xml:space="preserve">ifty-eighth </w:t>
      </w:r>
      <w:r w:rsidR="005605CF">
        <w:rPr>
          <w:noProof/>
          <w:color w:val="000000" w:themeColor="text1"/>
          <w:lang w:val="en-GB"/>
        </w:rPr>
        <w:t>S</w:t>
      </w:r>
      <w:r w:rsidRPr="00C54F86">
        <w:rPr>
          <w:noProof/>
          <w:color w:val="000000" w:themeColor="text1"/>
          <w:lang w:val="en-GB"/>
        </w:rPr>
        <w:t>ession’ [2006] vol 2(2) Yearbook of the ILC [176] (‘ILC, Guiding Principles applicable to unilateral declarations of States’)  Principle  4.</w:t>
      </w:r>
    </w:p>
  </w:footnote>
  <w:footnote w:id="162">
    <w:p w14:paraId="7C97B053" w14:textId="76817DB1" w:rsidR="007C1059" w:rsidRPr="0084038D" w:rsidRDefault="007C1059" w:rsidP="00830421">
      <w:pPr>
        <w:pStyle w:val="Funotentext"/>
        <w:rPr>
          <w:iCs/>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Ibid</w:t>
      </w:r>
      <w:r w:rsidRPr="0084038D">
        <w:rPr>
          <w:iCs/>
          <w:color w:val="000000" w:themeColor="text1"/>
          <w:lang w:val="en-GB"/>
        </w:rPr>
        <w:t xml:space="preserve">; </w:t>
      </w:r>
      <w:r w:rsidRPr="0084038D">
        <w:rPr>
          <w:i/>
          <w:iCs/>
          <w:color w:val="000000" w:themeColor="text1"/>
          <w:lang w:val="en-GB"/>
        </w:rPr>
        <w:t xml:space="preserve">Case Concerning Armed Activities on the Territory of the Congo (New Application: 2002) </w:t>
      </w:r>
      <w:r w:rsidRPr="0084038D">
        <w:rPr>
          <w:color w:val="000000" w:themeColor="text1"/>
          <w:lang w:val="en-GB"/>
        </w:rPr>
        <w:t>(</w:t>
      </w:r>
      <w:r w:rsidRPr="0084038D">
        <w:rPr>
          <w:i/>
          <w:iCs/>
          <w:color w:val="000000" w:themeColor="text1"/>
          <w:lang w:val="en-GB"/>
        </w:rPr>
        <w:t>Democratic Republic of the Congo v Rwanda</w:t>
      </w:r>
      <w:r w:rsidRPr="0084038D">
        <w:rPr>
          <w:color w:val="000000" w:themeColor="text1"/>
          <w:lang w:val="en-GB"/>
        </w:rPr>
        <w:t>) (Judgment) [2006] ICJ Rep 6 [46].</w:t>
      </w:r>
    </w:p>
  </w:footnote>
  <w:footnote w:id="163">
    <w:p w14:paraId="62544F1F"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Statement of Agreed Facts [44].</w:t>
      </w:r>
    </w:p>
  </w:footnote>
  <w:footnote w:id="164">
    <w:p w14:paraId="576C328D" w14:textId="77777777" w:rsidR="007C1059" w:rsidRPr="0084038D" w:rsidRDefault="007C1059" w:rsidP="00830421">
      <w:pPr>
        <w:pStyle w:val="Funotentext"/>
        <w:rPr>
          <w:color w:val="000000" w:themeColor="text1"/>
          <w:lang w:val="en-GB"/>
        </w:rPr>
      </w:pPr>
      <w:r w:rsidRPr="0084038D">
        <w:rPr>
          <w:rStyle w:val="Funotenzeichen"/>
          <w:iCs/>
          <w:color w:val="000000" w:themeColor="text1"/>
        </w:rPr>
        <w:footnoteRef/>
      </w:r>
      <w:r w:rsidRPr="0084038D">
        <w:rPr>
          <w:iCs/>
          <w:color w:val="000000" w:themeColor="text1"/>
        </w:rPr>
        <w:t xml:space="preserve"> </w:t>
      </w:r>
      <w:r w:rsidRPr="0084038D">
        <w:rPr>
          <w:color w:val="000000" w:themeColor="text1"/>
          <w:lang w:val="en-US"/>
        </w:rPr>
        <w:t>Jack McNally, ‘Representation, Recognition, Resistance: Rival Governments Before the International Court of Justice’ (2023) 61(2) Columbia Journal of Transnational Law 267, 278</w:t>
      </w:r>
      <w:r w:rsidRPr="0084038D">
        <w:rPr>
          <w:color w:val="000000" w:themeColor="text1"/>
          <w:lang w:val="en-GB"/>
        </w:rPr>
        <w:t xml:space="preserve"> et seq.</w:t>
      </w:r>
    </w:p>
  </w:footnote>
  <w:footnote w:id="165">
    <w:p w14:paraId="6CDC2057" w14:textId="6FA6DBDD" w:rsidR="007C1059" w:rsidRPr="0084038D" w:rsidRDefault="007C1059" w:rsidP="00830421">
      <w:pPr>
        <w:pStyle w:val="Funotentext"/>
        <w:rPr>
          <w:noProof/>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noProof/>
          <w:color w:val="000000" w:themeColor="text1"/>
          <w:lang w:val="en-GB"/>
        </w:rPr>
        <w:t>“Maduro Board” of the Central Bank of Venezuela v “Guaidó Board” of the Central Bank of Venezuela</w:t>
      </w:r>
      <w:r w:rsidRPr="0084038D">
        <w:rPr>
          <w:noProof/>
          <w:color w:val="000000" w:themeColor="text1"/>
          <w:lang w:val="en-GB"/>
        </w:rPr>
        <w:t xml:space="preserve"> (2021) 2 Weekly Law Reports </w:t>
      </w:r>
      <w:r w:rsidRPr="0084038D">
        <w:rPr>
          <w:noProof/>
          <w:color w:val="000000" w:themeColor="text1"/>
          <w:lang w:val="en-US"/>
        </w:rPr>
        <w:t>167</w:t>
      </w:r>
      <w:r w:rsidRPr="0084038D">
        <w:rPr>
          <w:noProof/>
          <w:color w:val="000000" w:themeColor="text1"/>
          <w:lang w:val="en-GB"/>
        </w:rPr>
        <w:t xml:space="preserve"> (United Kingdom Supreme Court) [110] (</w:t>
      </w:r>
      <w:r w:rsidRPr="0084038D">
        <w:rPr>
          <w:b/>
          <w:bCs/>
          <w:noProof/>
          <w:color w:val="000000" w:themeColor="text1"/>
          <w:lang w:val="en-GB"/>
        </w:rPr>
        <w:t>United Kingdom</w:t>
      </w:r>
      <w:r w:rsidRPr="0084038D">
        <w:rPr>
          <w:noProof/>
          <w:color w:val="000000" w:themeColor="text1"/>
          <w:lang w:val="en-GB"/>
        </w:rPr>
        <w:t>);</w:t>
      </w:r>
      <w:r w:rsidRPr="0084038D">
        <w:rPr>
          <w:b/>
          <w:bCs/>
          <w:noProof/>
          <w:color w:val="000000" w:themeColor="text1"/>
          <w:lang w:val="en-GB"/>
        </w:rPr>
        <w:t xml:space="preserve"> </w:t>
      </w:r>
      <w:r w:rsidRPr="0084038D">
        <w:rPr>
          <w:bCs/>
          <w:noProof/>
          <w:color w:val="000000" w:themeColor="text1"/>
          <w:lang w:val="en-GB"/>
        </w:rPr>
        <w:t>United States Department of State, ‘</w:t>
      </w:r>
      <w:r w:rsidRPr="0084038D">
        <w:rPr>
          <w:noProof/>
          <w:color w:val="000000" w:themeColor="text1"/>
          <w:lang w:val="en-GB"/>
        </w:rPr>
        <w:t>Recognition of Juan Guaido as Venezuela’s Interim President’ (23 January 2019) &lt;https://2017-2021.state.gov/recognition-of-juan-guaido-as-venezuelas-interim-president/&gt; accessed 12 January 2025 (</w:t>
      </w:r>
      <w:r w:rsidRPr="0084038D">
        <w:rPr>
          <w:b/>
          <w:bCs/>
          <w:noProof/>
          <w:color w:val="000000" w:themeColor="text1"/>
          <w:lang w:val="en-GB"/>
        </w:rPr>
        <w:t>United States</w:t>
      </w:r>
      <w:r w:rsidRPr="0084038D">
        <w:rPr>
          <w:noProof/>
          <w:color w:val="000000" w:themeColor="text1"/>
          <w:lang w:val="en-GB"/>
        </w:rPr>
        <w:t xml:space="preserve">); European Parliament, ‘Venezuela: Parliament recognises </w:t>
      </w:r>
      <w:r w:rsidRPr="0084038D">
        <w:rPr>
          <w:iCs/>
          <w:noProof/>
          <w:color w:val="000000" w:themeColor="text1"/>
          <w:lang w:val="en-GB"/>
        </w:rPr>
        <w:t>Guaidó</w:t>
      </w:r>
      <w:r w:rsidRPr="0084038D">
        <w:rPr>
          <w:noProof/>
          <w:color w:val="000000" w:themeColor="text1"/>
          <w:lang w:val="en-GB"/>
        </w:rPr>
        <w:t>, urges EU to follow suit’  (31 January 2019) &lt;</w:t>
      </w:r>
      <w:r w:rsidRPr="0084038D">
        <w:rPr>
          <w:noProof/>
          <w:color w:val="000000" w:themeColor="text1"/>
          <w:lang w:val="en-US"/>
        </w:rPr>
        <w:t>https://www.europarl.europa.eu/news/en/press-room/20190125IPR24303</w:t>
      </w:r>
      <w:r w:rsidRPr="0084038D">
        <w:rPr>
          <w:noProof/>
          <w:color w:val="000000" w:themeColor="text1"/>
          <w:lang w:val="en-US"/>
        </w:rPr>
        <w:br/>
        <w:t>/venezuela-parliament-recognises-guaido-urges-eu-to-follow-suit#:~:text=The%20European</w:t>
      </w:r>
      <w:r w:rsidRPr="0084038D">
        <w:rPr>
          <w:noProof/>
          <w:color w:val="000000" w:themeColor="text1"/>
          <w:lang w:val="en-US"/>
        </w:rPr>
        <w:br/>
        <w:t>%20Parliament%20recognised%20on%20Thursday%20Juan%20Guaid%C3%B3,of%20Venezuela%2C%20in%20accordance%20with%20the%20Venezuelan%20Constitution.</w:t>
      </w:r>
      <w:r w:rsidRPr="0084038D">
        <w:rPr>
          <w:noProof/>
          <w:color w:val="000000" w:themeColor="text1"/>
          <w:lang w:val="en-GB"/>
        </w:rPr>
        <w:t>&gt; accessed 12 January 2025 (</w:t>
      </w:r>
      <w:r w:rsidRPr="0084038D">
        <w:rPr>
          <w:b/>
          <w:bCs/>
          <w:noProof/>
          <w:color w:val="000000" w:themeColor="text1"/>
          <w:lang w:val="en-GB"/>
        </w:rPr>
        <w:t>European Parliament</w:t>
      </w:r>
      <w:r w:rsidRPr="0084038D">
        <w:rPr>
          <w:noProof/>
          <w:color w:val="000000" w:themeColor="text1"/>
          <w:lang w:val="en-GB"/>
        </w:rPr>
        <w:t>);</w:t>
      </w:r>
      <w:r w:rsidRPr="0084038D">
        <w:rPr>
          <w:b/>
          <w:bCs/>
          <w:noProof/>
          <w:color w:val="000000" w:themeColor="text1"/>
          <w:lang w:val="en-GB"/>
        </w:rPr>
        <w:t xml:space="preserve"> </w:t>
      </w:r>
      <w:r w:rsidRPr="0084038D">
        <w:rPr>
          <w:bCs/>
          <w:noProof/>
          <w:color w:val="000000" w:themeColor="text1"/>
          <w:lang w:val="en-GB"/>
        </w:rPr>
        <w:t>Organisation of American States Press Department, ‘</w:t>
      </w:r>
      <w:r w:rsidRPr="0084038D">
        <w:rPr>
          <w:noProof/>
          <w:color w:val="000000" w:themeColor="text1"/>
          <w:lang w:val="en-GB"/>
        </w:rPr>
        <w:t>Permanent Council Accepts Appointment of Designated Permanent Representative of Venezuela’s National Assembly to the OAS’ (9 April 2019) &lt;</w:t>
      </w:r>
      <w:r w:rsidRPr="0084038D">
        <w:rPr>
          <w:noProof/>
          <w:color w:val="000000" w:themeColor="text1"/>
          <w:lang w:val="en-US"/>
        </w:rPr>
        <w:t>https://www.oas.org/en/media_center/press_release.asp?sCodigo=E-019/19</w:t>
      </w:r>
      <w:r w:rsidRPr="0084038D">
        <w:rPr>
          <w:noProof/>
          <w:color w:val="000000" w:themeColor="text1"/>
          <w:lang w:val="en-GB"/>
        </w:rPr>
        <w:t>&gt; accessed 12 January 2025</w:t>
      </w:r>
      <w:r w:rsidRPr="0084038D">
        <w:rPr>
          <w:b/>
          <w:bCs/>
          <w:noProof/>
          <w:color w:val="000000" w:themeColor="text1"/>
          <w:lang w:val="en-GB"/>
        </w:rPr>
        <w:t xml:space="preserve"> </w:t>
      </w:r>
      <w:r w:rsidRPr="0084038D">
        <w:rPr>
          <w:noProof/>
          <w:color w:val="000000" w:themeColor="text1"/>
          <w:lang w:val="en-GB"/>
        </w:rPr>
        <w:t>(</w:t>
      </w:r>
      <w:r w:rsidRPr="0084038D">
        <w:rPr>
          <w:b/>
          <w:bCs/>
          <w:noProof/>
          <w:color w:val="000000" w:themeColor="text1"/>
          <w:lang w:val="en-GB"/>
        </w:rPr>
        <w:t>Organisation of American States</w:t>
      </w:r>
      <w:r w:rsidRPr="0084038D">
        <w:rPr>
          <w:noProof/>
          <w:color w:val="000000" w:themeColor="text1"/>
          <w:lang w:val="en-GB"/>
        </w:rPr>
        <w:t>).</w:t>
      </w:r>
    </w:p>
  </w:footnote>
  <w:footnote w:id="166">
    <w:p w14:paraId="53D190A2"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UNGA Resolution 46/7 (11 October 1991) UN Doc A/RES/46/7 [1], [2]; UNGA Provisional Verbatim Records (11 October 1991) UN Doc A/46/PV.31, 71; UNSC Resolution 841 (16 June 1993) UN Doc S/RES/841 [8]; UNSC Provisional Verbatim Record</w:t>
      </w:r>
      <w:r w:rsidRPr="0084038D">
        <w:rPr>
          <w:color w:val="000000" w:themeColor="text1"/>
          <w:lang w:val="en-GB"/>
        </w:rPr>
        <w:t>s</w:t>
      </w:r>
      <w:r w:rsidRPr="0084038D">
        <w:rPr>
          <w:color w:val="000000" w:themeColor="text1"/>
        </w:rPr>
        <w:t xml:space="preserve"> (16 June 1993) UN Doc S/PV.3238, 2.</w:t>
      </w:r>
    </w:p>
  </w:footnote>
  <w:footnote w:id="167">
    <w:p w14:paraId="29A66767" w14:textId="77777777" w:rsidR="007C1059" w:rsidRPr="0084038D" w:rsidRDefault="007C1059" w:rsidP="00830421">
      <w:pPr>
        <w:pStyle w:val="Funotentext"/>
        <w:rPr>
          <w:noProof/>
          <w:color w:val="000000" w:themeColor="text1"/>
          <w:lang w:val="en-GB"/>
        </w:rPr>
      </w:pPr>
      <w:r w:rsidRPr="0084038D">
        <w:rPr>
          <w:rStyle w:val="Funotenzeichen"/>
          <w:color w:val="000000" w:themeColor="text1"/>
        </w:rPr>
        <w:footnoteRef/>
      </w:r>
      <w:r w:rsidRPr="0084038D">
        <w:rPr>
          <w:color w:val="000000" w:themeColor="text1"/>
        </w:rPr>
        <w:t xml:space="preserve"> UNSC Resolution 1332 (8 October 1997) UN Doc S/RES/1332 [1]</w:t>
      </w:r>
      <w:r w:rsidRPr="0084038D">
        <w:rPr>
          <w:noProof/>
          <w:color w:val="000000" w:themeColor="text1"/>
          <w:lang w:val="en-GB"/>
        </w:rPr>
        <w:t>; UNSC Provisional Records (8 October 1997) UN Doc S/PV.3822, 18.</w:t>
      </w:r>
    </w:p>
  </w:footnote>
  <w:footnote w:id="168">
    <w:p w14:paraId="6FD99802" w14:textId="5149F7B2"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noProof/>
          <w:color w:val="000000" w:themeColor="text1"/>
          <w:lang w:val="en-GB"/>
        </w:rPr>
        <w:t>UNGA Resolution 63/301 (30 June 2009) UN Doc A/RES/63/301 [1] et seq; UNGA Official Records (30 June 2000) UN Doc A/63/PV.93, 12.</w:t>
      </w:r>
    </w:p>
  </w:footnote>
  <w:footnote w:id="169">
    <w:p w14:paraId="09A96A68"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noProof/>
          <w:color w:val="000000" w:themeColor="text1"/>
          <w:lang w:val="en-GB"/>
        </w:rPr>
        <w:t>UNSC Resolution 1975 (30 March 2011) UN Doc S/RES/1975 [4]; UNSC Provisional Records (30 March 2011) UN Doc S/PV.6508, 2.</w:t>
      </w:r>
    </w:p>
  </w:footnote>
  <w:footnote w:id="170">
    <w:p w14:paraId="4363DDFD"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noProof/>
          <w:color w:val="000000" w:themeColor="text1"/>
          <w:lang w:val="en-GB"/>
        </w:rPr>
        <w:t>UNSC Resolution 2337 (19 January 2017) UN Doc S/RES/2337 [2], [7]; UNSC Provisional Records (19 January 2017) UN Doc S/PV.7866, 2.</w:t>
      </w:r>
    </w:p>
  </w:footnote>
  <w:footnote w:id="171">
    <w:p w14:paraId="69481451" w14:textId="20072F4D"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bCs/>
          <w:color w:val="000000" w:themeColor="text1"/>
        </w:rPr>
        <w:t>On</w:t>
      </w:r>
      <w:r w:rsidRPr="0084038D">
        <w:rPr>
          <w:bCs/>
          <w:noProof/>
          <w:color w:val="000000" w:themeColor="text1"/>
          <w:lang w:val="en-GB"/>
        </w:rPr>
        <w:t xml:space="preserve"> Côte d’Ivoire: </w:t>
      </w:r>
      <w:r w:rsidRPr="0084038D">
        <w:rPr>
          <w:noProof/>
          <w:color w:val="000000" w:themeColor="text1"/>
          <w:lang w:val="en-GB"/>
        </w:rPr>
        <w:t>UNGA ‘Report of the Credentials Committee’ (22 December 2010) UN Doc A/65/583/Rev.1; UNGA Resolution 65/237 (23 December 2010) UN Doc A/RES/65/237;</w:t>
      </w:r>
      <w:r w:rsidRPr="0084038D">
        <w:rPr>
          <w:color w:val="000000" w:themeColor="text1"/>
          <w:lang w:val="en-GB"/>
        </w:rPr>
        <w:t xml:space="preserve"> </w:t>
      </w:r>
      <w:r w:rsidRPr="0084038D">
        <w:rPr>
          <w:bCs/>
          <w:color w:val="000000" w:themeColor="text1"/>
        </w:rPr>
        <w:t>On Honduras:</w:t>
      </w:r>
      <w:r w:rsidRPr="0084038D">
        <w:rPr>
          <w:b/>
          <w:bCs/>
          <w:color w:val="000000" w:themeColor="text1"/>
        </w:rPr>
        <w:t xml:space="preserve"> </w:t>
      </w:r>
      <w:r w:rsidRPr="0084038D">
        <w:rPr>
          <w:color w:val="000000" w:themeColor="text1"/>
          <w:lang w:val="en-US"/>
        </w:rPr>
        <w:t xml:space="preserve">UNGA ‘Report of the Credentials Committee’ (17 December 2009) UN Doc A/64/571; UNGA Resolution 64/126 (16 December 2009) UN Doc A/RES/64/126; </w:t>
      </w:r>
      <w:r w:rsidRPr="0084038D">
        <w:rPr>
          <w:bCs/>
          <w:color w:val="000000" w:themeColor="text1"/>
          <w:lang w:val="en-US"/>
        </w:rPr>
        <w:t>On Haiti:</w:t>
      </w:r>
      <w:r w:rsidRPr="0084038D">
        <w:rPr>
          <w:color w:val="000000" w:themeColor="text1"/>
          <w:lang w:val="en-US"/>
        </w:rPr>
        <w:t xml:space="preserve"> UNGA ‘Report of the Credentials Committee’ (20 October 1993) UN Doc A/48/512; UNGA Resolution 48/12 (28 October 1993) UN Doc A/RES/48/12; </w:t>
      </w:r>
      <w:r w:rsidRPr="0084038D">
        <w:rPr>
          <w:bCs/>
          <w:color w:val="000000" w:themeColor="text1"/>
          <w:lang w:val="en-US"/>
        </w:rPr>
        <w:t>On Sierra Leone:</w:t>
      </w:r>
      <w:r w:rsidRPr="0084038D">
        <w:rPr>
          <w:color w:val="000000" w:themeColor="text1"/>
          <w:lang w:val="en-US"/>
        </w:rPr>
        <w:t xml:space="preserve"> UNGA ‘Report of the Credentials Committee’ (11 December 1997) UN Doc A/52/719; UNGA Resolution 52/178 (18 December 1997) UN Doc A/RES/52/178. </w:t>
      </w:r>
    </w:p>
  </w:footnote>
  <w:footnote w:id="172">
    <w:p w14:paraId="0D40465D" w14:textId="46698AED" w:rsidR="007C1059" w:rsidRPr="0084038D" w:rsidRDefault="007C1059" w:rsidP="00830421">
      <w:pPr>
        <w:pStyle w:val="Funotentext"/>
        <w:rPr>
          <w:b/>
          <w:bCs/>
          <w:color w:val="000000" w:themeColor="text1"/>
          <w:highlight w:val="yellow"/>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Eg </w:t>
      </w:r>
      <w:r w:rsidRPr="0084038D">
        <w:rPr>
          <w:noProof/>
          <w:color w:val="000000" w:themeColor="text1"/>
          <w:lang w:val="en-GB"/>
        </w:rPr>
        <w:t>Foreign and Commonwealth Office, ‘UK recognises Juan Guaido as interim President of Venezuela’ (4 February 2019) &lt;</w:t>
      </w:r>
      <w:r w:rsidRPr="0084038D">
        <w:rPr>
          <w:noProof/>
          <w:color w:val="000000" w:themeColor="text1"/>
          <w:lang w:val="en-US"/>
        </w:rPr>
        <w:t>https://www.gov.uk/government/news/uk-recognises-juan-guaido-as-interim-president-of-venezuela</w:t>
      </w:r>
      <w:r w:rsidRPr="0084038D">
        <w:rPr>
          <w:noProof/>
          <w:color w:val="000000" w:themeColor="text1"/>
          <w:lang w:val="en-GB"/>
        </w:rPr>
        <w:t>&gt; accessed 12 January 2025 (</w:t>
      </w:r>
      <w:r w:rsidRPr="0084038D">
        <w:rPr>
          <w:b/>
          <w:bCs/>
          <w:noProof/>
          <w:color w:val="000000" w:themeColor="text1"/>
          <w:lang w:val="en-GB"/>
        </w:rPr>
        <w:t>United Kingdom</w:t>
      </w:r>
      <w:r w:rsidRPr="0084038D">
        <w:rPr>
          <w:noProof/>
          <w:color w:val="000000" w:themeColor="text1"/>
          <w:lang w:val="en-GB"/>
        </w:rPr>
        <w:t>);</w:t>
      </w:r>
      <w:r w:rsidRPr="0084038D">
        <w:rPr>
          <w:color w:val="000000" w:themeColor="text1"/>
          <w:lang w:val="en-GB"/>
        </w:rPr>
        <w:t xml:space="preserve"> UNSC Provisional Verbatim Records (3 October 1991) UN Doc S/PV.3011, 20, 23 (</w:t>
      </w:r>
      <w:r w:rsidRPr="0084038D">
        <w:rPr>
          <w:b/>
          <w:bCs/>
          <w:color w:val="000000" w:themeColor="text1"/>
          <w:lang w:val="en-GB"/>
        </w:rPr>
        <w:t>France</w:t>
      </w:r>
      <w:r w:rsidRPr="0084038D">
        <w:rPr>
          <w:color w:val="000000" w:themeColor="text1"/>
          <w:lang w:val="en-GB"/>
        </w:rPr>
        <w:t xml:space="preserve">, </w:t>
      </w:r>
      <w:r w:rsidRPr="0084038D">
        <w:rPr>
          <w:b/>
          <w:bCs/>
          <w:color w:val="000000" w:themeColor="text1"/>
          <w:lang w:val="en-GB"/>
        </w:rPr>
        <w:t>Austria</w:t>
      </w:r>
      <w:r w:rsidRPr="0084038D">
        <w:rPr>
          <w:color w:val="000000" w:themeColor="text1"/>
          <w:lang w:val="en-GB"/>
        </w:rPr>
        <w:t>).</w:t>
      </w:r>
    </w:p>
  </w:footnote>
  <w:footnote w:id="173">
    <w:p w14:paraId="7DE71FD3"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Niko Pavlopoulos, </w:t>
      </w:r>
      <w:r w:rsidRPr="0084038D">
        <w:rPr>
          <w:i/>
          <w:color w:val="000000" w:themeColor="text1"/>
          <w:lang w:val="en-GB"/>
        </w:rPr>
        <w:t>The Identity of governments in International Law</w:t>
      </w:r>
      <w:r w:rsidRPr="0084038D">
        <w:rPr>
          <w:color w:val="000000" w:themeColor="text1"/>
          <w:lang w:val="en-GB"/>
        </w:rPr>
        <w:t xml:space="preserve"> (Oxford University Press 2024) 9.</w:t>
      </w:r>
    </w:p>
  </w:footnote>
  <w:footnote w:id="174">
    <w:p w14:paraId="26BCEFCB"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Statement of Agreed Facts [1]. </w:t>
      </w:r>
    </w:p>
  </w:footnote>
  <w:footnote w:id="175">
    <w:p w14:paraId="39480840"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Ibid [7].</w:t>
      </w:r>
    </w:p>
  </w:footnote>
  <w:footnote w:id="176">
    <w:p w14:paraId="1B71605C"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Ibid [24].</w:t>
      </w:r>
    </w:p>
  </w:footnote>
  <w:footnote w:id="177">
    <w:p w14:paraId="678A6C7B" w14:textId="77777777" w:rsidR="007C1059" w:rsidRPr="0084038D" w:rsidRDefault="007C1059" w:rsidP="00830421">
      <w:pPr>
        <w:pStyle w:val="Funotentext"/>
        <w:rPr>
          <w:noProof/>
          <w:color w:val="000000" w:themeColor="text1"/>
          <w:lang w:val="en-GB"/>
        </w:rPr>
      </w:pPr>
      <w:r w:rsidRPr="0084038D">
        <w:rPr>
          <w:rStyle w:val="Funotenzeichen"/>
          <w:noProof/>
          <w:color w:val="000000" w:themeColor="text1"/>
        </w:rPr>
        <w:footnoteRef/>
      </w:r>
      <w:r w:rsidRPr="0084038D">
        <w:rPr>
          <w:noProof/>
          <w:color w:val="000000" w:themeColor="text1"/>
          <w:lang w:val="en-GB"/>
        </w:rPr>
        <w:t xml:space="preserve"> Ibid [23], [24].</w:t>
      </w:r>
    </w:p>
  </w:footnote>
  <w:footnote w:id="178">
    <w:p w14:paraId="44709A54" w14:textId="77777777"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Ibid [38].</w:t>
      </w:r>
    </w:p>
  </w:footnote>
  <w:footnote w:id="179">
    <w:p w14:paraId="2EDD54B8" w14:textId="3DD4E53E"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lang w:val="en-GB"/>
        </w:rPr>
        <w:t xml:space="preserve"> </w:t>
      </w:r>
      <w:r w:rsidRPr="0084038D">
        <w:rPr>
          <w:color w:val="000000" w:themeColor="text1"/>
        </w:rPr>
        <w:t xml:space="preserve">Committee on Recognition/Non-Recognition in International Law, ‘Third Report’ in </w:t>
      </w:r>
      <w:r w:rsidRPr="0084038D">
        <w:rPr>
          <w:color w:val="000000" w:themeColor="text1"/>
          <w:lang w:val="en-GB"/>
        </w:rPr>
        <w:t xml:space="preserve">International Law Association </w:t>
      </w:r>
      <w:r w:rsidRPr="0084038D">
        <w:rPr>
          <w:color w:val="000000" w:themeColor="text1"/>
        </w:rPr>
        <w:t xml:space="preserve">Report of the </w:t>
      </w:r>
      <w:r w:rsidRPr="0084038D">
        <w:rPr>
          <w:color w:val="000000" w:themeColor="text1"/>
          <w:lang w:val="en-GB"/>
        </w:rPr>
        <w:t xml:space="preserve">Seventy-seventh Conference (Johannesburg 2016) </w:t>
      </w:r>
      <w:r w:rsidRPr="0084038D">
        <w:rPr>
          <w:color w:val="000000" w:themeColor="text1"/>
        </w:rPr>
        <w:t>(I</w:t>
      </w:r>
      <w:r w:rsidRPr="0084038D">
        <w:rPr>
          <w:color w:val="000000" w:themeColor="text1"/>
          <w:lang w:val="en-GB"/>
        </w:rPr>
        <w:t>nternational Law Association</w:t>
      </w:r>
      <w:r w:rsidRPr="0084038D">
        <w:rPr>
          <w:color w:val="000000" w:themeColor="text1"/>
        </w:rPr>
        <w:t xml:space="preserve">, </w:t>
      </w:r>
      <w:r w:rsidRPr="0084038D">
        <w:rPr>
          <w:color w:val="000000" w:themeColor="text1"/>
          <w:lang w:val="en-GB"/>
        </w:rPr>
        <w:t>London</w:t>
      </w:r>
      <w:r w:rsidRPr="0084038D">
        <w:rPr>
          <w:color w:val="000000" w:themeColor="text1"/>
        </w:rPr>
        <w:t xml:space="preserve"> 201</w:t>
      </w:r>
      <w:r w:rsidRPr="0084038D">
        <w:rPr>
          <w:color w:val="000000" w:themeColor="text1"/>
          <w:lang w:val="en-GB"/>
        </w:rPr>
        <w:t>7</w:t>
      </w:r>
      <w:r w:rsidRPr="0084038D">
        <w:rPr>
          <w:color w:val="000000" w:themeColor="text1"/>
        </w:rPr>
        <w:t xml:space="preserve">) </w:t>
      </w:r>
      <w:r w:rsidRPr="0084038D">
        <w:rPr>
          <w:color w:val="000000" w:themeColor="text1"/>
          <w:lang w:val="en-GB"/>
        </w:rPr>
        <w:t>533, 546.</w:t>
      </w:r>
    </w:p>
  </w:footnote>
  <w:footnote w:id="180">
    <w:p w14:paraId="7C07E644" w14:textId="214220A1"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6D2768">
        <w:rPr>
          <w:i/>
          <w:color w:val="000000" w:themeColor="text1"/>
          <w:lang w:val="en-GB"/>
        </w:rPr>
        <w:t>Opinion No 10</w:t>
      </w:r>
      <w:r w:rsidRPr="006D2768">
        <w:rPr>
          <w:rFonts w:cs="Cambria"/>
          <w:i/>
          <w:color w:val="000000" w:themeColor="text1"/>
          <w:lang w:val="en-GB" w:eastAsia="en-US"/>
        </w:rPr>
        <w:t xml:space="preserve"> of the </w:t>
      </w:r>
      <w:r w:rsidRPr="006D2768">
        <w:rPr>
          <w:i/>
          <w:color w:val="000000" w:themeColor="text1"/>
          <w:lang w:val="en-GB"/>
        </w:rPr>
        <w:t>Conference on Yugoslavia Arbitration Commission</w:t>
      </w:r>
      <w:r w:rsidRPr="0084038D">
        <w:rPr>
          <w:color w:val="000000" w:themeColor="text1"/>
          <w:lang w:val="en-GB"/>
        </w:rPr>
        <w:t xml:space="preserve"> (1992) 92 International Law Reports 206, 208; ILC, ‘Sixth report on unilateral acts of States by Victor Rodriguez Cedeno, Special Rapporteur’ (5 May–6 June and 7 July–8 August) UN Doc A/CN.4/534 (‘</w:t>
      </w:r>
      <w:r w:rsidRPr="001760A1">
        <w:rPr>
          <w:color w:val="000000" w:themeColor="text1"/>
          <w:lang w:val="en-GB"/>
        </w:rPr>
        <w:t>ILC,</w:t>
      </w:r>
      <w:r w:rsidRPr="0084038D">
        <w:rPr>
          <w:i/>
          <w:color w:val="000000" w:themeColor="text1"/>
          <w:lang w:val="en-GB"/>
        </w:rPr>
        <w:t xml:space="preserve"> Sixth Report on unilateral acts of States</w:t>
      </w:r>
      <w:r w:rsidRPr="0084038D">
        <w:rPr>
          <w:color w:val="000000" w:themeColor="text1"/>
          <w:lang w:val="en-GB"/>
        </w:rPr>
        <w:t>’) [39].</w:t>
      </w:r>
    </w:p>
  </w:footnote>
  <w:footnote w:id="181">
    <w:p w14:paraId="5619AD39" w14:textId="500C31FA" w:rsidR="007C1059" w:rsidRPr="0084038D" w:rsidRDefault="007C1059" w:rsidP="00830421">
      <w:pPr>
        <w:pStyle w:val="Funotentext"/>
        <w:rPr>
          <w:color w:val="000000" w:themeColor="text1"/>
          <w:lang w:val="es-ES"/>
        </w:rPr>
      </w:pPr>
      <w:r w:rsidRPr="0084038D">
        <w:rPr>
          <w:rStyle w:val="Funotenzeichen"/>
          <w:color w:val="000000" w:themeColor="text1"/>
        </w:rPr>
        <w:footnoteRef/>
      </w:r>
      <w:r w:rsidRPr="0084038D">
        <w:rPr>
          <w:color w:val="000000" w:themeColor="text1"/>
          <w:lang w:val="es-ES"/>
        </w:rPr>
        <w:t xml:space="preserve"> </w:t>
      </w:r>
      <w:r w:rsidRPr="001760A1">
        <w:rPr>
          <w:color w:val="000000" w:themeColor="text1"/>
          <w:lang w:val="es-ES"/>
        </w:rPr>
        <w:t xml:space="preserve">ILC, </w:t>
      </w:r>
      <w:r w:rsidRPr="0084038D">
        <w:rPr>
          <w:i/>
          <w:color w:val="000000" w:themeColor="text1"/>
          <w:lang w:val="es-ES"/>
        </w:rPr>
        <w:t>Sixth Report on unilateral acts of States</w:t>
      </w:r>
      <w:r w:rsidRPr="0084038D">
        <w:rPr>
          <w:color w:val="000000" w:themeColor="text1"/>
          <w:lang w:val="es-ES"/>
        </w:rPr>
        <w:t xml:space="preserve"> (n </w:t>
      </w:r>
      <w:r w:rsidRPr="0084038D">
        <w:rPr>
          <w:color w:val="000000" w:themeColor="text1"/>
          <w:lang w:val="es-ES"/>
        </w:rPr>
        <w:fldChar w:fldCharType="begin"/>
      </w:r>
      <w:r w:rsidRPr="0084038D">
        <w:rPr>
          <w:color w:val="000000" w:themeColor="text1"/>
          <w:lang w:val="es-ES"/>
        </w:rPr>
        <w:instrText xml:space="preserve"> NOTEREF _Ref187656373 \h </w:instrText>
      </w:r>
      <w:r w:rsidRPr="0084038D">
        <w:rPr>
          <w:color w:val="000000" w:themeColor="text1"/>
          <w:lang w:val="es-ES"/>
        </w:rPr>
      </w:r>
      <w:r w:rsidRPr="0084038D">
        <w:rPr>
          <w:color w:val="000000" w:themeColor="text1"/>
          <w:lang w:val="es-ES"/>
        </w:rPr>
        <w:fldChar w:fldCharType="separate"/>
      </w:r>
      <w:r w:rsidRPr="0084038D">
        <w:rPr>
          <w:color w:val="000000" w:themeColor="text1"/>
          <w:lang w:val="es-ES"/>
        </w:rPr>
        <w:t>180</w:t>
      </w:r>
      <w:r w:rsidRPr="0084038D">
        <w:rPr>
          <w:color w:val="000000" w:themeColor="text1"/>
          <w:lang w:val="es-ES"/>
        </w:rPr>
        <w:fldChar w:fldCharType="end"/>
      </w:r>
      <w:r w:rsidRPr="0084038D">
        <w:rPr>
          <w:color w:val="000000" w:themeColor="text1"/>
          <w:lang w:val="es-ES"/>
        </w:rPr>
        <w:t>) [40].</w:t>
      </w:r>
    </w:p>
  </w:footnote>
  <w:footnote w:id="182">
    <w:p w14:paraId="32173A8D" w14:textId="6EF21915" w:rsidR="007C1059" w:rsidRPr="0084038D" w:rsidRDefault="007C1059" w:rsidP="00830421">
      <w:pPr>
        <w:pStyle w:val="Funotentext"/>
        <w:rPr>
          <w:color w:val="000000" w:themeColor="text1"/>
          <w:lang w:val="en-GB"/>
        </w:rPr>
      </w:pPr>
      <w:r w:rsidRPr="0084038D">
        <w:rPr>
          <w:rStyle w:val="Funotenzeichen"/>
          <w:color w:val="000000" w:themeColor="text1"/>
          <w:shd w:val="clear" w:color="auto" w:fill="FFFFFF" w:themeFill="background1"/>
        </w:rPr>
        <w:footnoteRef/>
      </w:r>
      <w:r w:rsidRPr="0084038D">
        <w:rPr>
          <w:color w:val="000000" w:themeColor="text1"/>
          <w:shd w:val="clear" w:color="auto" w:fill="FFFFFF" w:themeFill="background1"/>
        </w:rPr>
        <w:t xml:space="preserve"> </w:t>
      </w:r>
      <w:r w:rsidRPr="0084038D">
        <w:rPr>
          <w:color w:val="000000" w:themeColor="text1"/>
          <w:shd w:val="clear" w:color="auto" w:fill="FFFFFF" w:themeFill="background1"/>
          <w:lang w:val="en-GB"/>
        </w:rPr>
        <w:t xml:space="preserve">African Union Assembly, ‘Decision on the prevention of unconstitutional changes of government and strengthening the capacity of the African Union to manage such situations’ (2 February 2010) </w:t>
      </w:r>
      <w:r w:rsidRPr="0084038D">
        <w:rPr>
          <w:color w:val="000000" w:themeColor="text1"/>
          <w:shd w:val="clear" w:color="auto" w:fill="FFFFFF" w:themeFill="background1"/>
          <w:lang w:val="en-US"/>
        </w:rPr>
        <w:t>Doc. Assembly/AU/4Dec.269(XIV) Rev.1 [6(i)(c)].</w:t>
      </w:r>
    </w:p>
  </w:footnote>
  <w:footnote w:id="183">
    <w:p w14:paraId="402DFAB4" w14:textId="77777777" w:rsidR="007C1059" w:rsidRPr="0084038D" w:rsidRDefault="007C1059" w:rsidP="00830421">
      <w:pPr>
        <w:pStyle w:val="Funotentext"/>
        <w:rPr>
          <w:noProof/>
          <w:color w:val="000000" w:themeColor="text1"/>
          <w:lang w:val="en-GB"/>
        </w:rPr>
      </w:pPr>
      <w:r w:rsidRPr="0084038D">
        <w:rPr>
          <w:rStyle w:val="Funotenzeichen"/>
          <w:noProof/>
          <w:color w:val="000000" w:themeColor="text1"/>
        </w:rPr>
        <w:footnoteRef/>
      </w:r>
      <w:r w:rsidRPr="0084038D">
        <w:rPr>
          <w:noProof/>
          <w:color w:val="000000" w:themeColor="text1"/>
          <w:lang w:val="en-GB"/>
        </w:rPr>
        <w:t xml:space="preserve"> Statement of Agreed Facts [10].</w:t>
      </w:r>
    </w:p>
  </w:footnote>
  <w:footnote w:id="184">
    <w:p w14:paraId="3EF7B02B"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Robert Alan Dahl, ‘What Political Institutions Does Large-Scale Democracy Require?’ (2005) 120(2) Political Science Quarterly 187, 188.</w:t>
      </w:r>
    </w:p>
  </w:footnote>
  <w:footnote w:id="185">
    <w:p w14:paraId="3F2E4739"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CA7E5B">
        <w:rPr>
          <w:color w:val="000000" w:themeColor="text1"/>
        </w:rPr>
        <w:t>‘protect, verb’,</w:t>
      </w:r>
      <w:r w:rsidRPr="0084038D">
        <w:rPr>
          <w:color w:val="000000" w:themeColor="text1"/>
        </w:rPr>
        <w:t xml:space="preserve"> </w:t>
      </w:r>
      <w:r w:rsidRPr="0084038D">
        <w:rPr>
          <w:i/>
          <w:iCs/>
          <w:color w:val="000000" w:themeColor="text1"/>
        </w:rPr>
        <w:t>Merriam-Webster Online Dictionary</w:t>
      </w:r>
      <w:r w:rsidRPr="0084038D">
        <w:rPr>
          <w:color w:val="000000" w:themeColor="text1"/>
        </w:rPr>
        <w:t xml:space="preserve"> (Merriam-Wester, 2024), &lt;https://www.merriam-webster.com/dictionary/protect&gt; accessed 12 January 2025.</w:t>
      </w:r>
    </w:p>
  </w:footnote>
  <w:footnote w:id="186">
    <w:p w14:paraId="6D6F3B3B" w14:textId="7E07C5B5"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UN Human Rights Committee, ‘General Comment No. 25: The Right to Participate in Public Affairs, Voting Rights and the Right of Equal Access to Public Service (Art. 25)’ (27 August 1996) UN Doc CCPR/C/21/REV.1/ADD.7 [1]; </w:t>
      </w:r>
      <w:r w:rsidRPr="0084038D">
        <w:rPr>
          <w:color w:val="000000" w:themeColor="text1"/>
        </w:rPr>
        <w:t xml:space="preserve">UNGA Resolution 52/129 (12 December 1997) UN Doc A/RES/52/129, Preamble; ‘Support by the United Nations System of the Efforts of Governments to Promote and Consolidate New or Restored Democracies: Report of the Secretary General’ (21 October 1997) UN Doc A/52/513 </w:t>
      </w:r>
      <w:r w:rsidRPr="0084038D">
        <w:rPr>
          <w:color w:val="000000" w:themeColor="text1"/>
          <w:lang w:val="en-US"/>
        </w:rPr>
        <w:t>[30]</w:t>
      </w:r>
      <w:r w:rsidRPr="0084038D">
        <w:rPr>
          <w:color w:val="000000" w:themeColor="text1"/>
        </w:rPr>
        <w:t>.</w:t>
      </w:r>
    </w:p>
  </w:footnote>
  <w:footnote w:id="187">
    <w:p w14:paraId="5F404B5B" w14:textId="77777777" w:rsidR="007C1059" w:rsidRPr="0084038D" w:rsidRDefault="007C1059" w:rsidP="00830421">
      <w:pPr>
        <w:pStyle w:val="Funotentext"/>
        <w:rPr>
          <w:noProof/>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 xml:space="preserve">Statement of Agreed Facts </w:t>
      </w:r>
      <w:r w:rsidRPr="0084038D">
        <w:rPr>
          <w:noProof/>
          <w:color w:val="000000" w:themeColor="text1"/>
          <w:lang w:val="en-GB"/>
        </w:rPr>
        <w:t>[10].</w:t>
      </w:r>
    </w:p>
  </w:footnote>
  <w:footnote w:id="188">
    <w:p w14:paraId="4097C4E4" w14:textId="77777777" w:rsidR="007C1059" w:rsidRPr="0084038D" w:rsidRDefault="007C1059" w:rsidP="00830421">
      <w:pPr>
        <w:pStyle w:val="Funotentext"/>
        <w:rPr>
          <w:color w:val="000000" w:themeColor="text1"/>
        </w:rPr>
      </w:pPr>
      <w:r w:rsidRPr="0084038D">
        <w:rPr>
          <w:rStyle w:val="Funotenzeichen"/>
          <w:color w:val="000000" w:themeColor="text1"/>
        </w:rPr>
        <w:footnoteRef/>
      </w:r>
      <w:r w:rsidRPr="0084038D">
        <w:rPr>
          <w:color w:val="000000" w:themeColor="text1"/>
        </w:rPr>
        <w:t xml:space="preserve"> Ibid [38].</w:t>
      </w:r>
    </w:p>
  </w:footnote>
  <w:footnote w:id="189">
    <w:p w14:paraId="196928B6" w14:textId="4EC3E9CB"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i/>
          <w:iCs/>
          <w:color w:val="000000" w:themeColor="text1"/>
          <w:lang w:val="en-US"/>
        </w:rPr>
        <w:t>Öcalan v Turkey</w:t>
      </w:r>
      <w:r w:rsidRPr="0084038D">
        <w:rPr>
          <w:color w:val="000000" w:themeColor="text1"/>
          <w:lang w:val="en-US"/>
        </w:rPr>
        <w:t xml:space="preserve"> (2003) App No 46221/99 (ECtHR) [185]; </w:t>
      </w:r>
      <w:r w:rsidRPr="0084038D">
        <w:rPr>
          <w:i/>
          <w:iCs/>
          <w:color w:val="000000" w:themeColor="text1"/>
          <w:lang w:val="en-US"/>
        </w:rPr>
        <w:t xml:space="preserve">Clarification of Paragraph 5 of Operative Constitutional Court Resolution No 3-P </w:t>
      </w:r>
      <w:r w:rsidRPr="0084038D">
        <w:rPr>
          <w:color w:val="000000" w:themeColor="text1"/>
          <w:lang w:val="en-US"/>
        </w:rPr>
        <w:t>(1999) 142 International Law Reports 383</w:t>
      </w:r>
      <w:r w:rsidR="005605CF">
        <w:rPr>
          <w:color w:val="000000" w:themeColor="text1"/>
          <w:lang w:val="en-US"/>
        </w:rPr>
        <w:t xml:space="preserve"> (Russian Constitutional Court)</w:t>
      </w:r>
      <w:r w:rsidRPr="0084038D">
        <w:rPr>
          <w:color w:val="000000" w:themeColor="text1"/>
          <w:lang w:val="en-US"/>
        </w:rPr>
        <w:t>, [4.3];</w:t>
      </w:r>
      <w:r w:rsidRPr="0084038D">
        <w:rPr>
          <w:color w:val="000000" w:themeColor="text1"/>
          <w:lang w:val="en-GB"/>
        </w:rPr>
        <w:t xml:space="preserve"> </w:t>
      </w:r>
      <w:r w:rsidRPr="0084038D">
        <w:rPr>
          <w:color w:val="000000" w:themeColor="text1"/>
        </w:rPr>
        <w:t xml:space="preserve">Paolo Palchetti, ‘Article 18 of the 1969 Vienna Convention: A Vague and Ineffective Obligation or a Useful Means for Strengthening Legal Cooperation?’ in Enzo Cannizzaro (ed), </w:t>
      </w:r>
      <w:r w:rsidRPr="0084038D">
        <w:rPr>
          <w:i/>
          <w:iCs/>
          <w:color w:val="000000" w:themeColor="text1"/>
        </w:rPr>
        <w:t>The Law of Treaties Beyond the Vienna Convention</w:t>
      </w:r>
      <w:r w:rsidRPr="0084038D">
        <w:rPr>
          <w:color w:val="000000" w:themeColor="text1"/>
        </w:rPr>
        <w:t xml:space="preserve"> (Oxford University Press 2011) 25, 30</w:t>
      </w:r>
      <w:r w:rsidRPr="0084038D">
        <w:rPr>
          <w:color w:val="000000" w:themeColor="text1"/>
          <w:lang w:val="en-GB"/>
        </w:rPr>
        <w:t xml:space="preserve"> et seq.</w:t>
      </w:r>
    </w:p>
  </w:footnote>
  <w:footnote w:id="190">
    <w:p w14:paraId="724B8556" w14:textId="527B0783"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GB"/>
        </w:rPr>
        <w:t xml:space="preserve">Bruno </w:t>
      </w:r>
      <w:r w:rsidRPr="0084038D">
        <w:rPr>
          <w:color w:val="000000" w:themeColor="text1"/>
        </w:rPr>
        <w:t>Simma</w:t>
      </w:r>
      <w:r w:rsidRPr="0084038D">
        <w:rPr>
          <w:color w:val="000000" w:themeColor="text1"/>
          <w:lang w:val="en-GB"/>
        </w:rPr>
        <w:t xml:space="preserve"> /Christian Tams,</w:t>
      </w:r>
      <w:r w:rsidRPr="0084038D">
        <w:rPr>
          <w:color w:val="000000" w:themeColor="text1"/>
        </w:rPr>
        <w:t xml:space="preserve"> ‘Article 60’ in </w:t>
      </w:r>
      <w:r w:rsidRPr="0084038D">
        <w:rPr>
          <w:color w:val="000000" w:themeColor="text1"/>
          <w:lang w:val="en-GB"/>
        </w:rPr>
        <w:t xml:space="preserve">Olivier, </w:t>
      </w:r>
      <w:r w:rsidRPr="0084038D">
        <w:rPr>
          <w:color w:val="000000" w:themeColor="text1"/>
        </w:rPr>
        <w:t>Corten</w:t>
      </w:r>
      <w:r w:rsidRPr="0084038D">
        <w:rPr>
          <w:color w:val="000000" w:themeColor="text1"/>
          <w:lang w:val="en-GB"/>
        </w:rPr>
        <w:t xml:space="preserve"> /Pierre, </w:t>
      </w:r>
      <w:r w:rsidRPr="0084038D">
        <w:rPr>
          <w:color w:val="000000" w:themeColor="text1"/>
        </w:rPr>
        <w:t>Klein (eds),</w:t>
      </w:r>
      <w:r w:rsidRPr="0084038D">
        <w:rPr>
          <w:i/>
          <w:iCs/>
          <w:color w:val="000000" w:themeColor="text1"/>
        </w:rPr>
        <w:t xml:space="preserve"> The Vienna Convention on the Law of Treaties: A Commentary </w:t>
      </w:r>
      <w:r w:rsidRPr="0084038D">
        <w:rPr>
          <w:color w:val="000000" w:themeColor="text1"/>
        </w:rPr>
        <w:t>(Oxford University Press 2011) 1351,</w:t>
      </w:r>
      <w:r w:rsidRPr="0084038D">
        <w:rPr>
          <w:color w:val="000000" w:themeColor="text1"/>
          <w:lang w:val="en-GB"/>
        </w:rPr>
        <w:t> </w:t>
      </w:r>
      <w:r w:rsidRPr="0084038D">
        <w:rPr>
          <w:color w:val="000000" w:themeColor="text1"/>
        </w:rPr>
        <w:t>1360.</w:t>
      </w:r>
    </w:p>
  </w:footnote>
  <w:footnote w:id="191">
    <w:p w14:paraId="56472F6C" w14:textId="7CF91890"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w:t>
      </w:r>
      <w:r w:rsidRPr="0084038D">
        <w:rPr>
          <w:color w:val="000000" w:themeColor="text1"/>
          <w:lang w:val="en-US"/>
        </w:rPr>
        <w:t>UN Treaty Collection, ‘Status of the United Nations Convention on Jurisdictional Immunities of States and Their Property’ &lt;https://treaties.un.org/Pages/ViewDetails.aspx?src</w:t>
      </w:r>
      <w:r w:rsidRPr="0084038D">
        <w:rPr>
          <w:color w:val="000000" w:themeColor="text1"/>
          <w:lang w:val="en-US"/>
        </w:rPr>
        <w:br/>
        <w:t>=IND&amp;mtdsg_no=III-13&amp;chapter=3&amp;clang=_en&gt; accessed 15 January 2025.</w:t>
      </w:r>
    </w:p>
  </w:footnote>
  <w:footnote w:id="192">
    <w:p w14:paraId="03F333C1" w14:textId="77777777"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Preamble, </w:t>
      </w:r>
      <w:r w:rsidRPr="0084038D">
        <w:rPr>
          <w:color w:val="000000" w:themeColor="text1"/>
          <w:lang w:val="en-US"/>
        </w:rPr>
        <w:t>UNCJISP.</w:t>
      </w:r>
    </w:p>
  </w:footnote>
  <w:footnote w:id="193">
    <w:p w14:paraId="24152DB6" w14:textId="7A814C14" w:rsidR="007C1059" w:rsidRPr="0084038D" w:rsidRDefault="007C1059" w:rsidP="00830421">
      <w:pPr>
        <w:pStyle w:val="Funotentext"/>
        <w:rPr>
          <w:color w:val="000000" w:themeColor="text1"/>
          <w:lang w:val="en-GB"/>
        </w:rPr>
      </w:pPr>
      <w:r w:rsidRPr="0084038D">
        <w:rPr>
          <w:rStyle w:val="Funotenzeichen"/>
          <w:color w:val="000000" w:themeColor="text1"/>
        </w:rPr>
        <w:footnoteRef/>
      </w:r>
      <w:r w:rsidRPr="0084038D">
        <w:rPr>
          <w:color w:val="000000" w:themeColor="text1"/>
        </w:rPr>
        <w:t xml:space="preserve"> </w:t>
      </w:r>
      <w:r w:rsidRPr="0084038D">
        <w:rPr>
          <w:i/>
          <w:iCs/>
          <w:color w:val="000000" w:themeColor="text1"/>
        </w:rPr>
        <w:t>Jurisdictional Immunities</w:t>
      </w:r>
      <w:r w:rsidRPr="0084038D">
        <w:rPr>
          <w:color w:val="000000" w:themeColor="text1"/>
        </w:rPr>
        <w:t xml:space="preserve"> (n</w:t>
      </w:r>
      <w:r w:rsidRPr="007C1059">
        <w:rPr>
          <w:color w:val="000000" w:themeColor="text1"/>
          <w:lang w:val="en-GB"/>
        </w:rPr>
        <w:t xml:space="preserve"> </w:t>
      </w:r>
      <w:r w:rsidRPr="0084038D">
        <w:rPr>
          <w:color w:val="000000" w:themeColor="text1"/>
          <w:lang w:val="en-GB"/>
        </w:rPr>
        <w:fldChar w:fldCharType="begin"/>
      </w:r>
      <w:r w:rsidRPr="0084038D">
        <w:rPr>
          <w:color w:val="000000" w:themeColor="text1"/>
        </w:rPr>
        <w:instrText xml:space="preserve"> NOTEREF _Ref187649905 \h </w:instrText>
      </w:r>
      <w:r w:rsidRPr="0084038D">
        <w:rPr>
          <w:color w:val="000000" w:themeColor="text1"/>
          <w:lang w:val="en-GB"/>
        </w:rPr>
        <w:instrText xml:space="preserve"> \* MERGEFORMAT </w:instrText>
      </w:r>
      <w:r w:rsidRPr="0084038D">
        <w:rPr>
          <w:color w:val="000000" w:themeColor="text1"/>
          <w:lang w:val="en-GB"/>
        </w:rPr>
      </w:r>
      <w:r w:rsidRPr="0084038D">
        <w:rPr>
          <w:color w:val="000000" w:themeColor="text1"/>
          <w:lang w:val="en-GB"/>
        </w:rPr>
        <w:fldChar w:fldCharType="separate"/>
      </w:r>
      <w:r w:rsidRPr="0084038D">
        <w:rPr>
          <w:color w:val="000000" w:themeColor="text1"/>
        </w:rPr>
        <w:t>14</w:t>
      </w:r>
      <w:r w:rsidRPr="0084038D">
        <w:rPr>
          <w:color w:val="000000" w:themeColor="text1"/>
          <w:lang w:val="en-GB"/>
        </w:rPr>
        <w:fldChar w:fldCharType="end"/>
      </w:r>
      <w:r w:rsidRPr="0084038D">
        <w:rPr>
          <w:color w:val="000000" w:themeColor="text1"/>
        </w:rPr>
        <w:t>) [113]</w:t>
      </w:r>
      <w:r w:rsidRPr="0084038D">
        <w:rPr>
          <w:color w:val="000000" w:themeColor="text1"/>
          <w:lang w:val="en-GB"/>
        </w:rPr>
        <w:t>.</w:t>
      </w:r>
    </w:p>
  </w:footnote>
  <w:footnote w:id="194">
    <w:p w14:paraId="5B87543D" w14:textId="7116FCDB"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Chester Brown</w:t>
      </w:r>
      <w:r w:rsidRPr="0084038D">
        <w:rPr>
          <w:color w:val="000000" w:themeColor="text1"/>
          <w:lang w:val="en-GB"/>
        </w:rPr>
        <w:t>/</w:t>
      </w:r>
      <w:r w:rsidRPr="0084038D">
        <w:rPr>
          <w:color w:val="000000" w:themeColor="text1"/>
        </w:rPr>
        <w:t>Roger O’Keefe, ‘Article 19’ in O’Keefe</w:t>
      </w:r>
      <w:r w:rsidRPr="0084038D">
        <w:rPr>
          <w:color w:val="000000" w:themeColor="text1"/>
          <w:lang w:val="en-GB"/>
        </w:rPr>
        <w:t>, Roger/</w:t>
      </w:r>
      <w:r w:rsidRPr="0084038D">
        <w:rPr>
          <w:color w:val="000000" w:themeColor="text1"/>
        </w:rPr>
        <w:t xml:space="preserve">Tams </w:t>
      </w:r>
      <w:r w:rsidRPr="0084038D">
        <w:rPr>
          <w:color w:val="000000" w:themeColor="text1"/>
          <w:lang w:val="en-GB"/>
        </w:rPr>
        <w:t xml:space="preserve">Christian </w:t>
      </w:r>
      <w:r w:rsidRPr="0084038D">
        <w:rPr>
          <w:color w:val="000000" w:themeColor="text1"/>
        </w:rPr>
        <w:t xml:space="preserve">(eds), </w:t>
      </w:r>
      <w:r w:rsidRPr="0084038D">
        <w:rPr>
          <w:i/>
          <w:iCs/>
          <w:color w:val="000000" w:themeColor="text1"/>
        </w:rPr>
        <w:t xml:space="preserve">The United Nations Convention on Jurisdictional Immunities of States and Their Properties: A Commentary </w:t>
      </w:r>
      <w:r w:rsidRPr="0084038D">
        <w:rPr>
          <w:color w:val="000000" w:themeColor="text1"/>
        </w:rPr>
        <w:t>(Oxford University Press 2013) 308.</w:t>
      </w:r>
    </w:p>
  </w:footnote>
  <w:footnote w:id="195">
    <w:p w14:paraId="71B7A00B" w14:textId="77777777"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Statement of Agreed Facts [68].</w:t>
      </w:r>
    </w:p>
  </w:footnote>
  <w:footnote w:id="196">
    <w:p w14:paraId="2C83B7D0" w14:textId="08061718" w:rsidR="007C1059" w:rsidRPr="0084038D" w:rsidRDefault="007C1059" w:rsidP="00830421">
      <w:pPr>
        <w:pStyle w:val="Funotentext"/>
        <w:rPr>
          <w:color w:val="000000" w:themeColor="text1"/>
          <w:lang w:val="en-US"/>
        </w:rPr>
      </w:pPr>
      <w:r w:rsidRPr="0084038D">
        <w:rPr>
          <w:rStyle w:val="Funotenzeichen"/>
          <w:color w:val="000000" w:themeColor="text1"/>
        </w:rPr>
        <w:footnoteRef/>
      </w:r>
      <w:r w:rsidRPr="0084038D">
        <w:rPr>
          <w:color w:val="000000" w:themeColor="text1"/>
        </w:rPr>
        <w:t xml:space="preserve"> See 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095DB" w14:textId="77777777" w:rsidR="007C1059" w:rsidRDefault="007C1059" w:rsidP="008D5097">
    <w:pPr>
      <w:pStyle w:val="Kopfzeile"/>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upperLetter"/>
      <w:lvlText w:val="%1."/>
      <w:lvlJc w:val="left"/>
      <w:pPr>
        <w:tabs>
          <w:tab w:val="num" w:pos="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lowerLetter"/>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9"/>
    <w:lvl w:ilvl="0">
      <w:start w:val="3"/>
      <w:numFmt w:val="upperRoman"/>
      <w:lvlText w:val="%1."/>
      <w:lvlJc w:val="right"/>
      <w:pPr>
        <w:tabs>
          <w:tab w:val="num" w:pos="0"/>
        </w:tabs>
        <w:ind w:left="720" w:hanging="180"/>
      </w:pPr>
    </w:lvl>
  </w:abstractNum>
  <w:abstractNum w:abstractNumId="8" w15:restartNumberingAfterBreak="0">
    <w:nsid w:val="05287FC3"/>
    <w:multiLevelType w:val="multilevel"/>
    <w:tmpl w:val="905C82F0"/>
    <w:styleLink w:val="Formatvorlage1"/>
    <w:lvl w:ilvl="0">
      <w:start w:val="1"/>
      <w:numFmt w:val="upperLetter"/>
      <w:lvlText w:val="%1."/>
      <w:lvlJc w:val="left"/>
      <w:pPr>
        <w:ind w:left="360" w:hanging="360"/>
      </w:pPr>
      <w:rPr>
        <w:rFonts w:hint="default"/>
        <w:u w:val="none"/>
      </w:rPr>
    </w:lvl>
    <w:lvl w:ilvl="1">
      <w:start w:val="1"/>
      <w:numFmt w:val="upperRoman"/>
      <w:lvlText w:val="%2."/>
      <w:lvlJc w:val="left"/>
      <w:pPr>
        <w:ind w:left="1080" w:hanging="360"/>
      </w:pPr>
      <w:rPr>
        <w:rFonts w:hint="default"/>
        <w:u w:val="none"/>
      </w:rPr>
    </w:lvl>
    <w:lvl w:ilvl="2">
      <w:start w:val="1"/>
      <w:numFmt w:val="decimal"/>
      <w:lvlText w:val="%3."/>
      <w:lvlJc w:val="left"/>
      <w:pPr>
        <w:ind w:left="1800" w:hanging="360"/>
      </w:pPr>
      <w:rPr>
        <w:rFonts w:hint="default"/>
      </w:rPr>
    </w:lvl>
    <w:lvl w:ilvl="3">
      <w:start w:val="1"/>
      <w:numFmt w:val="lowerLetter"/>
      <w:lvlText w:val="%4."/>
      <w:lvlJc w:val="left"/>
      <w:pPr>
        <w:ind w:left="252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800982"/>
    <w:multiLevelType w:val="hybridMultilevel"/>
    <w:tmpl w:val="E100662A"/>
    <w:styleLink w:val="Nummeriert"/>
    <w:lvl w:ilvl="0" w:tplc="CE063E92">
      <w:start w:val="1"/>
      <w:numFmt w:val="lowerLetter"/>
      <w:lvlText w:val="%1)"/>
      <w:lvlJc w:val="left"/>
      <w:pPr>
        <w:ind w:left="3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C292A6">
      <w:start w:val="1"/>
      <w:numFmt w:val="lowerLetter"/>
      <w:lvlText w:val="%2)"/>
      <w:lvlJc w:val="left"/>
      <w:pPr>
        <w:ind w:left="7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02F00">
      <w:start w:val="1"/>
      <w:numFmt w:val="decimal"/>
      <w:lvlText w:val="%3."/>
      <w:lvlJc w:val="left"/>
      <w:pPr>
        <w:ind w:left="11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2C6C46">
      <w:start w:val="1"/>
      <w:numFmt w:val="decimal"/>
      <w:lvlText w:val="%4."/>
      <w:lvlJc w:val="left"/>
      <w:pPr>
        <w:ind w:left="14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14A9A4">
      <w:start w:val="1"/>
      <w:numFmt w:val="decimal"/>
      <w:lvlText w:val="%5."/>
      <w:lvlJc w:val="left"/>
      <w:pPr>
        <w:ind w:left="183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823A34">
      <w:start w:val="1"/>
      <w:numFmt w:val="decimal"/>
      <w:lvlText w:val="%6."/>
      <w:lvlJc w:val="left"/>
      <w:pPr>
        <w:ind w:left="21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B4D736">
      <w:start w:val="1"/>
      <w:numFmt w:val="decimal"/>
      <w:lvlText w:val="%7."/>
      <w:lvlJc w:val="left"/>
      <w:pPr>
        <w:ind w:left="25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A39E0">
      <w:start w:val="1"/>
      <w:numFmt w:val="decimal"/>
      <w:lvlText w:val="%8."/>
      <w:lvlJc w:val="left"/>
      <w:pPr>
        <w:ind w:left="29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66559A">
      <w:start w:val="1"/>
      <w:numFmt w:val="decimal"/>
      <w:lvlText w:val="%9."/>
      <w:lvlJc w:val="left"/>
      <w:pPr>
        <w:ind w:left="32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0AE0FA1"/>
    <w:multiLevelType w:val="hybridMultilevel"/>
    <w:tmpl w:val="741CC2B2"/>
    <w:lvl w:ilvl="0" w:tplc="4606B79A">
      <w:start w:val="1"/>
      <w:numFmt w:val="lowerRoman"/>
      <w:pStyle w:val="berschrift6"/>
      <w:lvlText w:val="%1."/>
      <w:lvlJc w:val="right"/>
      <w:pPr>
        <w:tabs>
          <w:tab w:val="num" w:pos="1073"/>
        </w:tabs>
        <w:ind w:left="1073"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4123327"/>
    <w:multiLevelType w:val="hybridMultilevel"/>
    <w:tmpl w:val="56462A56"/>
    <w:lvl w:ilvl="0" w:tplc="89F87024">
      <w:start w:val="1"/>
      <w:numFmt w:val="upperLetter"/>
      <w:pStyle w:val="berschrift1"/>
      <w:lvlText w:val="%1."/>
      <w:lvlJc w:val="left"/>
      <w:pPr>
        <w:ind w:left="360" w:hanging="360"/>
      </w:pPr>
      <w:rPr>
        <w:rFonts w:eastAsia="Cambria" w:cs="Cambria"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4F62BBF"/>
    <w:multiLevelType w:val="hybridMultilevel"/>
    <w:tmpl w:val="FFDA1CFC"/>
    <w:name w:val="Simple List·I#1393"/>
    <w:lvl w:ilvl="0" w:tplc="3E84A6AC">
      <w:start w:val="1"/>
      <w:numFmt w:val="upperRoman"/>
      <w:lvlText w:val="%1."/>
      <w:lvlJc w:val="left"/>
      <w:pPr>
        <w:tabs>
          <w:tab w:val="num" w:pos="1440"/>
        </w:tabs>
        <w:ind w:left="1440" w:hanging="360"/>
      </w:pPr>
      <w:rPr>
        <w:rFonts w:ascii="Times New Roman" w:eastAsia="Cambria" w:hAnsi="Times New Roman" w:cs="Times New Roman"/>
        <w:b w:val="0"/>
        <w:bCs w:val="0"/>
        <w:i w:val="0"/>
        <w:iCs w:val="0"/>
        <w:spacing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6442BC"/>
    <w:multiLevelType w:val="hybridMultilevel"/>
    <w:tmpl w:val="35AC5780"/>
    <w:lvl w:ilvl="0" w:tplc="20C0CB14">
      <w:start w:val="1"/>
      <w:numFmt w:val="decimal"/>
      <w:pStyle w:val="berschrift3a"/>
      <w:lvlText w:val="%1."/>
      <w:lvlJc w:val="left"/>
      <w:pPr>
        <w:ind w:left="851" w:hanging="284"/>
      </w:pPr>
      <w:rPr>
        <w:rFonts w:hint="default"/>
      </w:rPr>
    </w:lvl>
    <w:lvl w:ilvl="1" w:tplc="3C501602">
      <w:numFmt w:val="none"/>
      <w:lvlText w:val=""/>
      <w:lvlJc w:val="left"/>
      <w:pPr>
        <w:tabs>
          <w:tab w:val="num" w:pos="360"/>
        </w:tabs>
      </w:pPr>
    </w:lvl>
    <w:lvl w:ilvl="2" w:tplc="A08E0464">
      <w:numFmt w:val="decimal"/>
      <w:lvlText w:val=""/>
      <w:lvlJc w:val="left"/>
    </w:lvl>
    <w:lvl w:ilvl="3" w:tplc="EC46C478">
      <w:numFmt w:val="decimal"/>
      <w:lvlText w:val=""/>
      <w:lvlJc w:val="left"/>
    </w:lvl>
    <w:lvl w:ilvl="4" w:tplc="ACF6CF04">
      <w:numFmt w:val="decimal"/>
      <w:lvlText w:val=""/>
      <w:lvlJc w:val="left"/>
    </w:lvl>
    <w:lvl w:ilvl="5" w:tplc="81703310">
      <w:numFmt w:val="decimal"/>
      <w:lvlText w:val=""/>
      <w:lvlJc w:val="left"/>
    </w:lvl>
    <w:lvl w:ilvl="6" w:tplc="4A02B2AA">
      <w:numFmt w:val="decimal"/>
      <w:lvlText w:val=""/>
      <w:lvlJc w:val="left"/>
    </w:lvl>
    <w:lvl w:ilvl="7" w:tplc="CB7E2A84">
      <w:numFmt w:val="decimal"/>
      <w:lvlText w:val=""/>
      <w:lvlJc w:val="left"/>
    </w:lvl>
    <w:lvl w:ilvl="8" w:tplc="5D286374">
      <w:numFmt w:val="decimal"/>
      <w:lvlText w:val=""/>
      <w:lvlJc w:val="left"/>
    </w:lvl>
  </w:abstractNum>
  <w:abstractNum w:abstractNumId="14" w15:restartNumberingAfterBreak="0">
    <w:nsid w:val="2C574FFB"/>
    <w:multiLevelType w:val="hybridMultilevel"/>
    <w:tmpl w:val="04128C64"/>
    <w:lvl w:ilvl="0" w:tplc="67606362">
      <w:start w:val="1"/>
      <w:numFmt w:val="upperRoman"/>
      <w:pStyle w:val="berschrift2"/>
      <w:lvlText w:val="%1."/>
      <w:lvlJc w:val="right"/>
      <w:pPr>
        <w:ind w:left="757" w:hanging="360"/>
      </w:pPr>
      <w:rPr>
        <w:rFonts w:hint="default"/>
        <w:b/>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5" w15:restartNumberingAfterBreak="0">
    <w:nsid w:val="33546303"/>
    <w:multiLevelType w:val="hybridMultilevel"/>
    <w:tmpl w:val="00004D82"/>
    <w:lvl w:ilvl="0" w:tplc="D3BA3762">
      <w:start w:val="1"/>
      <w:numFmt w:val="upperLetter"/>
      <w:lvlText w:val="%1."/>
      <w:lvlJc w:val="left"/>
      <w:pPr>
        <w:ind w:left="644" w:hanging="360"/>
      </w:pPr>
      <w:rPr>
        <w:b/>
        <w:bCs/>
      </w:rPr>
    </w:lvl>
    <w:lvl w:ilvl="1" w:tplc="04080019">
      <w:start w:val="1"/>
      <w:numFmt w:val="lowerLetter"/>
      <w:lvlText w:val="%2."/>
      <w:lvlJc w:val="left"/>
      <w:pPr>
        <w:ind w:left="1364" w:hanging="360"/>
      </w:pPr>
    </w:lvl>
    <w:lvl w:ilvl="2" w:tplc="0408001B">
      <w:start w:val="1"/>
      <w:numFmt w:val="lowerRoman"/>
      <w:lvlText w:val="%3."/>
      <w:lvlJc w:val="right"/>
      <w:pPr>
        <w:ind w:left="2084" w:hanging="180"/>
      </w:pPr>
    </w:lvl>
    <w:lvl w:ilvl="3" w:tplc="0408000F">
      <w:start w:val="1"/>
      <w:numFmt w:val="decimal"/>
      <w:lvlText w:val="%4."/>
      <w:lvlJc w:val="left"/>
      <w:pPr>
        <w:ind w:left="2804" w:hanging="360"/>
      </w:pPr>
    </w:lvl>
    <w:lvl w:ilvl="4" w:tplc="04080019">
      <w:start w:val="1"/>
      <w:numFmt w:val="lowerLetter"/>
      <w:lvlText w:val="%5."/>
      <w:lvlJc w:val="left"/>
      <w:pPr>
        <w:ind w:left="3524" w:hanging="360"/>
      </w:pPr>
    </w:lvl>
    <w:lvl w:ilvl="5" w:tplc="0408001B">
      <w:start w:val="1"/>
      <w:numFmt w:val="lowerRoman"/>
      <w:lvlText w:val="%6."/>
      <w:lvlJc w:val="right"/>
      <w:pPr>
        <w:ind w:left="4244" w:hanging="180"/>
      </w:pPr>
    </w:lvl>
    <w:lvl w:ilvl="6" w:tplc="0408000F">
      <w:start w:val="1"/>
      <w:numFmt w:val="decimal"/>
      <w:lvlText w:val="%7."/>
      <w:lvlJc w:val="left"/>
      <w:pPr>
        <w:ind w:left="4964" w:hanging="360"/>
      </w:pPr>
    </w:lvl>
    <w:lvl w:ilvl="7" w:tplc="04080019">
      <w:start w:val="1"/>
      <w:numFmt w:val="lowerLetter"/>
      <w:lvlText w:val="%8."/>
      <w:lvlJc w:val="left"/>
      <w:pPr>
        <w:ind w:left="5684" w:hanging="360"/>
      </w:pPr>
    </w:lvl>
    <w:lvl w:ilvl="8" w:tplc="0408001B">
      <w:start w:val="1"/>
      <w:numFmt w:val="lowerRoman"/>
      <w:lvlText w:val="%9."/>
      <w:lvlJc w:val="right"/>
      <w:pPr>
        <w:ind w:left="6404" w:hanging="180"/>
      </w:pPr>
    </w:lvl>
  </w:abstractNum>
  <w:abstractNum w:abstractNumId="16" w15:restartNumberingAfterBreak="0">
    <w:nsid w:val="33BF55E2"/>
    <w:multiLevelType w:val="hybridMultilevel"/>
    <w:tmpl w:val="94366860"/>
    <w:lvl w:ilvl="0" w:tplc="9F306306">
      <w:numFmt w:val="decimal"/>
      <w:pStyle w:val="Exzerpte-5"/>
      <w:lvlText w:val=""/>
      <w:lvlJc w:val="left"/>
    </w:lvl>
    <w:lvl w:ilvl="1" w:tplc="040C0019">
      <w:numFmt w:val="decimal"/>
      <w:lvlText w:val=""/>
      <w:lvlJc w:val="left"/>
    </w:lvl>
    <w:lvl w:ilvl="2" w:tplc="040C001B">
      <w:numFmt w:val="decimal"/>
      <w:lvlText w:val=""/>
      <w:lvlJc w:val="left"/>
    </w:lvl>
    <w:lvl w:ilvl="3" w:tplc="040C000F">
      <w:numFmt w:val="decimal"/>
      <w:lvlText w:val=""/>
      <w:lvlJc w:val="left"/>
    </w:lvl>
    <w:lvl w:ilvl="4" w:tplc="040C0019">
      <w:numFmt w:val="decimal"/>
      <w:lvlText w:val=""/>
      <w:lvlJc w:val="left"/>
    </w:lvl>
    <w:lvl w:ilvl="5" w:tplc="040C001B">
      <w:numFmt w:val="decimal"/>
      <w:lvlText w:val=""/>
      <w:lvlJc w:val="left"/>
    </w:lvl>
    <w:lvl w:ilvl="6" w:tplc="040C000F">
      <w:numFmt w:val="decimal"/>
      <w:lvlText w:val=""/>
      <w:lvlJc w:val="left"/>
    </w:lvl>
    <w:lvl w:ilvl="7" w:tplc="040C0019">
      <w:numFmt w:val="decimal"/>
      <w:lvlText w:val=""/>
      <w:lvlJc w:val="left"/>
    </w:lvl>
    <w:lvl w:ilvl="8" w:tplc="040C001B">
      <w:numFmt w:val="decimal"/>
      <w:lvlText w:val=""/>
      <w:lvlJc w:val="left"/>
    </w:lvl>
  </w:abstractNum>
  <w:abstractNum w:abstractNumId="17" w15:restartNumberingAfterBreak="0">
    <w:nsid w:val="3BFD2AD6"/>
    <w:multiLevelType w:val="hybridMultilevel"/>
    <w:tmpl w:val="F87A181C"/>
    <w:styleLink w:val="ImportedStyle13"/>
    <w:lvl w:ilvl="0" w:tplc="68BC60EE">
      <w:start w:val="1"/>
      <w:numFmt w:val="decimal"/>
      <w:suff w:val="nothing"/>
      <w:lvlText w:val="%1."/>
      <w:lvlJc w:val="left"/>
      <w:pPr>
        <w:ind w:left="284"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2E3C9C">
      <w:start w:val="1"/>
      <w:numFmt w:val="lowerLetter"/>
      <w:lvlText w:val="%2."/>
      <w:lvlJc w:val="left"/>
      <w:pPr>
        <w:ind w:left="3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46C5658">
      <w:start w:val="1"/>
      <w:numFmt w:val="lowerRoman"/>
      <w:lvlText w:val="%3."/>
      <w:lvlJc w:val="left"/>
      <w:pPr>
        <w:tabs>
          <w:tab w:val="num" w:pos="420"/>
        </w:tabs>
        <w:ind w:left="3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647DCE">
      <w:start w:val="1"/>
      <w:numFmt w:val="decimal"/>
      <w:lvlText w:val="%4."/>
      <w:lvlJc w:val="left"/>
      <w:pPr>
        <w:ind w:left="3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46FE6C">
      <w:start w:val="1"/>
      <w:numFmt w:val="lowerLetter"/>
      <w:lvlText w:val="%5."/>
      <w:lvlJc w:val="left"/>
      <w:pPr>
        <w:ind w:left="3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0CC2F0">
      <w:start w:val="1"/>
      <w:numFmt w:val="lowerRoman"/>
      <w:lvlText w:val="%6."/>
      <w:lvlJc w:val="left"/>
      <w:pPr>
        <w:tabs>
          <w:tab w:val="num" w:pos="420"/>
        </w:tabs>
        <w:ind w:left="3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07852">
      <w:start w:val="1"/>
      <w:numFmt w:val="decimal"/>
      <w:lvlText w:val="%7."/>
      <w:lvlJc w:val="left"/>
      <w:pPr>
        <w:ind w:left="3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2ACA6C">
      <w:start w:val="1"/>
      <w:numFmt w:val="lowerLetter"/>
      <w:lvlText w:val="%8."/>
      <w:lvlJc w:val="left"/>
      <w:pPr>
        <w:ind w:left="360" w:hanging="2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D65752">
      <w:start w:val="1"/>
      <w:numFmt w:val="lowerRoman"/>
      <w:lvlText w:val="%9."/>
      <w:lvlJc w:val="left"/>
      <w:pPr>
        <w:tabs>
          <w:tab w:val="num" w:pos="420"/>
        </w:tabs>
        <w:ind w:left="30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7D750ED"/>
    <w:multiLevelType w:val="hybridMultilevel"/>
    <w:tmpl w:val="6494FB32"/>
    <w:styleLink w:val="ImportedStyle131"/>
    <w:lvl w:ilvl="0" w:tplc="7000388A">
      <w:numFmt w:val="decimal"/>
      <w:pStyle w:val="Exzerpte-6"/>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19" w15:restartNumberingAfterBreak="0">
    <w:nsid w:val="48676592"/>
    <w:multiLevelType w:val="hybridMultilevel"/>
    <w:tmpl w:val="4424A984"/>
    <w:lvl w:ilvl="0" w:tplc="B580A7F6">
      <w:start w:val="1"/>
      <w:numFmt w:val="lowerRoman"/>
      <w:pStyle w:val="berschrift5"/>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CA3365"/>
    <w:multiLevelType w:val="hybridMultilevel"/>
    <w:tmpl w:val="A112B598"/>
    <w:lvl w:ilvl="0" w:tplc="007E2DFC">
      <w:start w:val="1"/>
      <w:numFmt w:val="lowerLetter"/>
      <w:pStyle w:val="berschrift4"/>
      <w:lvlText w:val="%1."/>
      <w:lvlJc w:val="left"/>
      <w:pPr>
        <w:ind w:left="1213" w:hanging="362"/>
      </w:pPr>
      <w:rPr>
        <w:rFonts w:hint="default"/>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1" w15:restartNumberingAfterBreak="0">
    <w:nsid w:val="6FCF2B65"/>
    <w:multiLevelType w:val="hybridMultilevel"/>
    <w:tmpl w:val="3CD8BC4E"/>
    <w:lvl w:ilvl="0" w:tplc="95EE3010">
      <w:numFmt w:val="decimal"/>
      <w:pStyle w:val="Exzerpte-4a"/>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22" w15:restartNumberingAfterBreak="0">
    <w:nsid w:val="70B35736"/>
    <w:multiLevelType w:val="hybridMultilevel"/>
    <w:tmpl w:val="04D0FFAE"/>
    <w:styleLink w:val="Nummeriert0"/>
    <w:lvl w:ilvl="0" w:tplc="4C944668">
      <w:start w:val="1"/>
      <w:numFmt w:val="lowerLetter"/>
      <w:lvlText w:val="%1)"/>
      <w:lvlJc w:val="left"/>
      <w:pPr>
        <w:ind w:left="3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B0E6E0">
      <w:start w:val="1"/>
      <w:numFmt w:val="lowerLetter"/>
      <w:lvlText w:val="%2)"/>
      <w:lvlJc w:val="left"/>
      <w:pPr>
        <w:ind w:left="7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747776">
      <w:start w:val="1"/>
      <w:numFmt w:val="decimal"/>
      <w:lvlText w:val="%3."/>
      <w:lvlJc w:val="left"/>
      <w:pPr>
        <w:ind w:left="11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9A03C6">
      <w:start w:val="1"/>
      <w:numFmt w:val="decimal"/>
      <w:lvlText w:val="%4."/>
      <w:lvlJc w:val="left"/>
      <w:pPr>
        <w:ind w:left="14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E442FC">
      <w:start w:val="1"/>
      <w:numFmt w:val="decimal"/>
      <w:lvlText w:val="%5."/>
      <w:lvlJc w:val="left"/>
      <w:pPr>
        <w:ind w:left="183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465228">
      <w:start w:val="1"/>
      <w:numFmt w:val="decimal"/>
      <w:lvlText w:val="%6."/>
      <w:lvlJc w:val="left"/>
      <w:pPr>
        <w:ind w:left="21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80B568">
      <w:start w:val="1"/>
      <w:numFmt w:val="decimal"/>
      <w:lvlText w:val="%7."/>
      <w:lvlJc w:val="left"/>
      <w:pPr>
        <w:ind w:left="25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58B180">
      <w:start w:val="1"/>
      <w:numFmt w:val="decimal"/>
      <w:lvlText w:val="%8."/>
      <w:lvlJc w:val="left"/>
      <w:pPr>
        <w:ind w:left="29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12B250">
      <w:start w:val="1"/>
      <w:numFmt w:val="decimal"/>
      <w:lvlText w:val="%9."/>
      <w:lvlJc w:val="left"/>
      <w:pPr>
        <w:ind w:left="32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1A47F02"/>
    <w:multiLevelType w:val="hybridMultilevel"/>
    <w:tmpl w:val="59EC4D4C"/>
    <w:lvl w:ilvl="0" w:tplc="36967AE4">
      <w:numFmt w:val="decimal"/>
      <w:pStyle w:val="Exzerpte-4"/>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24" w15:restartNumberingAfterBreak="0">
    <w:nsid w:val="71CB4BED"/>
    <w:multiLevelType w:val="hybridMultilevel"/>
    <w:tmpl w:val="320EAFA0"/>
    <w:lvl w:ilvl="0" w:tplc="C83A0CB6">
      <w:numFmt w:val="decimal"/>
      <w:pStyle w:val="Exzerpte-7"/>
      <w:lvlText w:val=""/>
      <w:lvlJc w:val="left"/>
    </w:lvl>
    <w:lvl w:ilvl="1" w:tplc="04070019">
      <w:numFmt w:val="decimal"/>
      <w:lvlText w:val=""/>
      <w:lvlJc w:val="left"/>
    </w:lvl>
    <w:lvl w:ilvl="2" w:tplc="0407001B">
      <w:numFmt w:val="decimal"/>
      <w:lvlText w:val=""/>
      <w:lvlJc w:val="left"/>
    </w:lvl>
    <w:lvl w:ilvl="3" w:tplc="0407000F">
      <w:numFmt w:val="decimal"/>
      <w:lvlText w:val=""/>
      <w:lvlJc w:val="left"/>
    </w:lvl>
    <w:lvl w:ilvl="4" w:tplc="04070019">
      <w:numFmt w:val="decimal"/>
      <w:lvlText w:val=""/>
      <w:lvlJc w:val="left"/>
    </w:lvl>
    <w:lvl w:ilvl="5" w:tplc="0407001B">
      <w:numFmt w:val="decimal"/>
      <w:lvlText w:val=""/>
      <w:lvlJc w:val="left"/>
    </w:lvl>
    <w:lvl w:ilvl="6" w:tplc="0407000F">
      <w:numFmt w:val="decimal"/>
      <w:lvlText w:val=""/>
      <w:lvlJc w:val="left"/>
    </w:lvl>
    <w:lvl w:ilvl="7" w:tplc="04070019">
      <w:numFmt w:val="decimal"/>
      <w:lvlText w:val=""/>
      <w:lvlJc w:val="left"/>
    </w:lvl>
    <w:lvl w:ilvl="8" w:tplc="0407001B">
      <w:numFmt w:val="decimal"/>
      <w:lvlText w:val=""/>
      <w:lvlJc w:val="left"/>
    </w:lvl>
  </w:abstractNum>
  <w:abstractNum w:abstractNumId="25" w15:restartNumberingAfterBreak="0">
    <w:nsid w:val="71FB7F99"/>
    <w:multiLevelType w:val="hybridMultilevel"/>
    <w:tmpl w:val="DDF6C02C"/>
    <w:styleLink w:val="Harvard"/>
    <w:lvl w:ilvl="0" w:tplc="D9A425CA">
      <w:start w:val="1"/>
      <w:numFmt w:val="upperLetter"/>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1C98B8">
      <w:start w:val="1"/>
      <w:numFmt w:val="upperRoman"/>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E67142">
      <w:start w:val="1"/>
      <w:numFmt w:val="decimal"/>
      <w:lvlText w:val="%3."/>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F0433A">
      <w:start w:val="1"/>
      <w:numFmt w:val="lowerLetter"/>
      <w:lvlText w:val="%4)"/>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3C8582">
      <w:start w:val="1"/>
      <w:numFmt w:val="decimal"/>
      <w:lvlText w:val="(%5)"/>
      <w:lvlJc w:val="left"/>
      <w:pPr>
        <w:ind w:left="183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6C1238">
      <w:start w:val="1"/>
      <w:numFmt w:val="lowerLetter"/>
      <w:lvlText w:val="(%6)"/>
      <w:lvlJc w:val="left"/>
      <w:pPr>
        <w:ind w:left="219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BABDAE">
      <w:start w:val="1"/>
      <w:numFmt w:val="lowerRoman"/>
      <w:lvlText w:val="%7)"/>
      <w:lvlJc w:val="left"/>
      <w:pPr>
        <w:ind w:left="255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04F6D6">
      <w:start w:val="1"/>
      <w:numFmt w:val="decimal"/>
      <w:lvlText w:val="(%8)"/>
      <w:lvlJc w:val="left"/>
      <w:pPr>
        <w:ind w:left="291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784550">
      <w:start w:val="1"/>
      <w:numFmt w:val="lowerLetter"/>
      <w:lvlText w:val="(%9)"/>
      <w:lvlJc w:val="left"/>
      <w:pPr>
        <w:ind w:left="3273" w:hanging="3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CF0630"/>
    <w:multiLevelType w:val="hybridMultilevel"/>
    <w:tmpl w:val="0EF4E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FF341D"/>
    <w:multiLevelType w:val="hybridMultilevel"/>
    <w:tmpl w:val="165C438E"/>
    <w:lvl w:ilvl="0" w:tplc="19261894">
      <w:start w:val="1"/>
      <w:numFmt w:val="upperLetter"/>
      <w:lvlText w:val="%1."/>
      <w:lvlJc w:val="left"/>
      <w:pPr>
        <w:ind w:left="72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7D274B2"/>
    <w:multiLevelType w:val="hybridMultilevel"/>
    <w:tmpl w:val="509E509A"/>
    <w:styleLink w:val="Nummeriert1"/>
    <w:lvl w:ilvl="0" w:tplc="9D820012">
      <w:start w:val="1"/>
      <w:numFmt w:val="lowerLetter"/>
      <w:lvlText w:val="%1)"/>
      <w:lvlJc w:val="left"/>
      <w:pPr>
        <w:ind w:left="3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EE1322">
      <w:start w:val="1"/>
      <w:numFmt w:val="lowerLetter"/>
      <w:lvlText w:val="%2)"/>
      <w:lvlJc w:val="left"/>
      <w:pPr>
        <w:ind w:left="7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1A38E2">
      <w:start w:val="1"/>
      <w:numFmt w:val="decimal"/>
      <w:lvlText w:val="%3."/>
      <w:lvlJc w:val="left"/>
      <w:pPr>
        <w:ind w:left="11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7EF7A0">
      <w:start w:val="1"/>
      <w:numFmt w:val="decimal"/>
      <w:lvlText w:val="%4."/>
      <w:lvlJc w:val="left"/>
      <w:pPr>
        <w:ind w:left="14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108780">
      <w:start w:val="1"/>
      <w:numFmt w:val="decimal"/>
      <w:lvlText w:val="%5."/>
      <w:lvlJc w:val="left"/>
      <w:pPr>
        <w:ind w:left="183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C84B06">
      <w:start w:val="1"/>
      <w:numFmt w:val="decimal"/>
      <w:lvlText w:val="%6."/>
      <w:lvlJc w:val="left"/>
      <w:pPr>
        <w:ind w:left="219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224120">
      <w:start w:val="1"/>
      <w:numFmt w:val="decimal"/>
      <w:lvlText w:val="%7."/>
      <w:lvlJc w:val="left"/>
      <w:pPr>
        <w:ind w:left="255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B28122">
      <w:start w:val="1"/>
      <w:numFmt w:val="decimal"/>
      <w:lvlText w:val="%8."/>
      <w:lvlJc w:val="left"/>
      <w:pPr>
        <w:ind w:left="291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8C1970">
      <w:start w:val="1"/>
      <w:numFmt w:val="decimal"/>
      <w:lvlText w:val="%9."/>
      <w:lvlJc w:val="left"/>
      <w:pPr>
        <w:ind w:left="3273" w:hanging="393"/>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8C86480"/>
    <w:multiLevelType w:val="hybridMultilevel"/>
    <w:tmpl w:val="8BA84A24"/>
    <w:lvl w:ilvl="0" w:tplc="B19C6106">
      <w:start w:val="1"/>
      <w:numFmt w:val="upperLetter"/>
      <w:lvlText w:val="%1."/>
      <w:lvlJc w:val="left"/>
      <w:pPr>
        <w:ind w:left="360" w:hanging="360"/>
      </w:pPr>
      <w:rPr>
        <w:lang w:val="en-GB"/>
      </w:rPr>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0" w15:restartNumberingAfterBreak="0">
    <w:nsid w:val="7CEF3A41"/>
    <w:multiLevelType w:val="hybridMultilevel"/>
    <w:tmpl w:val="42A04104"/>
    <w:lvl w:ilvl="0" w:tplc="799CCE20">
      <w:start w:val="1"/>
      <w:numFmt w:val="decimal"/>
      <w:lvlText w:val="%1."/>
      <w:lvlJc w:val="left"/>
      <w:pPr>
        <w:ind w:left="1211" w:hanging="360"/>
      </w:pPr>
    </w:lvl>
    <w:lvl w:ilvl="1" w:tplc="04080019">
      <w:start w:val="1"/>
      <w:numFmt w:val="lowerLetter"/>
      <w:lvlText w:val="%2."/>
      <w:lvlJc w:val="left"/>
      <w:pPr>
        <w:ind w:left="1931" w:hanging="360"/>
      </w:pPr>
    </w:lvl>
    <w:lvl w:ilvl="2" w:tplc="0408001B">
      <w:start w:val="1"/>
      <w:numFmt w:val="lowerRoman"/>
      <w:lvlText w:val="%3."/>
      <w:lvlJc w:val="right"/>
      <w:pPr>
        <w:ind w:left="2651" w:hanging="180"/>
      </w:pPr>
    </w:lvl>
    <w:lvl w:ilvl="3" w:tplc="0408000F">
      <w:start w:val="1"/>
      <w:numFmt w:val="decimal"/>
      <w:lvlText w:val="%4."/>
      <w:lvlJc w:val="left"/>
      <w:pPr>
        <w:ind w:left="3371" w:hanging="360"/>
      </w:pPr>
    </w:lvl>
    <w:lvl w:ilvl="4" w:tplc="04080019">
      <w:start w:val="1"/>
      <w:numFmt w:val="lowerLetter"/>
      <w:lvlText w:val="%5."/>
      <w:lvlJc w:val="left"/>
      <w:pPr>
        <w:ind w:left="4091" w:hanging="360"/>
      </w:pPr>
    </w:lvl>
    <w:lvl w:ilvl="5" w:tplc="0408001B">
      <w:start w:val="1"/>
      <w:numFmt w:val="lowerRoman"/>
      <w:lvlText w:val="%6."/>
      <w:lvlJc w:val="right"/>
      <w:pPr>
        <w:ind w:left="4811" w:hanging="180"/>
      </w:pPr>
    </w:lvl>
    <w:lvl w:ilvl="6" w:tplc="0408000F">
      <w:start w:val="1"/>
      <w:numFmt w:val="decimal"/>
      <w:lvlText w:val="%7."/>
      <w:lvlJc w:val="left"/>
      <w:pPr>
        <w:ind w:left="5531" w:hanging="360"/>
      </w:pPr>
    </w:lvl>
    <w:lvl w:ilvl="7" w:tplc="04080019">
      <w:start w:val="1"/>
      <w:numFmt w:val="lowerLetter"/>
      <w:lvlText w:val="%8."/>
      <w:lvlJc w:val="left"/>
      <w:pPr>
        <w:ind w:left="6251" w:hanging="360"/>
      </w:pPr>
    </w:lvl>
    <w:lvl w:ilvl="8" w:tplc="0408001B">
      <w:start w:val="1"/>
      <w:numFmt w:val="lowerRoman"/>
      <w:lvlText w:val="%9."/>
      <w:lvlJc w:val="right"/>
      <w:pPr>
        <w:ind w:left="6971" w:hanging="180"/>
      </w:pPr>
    </w:lvl>
  </w:abstractNum>
  <w:num w:numId="1">
    <w:abstractNumId w:val="10"/>
  </w:num>
  <w:num w:numId="2">
    <w:abstractNumId w:val="13"/>
  </w:num>
  <w:num w:numId="3">
    <w:abstractNumId w:val="8"/>
  </w:num>
  <w:num w:numId="4">
    <w:abstractNumId w:val="20"/>
  </w:num>
  <w:num w:numId="5">
    <w:abstractNumId w:val="14"/>
  </w:num>
  <w:num w:numId="6">
    <w:abstractNumId w:val="29"/>
  </w:num>
  <w:num w:numId="7">
    <w:abstractNumId w:val="21"/>
  </w:num>
  <w:num w:numId="8">
    <w:abstractNumId w:val="23"/>
  </w:num>
  <w:num w:numId="9">
    <w:abstractNumId w:val="16"/>
  </w:num>
  <w:num w:numId="10">
    <w:abstractNumId w:val="24"/>
  </w:num>
  <w:num w:numId="11">
    <w:abstractNumId w:val="18"/>
  </w:num>
  <w:num w:numId="12">
    <w:abstractNumId w:val="17"/>
  </w:num>
  <w:num w:numId="13">
    <w:abstractNumId w:val="25"/>
  </w:num>
  <w:num w:numId="14">
    <w:abstractNumId w:val="9"/>
  </w:num>
  <w:num w:numId="15">
    <w:abstractNumId w:val="22"/>
  </w:num>
  <w:num w:numId="16">
    <w:abstractNumId w:val="28"/>
  </w:num>
  <w:num w:numId="17">
    <w:abstractNumId w:val="19"/>
  </w:num>
  <w:num w:numId="18">
    <w:abstractNumId w:val="20"/>
    <w:lvlOverride w:ilvl="0">
      <w:startOverride w:val="1"/>
    </w:lvlOverride>
  </w:num>
  <w:num w:numId="19">
    <w:abstractNumId w:val="13"/>
    <w:lvlOverride w:ilvl="0">
      <w:startOverride w:val="1"/>
    </w:lvlOverride>
  </w:num>
  <w:num w:numId="20">
    <w:abstractNumId w:val="14"/>
    <w:lvlOverride w:ilvl="0">
      <w:startOverride w:val="1"/>
    </w:lvlOverride>
  </w:num>
  <w:num w:numId="21">
    <w:abstractNumId w:val="14"/>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4"/>
    <w:lvlOverride w:ilvl="0">
      <w:startOverride w:val="1"/>
    </w:lvlOverride>
  </w:num>
  <w:num w:numId="25">
    <w:abstractNumId w:val="13"/>
    <w:lvlOverride w:ilvl="0">
      <w:startOverride w:val="1"/>
    </w:lvlOverride>
  </w:num>
  <w:num w:numId="26">
    <w:abstractNumId w:val="20"/>
    <w:lvlOverride w:ilvl="0">
      <w:startOverride w:val="1"/>
    </w:lvlOverride>
  </w:num>
  <w:num w:numId="27">
    <w:abstractNumId w:val="27"/>
  </w:num>
  <w:num w:numId="28">
    <w:abstractNumId w:val="13"/>
    <w:lvlOverride w:ilvl="0">
      <w:startOverride w:val="1"/>
    </w:lvlOverride>
    <w:lvlOverride w:ilvl="1"/>
    <w:lvlOverride w:ilvl="2"/>
    <w:lvlOverride w:ilvl="3"/>
    <w:lvlOverride w:ilvl="4"/>
    <w:lvlOverride w:ilvl="5"/>
    <w:lvlOverride w:ilvl="6"/>
    <w:lvlOverride w:ilvl="7"/>
    <w:lvlOverride w:ilvl="8"/>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num>
  <w:num w:numId="31">
    <w:abstractNumId w:val="13"/>
    <w:lvlOverride w:ilvl="0">
      <w:startOverride w:val="1"/>
    </w:lvlOverride>
  </w:num>
  <w:num w:numId="32">
    <w:abstractNumId w:val="14"/>
    <w:lvlOverride w:ilvl="0">
      <w:startOverride w:val="1"/>
    </w:lvlOverride>
  </w:num>
  <w:num w:numId="33">
    <w:abstractNumId w:val="13"/>
    <w:lvlOverride w:ilvl="0">
      <w:startOverride w:val="1"/>
    </w:lvlOverride>
  </w:num>
  <w:num w:numId="34">
    <w:abstractNumId w:val="20"/>
    <w:lvlOverride w:ilvl="0">
      <w:startOverride w:val="1"/>
    </w:lvlOverride>
  </w:num>
  <w:num w:numId="35">
    <w:abstractNumId w:val="29"/>
    <w:lvlOverride w:ilvl="0">
      <w:startOverride w:val="1"/>
    </w:lvlOverride>
    <w:lvlOverride w:ilvl="1"/>
    <w:lvlOverride w:ilvl="2"/>
    <w:lvlOverride w:ilvl="3"/>
    <w:lvlOverride w:ilvl="4"/>
    <w:lvlOverride w:ilvl="5"/>
    <w:lvlOverride w:ilvl="6"/>
    <w:lvlOverride w:ilvl="7"/>
    <w:lvlOverride w:ilvl="8"/>
  </w:num>
  <w:num w:numId="36">
    <w:abstractNumId w:val="14"/>
    <w:lvlOverride w:ilvl="0">
      <w:startOverride w:val="1"/>
    </w:lvlOverride>
    <w:lvlOverride w:ilvl="1"/>
    <w:lvlOverride w:ilvl="2"/>
    <w:lvlOverride w:ilvl="3"/>
    <w:lvlOverride w:ilvl="4"/>
    <w:lvlOverride w:ilvl="5"/>
    <w:lvlOverride w:ilvl="6"/>
    <w:lvlOverride w:ilvl="7"/>
    <w:lvlOverride w:ilvl="8"/>
  </w:num>
  <w:num w:numId="37">
    <w:abstractNumId w:val="20"/>
    <w:lvlOverride w:ilvl="0">
      <w:startOverride w:val="1"/>
    </w:lvlOverride>
    <w:lvlOverride w:ilvl="1"/>
    <w:lvlOverride w:ilvl="2"/>
    <w:lvlOverride w:ilvl="3"/>
    <w:lvlOverride w:ilvl="4"/>
    <w:lvlOverride w:ilvl="5"/>
    <w:lvlOverride w:ilvl="6"/>
    <w:lvlOverride w:ilvl="7"/>
    <w:lvlOverride w:ilvl="8"/>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lvlOverride w:ilvl="2"/>
    <w:lvlOverride w:ilvl="3"/>
    <w:lvlOverride w:ilvl="4"/>
    <w:lvlOverride w:ilvl="5"/>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num>
  <w:num w:numId="43">
    <w:abstractNumId w:val="13"/>
    <w:lvlOverride w:ilvl="0">
      <w:startOverride w:val="1"/>
    </w:lvlOverride>
  </w:num>
  <w:num w:numId="44">
    <w:abstractNumId w:val="20"/>
    <w:lvlOverride w:ilvl="0">
      <w:startOverride w:val="1"/>
    </w:lvlOverride>
  </w:num>
  <w:num w:numId="45">
    <w:abstractNumId w:val="13"/>
    <w:lvlOverride w:ilvl="0">
      <w:startOverride w:val="1"/>
    </w:lvlOverride>
  </w:num>
  <w:num w:numId="46">
    <w:abstractNumId w:val="20"/>
    <w:lvlOverride w:ilvl="0">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displayBackgroundShape/>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pt-PT" w:vendorID="64" w:dllVersion="4096" w:nlCheck="1" w:checkStyle="0"/>
  <w:activeWritingStyle w:appName="MSWord" w:lang="fr-FR"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it-IT"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0D"/>
    <w:rsid w:val="00000219"/>
    <w:rsid w:val="00000244"/>
    <w:rsid w:val="0000030E"/>
    <w:rsid w:val="000004EE"/>
    <w:rsid w:val="00000598"/>
    <w:rsid w:val="00000820"/>
    <w:rsid w:val="0000083C"/>
    <w:rsid w:val="000008A7"/>
    <w:rsid w:val="00000953"/>
    <w:rsid w:val="00000E40"/>
    <w:rsid w:val="00000E58"/>
    <w:rsid w:val="0000101A"/>
    <w:rsid w:val="00001608"/>
    <w:rsid w:val="00001622"/>
    <w:rsid w:val="00001655"/>
    <w:rsid w:val="00001CF6"/>
    <w:rsid w:val="00001F3D"/>
    <w:rsid w:val="0000208C"/>
    <w:rsid w:val="000021AE"/>
    <w:rsid w:val="00002592"/>
    <w:rsid w:val="000026CB"/>
    <w:rsid w:val="00002937"/>
    <w:rsid w:val="00002E18"/>
    <w:rsid w:val="000030EA"/>
    <w:rsid w:val="00003150"/>
    <w:rsid w:val="0000319C"/>
    <w:rsid w:val="00003217"/>
    <w:rsid w:val="00003416"/>
    <w:rsid w:val="00003893"/>
    <w:rsid w:val="00003A00"/>
    <w:rsid w:val="000040B1"/>
    <w:rsid w:val="0000412A"/>
    <w:rsid w:val="00004432"/>
    <w:rsid w:val="00004458"/>
    <w:rsid w:val="00004492"/>
    <w:rsid w:val="00004603"/>
    <w:rsid w:val="000046AA"/>
    <w:rsid w:val="00004B52"/>
    <w:rsid w:val="00004E9D"/>
    <w:rsid w:val="00004F16"/>
    <w:rsid w:val="000051DA"/>
    <w:rsid w:val="00005238"/>
    <w:rsid w:val="00005C0C"/>
    <w:rsid w:val="00005CF9"/>
    <w:rsid w:val="00005D99"/>
    <w:rsid w:val="0000614E"/>
    <w:rsid w:val="00006191"/>
    <w:rsid w:val="00006284"/>
    <w:rsid w:val="000062E9"/>
    <w:rsid w:val="0000636A"/>
    <w:rsid w:val="000063E2"/>
    <w:rsid w:val="00006401"/>
    <w:rsid w:val="0000676B"/>
    <w:rsid w:val="000067A8"/>
    <w:rsid w:val="0000720B"/>
    <w:rsid w:val="00007371"/>
    <w:rsid w:val="000074B1"/>
    <w:rsid w:val="00007B0A"/>
    <w:rsid w:val="00007B9B"/>
    <w:rsid w:val="00007EB9"/>
    <w:rsid w:val="00007F04"/>
    <w:rsid w:val="0001000D"/>
    <w:rsid w:val="0001025C"/>
    <w:rsid w:val="00010D90"/>
    <w:rsid w:val="000110B1"/>
    <w:rsid w:val="00011B1E"/>
    <w:rsid w:val="00011DE2"/>
    <w:rsid w:val="0001201C"/>
    <w:rsid w:val="0001238F"/>
    <w:rsid w:val="000123EF"/>
    <w:rsid w:val="00012424"/>
    <w:rsid w:val="000124E7"/>
    <w:rsid w:val="0001286C"/>
    <w:rsid w:val="00012F8B"/>
    <w:rsid w:val="0001302A"/>
    <w:rsid w:val="00013089"/>
    <w:rsid w:val="0001338D"/>
    <w:rsid w:val="000133C7"/>
    <w:rsid w:val="00013447"/>
    <w:rsid w:val="0001367D"/>
    <w:rsid w:val="00013969"/>
    <w:rsid w:val="000145CD"/>
    <w:rsid w:val="00014904"/>
    <w:rsid w:val="00014972"/>
    <w:rsid w:val="000149BE"/>
    <w:rsid w:val="00014A2B"/>
    <w:rsid w:val="00014CAF"/>
    <w:rsid w:val="00015747"/>
    <w:rsid w:val="0001589C"/>
    <w:rsid w:val="000158D2"/>
    <w:rsid w:val="000159D2"/>
    <w:rsid w:val="00015BBB"/>
    <w:rsid w:val="0001607B"/>
    <w:rsid w:val="000166AC"/>
    <w:rsid w:val="000166FA"/>
    <w:rsid w:val="00016849"/>
    <w:rsid w:val="00016898"/>
    <w:rsid w:val="00016B57"/>
    <w:rsid w:val="00016F78"/>
    <w:rsid w:val="000177C7"/>
    <w:rsid w:val="00017903"/>
    <w:rsid w:val="0001797B"/>
    <w:rsid w:val="00017B71"/>
    <w:rsid w:val="0002054E"/>
    <w:rsid w:val="000208B6"/>
    <w:rsid w:val="00020AFC"/>
    <w:rsid w:val="00020DC2"/>
    <w:rsid w:val="00021095"/>
    <w:rsid w:val="000214AF"/>
    <w:rsid w:val="00021616"/>
    <w:rsid w:val="00021CAA"/>
    <w:rsid w:val="00021EE6"/>
    <w:rsid w:val="000220ED"/>
    <w:rsid w:val="0002222B"/>
    <w:rsid w:val="0002260A"/>
    <w:rsid w:val="000226FD"/>
    <w:rsid w:val="0002283B"/>
    <w:rsid w:val="000228FB"/>
    <w:rsid w:val="00022D39"/>
    <w:rsid w:val="00022DAB"/>
    <w:rsid w:val="000232E1"/>
    <w:rsid w:val="00023497"/>
    <w:rsid w:val="0002392B"/>
    <w:rsid w:val="00023A3B"/>
    <w:rsid w:val="00023FC3"/>
    <w:rsid w:val="000242C2"/>
    <w:rsid w:val="0002510E"/>
    <w:rsid w:val="00025162"/>
    <w:rsid w:val="000254D4"/>
    <w:rsid w:val="00025DF0"/>
    <w:rsid w:val="000260ED"/>
    <w:rsid w:val="000261E8"/>
    <w:rsid w:val="000262F4"/>
    <w:rsid w:val="0002656B"/>
    <w:rsid w:val="0002670C"/>
    <w:rsid w:val="00027586"/>
    <w:rsid w:val="00027D32"/>
    <w:rsid w:val="000301BB"/>
    <w:rsid w:val="0003049C"/>
    <w:rsid w:val="000304FE"/>
    <w:rsid w:val="00030578"/>
    <w:rsid w:val="00030A8F"/>
    <w:rsid w:val="00030F7A"/>
    <w:rsid w:val="00030F84"/>
    <w:rsid w:val="00030FDD"/>
    <w:rsid w:val="000314F8"/>
    <w:rsid w:val="00031983"/>
    <w:rsid w:val="000319C1"/>
    <w:rsid w:val="00032123"/>
    <w:rsid w:val="00032D51"/>
    <w:rsid w:val="00032D68"/>
    <w:rsid w:val="00032DEC"/>
    <w:rsid w:val="00033179"/>
    <w:rsid w:val="000332C7"/>
    <w:rsid w:val="0003342A"/>
    <w:rsid w:val="000339FB"/>
    <w:rsid w:val="00033DBD"/>
    <w:rsid w:val="00034186"/>
    <w:rsid w:val="0003438E"/>
    <w:rsid w:val="0003447B"/>
    <w:rsid w:val="000344BF"/>
    <w:rsid w:val="000349E7"/>
    <w:rsid w:val="00034BE3"/>
    <w:rsid w:val="00034EE1"/>
    <w:rsid w:val="000350B9"/>
    <w:rsid w:val="00035639"/>
    <w:rsid w:val="0003586A"/>
    <w:rsid w:val="00035AA1"/>
    <w:rsid w:val="00035D0D"/>
    <w:rsid w:val="00035E78"/>
    <w:rsid w:val="00036487"/>
    <w:rsid w:val="000367A8"/>
    <w:rsid w:val="000367CF"/>
    <w:rsid w:val="000368F2"/>
    <w:rsid w:val="000369CA"/>
    <w:rsid w:val="00036A7F"/>
    <w:rsid w:val="00036F29"/>
    <w:rsid w:val="000378FC"/>
    <w:rsid w:val="00037F02"/>
    <w:rsid w:val="00040445"/>
    <w:rsid w:val="00040575"/>
    <w:rsid w:val="000405EF"/>
    <w:rsid w:val="0004067D"/>
    <w:rsid w:val="0004089D"/>
    <w:rsid w:val="00040998"/>
    <w:rsid w:val="00040B64"/>
    <w:rsid w:val="00040DE4"/>
    <w:rsid w:val="00040E27"/>
    <w:rsid w:val="0004122B"/>
    <w:rsid w:val="000415C9"/>
    <w:rsid w:val="00041858"/>
    <w:rsid w:val="00041DAD"/>
    <w:rsid w:val="00041DBE"/>
    <w:rsid w:val="00041E13"/>
    <w:rsid w:val="00042154"/>
    <w:rsid w:val="00042895"/>
    <w:rsid w:val="00042AD1"/>
    <w:rsid w:val="00042C07"/>
    <w:rsid w:val="00042E4B"/>
    <w:rsid w:val="00042FE8"/>
    <w:rsid w:val="0004310A"/>
    <w:rsid w:val="00043580"/>
    <w:rsid w:val="000438F8"/>
    <w:rsid w:val="00043925"/>
    <w:rsid w:val="00043F24"/>
    <w:rsid w:val="00044258"/>
    <w:rsid w:val="00044551"/>
    <w:rsid w:val="00044E64"/>
    <w:rsid w:val="00045221"/>
    <w:rsid w:val="00045386"/>
    <w:rsid w:val="00045680"/>
    <w:rsid w:val="000457C1"/>
    <w:rsid w:val="000457CD"/>
    <w:rsid w:val="00045A9D"/>
    <w:rsid w:val="00045E7C"/>
    <w:rsid w:val="00046120"/>
    <w:rsid w:val="00046401"/>
    <w:rsid w:val="00046856"/>
    <w:rsid w:val="0004688E"/>
    <w:rsid w:val="00046AFD"/>
    <w:rsid w:val="00046C0F"/>
    <w:rsid w:val="00046C19"/>
    <w:rsid w:val="00046CD7"/>
    <w:rsid w:val="00046E13"/>
    <w:rsid w:val="00046E2D"/>
    <w:rsid w:val="00046E53"/>
    <w:rsid w:val="00046E8F"/>
    <w:rsid w:val="00046FD9"/>
    <w:rsid w:val="000473DB"/>
    <w:rsid w:val="0004750A"/>
    <w:rsid w:val="0004799B"/>
    <w:rsid w:val="000479D9"/>
    <w:rsid w:val="00047A2E"/>
    <w:rsid w:val="00047B8D"/>
    <w:rsid w:val="00047DF8"/>
    <w:rsid w:val="00047F22"/>
    <w:rsid w:val="0005044D"/>
    <w:rsid w:val="0005050C"/>
    <w:rsid w:val="00050522"/>
    <w:rsid w:val="00050567"/>
    <w:rsid w:val="0005098F"/>
    <w:rsid w:val="000513F1"/>
    <w:rsid w:val="0005197C"/>
    <w:rsid w:val="00051D0B"/>
    <w:rsid w:val="00051F47"/>
    <w:rsid w:val="00051FC5"/>
    <w:rsid w:val="0005205E"/>
    <w:rsid w:val="000521BD"/>
    <w:rsid w:val="00052A16"/>
    <w:rsid w:val="00052CC2"/>
    <w:rsid w:val="00052F07"/>
    <w:rsid w:val="0005337A"/>
    <w:rsid w:val="00054B35"/>
    <w:rsid w:val="00054FE2"/>
    <w:rsid w:val="0005508E"/>
    <w:rsid w:val="000550DD"/>
    <w:rsid w:val="00055645"/>
    <w:rsid w:val="00055763"/>
    <w:rsid w:val="000560D3"/>
    <w:rsid w:val="00056124"/>
    <w:rsid w:val="000564CB"/>
    <w:rsid w:val="00056A4B"/>
    <w:rsid w:val="00056E11"/>
    <w:rsid w:val="0005765F"/>
    <w:rsid w:val="000576AE"/>
    <w:rsid w:val="000578FC"/>
    <w:rsid w:val="00057A6A"/>
    <w:rsid w:val="0006023A"/>
    <w:rsid w:val="00060292"/>
    <w:rsid w:val="0006098C"/>
    <w:rsid w:val="000609C3"/>
    <w:rsid w:val="00060BFA"/>
    <w:rsid w:val="00060EFC"/>
    <w:rsid w:val="000611A3"/>
    <w:rsid w:val="0006143A"/>
    <w:rsid w:val="00061C0B"/>
    <w:rsid w:val="00061E55"/>
    <w:rsid w:val="0006206A"/>
    <w:rsid w:val="0006207E"/>
    <w:rsid w:val="000620C3"/>
    <w:rsid w:val="000621A7"/>
    <w:rsid w:val="00062216"/>
    <w:rsid w:val="000628B0"/>
    <w:rsid w:val="00063680"/>
    <w:rsid w:val="000639C8"/>
    <w:rsid w:val="00063AFE"/>
    <w:rsid w:val="00063B07"/>
    <w:rsid w:val="00063EEC"/>
    <w:rsid w:val="0006434B"/>
    <w:rsid w:val="000644E6"/>
    <w:rsid w:val="000647BC"/>
    <w:rsid w:val="0006494D"/>
    <w:rsid w:val="00064DB5"/>
    <w:rsid w:val="000652D2"/>
    <w:rsid w:val="00065466"/>
    <w:rsid w:val="00065511"/>
    <w:rsid w:val="00065AC5"/>
    <w:rsid w:val="000662BA"/>
    <w:rsid w:val="000663D4"/>
    <w:rsid w:val="00066D02"/>
    <w:rsid w:val="00066D55"/>
    <w:rsid w:val="00066D9F"/>
    <w:rsid w:val="0006708F"/>
    <w:rsid w:val="000672F2"/>
    <w:rsid w:val="000675F5"/>
    <w:rsid w:val="00067689"/>
    <w:rsid w:val="000677C8"/>
    <w:rsid w:val="00067A5E"/>
    <w:rsid w:val="00067BFB"/>
    <w:rsid w:val="00067F5B"/>
    <w:rsid w:val="00070EF4"/>
    <w:rsid w:val="00071196"/>
    <w:rsid w:val="00071374"/>
    <w:rsid w:val="00071607"/>
    <w:rsid w:val="00071C10"/>
    <w:rsid w:val="00071E6B"/>
    <w:rsid w:val="00071EB4"/>
    <w:rsid w:val="00072098"/>
    <w:rsid w:val="00072332"/>
    <w:rsid w:val="0007272D"/>
    <w:rsid w:val="0007279B"/>
    <w:rsid w:val="000727EE"/>
    <w:rsid w:val="00072A52"/>
    <w:rsid w:val="00072D56"/>
    <w:rsid w:val="00073057"/>
    <w:rsid w:val="0007316A"/>
    <w:rsid w:val="000732C2"/>
    <w:rsid w:val="00073418"/>
    <w:rsid w:val="000738EF"/>
    <w:rsid w:val="00073991"/>
    <w:rsid w:val="00073AED"/>
    <w:rsid w:val="00073B00"/>
    <w:rsid w:val="00073C70"/>
    <w:rsid w:val="00073FB0"/>
    <w:rsid w:val="000746C1"/>
    <w:rsid w:val="0007483A"/>
    <w:rsid w:val="00074889"/>
    <w:rsid w:val="00074B4E"/>
    <w:rsid w:val="00074BBE"/>
    <w:rsid w:val="00075054"/>
    <w:rsid w:val="00075221"/>
    <w:rsid w:val="000757C7"/>
    <w:rsid w:val="00075942"/>
    <w:rsid w:val="00075B05"/>
    <w:rsid w:val="0007636F"/>
    <w:rsid w:val="0007696C"/>
    <w:rsid w:val="000769DA"/>
    <w:rsid w:val="00076E4C"/>
    <w:rsid w:val="00076FEF"/>
    <w:rsid w:val="00077172"/>
    <w:rsid w:val="000772CF"/>
    <w:rsid w:val="00077448"/>
    <w:rsid w:val="000777EB"/>
    <w:rsid w:val="00077850"/>
    <w:rsid w:val="0007787C"/>
    <w:rsid w:val="000779B4"/>
    <w:rsid w:val="00077B92"/>
    <w:rsid w:val="00077BEF"/>
    <w:rsid w:val="00077C7B"/>
    <w:rsid w:val="0008012C"/>
    <w:rsid w:val="000802B8"/>
    <w:rsid w:val="000802BA"/>
    <w:rsid w:val="000802C0"/>
    <w:rsid w:val="00080504"/>
    <w:rsid w:val="00080703"/>
    <w:rsid w:val="000809E5"/>
    <w:rsid w:val="000809E6"/>
    <w:rsid w:val="00080A83"/>
    <w:rsid w:val="00080B9E"/>
    <w:rsid w:val="00081434"/>
    <w:rsid w:val="000814C5"/>
    <w:rsid w:val="0008168F"/>
    <w:rsid w:val="000816B2"/>
    <w:rsid w:val="0008173A"/>
    <w:rsid w:val="00081977"/>
    <w:rsid w:val="0008198F"/>
    <w:rsid w:val="00081D0C"/>
    <w:rsid w:val="00082394"/>
    <w:rsid w:val="00082532"/>
    <w:rsid w:val="000825E7"/>
    <w:rsid w:val="000825EC"/>
    <w:rsid w:val="000827F9"/>
    <w:rsid w:val="00082EE4"/>
    <w:rsid w:val="00082F87"/>
    <w:rsid w:val="0008300B"/>
    <w:rsid w:val="0008307E"/>
    <w:rsid w:val="000831F9"/>
    <w:rsid w:val="00083513"/>
    <w:rsid w:val="00083929"/>
    <w:rsid w:val="00083C47"/>
    <w:rsid w:val="00083FEC"/>
    <w:rsid w:val="00084008"/>
    <w:rsid w:val="0008450F"/>
    <w:rsid w:val="0008451D"/>
    <w:rsid w:val="00084B89"/>
    <w:rsid w:val="00084D6C"/>
    <w:rsid w:val="00085517"/>
    <w:rsid w:val="00085689"/>
    <w:rsid w:val="000856F4"/>
    <w:rsid w:val="00085944"/>
    <w:rsid w:val="00085BAC"/>
    <w:rsid w:val="00085BF3"/>
    <w:rsid w:val="00085D7C"/>
    <w:rsid w:val="00085D91"/>
    <w:rsid w:val="00086058"/>
    <w:rsid w:val="000860C8"/>
    <w:rsid w:val="000860D9"/>
    <w:rsid w:val="00086395"/>
    <w:rsid w:val="00086B4F"/>
    <w:rsid w:val="000870FF"/>
    <w:rsid w:val="000872E2"/>
    <w:rsid w:val="000874A8"/>
    <w:rsid w:val="0008757C"/>
    <w:rsid w:val="000875D0"/>
    <w:rsid w:val="00087F13"/>
    <w:rsid w:val="00090173"/>
    <w:rsid w:val="00090533"/>
    <w:rsid w:val="00090554"/>
    <w:rsid w:val="0009055B"/>
    <w:rsid w:val="000905A4"/>
    <w:rsid w:val="00090944"/>
    <w:rsid w:val="00090981"/>
    <w:rsid w:val="00090B94"/>
    <w:rsid w:val="00090F3F"/>
    <w:rsid w:val="000914CF"/>
    <w:rsid w:val="00091679"/>
    <w:rsid w:val="00091802"/>
    <w:rsid w:val="00091AB4"/>
    <w:rsid w:val="00091D02"/>
    <w:rsid w:val="00091EED"/>
    <w:rsid w:val="0009203D"/>
    <w:rsid w:val="00092164"/>
    <w:rsid w:val="00092758"/>
    <w:rsid w:val="00092AC9"/>
    <w:rsid w:val="00093001"/>
    <w:rsid w:val="0009323E"/>
    <w:rsid w:val="00093250"/>
    <w:rsid w:val="000939C0"/>
    <w:rsid w:val="00093B14"/>
    <w:rsid w:val="00093CE1"/>
    <w:rsid w:val="00093FA5"/>
    <w:rsid w:val="00094171"/>
    <w:rsid w:val="00094601"/>
    <w:rsid w:val="00094BF0"/>
    <w:rsid w:val="00094C43"/>
    <w:rsid w:val="00094FE7"/>
    <w:rsid w:val="000953E2"/>
    <w:rsid w:val="00095506"/>
    <w:rsid w:val="00095A7B"/>
    <w:rsid w:val="00096B1E"/>
    <w:rsid w:val="00096FA8"/>
    <w:rsid w:val="000970AD"/>
    <w:rsid w:val="000971C6"/>
    <w:rsid w:val="000973EE"/>
    <w:rsid w:val="00097604"/>
    <w:rsid w:val="00097736"/>
    <w:rsid w:val="00097C17"/>
    <w:rsid w:val="00097D81"/>
    <w:rsid w:val="00097E0E"/>
    <w:rsid w:val="000A0FBC"/>
    <w:rsid w:val="000A1401"/>
    <w:rsid w:val="000A18D2"/>
    <w:rsid w:val="000A1AA4"/>
    <w:rsid w:val="000A1BC1"/>
    <w:rsid w:val="000A1D97"/>
    <w:rsid w:val="000A1E23"/>
    <w:rsid w:val="000A20F4"/>
    <w:rsid w:val="000A21B3"/>
    <w:rsid w:val="000A2434"/>
    <w:rsid w:val="000A252B"/>
    <w:rsid w:val="000A2535"/>
    <w:rsid w:val="000A2AF1"/>
    <w:rsid w:val="000A2C36"/>
    <w:rsid w:val="000A2E31"/>
    <w:rsid w:val="000A31E4"/>
    <w:rsid w:val="000A321B"/>
    <w:rsid w:val="000A38B3"/>
    <w:rsid w:val="000A3BCF"/>
    <w:rsid w:val="000A3C4A"/>
    <w:rsid w:val="000A3C61"/>
    <w:rsid w:val="000A3C7B"/>
    <w:rsid w:val="000A3DB1"/>
    <w:rsid w:val="000A409D"/>
    <w:rsid w:val="000A447E"/>
    <w:rsid w:val="000A4625"/>
    <w:rsid w:val="000A4930"/>
    <w:rsid w:val="000A4D8D"/>
    <w:rsid w:val="000A4DCB"/>
    <w:rsid w:val="000A4FD6"/>
    <w:rsid w:val="000A51AB"/>
    <w:rsid w:val="000A5304"/>
    <w:rsid w:val="000A53A0"/>
    <w:rsid w:val="000A5808"/>
    <w:rsid w:val="000A580D"/>
    <w:rsid w:val="000A58AF"/>
    <w:rsid w:val="000A5AD7"/>
    <w:rsid w:val="000A5D4D"/>
    <w:rsid w:val="000A5F39"/>
    <w:rsid w:val="000A6522"/>
    <w:rsid w:val="000A659C"/>
    <w:rsid w:val="000A675A"/>
    <w:rsid w:val="000A687A"/>
    <w:rsid w:val="000A68E5"/>
    <w:rsid w:val="000A6E1C"/>
    <w:rsid w:val="000A6EF3"/>
    <w:rsid w:val="000A72AE"/>
    <w:rsid w:val="000A7339"/>
    <w:rsid w:val="000A76CE"/>
    <w:rsid w:val="000A76D4"/>
    <w:rsid w:val="000A76EE"/>
    <w:rsid w:val="000A78A1"/>
    <w:rsid w:val="000A7929"/>
    <w:rsid w:val="000A7A01"/>
    <w:rsid w:val="000A7C41"/>
    <w:rsid w:val="000A7D2D"/>
    <w:rsid w:val="000B0002"/>
    <w:rsid w:val="000B002F"/>
    <w:rsid w:val="000B0534"/>
    <w:rsid w:val="000B0651"/>
    <w:rsid w:val="000B07B4"/>
    <w:rsid w:val="000B08B9"/>
    <w:rsid w:val="000B10B7"/>
    <w:rsid w:val="000B12E7"/>
    <w:rsid w:val="000B13FE"/>
    <w:rsid w:val="000B157F"/>
    <w:rsid w:val="000B17C7"/>
    <w:rsid w:val="000B194A"/>
    <w:rsid w:val="000B1B08"/>
    <w:rsid w:val="000B1B74"/>
    <w:rsid w:val="000B20BB"/>
    <w:rsid w:val="000B2149"/>
    <w:rsid w:val="000B21D0"/>
    <w:rsid w:val="000B2285"/>
    <w:rsid w:val="000B22A8"/>
    <w:rsid w:val="000B24B5"/>
    <w:rsid w:val="000B265C"/>
    <w:rsid w:val="000B2A94"/>
    <w:rsid w:val="000B2C19"/>
    <w:rsid w:val="000B2C5C"/>
    <w:rsid w:val="000B2D83"/>
    <w:rsid w:val="000B2F1C"/>
    <w:rsid w:val="000B2F8D"/>
    <w:rsid w:val="000B2FA2"/>
    <w:rsid w:val="000B31FE"/>
    <w:rsid w:val="000B34E7"/>
    <w:rsid w:val="000B3579"/>
    <w:rsid w:val="000B37E2"/>
    <w:rsid w:val="000B381D"/>
    <w:rsid w:val="000B3B7B"/>
    <w:rsid w:val="000B3D1F"/>
    <w:rsid w:val="000B4333"/>
    <w:rsid w:val="000B4356"/>
    <w:rsid w:val="000B4456"/>
    <w:rsid w:val="000B46CA"/>
    <w:rsid w:val="000B46D2"/>
    <w:rsid w:val="000B523D"/>
    <w:rsid w:val="000B52C8"/>
    <w:rsid w:val="000B53DE"/>
    <w:rsid w:val="000B5506"/>
    <w:rsid w:val="000B55D3"/>
    <w:rsid w:val="000B58B8"/>
    <w:rsid w:val="000B5B26"/>
    <w:rsid w:val="000B5B58"/>
    <w:rsid w:val="000B605A"/>
    <w:rsid w:val="000B60A6"/>
    <w:rsid w:val="000B6855"/>
    <w:rsid w:val="000B6889"/>
    <w:rsid w:val="000B6CF7"/>
    <w:rsid w:val="000B709B"/>
    <w:rsid w:val="000B7123"/>
    <w:rsid w:val="000B75D6"/>
    <w:rsid w:val="000B7732"/>
    <w:rsid w:val="000B7DD5"/>
    <w:rsid w:val="000B7E54"/>
    <w:rsid w:val="000B7EA0"/>
    <w:rsid w:val="000B7ED5"/>
    <w:rsid w:val="000C081C"/>
    <w:rsid w:val="000C08D0"/>
    <w:rsid w:val="000C0C45"/>
    <w:rsid w:val="000C14C1"/>
    <w:rsid w:val="000C153D"/>
    <w:rsid w:val="000C155C"/>
    <w:rsid w:val="000C1B70"/>
    <w:rsid w:val="000C1E14"/>
    <w:rsid w:val="000C1EF2"/>
    <w:rsid w:val="000C28BC"/>
    <w:rsid w:val="000C2BFA"/>
    <w:rsid w:val="000C3090"/>
    <w:rsid w:val="000C3207"/>
    <w:rsid w:val="000C3449"/>
    <w:rsid w:val="000C3C6A"/>
    <w:rsid w:val="000C3CF5"/>
    <w:rsid w:val="000C3DC3"/>
    <w:rsid w:val="000C4B2F"/>
    <w:rsid w:val="000C4BC6"/>
    <w:rsid w:val="000C4D5F"/>
    <w:rsid w:val="000C4DC5"/>
    <w:rsid w:val="000C4E4B"/>
    <w:rsid w:val="000C5153"/>
    <w:rsid w:val="000C57A4"/>
    <w:rsid w:val="000C6560"/>
    <w:rsid w:val="000C6666"/>
    <w:rsid w:val="000C6C63"/>
    <w:rsid w:val="000C6EE3"/>
    <w:rsid w:val="000C74A3"/>
    <w:rsid w:val="000C78CF"/>
    <w:rsid w:val="000C79ED"/>
    <w:rsid w:val="000D044A"/>
    <w:rsid w:val="000D1084"/>
    <w:rsid w:val="000D1296"/>
    <w:rsid w:val="000D179B"/>
    <w:rsid w:val="000D209C"/>
    <w:rsid w:val="000D2979"/>
    <w:rsid w:val="000D2BB2"/>
    <w:rsid w:val="000D2C33"/>
    <w:rsid w:val="000D2EF9"/>
    <w:rsid w:val="000D3177"/>
    <w:rsid w:val="000D3545"/>
    <w:rsid w:val="000D379A"/>
    <w:rsid w:val="000D397A"/>
    <w:rsid w:val="000D3AD0"/>
    <w:rsid w:val="000D3BE0"/>
    <w:rsid w:val="000D3D66"/>
    <w:rsid w:val="000D418B"/>
    <w:rsid w:val="000D450E"/>
    <w:rsid w:val="000D4A01"/>
    <w:rsid w:val="000D4B89"/>
    <w:rsid w:val="000D4F5F"/>
    <w:rsid w:val="000D57FF"/>
    <w:rsid w:val="000D5AF9"/>
    <w:rsid w:val="000D5DA5"/>
    <w:rsid w:val="000D5F34"/>
    <w:rsid w:val="000D62A5"/>
    <w:rsid w:val="000D643B"/>
    <w:rsid w:val="000D6444"/>
    <w:rsid w:val="000D70FF"/>
    <w:rsid w:val="000D73B4"/>
    <w:rsid w:val="000D7899"/>
    <w:rsid w:val="000D7C1E"/>
    <w:rsid w:val="000E01DE"/>
    <w:rsid w:val="000E0639"/>
    <w:rsid w:val="000E0AC6"/>
    <w:rsid w:val="000E0D81"/>
    <w:rsid w:val="000E0DF5"/>
    <w:rsid w:val="000E10F9"/>
    <w:rsid w:val="000E1275"/>
    <w:rsid w:val="000E14D5"/>
    <w:rsid w:val="000E1654"/>
    <w:rsid w:val="000E190E"/>
    <w:rsid w:val="000E190F"/>
    <w:rsid w:val="000E1A97"/>
    <w:rsid w:val="000E1C1D"/>
    <w:rsid w:val="000E1CBA"/>
    <w:rsid w:val="000E1EE0"/>
    <w:rsid w:val="000E1F80"/>
    <w:rsid w:val="000E23C6"/>
    <w:rsid w:val="000E25FC"/>
    <w:rsid w:val="000E2C7F"/>
    <w:rsid w:val="000E2EA6"/>
    <w:rsid w:val="000E3155"/>
    <w:rsid w:val="000E3176"/>
    <w:rsid w:val="000E3B8A"/>
    <w:rsid w:val="000E3D0A"/>
    <w:rsid w:val="000E3E1B"/>
    <w:rsid w:val="000E3F1F"/>
    <w:rsid w:val="000E40DA"/>
    <w:rsid w:val="000E424F"/>
    <w:rsid w:val="000E43E8"/>
    <w:rsid w:val="000E45E0"/>
    <w:rsid w:val="000E4800"/>
    <w:rsid w:val="000E4A18"/>
    <w:rsid w:val="000E4B8D"/>
    <w:rsid w:val="000E4E97"/>
    <w:rsid w:val="000E4E9E"/>
    <w:rsid w:val="000E4F9A"/>
    <w:rsid w:val="000E51F4"/>
    <w:rsid w:val="000E545E"/>
    <w:rsid w:val="000E582D"/>
    <w:rsid w:val="000E59E1"/>
    <w:rsid w:val="000E5C2B"/>
    <w:rsid w:val="000E63E4"/>
    <w:rsid w:val="000E6415"/>
    <w:rsid w:val="000E6AF5"/>
    <w:rsid w:val="000E6CCE"/>
    <w:rsid w:val="000E7125"/>
    <w:rsid w:val="000F0379"/>
    <w:rsid w:val="000F04D3"/>
    <w:rsid w:val="000F10DA"/>
    <w:rsid w:val="000F19F9"/>
    <w:rsid w:val="000F1FAB"/>
    <w:rsid w:val="000F2162"/>
    <w:rsid w:val="000F226E"/>
    <w:rsid w:val="000F24C1"/>
    <w:rsid w:val="000F26B7"/>
    <w:rsid w:val="000F27EA"/>
    <w:rsid w:val="000F2BD2"/>
    <w:rsid w:val="000F3027"/>
    <w:rsid w:val="000F3339"/>
    <w:rsid w:val="000F3522"/>
    <w:rsid w:val="000F3A5F"/>
    <w:rsid w:val="000F3DB4"/>
    <w:rsid w:val="000F41C2"/>
    <w:rsid w:val="000F4A8C"/>
    <w:rsid w:val="000F4DE0"/>
    <w:rsid w:val="000F4F56"/>
    <w:rsid w:val="000F5110"/>
    <w:rsid w:val="000F542A"/>
    <w:rsid w:val="000F55FE"/>
    <w:rsid w:val="000F5AD4"/>
    <w:rsid w:val="000F5B8F"/>
    <w:rsid w:val="000F6745"/>
    <w:rsid w:val="000F7829"/>
    <w:rsid w:val="000F793A"/>
    <w:rsid w:val="000F79A1"/>
    <w:rsid w:val="000F7A72"/>
    <w:rsid w:val="000F7C08"/>
    <w:rsid w:val="001008FB"/>
    <w:rsid w:val="00100A5A"/>
    <w:rsid w:val="00100E91"/>
    <w:rsid w:val="00100F6F"/>
    <w:rsid w:val="0010104E"/>
    <w:rsid w:val="00101476"/>
    <w:rsid w:val="00101594"/>
    <w:rsid w:val="001015D4"/>
    <w:rsid w:val="00101795"/>
    <w:rsid w:val="001017B1"/>
    <w:rsid w:val="001017CE"/>
    <w:rsid w:val="001019D0"/>
    <w:rsid w:val="00101B2C"/>
    <w:rsid w:val="00101E12"/>
    <w:rsid w:val="00101F19"/>
    <w:rsid w:val="00101F69"/>
    <w:rsid w:val="00102083"/>
    <w:rsid w:val="00102200"/>
    <w:rsid w:val="001022D0"/>
    <w:rsid w:val="001026FA"/>
    <w:rsid w:val="00102701"/>
    <w:rsid w:val="001027E6"/>
    <w:rsid w:val="0010286F"/>
    <w:rsid w:val="00102B0F"/>
    <w:rsid w:val="00102B98"/>
    <w:rsid w:val="00102ED6"/>
    <w:rsid w:val="00103207"/>
    <w:rsid w:val="0010332C"/>
    <w:rsid w:val="0010343C"/>
    <w:rsid w:val="00103799"/>
    <w:rsid w:val="00103DC8"/>
    <w:rsid w:val="00103FED"/>
    <w:rsid w:val="0010411D"/>
    <w:rsid w:val="001042D9"/>
    <w:rsid w:val="001042E7"/>
    <w:rsid w:val="001047FA"/>
    <w:rsid w:val="00104C29"/>
    <w:rsid w:val="00104DB2"/>
    <w:rsid w:val="00105002"/>
    <w:rsid w:val="00105BAC"/>
    <w:rsid w:val="00105BB7"/>
    <w:rsid w:val="0010685C"/>
    <w:rsid w:val="0010688D"/>
    <w:rsid w:val="001068D7"/>
    <w:rsid w:val="001069F3"/>
    <w:rsid w:val="0010703A"/>
    <w:rsid w:val="001072E6"/>
    <w:rsid w:val="0010778C"/>
    <w:rsid w:val="001077AB"/>
    <w:rsid w:val="0010796A"/>
    <w:rsid w:val="00107F28"/>
    <w:rsid w:val="00107FA2"/>
    <w:rsid w:val="00110066"/>
    <w:rsid w:val="001101D4"/>
    <w:rsid w:val="00110742"/>
    <w:rsid w:val="00110792"/>
    <w:rsid w:val="00110A62"/>
    <w:rsid w:val="00110C61"/>
    <w:rsid w:val="00110F62"/>
    <w:rsid w:val="00111002"/>
    <w:rsid w:val="001111A6"/>
    <w:rsid w:val="0011140E"/>
    <w:rsid w:val="00111BFD"/>
    <w:rsid w:val="00111D8B"/>
    <w:rsid w:val="001121E2"/>
    <w:rsid w:val="00112269"/>
    <w:rsid w:val="0011236B"/>
    <w:rsid w:val="001126B2"/>
    <w:rsid w:val="00112773"/>
    <w:rsid w:val="00112A38"/>
    <w:rsid w:val="00112B98"/>
    <w:rsid w:val="00112FBB"/>
    <w:rsid w:val="00112FD3"/>
    <w:rsid w:val="0011308F"/>
    <w:rsid w:val="0011322A"/>
    <w:rsid w:val="001136E0"/>
    <w:rsid w:val="00113916"/>
    <w:rsid w:val="001139C7"/>
    <w:rsid w:val="001139E1"/>
    <w:rsid w:val="00114050"/>
    <w:rsid w:val="00114135"/>
    <w:rsid w:val="00114161"/>
    <w:rsid w:val="0011429B"/>
    <w:rsid w:val="001145BA"/>
    <w:rsid w:val="001145D7"/>
    <w:rsid w:val="001145F0"/>
    <w:rsid w:val="00114668"/>
    <w:rsid w:val="00114BE6"/>
    <w:rsid w:val="0011535E"/>
    <w:rsid w:val="00115653"/>
    <w:rsid w:val="001158B8"/>
    <w:rsid w:val="00115C71"/>
    <w:rsid w:val="00115F27"/>
    <w:rsid w:val="001163D0"/>
    <w:rsid w:val="00116426"/>
    <w:rsid w:val="00116937"/>
    <w:rsid w:val="00116A32"/>
    <w:rsid w:val="00116A58"/>
    <w:rsid w:val="00116B15"/>
    <w:rsid w:val="00116CA3"/>
    <w:rsid w:val="00116E33"/>
    <w:rsid w:val="00116F40"/>
    <w:rsid w:val="001172C7"/>
    <w:rsid w:val="00117ADB"/>
    <w:rsid w:val="00117B1A"/>
    <w:rsid w:val="00117BCB"/>
    <w:rsid w:val="00117DB8"/>
    <w:rsid w:val="00120B73"/>
    <w:rsid w:val="0012127E"/>
    <w:rsid w:val="00121557"/>
    <w:rsid w:val="00121579"/>
    <w:rsid w:val="001216B7"/>
    <w:rsid w:val="00121FB5"/>
    <w:rsid w:val="00122588"/>
    <w:rsid w:val="00122907"/>
    <w:rsid w:val="00122BDC"/>
    <w:rsid w:val="00122E36"/>
    <w:rsid w:val="00123134"/>
    <w:rsid w:val="001236A9"/>
    <w:rsid w:val="00123D09"/>
    <w:rsid w:val="00123DB5"/>
    <w:rsid w:val="00123F0A"/>
    <w:rsid w:val="001242CD"/>
    <w:rsid w:val="001243F9"/>
    <w:rsid w:val="0012492E"/>
    <w:rsid w:val="00124B02"/>
    <w:rsid w:val="00124C46"/>
    <w:rsid w:val="00124FB6"/>
    <w:rsid w:val="00125431"/>
    <w:rsid w:val="00125605"/>
    <w:rsid w:val="00125E13"/>
    <w:rsid w:val="0012623A"/>
    <w:rsid w:val="001263BD"/>
    <w:rsid w:val="00126603"/>
    <w:rsid w:val="00126618"/>
    <w:rsid w:val="0012684A"/>
    <w:rsid w:val="00126904"/>
    <w:rsid w:val="00126939"/>
    <w:rsid w:val="00126CD7"/>
    <w:rsid w:val="00126EB4"/>
    <w:rsid w:val="00127259"/>
    <w:rsid w:val="001272C3"/>
    <w:rsid w:val="001274CA"/>
    <w:rsid w:val="00127529"/>
    <w:rsid w:val="00127564"/>
    <w:rsid w:val="001277AF"/>
    <w:rsid w:val="00127814"/>
    <w:rsid w:val="001301C6"/>
    <w:rsid w:val="001301CE"/>
    <w:rsid w:val="00130845"/>
    <w:rsid w:val="00130857"/>
    <w:rsid w:val="001311C5"/>
    <w:rsid w:val="00131B09"/>
    <w:rsid w:val="00131C41"/>
    <w:rsid w:val="001320EA"/>
    <w:rsid w:val="00132620"/>
    <w:rsid w:val="001326BD"/>
    <w:rsid w:val="0013292F"/>
    <w:rsid w:val="00132E72"/>
    <w:rsid w:val="00133BD7"/>
    <w:rsid w:val="00133D4B"/>
    <w:rsid w:val="0013409A"/>
    <w:rsid w:val="001340C3"/>
    <w:rsid w:val="001342DE"/>
    <w:rsid w:val="001344DB"/>
    <w:rsid w:val="001349E9"/>
    <w:rsid w:val="00134A03"/>
    <w:rsid w:val="0013584F"/>
    <w:rsid w:val="00135964"/>
    <w:rsid w:val="00135B85"/>
    <w:rsid w:val="00135EAB"/>
    <w:rsid w:val="00135ED3"/>
    <w:rsid w:val="00136077"/>
    <w:rsid w:val="001360F6"/>
    <w:rsid w:val="001361AA"/>
    <w:rsid w:val="00136BAD"/>
    <w:rsid w:val="00136CB3"/>
    <w:rsid w:val="00136E33"/>
    <w:rsid w:val="00136F21"/>
    <w:rsid w:val="001370E0"/>
    <w:rsid w:val="001377D2"/>
    <w:rsid w:val="00137B7B"/>
    <w:rsid w:val="00137FF5"/>
    <w:rsid w:val="00140036"/>
    <w:rsid w:val="00140063"/>
    <w:rsid w:val="0014043E"/>
    <w:rsid w:val="0014073E"/>
    <w:rsid w:val="00140BC3"/>
    <w:rsid w:val="001411E8"/>
    <w:rsid w:val="00141258"/>
    <w:rsid w:val="001417C4"/>
    <w:rsid w:val="00141877"/>
    <w:rsid w:val="001418C7"/>
    <w:rsid w:val="00141B1B"/>
    <w:rsid w:val="00141DDA"/>
    <w:rsid w:val="00141F8E"/>
    <w:rsid w:val="00141FE3"/>
    <w:rsid w:val="00142238"/>
    <w:rsid w:val="001424C0"/>
    <w:rsid w:val="00142D04"/>
    <w:rsid w:val="00142D0B"/>
    <w:rsid w:val="001432C3"/>
    <w:rsid w:val="001435FD"/>
    <w:rsid w:val="0014399B"/>
    <w:rsid w:val="00143AF2"/>
    <w:rsid w:val="00143ED8"/>
    <w:rsid w:val="00143F25"/>
    <w:rsid w:val="00143F70"/>
    <w:rsid w:val="0014418B"/>
    <w:rsid w:val="00144A19"/>
    <w:rsid w:val="00144B00"/>
    <w:rsid w:val="00144C1E"/>
    <w:rsid w:val="00144D6D"/>
    <w:rsid w:val="00144FB5"/>
    <w:rsid w:val="00145847"/>
    <w:rsid w:val="00145C05"/>
    <w:rsid w:val="00145DC7"/>
    <w:rsid w:val="00145DE2"/>
    <w:rsid w:val="0014631B"/>
    <w:rsid w:val="0014644E"/>
    <w:rsid w:val="0014669D"/>
    <w:rsid w:val="001466CD"/>
    <w:rsid w:val="00146E4C"/>
    <w:rsid w:val="00147077"/>
    <w:rsid w:val="001475C6"/>
    <w:rsid w:val="001478E5"/>
    <w:rsid w:val="00147A06"/>
    <w:rsid w:val="00147B29"/>
    <w:rsid w:val="00147C4D"/>
    <w:rsid w:val="00147D7E"/>
    <w:rsid w:val="00147EF6"/>
    <w:rsid w:val="00150007"/>
    <w:rsid w:val="001501ED"/>
    <w:rsid w:val="00150234"/>
    <w:rsid w:val="001502FA"/>
    <w:rsid w:val="0015069F"/>
    <w:rsid w:val="001509DC"/>
    <w:rsid w:val="00150AE6"/>
    <w:rsid w:val="001510B2"/>
    <w:rsid w:val="00151B47"/>
    <w:rsid w:val="00151E05"/>
    <w:rsid w:val="0015244E"/>
    <w:rsid w:val="001526C6"/>
    <w:rsid w:val="001529BD"/>
    <w:rsid w:val="001529E4"/>
    <w:rsid w:val="00152A3D"/>
    <w:rsid w:val="00153436"/>
    <w:rsid w:val="001534BE"/>
    <w:rsid w:val="00153586"/>
    <w:rsid w:val="0015400B"/>
    <w:rsid w:val="00154365"/>
    <w:rsid w:val="00154733"/>
    <w:rsid w:val="00154D49"/>
    <w:rsid w:val="00154D50"/>
    <w:rsid w:val="0015528B"/>
    <w:rsid w:val="00155A2A"/>
    <w:rsid w:val="00155C57"/>
    <w:rsid w:val="00155C77"/>
    <w:rsid w:val="00155E2F"/>
    <w:rsid w:val="00155EC0"/>
    <w:rsid w:val="001560E4"/>
    <w:rsid w:val="001562B9"/>
    <w:rsid w:val="001563B1"/>
    <w:rsid w:val="0015664A"/>
    <w:rsid w:val="0015677A"/>
    <w:rsid w:val="001567C0"/>
    <w:rsid w:val="00156845"/>
    <w:rsid w:val="0015695B"/>
    <w:rsid w:val="00157073"/>
    <w:rsid w:val="00157098"/>
    <w:rsid w:val="00157B32"/>
    <w:rsid w:val="00157EA7"/>
    <w:rsid w:val="0016080D"/>
    <w:rsid w:val="001608FF"/>
    <w:rsid w:val="00161580"/>
    <w:rsid w:val="0016197D"/>
    <w:rsid w:val="00161988"/>
    <w:rsid w:val="00162140"/>
    <w:rsid w:val="0016262D"/>
    <w:rsid w:val="001628B1"/>
    <w:rsid w:val="00162E56"/>
    <w:rsid w:val="00162FB8"/>
    <w:rsid w:val="00162FBA"/>
    <w:rsid w:val="00163104"/>
    <w:rsid w:val="00163348"/>
    <w:rsid w:val="00163AF1"/>
    <w:rsid w:val="00163B82"/>
    <w:rsid w:val="00163BF2"/>
    <w:rsid w:val="00163C7C"/>
    <w:rsid w:val="00163E0E"/>
    <w:rsid w:val="001640DC"/>
    <w:rsid w:val="00164606"/>
    <w:rsid w:val="00164898"/>
    <w:rsid w:val="001648F5"/>
    <w:rsid w:val="0016503A"/>
    <w:rsid w:val="00165178"/>
    <w:rsid w:val="0016526E"/>
    <w:rsid w:val="00165310"/>
    <w:rsid w:val="0016554C"/>
    <w:rsid w:val="00165792"/>
    <w:rsid w:val="00165A9A"/>
    <w:rsid w:val="00166017"/>
    <w:rsid w:val="0016627D"/>
    <w:rsid w:val="0016662B"/>
    <w:rsid w:val="00166D2B"/>
    <w:rsid w:val="0016724A"/>
    <w:rsid w:val="00167552"/>
    <w:rsid w:val="00167827"/>
    <w:rsid w:val="0017030A"/>
    <w:rsid w:val="00170933"/>
    <w:rsid w:val="00170B0F"/>
    <w:rsid w:val="00170C8E"/>
    <w:rsid w:val="001711A3"/>
    <w:rsid w:val="0017175C"/>
    <w:rsid w:val="00171790"/>
    <w:rsid w:val="001717D3"/>
    <w:rsid w:val="001719B6"/>
    <w:rsid w:val="00171A76"/>
    <w:rsid w:val="00171A77"/>
    <w:rsid w:val="00171C17"/>
    <w:rsid w:val="00171CD3"/>
    <w:rsid w:val="0017223B"/>
    <w:rsid w:val="00172390"/>
    <w:rsid w:val="00172453"/>
    <w:rsid w:val="00172864"/>
    <w:rsid w:val="00172AE4"/>
    <w:rsid w:val="00172C51"/>
    <w:rsid w:val="00172C5F"/>
    <w:rsid w:val="00172FA2"/>
    <w:rsid w:val="001733FE"/>
    <w:rsid w:val="00173403"/>
    <w:rsid w:val="00173C6B"/>
    <w:rsid w:val="00174030"/>
    <w:rsid w:val="0017408F"/>
    <w:rsid w:val="00174250"/>
    <w:rsid w:val="001742A0"/>
    <w:rsid w:val="0017460D"/>
    <w:rsid w:val="00174BAA"/>
    <w:rsid w:val="00174F61"/>
    <w:rsid w:val="00174FE3"/>
    <w:rsid w:val="001750C7"/>
    <w:rsid w:val="00175B13"/>
    <w:rsid w:val="00175C7B"/>
    <w:rsid w:val="001760A1"/>
    <w:rsid w:val="001761A6"/>
    <w:rsid w:val="00176442"/>
    <w:rsid w:val="001764FC"/>
    <w:rsid w:val="00176530"/>
    <w:rsid w:val="001767EE"/>
    <w:rsid w:val="00176B28"/>
    <w:rsid w:val="00176B8E"/>
    <w:rsid w:val="00176F27"/>
    <w:rsid w:val="00177739"/>
    <w:rsid w:val="00177960"/>
    <w:rsid w:val="00177AD8"/>
    <w:rsid w:val="00177CCD"/>
    <w:rsid w:val="00177E1B"/>
    <w:rsid w:val="001801B4"/>
    <w:rsid w:val="001802C4"/>
    <w:rsid w:val="001807CF"/>
    <w:rsid w:val="0018103F"/>
    <w:rsid w:val="00181457"/>
    <w:rsid w:val="00181909"/>
    <w:rsid w:val="00181985"/>
    <w:rsid w:val="00181EF6"/>
    <w:rsid w:val="00182131"/>
    <w:rsid w:val="001823C3"/>
    <w:rsid w:val="00182563"/>
    <w:rsid w:val="00182A38"/>
    <w:rsid w:val="00182AD2"/>
    <w:rsid w:val="00182C86"/>
    <w:rsid w:val="00182C97"/>
    <w:rsid w:val="00182E53"/>
    <w:rsid w:val="00182F51"/>
    <w:rsid w:val="00183229"/>
    <w:rsid w:val="00183369"/>
    <w:rsid w:val="001834AC"/>
    <w:rsid w:val="00183562"/>
    <w:rsid w:val="001836CF"/>
    <w:rsid w:val="001837A2"/>
    <w:rsid w:val="001839B5"/>
    <w:rsid w:val="00183BDE"/>
    <w:rsid w:val="00183DD8"/>
    <w:rsid w:val="00183F3C"/>
    <w:rsid w:val="00184071"/>
    <w:rsid w:val="001841E3"/>
    <w:rsid w:val="00184340"/>
    <w:rsid w:val="001846D1"/>
    <w:rsid w:val="00184A62"/>
    <w:rsid w:val="00184C9E"/>
    <w:rsid w:val="00185262"/>
    <w:rsid w:val="001853B7"/>
    <w:rsid w:val="001856D4"/>
    <w:rsid w:val="001857EB"/>
    <w:rsid w:val="00185C68"/>
    <w:rsid w:val="001862AD"/>
    <w:rsid w:val="0018659C"/>
    <w:rsid w:val="00186D5D"/>
    <w:rsid w:val="0018745C"/>
    <w:rsid w:val="001874FF"/>
    <w:rsid w:val="00187614"/>
    <w:rsid w:val="00187919"/>
    <w:rsid w:val="00187A5C"/>
    <w:rsid w:val="00187AC4"/>
    <w:rsid w:val="00187B49"/>
    <w:rsid w:val="00187B65"/>
    <w:rsid w:val="00187F64"/>
    <w:rsid w:val="00190020"/>
    <w:rsid w:val="00190148"/>
    <w:rsid w:val="00190251"/>
    <w:rsid w:val="001909D0"/>
    <w:rsid w:val="00190A44"/>
    <w:rsid w:val="00190AE7"/>
    <w:rsid w:val="00190E4E"/>
    <w:rsid w:val="00190ED4"/>
    <w:rsid w:val="0019116C"/>
    <w:rsid w:val="00191281"/>
    <w:rsid w:val="001914DA"/>
    <w:rsid w:val="001918E5"/>
    <w:rsid w:val="00191B63"/>
    <w:rsid w:val="00191BB8"/>
    <w:rsid w:val="00191E72"/>
    <w:rsid w:val="0019219C"/>
    <w:rsid w:val="00192823"/>
    <w:rsid w:val="00192A2C"/>
    <w:rsid w:val="00192D35"/>
    <w:rsid w:val="00193421"/>
    <w:rsid w:val="0019353A"/>
    <w:rsid w:val="001937E0"/>
    <w:rsid w:val="001938F1"/>
    <w:rsid w:val="0019397D"/>
    <w:rsid w:val="001939C2"/>
    <w:rsid w:val="00193C12"/>
    <w:rsid w:val="00193E11"/>
    <w:rsid w:val="001940DD"/>
    <w:rsid w:val="00194393"/>
    <w:rsid w:val="00194651"/>
    <w:rsid w:val="0019477A"/>
    <w:rsid w:val="00194B8A"/>
    <w:rsid w:val="00194DE1"/>
    <w:rsid w:val="001955FA"/>
    <w:rsid w:val="001958F3"/>
    <w:rsid w:val="00195926"/>
    <w:rsid w:val="00195AAF"/>
    <w:rsid w:val="00195B89"/>
    <w:rsid w:val="00195BF5"/>
    <w:rsid w:val="00195DE7"/>
    <w:rsid w:val="00196153"/>
    <w:rsid w:val="001965E0"/>
    <w:rsid w:val="0019681C"/>
    <w:rsid w:val="00196EE6"/>
    <w:rsid w:val="0019715E"/>
    <w:rsid w:val="001975D5"/>
    <w:rsid w:val="00197716"/>
    <w:rsid w:val="001977D5"/>
    <w:rsid w:val="00197963"/>
    <w:rsid w:val="00197A5C"/>
    <w:rsid w:val="001A06C0"/>
    <w:rsid w:val="001A0769"/>
    <w:rsid w:val="001A09B3"/>
    <w:rsid w:val="001A0DEA"/>
    <w:rsid w:val="001A0ED7"/>
    <w:rsid w:val="001A0FCB"/>
    <w:rsid w:val="001A10ED"/>
    <w:rsid w:val="001A1810"/>
    <w:rsid w:val="001A193A"/>
    <w:rsid w:val="001A1A02"/>
    <w:rsid w:val="001A1AB5"/>
    <w:rsid w:val="001A1B18"/>
    <w:rsid w:val="001A1D3A"/>
    <w:rsid w:val="001A203D"/>
    <w:rsid w:val="001A20D6"/>
    <w:rsid w:val="001A20E0"/>
    <w:rsid w:val="001A2264"/>
    <w:rsid w:val="001A253E"/>
    <w:rsid w:val="001A25F7"/>
    <w:rsid w:val="001A2AF6"/>
    <w:rsid w:val="001A2C72"/>
    <w:rsid w:val="001A3055"/>
    <w:rsid w:val="001A307C"/>
    <w:rsid w:val="001A30AD"/>
    <w:rsid w:val="001A36F9"/>
    <w:rsid w:val="001A3774"/>
    <w:rsid w:val="001A3A03"/>
    <w:rsid w:val="001A3AE3"/>
    <w:rsid w:val="001A4815"/>
    <w:rsid w:val="001A4974"/>
    <w:rsid w:val="001A4AC8"/>
    <w:rsid w:val="001A4EF8"/>
    <w:rsid w:val="001A4F5F"/>
    <w:rsid w:val="001A5007"/>
    <w:rsid w:val="001A52DB"/>
    <w:rsid w:val="001A554F"/>
    <w:rsid w:val="001A5E47"/>
    <w:rsid w:val="001A6121"/>
    <w:rsid w:val="001A6202"/>
    <w:rsid w:val="001A6716"/>
    <w:rsid w:val="001A6756"/>
    <w:rsid w:val="001A7706"/>
    <w:rsid w:val="001A77D3"/>
    <w:rsid w:val="001A7C8C"/>
    <w:rsid w:val="001A7CC2"/>
    <w:rsid w:val="001A7F48"/>
    <w:rsid w:val="001B009D"/>
    <w:rsid w:val="001B02CD"/>
    <w:rsid w:val="001B04E5"/>
    <w:rsid w:val="001B076A"/>
    <w:rsid w:val="001B0CBC"/>
    <w:rsid w:val="001B0F25"/>
    <w:rsid w:val="001B14CF"/>
    <w:rsid w:val="001B1734"/>
    <w:rsid w:val="001B1CCC"/>
    <w:rsid w:val="001B2314"/>
    <w:rsid w:val="001B245B"/>
    <w:rsid w:val="001B25FF"/>
    <w:rsid w:val="001B292C"/>
    <w:rsid w:val="001B2A8B"/>
    <w:rsid w:val="001B2CFE"/>
    <w:rsid w:val="001B2E34"/>
    <w:rsid w:val="001B34DC"/>
    <w:rsid w:val="001B367A"/>
    <w:rsid w:val="001B3709"/>
    <w:rsid w:val="001B3BB5"/>
    <w:rsid w:val="001B3DBE"/>
    <w:rsid w:val="001B44A0"/>
    <w:rsid w:val="001B44F7"/>
    <w:rsid w:val="001B45A3"/>
    <w:rsid w:val="001B4923"/>
    <w:rsid w:val="001B4A16"/>
    <w:rsid w:val="001B52EC"/>
    <w:rsid w:val="001B57DD"/>
    <w:rsid w:val="001B585D"/>
    <w:rsid w:val="001B5A30"/>
    <w:rsid w:val="001B5B02"/>
    <w:rsid w:val="001B5E36"/>
    <w:rsid w:val="001B641F"/>
    <w:rsid w:val="001B69BC"/>
    <w:rsid w:val="001B6CD5"/>
    <w:rsid w:val="001B7875"/>
    <w:rsid w:val="001B7CBD"/>
    <w:rsid w:val="001C00DC"/>
    <w:rsid w:val="001C02CE"/>
    <w:rsid w:val="001C030B"/>
    <w:rsid w:val="001C050A"/>
    <w:rsid w:val="001C05CB"/>
    <w:rsid w:val="001C0891"/>
    <w:rsid w:val="001C0B2A"/>
    <w:rsid w:val="001C0BBD"/>
    <w:rsid w:val="001C0D5C"/>
    <w:rsid w:val="001C0F53"/>
    <w:rsid w:val="001C113B"/>
    <w:rsid w:val="001C1883"/>
    <w:rsid w:val="001C18ED"/>
    <w:rsid w:val="001C19ED"/>
    <w:rsid w:val="001C2231"/>
    <w:rsid w:val="001C22F3"/>
    <w:rsid w:val="001C24E1"/>
    <w:rsid w:val="001C2516"/>
    <w:rsid w:val="001C2D36"/>
    <w:rsid w:val="001C2F94"/>
    <w:rsid w:val="001C2F95"/>
    <w:rsid w:val="001C307E"/>
    <w:rsid w:val="001C3097"/>
    <w:rsid w:val="001C30C6"/>
    <w:rsid w:val="001C35A8"/>
    <w:rsid w:val="001C383D"/>
    <w:rsid w:val="001C3D6D"/>
    <w:rsid w:val="001C4065"/>
    <w:rsid w:val="001C444A"/>
    <w:rsid w:val="001C46D7"/>
    <w:rsid w:val="001C49F8"/>
    <w:rsid w:val="001C4C28"/>
    <w:rsid w:val="001C4C29"/>
    <w:rsid w:val="001C4CCB"/>
    <w:rsid w:val="001C4EA2"/>
    <w:rsid w:val="001C5203"/>
    <w:rsid w:val="001C5293"/>
    <w:rsid w:val="001C5354"/>
    <w:rsid w:val="001C54EB"/>
    <w:rsid w:val="001C57FE"/>
    <w:rsid w:val="001C59ED"/>
    <w:rsid w:val="001C5A1A"/>
    <w:rsid w:val="001C620A"/>
    <w:rsid w:val="001C623C"/>
    <w:rsid w:val="001C6797"/>
    <w:rsid w:val="001C67DE"/>
    <w:rsid w:val="001C680B"/>
    <w:rsid w:val="001C682E"/>
    <w:rsid w:val="001C69B6"/>
    <w:rsid w:val="001C6B45"/>
    <w:rsid w:val="001C6D53"/>
    <w:rsid w:val="001C6D6B"/>
    <w:rsid w:val="001C6DAB"/>
    <w:rsid w:val="001C71FC"/>
    <w:rsid w:val="001C729A"/>
    <w:rsid w:val="001C75B7"/>
    <w:rsid w:val="001C77C7"/>
    <w:rsid w:val="001C7A5C"/>
    <w:rsid w:val="001C7B80"/>
    <w:rsid w:val="001C7FBE"/>
    <w:rsid w:val="001D0511"/>
    <w:rsid w:val="001D08A2"/>
    <w:rsid w:val="001D111D"/>
    <w:rsid w:val="001D13F1"/>
    <w:rsid w:val="001D1568"/>
    <w:rsid w:val="001D1960"/>
    <w:rsid w:val="001D1A6B"/>
    <w:rsid w:val="001D1D92"/>
    <w:rsid w:val="001D1E4B"/>
    <w:rsid w:val="001D2147"/>
    <w:rsid w:val="001D23A8"/>
    <w:rsid w:val="001D28AD"/>
    <w:rsid w:val="001D2BD5"/>
    <w:rsid w:val="001D2F7C"/>
    <w:rsid w:val="001D30CA"/>
    <w:rsid w:val="001D32F5"/>
    <w:rsid w:val="001D33B3"/>
    <w:rsid w:val="001D3AC4"/>
    <w:rsid w:val="001D4089"/>
    <w:rsid w:val="001D4122"/>
    <w:rsid w:val="001D4843"/>
    <w:rsid w:val="001D49A9"/>
    <w:rsid w:val="001D4C2D"/>
    <w:rsid w:val="001D4EAD"/>
    <w:rsid w:val="001D4FCB"/>
    <w:rsid w:val="001D54E7"/>
    <w:rsid w:val="001D54F2"/>
    <w:rsid w:val="001D57F9"/>
    <w:rsid w:val="001D5D91"/>
    <w:rsid w:val="001D5F72"/>
    <w:rsid w:val="001D5FAB"/>
    <w:rsid w:val="001D603E"/>
    <w:rsid w:val="001D6864"/>
    <w:rsid w:val="001D69AD"/>
    <w:rsid w:val="001D6AD6"/>
    <w:rsid w:val="001D6C9A"/>
    <w:rsid w:val="001D6DAF"/>
    <w:rsid w:val="001D7265"/>
    <w:rsid w:val="001D72D3"/>
    <w:rsid w:val="001D7381"/>
    <w:rsid w:val="001D794A"/>
    <w:rsid w:val="001D7C5F"/>
    <w:rsid w:val="001D7FF0"/>
    <w:rsid w:val="001E01CA"/>
    <w:rsid w:val="001E051A"/>
    <w:rsid w:val="001E1410"/>
    <w:rsid w:val="001E16CB"/>
    <w:rsid w:val="001E18CD"/>
    <w:rsid w:val="001E1ACC"/>
    <w:rsid w:val="001E2010"/>
    <w:rsid w:val="001E21CA"/>
    <w:rsid w:val="001E2369"/>
    <w:rsid w:val="001E2565"/>
    <w:rsid w:val="001E265C"/>
    <w:rsid w:val="001E27AB"/>
    <w:rsid w:val="001E2EC2"/>
    <w:rsid w:val="001E2ECB"/>
    <w:rsid w:val="001E31D6"/>
    <w:rsid w:val="001E321C"/>
    <w:rsid w:val="001E3226"/>
    <w:rsid w:val="001E3380"/>
    <w:rsid w:val="001E367B"/>
    <w:rsid w:val="001E370A"/>
    <w:rsid w:val="001E3882"/>
    <w:rsid w:val="001E3A82"/>
    <w:rsid w:val="001E3BE9"/>
    <w:rsid w:val="001E3C8F"/>
    <w:rsid w:val="001E4034"/>
    <w:rsid w:val="001E438D"/>
    <w:rsid w:val="001E44EA"/>
    <w:rsid w:val="001E4AD9"/>
    <w:rsid w:val="001E509A"/>
    <w:rsid w:val="001E5282"/>
    <w:rsid w:val="001E5A26"/>
    <w:rsid w:val="001E5BC1"/>
    <w:rsid w:val="001E5D51"/>
    <w:rsid w:val="001E60F8"/>
    <w:rsid w:val="001E6A8E"/>
    <w:rsid w:val="001E6E61"/>
    <w:rsid w:val="001E6F5C"/>
    <w:rsid w:val="001E70B5"/>
    <w:rsid w:val="001E749D"/>
    <w:rsid w:val="001E774E"/>
    <w:rsid w:val="001E79AB"/>
    <w:rsid w:val="001E7B37"/>
    <w:rsid w:val="001E7B62"/>
    <w:rsid w:val="001E7B64"/>
    <w:rsid w:val="001E7E75"/>
    <w:rsid w:val="001E7FF2"/>
    <w:rsid w:val="001F0047"/>
    <w:rsid w:val="001F013A"/>
    <w:rsid w:val="001F0296"/>
    <w:rsid w:val="001F02BF"/>
    <w:rsid w:val="001F068B"/>
    <w:rsid w:val="001F08A9"/>
    <w:rsid w:val="001F0A38"/>
    <w:rsid w:val="001F0AA9"/>
    <w:rsid w:val="001F0DE7"/>
    <w:rsid w:val="001F15A4"/>
    <w:rsid w:val="001F1968"/>
    <w:rsid w:val="001F1AE3"/>
    <w:rsid w:val="001F1BA6"/>
    <w:rsid w:val="001F1DB5"/>
    <w:rsid w:val="001F2783"/>
    <w:rsid w:val="001F2C00"/>
    <w:rsid w:val="001F2F27"/>
    <w:rsid w:val="001F2FC9"/>
    <w:rsid w:val="001F3109"/>
    <w:rsid w:val="001F3852"/>
    <w:rsid w:val="001F3921"/>
    <w:rsid w:val="001F3F84"/>
    <w:rsid w:val="001F4315"/>
    <w:rsid w:val="001F46C7"/>
    <w:rsid w:val="001F48EE"/>
    <w:rsid w:val="001F495E"/>
    <w:rsid w:val="001F49C6"/>
    <w:rsid w:val="001F4A30"/>
    <w:rsid w:val="001F4D6E"/>
    <w:rsid w:val="001F52D9"/>
    <w:rsid w:val="001F532D"/>
    <w:rsid w:val="001F53D8"/>
    <w:rsid w:val="001F54F9"/>
    <w:rsid w:val="001F57EB"/>
    <w:rsid w:val="001F5A3F"/>
    <w:rsid w:val="001F5A41"/>
    <w:rsid w:val="001F5C85"/>
    <w:rsid w:val="001F5EC2"/>
    <w:rsid w:val="001F6F5A"/>
    <w:rsid w:val="001F74C5"/>
    <w:rsid w:val="001F751E"/>
    <w:rsid w:val="001F774D"/>
    <w:rsid w:val="001F7844"/>
    <w:rsid w:val="001F78B9"/>
    <w:rsid w:val="001F791D"/>
    <w:rsid w:val="001F7A0B"/>
    <w:rsid w:val="001F7AD2"/>
    <w:rsid w:val="002002A2"/>
    <w:rsid w:val="0020036D"/>
    <w:rsid w:val="00200386"/>
    <w:rsid w:val="00200728"/>
    <w:rsid w:val="002008B3"/>
    <w:rsid w:val="002009A9"/>
    <w:rsid w:val="002009E3"/>
    <w:rsid w:val="00200B6A"/>
    <w:rsid w:val="00200C00"/>
    <w:rsid w:val="00200F97"/>
    <w:rsid w:val="00200FDD"/>
    <w:rsid w:val="00201823"/>
    <w:rsid w:val="002022D2"/>
    <w:rsid w:val="002023C6"/>
    <w:rsid w:val="00202F07"/>
    <w:rsid w:val="00203265"/>
    <w:rsid w:val="002033CE"/>
    <w:rsid w:val="002036DE"/>
    <w:rsid w:val="002038E3"/>
    <w:rsid w:val="0020406B"/>
    <w:rsid w:val="00204223"/>
    <w:rsid w:val="002044F9"/>
    <w:rsid w:val="002046D8"/>
    <w:rsid w:val="002047C8"/>
    <w:rsid w:val="00204D17"/>
    <w:rsid w:val="00204D86"/>
    <w:rsid w:val="00205006"/>
    <w:rsid w:val="0020509C"/>
    <w:rsid w:val="00205256"/>
    <w:rsid w:val="002053D2"/>
    <w:rsid w:val="00205607"/>
    <w:rsid w:val="002057EE"/>
    <w:rsid w:val="00205AC9"/>
    <w:rsid w:val="00205B28"/>
    <w:rsid w:val="00206357"/>
    <w:rsid w:val="00206F2D"/>
    <w:rsid w:val="002071EF"/>
    <w:rsid w:val="00207558"/>
    <w:rsid w:val="00207E47"/>
    <w:rsid w:val="00210376"/>
    <w:rsid w:val="0021080E"/>
    <w:rsid w:val="00210879"/>
    <w:rsid w:val="00210933"/>
    <w:rsid w:val="00210BBC"/>
    <w:rsid w:val="00210C29"/>
    <w:rsid w:val="0021122D"/>
    <w:rsid w:val="0021142D"/>
    <w:rsid w:val="00211981"/>
    <w:rsid w:val="002120B3"/>
    <w:rsid w:val="00212A5C"/>
    <w:rsid w:val="00212EF2"/>
    <w:rsid w:val="00212FD0"/>
    <w:rsid w:val="00213219"/>
    <w:rsid w:val="00213262"/>
    <w:rsid w:val="002137F1"/>
    <w:rsid w:val="00213BAE"/>
    <w:rsid w:val="00213D0D"/>
    <w:rsid w:val="00213FEF"/>
    <w:rsid w:val="002142AF"/>
    <w:rsid w:val="002142FF"/>
    <w:rsid w:val="002147EB"/>
    <w:rsid w:val="002148FB"/>
    <w:rsid w:val="0021526F"/>
    <w:rsid w:val="002152E7"/>
    <w:rsid w:val="00215630"/>
    <w:rsid w:val="002156BE"/>
    <w:rsid w:val="00215AA6"/>
    <w:rsid w:val="00215B00"/>
    <w:rsid w:val="00215DED"/>
    <w:rsid w:val="00215DFB"/>
    <w:rsid w:val="002160C2"/>
    <w:rsid w:val="00216484"/>
    <w:rsid w:val="0021661A"/>
    <w:rsid w:val="00216E5E"/>
    <w:rsid w:val="00216EA0"/>
    <w:rsid w:val="00216F6F"/>
    <w:rsid w:val="00217035"/>
    <w:rsid w:val="0021712D"/>
    <w:rsid w:val="002173F5"/>
    <w:rsid w:val="0021776D"/>
    <w:rsid w:val="00217784"/>
    <w:rsid w:val="002178AD"/>
    <w:rsid w:val="00217961"/>
    <w:rsid w:val="00217D4C"/>
    <w:rsid w:val="00217D5D"/>
    <w:rsid w:val="00217E51"/>
    <w:rsid w:val="00217E99"/>
    <w:rsid w:val="002205D5"/>
    <w:rsid w:val="002205E8"/>
    <w:rsid w:val="00220D23"/>
    <w:rsid w:val="00220FC7"/>
    <w:rsid w:val="002211EB"/>
    <w:rsid w:val="002212E4"/>
    <w:rsid w:val="00221E80"/>
    <w:rsid w:val="00221EB0"/>
    <w:rsid w:val="0022216C"/>
    <w:rsid w:val="00222338"/>
    <w:rsid w:val="00222A44"/>
    <w:rsid w:val="00222D9A"/>
    <w:rsid w:val="00222DB6"/>
    <w:rsid w:val="002230E2"/>
    <w:rsid w:val="002237CB"/>
    <w:rsid w:val="00223929"/>
    <w:rsid w:val="00223930"/>
    <w:rsid w:val="00223CF9"/>
    <w:rsid w:val="00223F33"/>
    <w:rsid w:val="002240EE"/>
    <w:rsid w:val="002241A6"/>
    <w:rsid w:val="00224808"/>
    <w:rsid w:val="00224BBB"/>
    <w:rsid w:val="00224D19"/>
    <w:rsid w:val="00225100"/>
    <w:rsid w:val="00225144"/>
    <w:rsid w:val="00225C28"/>
    <w:rsid w:val="00225E89"/>
    <w:rsid w:val="00226303"/>
    <w:rsid w:val="0022637A"/>
    <w:rsid w:val="0022645A"/>
    <w:rsid w:val="002264FA"/>
    <w:rsid w:val="0022663D"/>
    <w:rsid w:val="002269BD"/>
    <w:rsid w:val="002269DD"/>
    <w:rsid w:val="00226BA9"/>
    <w:rsid w:val="00226BAC"/>
    <w:rsid w:val="00226C43"/>
    <w:rsid w:val="002271D6"/>
    <w:rsid w:val="002271EC"/>
    <w:rsid w:val="0022720A"/>
    <w:rsid w:val="002272A8"/>
    <w:rsid w:val="00227688"/>
    <w:rsid w:val="00227822"/>
    <w:rsid w:val="002279CF"/>
    <w:rsid w:val="00227BA4"/>
    <w:rsid w:val="00227D01"/>
    <w:rsid w:val="00230A12"/>
    <w:rsid w:val="00230B7F"/>
    <w:rsid w:val="00230C60"/>
    <w:rsid w:val="00230DA0"/>
    <w:rsid w:val="002311D9"/>
    <w:rsid w:val="002311DF"/>
    <w:rsid w:val="0023161D"/>
    <w:rsid w:val="00231627"/>
    <w:rsid w:val="00231B02"/>
    <w:rsid w:val="00231C87"/>
    <w:rsid w:val="0023227B"/>
    <w:rsid w:val="002326C8"/>
    <w:rsid w:val="002326FF"/>
    <w:rsid w:val="00232ACF"/>
    <w:rsid w:val="00232D37"/>
    <w:rsid w:val="00232EAA"/>
    <w:rsid w:val="00233095"/>
    <w:rsid w:val="00233198"/>
    <w:rsid w:val="002334A8"/>
    <w:rsid w:val="0023382B"/>
    <w:rsid w:val="00233B73"/>
    <w:rsid w:val="00233FB0"/>
    <w:rsid w:val="002344FC"/>
    <w:rsid w:val="002346E3"/>
    <w:rsid w:val="002348A8"/>
    <w:rsid w:val="00234D33"/>
    <w:rsid w:val="00235698"/>
    <w:rsid w:val="002357ED"/>
    <w:rsid w:val="0023584D"/>
    <w:rsid w:val="002359CA"/>
    <w:rsid w:val="00235AA5"/>
    <w:rsid w:val="00235F75"/>
    <w:rsid w:val="00236189"/>
    <w:rsid w:val="00236846"/>
    <w:rsid w:val="00236CD2"/>
    <w:rsid w:val="00236EA7"/>
    <w:rsid w:val="00236EF7"/>
    <w:rsid w:val="00236FE6"/>
    <w:rsid w:val="00237376"/>
    <w:rsid w:val="00237B5D"/>
    <w:rsid w:val="00237B7C"/>
    <w:rsid w:val="0024073A"/>
    <w:rsid w:val="00241153"/>
    <w:rsid w:val="00241290"/>
    <w:rsid w:val="00241470"/>
    <w:rsid w:val="0024175C"/>
    <w:rsid w:val="00241923"/>
    <w:rsid w:val="00241C77"/>
    <w:rsid w:val="00241FC5"/>
    <w:rsid w:val="00242619"/>
    <w:rsid w:val="00242849"/>
    <w:rsid w:val="002429B0"/>
    <w:rsid w:val="00242BC2"/>
    <w:rsid w:val="00242BD6"/>
    <w:rsid w:val="00242EF3"/>
    <w:rsid w:val="002437AD"/>
    <w:rsid w:val="002440D1"/>
    <w:rsid w:val="002440F1"/>
    <w:rsid w:val="002441AA"/>
    <w:rsid w:val="002441C5"/>
    <w:rsid w:val="0024427B"/>
    <w:rsid w:val="0024457A"/>
    <w:rsid w:val="0024463E"/>
    <w:rsid w:val="00244975"/>
    <w:rsid w:val="00244B4B"/>
    <w:rsid w:val="00244C13"/>
    <w:rsid w:val="002453CC"/>
    <w:rsid w:val="00245A40"/>
    <w:rsid w:val="00245BFA"/>
    <w:rsid w:val="00245E6D"/>
    <w:rsid w:val="00246261"/>
    <w:rsid w:val="0024634C"/>
    <w:rsid w:val="00246633"/>
    <w:rsid w:val="0024677F"/>
    <w:rsid w:val="002469BA"/>
    <w:rsid w:val="00246F0E"/>
    <w:rsid w:val="0024713C"/>
    <w:rsid w:val="002471D6"/>
    <w:rsid w:val="0024739B"/>
    <w:rsid w:val="002477A1"/>
    <w:rsid w:val="00247DD4"/>
    <w:rsid w:val="00247DF9"/>
    <w:rsid w:val="00250442"/>
    <w:rsid w:val="002504EE"/>
    <w:rsid w:val="002506D1"/>
    <w:rsid w:val="0025105F"/>
    <w:rsid w:val="00251214"/>
    <w:rsid w:val="0025151D"/>
    <w:rsid w:val="0025152D"/>
    <w:rsid w:val="002515BF"/>
    <w:rsid w:val="00251655"/>
    <w:rsid w:val="0025177E"/>
    <w:rsid w:val="00252032"/>
    <w:rsid w:val="0025213F"/>
    <w:rsid w:val="0025251D"/>
    <w:rsid w:val="002527C4"/>
    <w:rsid w:val="0025283C"/>
    <w:rsid w:val="00252A8E"/>
    <w:rsid w:val="002531F8"/>
    <w:rsid w:val="00253704"/>
    <w:rsid w:val="0025374C"/>
    <w:rsid w:val="002538E3"/>
    <w:rsid w:val="00253BC7"/>
    <w:rsid w:val="00253D39"/>
    <w:rsid w:val="00253E64"/>
    <w:rsid w:val="002542B8"/>
    <w:rsid w:val="0025462D"/>
    <w:rsid w:val="0025492D"/>
    <w:rsid w:val="00254955"/>
    <w:rsid w:val="0025498A"/>
    <w:rsid w:val="002549F5"/>
    <w:rsid w:val="00254A48"/>
    <w:rsid w:val="00254B98"/>
    <w:rsid w:val="00254FB0"/>
    <w:rsid w:val="00255229"/>
    <w:rsid w:val="00255766"/>
    <w:rsid w:val="00255861"/>
    <w:rsid w:val="002558F9"/>
    <w:rsid w:val="00255DFF"/>
    <w:rsid w:val="00255E32"/>
    <w:rsid w:val="00255F01"/>
    <w:rsid w:val="0025633E"/>
    <w:rsid w:val="00256344"/>
    <w:rsid w:val="00256358"/>
    <w:rsid w:val="00256764"/>
    <w:rsid w:val="00256C09"/>
    <w:rsid w:val="00256C74"/>
    <w:rsid w:val="00256FA9"/>
    <w:rsid w:val="0025747C"/>
    <w:rsid w:val="00257822"/>
    <w:rsid w:val="00257900"/>
    <w:rsid w:val="00257B80"/>
    <w:rsid w:val="00257BA9"/>
    <w:rsid w:val="00257C49"/>
    <w:rsid w:val="00257DC8"/>
    <w:rsid w:val="00257F92"/>
    <w:rsid w:val="002606EF"/>
    <w:rsid w:val="0026072A"/>
    <w:rsid w:val="00260B3D"/>
    <w:rsid w:val="002614D8"/>
    <w:rsid w:val="00261DE8"/>
    <w:rsid w:val="00261E8E"/>
    <w:rsid w:val="0026201B"/>
    <w:rsid w:val="00262446"/>
    <w:rsid w:val="002624D2"/>
    <w:rsid w:val="002625D9"/>
    <w:rsid w:val="002626E7"/>
    <w:rsid w:val="00262BFF"/>
    <w:rsid w:val="00262CEB"/>
    <w:rsid w:val="00262DCD"/>
    <w:rsid w:val="00263082"/>
    <w:rsid w:val="0026328F"/>
    <w:rsid w:val="002634DD"/>
    <w:rsid w:val="0026357A"/>
    <w:rsid w:val="0026383D"/>
    <w:rsid w:val="00263D8A"/>
    <w:rsid w:val="00263EA1"/>
    <w:rsid w:val="0026411D"/>
    <w:rsid w:val="0026458D"/>
    <w:rsid w:val="00264913"/>
    <w:rsid w:val="00265088"/>
    <w:rsid w:val="00265140"/>
    <w:rsid w:val="002653D0"/>
    <w:rsid w:val="002654DD"/>
    <w:rsid w:val="00265621"/>
    <w:rsid w:val="002656B3"/>
    <w:rsid w:val="00265C17"/>
    <w:rsid w:val="00265F69"/>
    <w:rsid w:val="002660D3"/>
    <w:rsid w:val="002662E4"/>
    <w:rsid w:val="0026638B"/>
    <w:rsid w:val="0026655A"/>
    <w:rsid w:val="00266670"/>
    <w:rsid w:val="002668F9"/>
    <w:rsid w:val="002669AD"/>
    <w:rsid w:val="00266A18"/>
    <w:rsid w:val="00266D56"/>
    <w:rsid w:val="00266E38"/>
    <w:rsid w:val="00266ED9"/>
    <w:rsid w:val="00266FCB"/>
    <w:rsid w:val="00267341"/>
    <w:rsid w:val="002678F2"/>
    <w:rsid w:val="00267B6F"/>
    <w:rsid w:val="00267C75"/>
    <w:rsid w:val="00267CC7"/>
    <w:rsid w:val="002702CD"/>
    <w:rsid w:val="00270321"/>
    <w:rsid w:val="0027085B"/>
    <w:rsid w:val="00270987"/>
    <w:rsid w:val="00270BD0"/>
    <w:rsid w:val="002710C5"/>
    <w:rsid w:val="00271207"/>
    <w:rsid w:val="002712BA"/>
    <w:rsid w:val="00271666"/>
    <w:rsid w:val="00271841"/>
    <w:rsid w:val="00271909"/>
    <w:rsid w:val="002719A4"/>
    <w:rsid w:val="00271FB5"/>
    <w:rsid w:val="00272327"/>
    <w:rsid w:val="002723D4"/>
    <w:rsid w:val="00272951"/>
    <w:rsid w:val="00272AE5"/>
    <w:rsid w:val="00272C8D"/>
    <w:rsid w:val="00272D03"/>
    <w:rsid w:val="00272F26"/>
    <w:rsid w:val="00273162"/>
    <w:rsid w:val="00273271"/>
    <w:rsid w:val="00273C42"/>
    <w:rsid w:val="002740FC"/>
    <w:rsid w:val="00274299"/>
    <w:rsid w:val="00274337"/>
    <w:rsid w:val="0027454D"/>
    <w:rsid w:val="00274703"/>
    <w:rsid w:val="0027484F"/>
    <w:rsid w:val="002750C2"/>
    <w:rsid w:val="0027510E"/>
    <w:rsid w:val="002752EF"/>
    <w:rsid w:val="00275428"/>
    <w:rsid w:val="00275439"/>
    <w:rsid w:val="00275658"/>
    <w:rsid w:val="00275772"/>
    <w:rsid w:val="0027598D"/>
    <w:rsid w:val="00275A4D"/>
    <w:rsid w:val="00275B5D"/>
    <w:rsid w:val="00275E61"/>
    <w:rsid w:val="002761D6"/>
    <w:rsid w:val="00276390"/>
    <w:rsid w:val="00276428"/>
    <w:rsid w:val="0027654A"/>
    <w:rsid w:val="00276755"/>
    <w:rsid w:val="002768FA"/>
    <w:rsid w:val="00276AD9"/>
    <w:rsid w:val="00277454"/>
    <w:rsid w:val="00277471"/>
    <w:rsid w:val="00277761"/>
    <w:rsid w:val="00277825"/>
    <w:rsid w:val="00277D1D"/>
    <w:rsid w:val="00277DB7"/>
    <w:rsid w:val="00277E7D"/>
    <w:rsid w:val="00280278"/>
    <w:rsid w:val="00280295"/>
    <w:rsid w:val="0028057B"/>
    <w:rsid w:val="00280894"/>
    <w:rsid w:val="00280B9C"/>
    <w:rsid w:val="002817B4"/>
    <w:rsid w:val="002817C8"/>
    <w:rsid w:val="00281DC2"/>
    <w:rsid w:val="00281ED5"/>
    <w:rsid w:val="002824D4"/>
    <w:rsid w:val="00282541"/>
    <w:rsid w:val="0028278C"/>
    <w:rsid w:val="002828DC"/>
    <w:rsid w:val="00283512"/>
    <w:rsid w:val="0028366A"/>
    <w:rsid w:val="00283F94"/>
    <w:rsid w:val="002844DB"/>
    <w:rsid w:val="00284BCD"/>
    <w:rsid w:val="002853FF"/>
    <w:rsid w:val="002857AA"/>
    <w:rsid w:val="002858E4"/>
    <w:rsid w:val="00285A2A"/>
    <w:rsid w:val="00285D59"/>
    <w:rsid w:val="00285EE1"/>
    <w:rsid w:val="00286221"/>
    <w:rsid w:val="002863A4"/>
    <w:rsid w:val="0028689E"/>
    <w:rsid w:val="00286BCC"/>
    <w:rsid w:val="00287866"/>
    <w:rsid w:val="00287975"/>
    <w:rsid w:val="00290376"/>
    <w:rsid w:val="00290DA5"/>
    <w:rsid w:val="0029115B"/>
    <w:rsid w:val="00291251"/>
    <w:rsid w:val="002914F1"/>
    <w:rsid w:val="002915AD"/>
    <w:rsid w:val="002916BF"/>
    <w:rsid w:val="00291BB3"/>
    <w:rsid w:val="00291C31"/>
    <w:rsid w:val="00292146"/>
    <w:rsid w:val="00292653"/>
    <w:rsid w:val="0029281E"/>
    <w:rsid w:val="00292D4B"/>
    <w:rsid w:val="0029317F"/>
    <w:rsid w:val="00293833"/>
    <w:rsid w:val="00293AD2"/>
    <w:rsid w:val="00293BE4"/>
    <w:rsid w:val="00293EF4"/>
    <w:rsid w:val="0029400A"/>
    <w:rsid w:val="00294108"/>
    <w:rsid w:val="002942DC"/>
    <w:rsid w:val="00294374"/>
    <w:rsid w:val="00294800"/>
    <w:rsid w:val="00294FB6"/>
    <w:rsid w:val="0029524F"/>
    <w:rsid w:val="002956E9"/>
    <w:rsid w:val="00295733"/>
    <w:rsid w:val="002957AB"/>
    <w:rsid w:val="002959E3"/>
    <w:rsid w:val="00295E0A"/>
    <w:rsid w:val="00296009"/>
    <w:rsid w:val="00296239"/>
    <w:rsid w:val="002963ED"/>
    <w:rsid w:val="00296419"/>
    <w:rsid w:val="00296710"/>
    <w:rsid w:val="0029682D"/>
    <w:rsid w:val="002969F2"/>
    <w:rsid w:val="00296B29"/>
    <w:rsid w:val="00296CE5"/>
    <w:rsid w:val="00296EF2"/>
    <w:rsid w:val="00297343"/>
    <w:rsid w:val="002974E8"/>
    <w:rsid w:val="00297776"/>
    <w:rsid w:val="00297BFA"/>
    <w:rsid w:val="00297ED0"/>
    <w:rsid w:val="00297FCF"/>
    <w:rsid w:val="002A03D3"/>
    <w:rsid w:val="002A064B"/>
    <w:rsid w:val="002A0657"/>
    <w:rsid w:val="002A0820"/>
    <w:rsid w:val="002A0B39"/>
    <w:rsid w:val="002A106E"/>
    <w:rsid w:val="002A1091"/>
    <w:rsid w:val="002A15AD"/>
    <w:rsid w:val="002A1B03"/>
    <w:rsid w:val="002A1D7E"/>
    <w:rsid w:val="002A1DC8"/>
    <w:rsid w:val="002A1EC9"/>
    <w:rsid w:val="002A2626"/>
    <w:rsid w:val="002A2D53"/>
    <w:rsid w:val="002A2E43"/>
    <w:rsid w:val="002A3181"/>
    <w:rsid w:val="002A35E9"/>
    <w:rsid w:val="002A371E"/>
    <w:rsid w:val="002A3852"/>
    <w:rsid w:val="002A3861"/>
    <w:rsid w:val="002A3CC0"/>
    <w:rsid w:val="002A3D8F"/>
    <w:rsid w:val="002A4726"/>
    <w:rsid w:val="002A4978"/>
    <w:rsid w:val="002A4FFD"/>
    <w:rsid w:val="002A5061"/>
    <w:rsid w:val="002A54B2"/>
    <w:rsid w:val="002A59F4"/>
    <w:rsid w:val="002A5D18"/>
    <w:rsid w:val="002A654D"/>
    <w:rsid w:val="002A6640"/>
    <w:rsid w:val="002A6912"/>
    <w:rsid w:val="002A6CCE"/>
    <w:rsid w:val="002A6F32"/>
    <w:rsid w:val="002A7BC2"/>
    <w:rsid w:val="002A7F24"/>
    <w:rsid w:val="002B0222"/>
    <w:rsid w:val="002B0420"/>
    <w:rsid w:val="002B0453"/>
    <w:rsid w:val="002B0A2C"/>
    <w:rsid w:val="002B0A47"/>
    <w:rsid w:val="002B0A4D"/>
    <w:rsid w:val="002B0D0B"/>
    <w:rsid w:val="002B0EA3"/>
    <w:rsid w:val="002B112C"/>
    <w:rsid w:val="002B1292"/>
    <w:rsid w:val="002B15EA"/>
    <w:rsid w:val="002B1CB2"/>
    <w:rsid w:val="002B1DA0"/>
    <w:rsid w:val="002B1E5F"/>
    <w:rsid w:val="002B25D7"/>
    <w:rsid w:val="002B273D"/>
    <w:rsid w:val="002B2909"/>
    <w:rsid w:val="002B2CBF"/>
    <w:rsid w:val="002B3A62"/>
    <w:rsid w:val="002B3D79"/>
    <w:rsid w:val="002B3E3E"/>
    <w:rsid w:val="002B476F"/>
    <w:rsid w:val="002B4ACA"/>
    <w:rsid w:val="002B4CE1"/>
    <w:rsid w:val="002B4D9F"/>
    <w:rsid w:val="002B508F"/>
    <w:rsid w:val="002B5790"/>
    <w:rsid w:val="002B585D"/>
    <w:rsid w:val="002B594D"/>
    <w:rsid w:val="002B68AF"/>
    <w:rsid w:val="002B6BBF"/>
    <w:rsid w:val="002B72C2"/>
    <w:rsid w:val="002B7404"/>
    <w:rsid w:val="002B75C6"/>
    <w:rsid w:val="002B761F"/>
    <w:rsid w:val="002B76BC"/>
    <w:rsid w:val="002B7818"/>
    <w:rsid w:val="002B7868"/>
    <w:rsid w:val="002B795F"/>
    <w:rsid w:val="002B7AE1"/>
    <w:rsid w:val="002B7C3E"/>
    <w:rsid w:val="002B7C78"/>
    <w:rsid w:val="002C0918"/>
    <w:rsid w:val="002C0EE3"/>
    <w:rsid w:val="002C1C6D"/>
    <w:rsid w:val="002C1CF8"/>
    <w:rsid w:val="002C1E25"/>
    <w:rsid w:val="002C208E"/>
    <w:rsid w:val="002C262D"/>
    <w:rsid w:val="002C273B"/>
    <w:rsid w:val="002C29A6"/>
    <w:rsid w:val="002C2A17"/>
    <w:rsid w:val="002C2C50"/>
    <w:rsid w:val="002C31B8"/>
    <w:rsid w:val="002C3207"/>
    <w:rsid w:val="002C334C"/>
    <w:rsid w:val="002C37BB"/>
    <w:rsid w:val="002C3CEB"/>
    <w:rsid w:val="002C4093"/>
    <w:rsid w:val="002C4464"/>
    <w:rsid w:val="002C4492"/>
    <w:rsid w:val="002C451C"/>
    <w:rsid w:val="002C45BD"/>
    <w:rsid w:val="002C4600"/>
    <w:rsid w:val="002C46FE"/>
    <w:rsid w:val="002C4DCB"/>
    <w:rsid w:val="002C5B29"/>
    <w:rsid w:val="002C5E7D"/>
    <w:rsid w:val="002C5FD4"/>
    <w:rsid w:val="002C60AC"/>
    <w:rsid w:val="002C6548"/>
    <w:rsid w:val="002C6DD3"/>
    <w:rsid w:val="002C6F17"/>
    <w:rsid w:val="002C70C1"/>
    <w:rsid w:val="002C7571"/>
    <w:rsid w:val="002C75FB"/>
    <w:rsid w:val="002C7814"/>
    <w:rsid w:val="002C7836"/>
    <w:rsid w:val="002C7901"/>
    <w:rsid w:val="002D00CC"/>
    <w:rsid w:val="002D0154"/>
    <w:rsid w:val="002D023B"/>
    <w:rsid w:val="002D037D"/>
    <w:rsid w:val="002D0522"/>
    <w:rsid w:val="002D0921"/>
    <w:rsid w:val="002D0B4F"/>
    <w:rsid w:val="002D0DB7"/>
    <w:rsid w:val="002D0E21"/>
    <w:rsid w:val="002D1087"/>
    <w:rsid w:val="002D133B"/>
    <w:rsid w:val="002D13D8"/>
    <w:rsid w:val="002D14EC"/>
    <w:rsid w:val="002D15D6"/>
    <w:rsid w:val="002D1828"/>
    <w:rsid w:val="002D1861"/>
    <w:rsid w:val="002D1B23"/>
    <w:rsid w:val="002D1B60"/>
    <w:rsid w:val="002D21FA"/>
    <w:rsid w:val="002D2303"/>
    <w:rsid w:val="002D2390"/>
    <w:rsid w:val="002D27C0"/>
    <w:rsid w:val="002D280C"/>
    <w:rsid w:val="002D2A0C"/>
    <w:rsid w:val="002D2A69"/>
    <w:rsid w:val="002D2BF3"/>
    <w:rsid w:val="002D3771"/>
    <w:rsid w:val="002D3AB0"/>
    <w:rsid w:val="002D3CB0"/>
    <w:rsid w:val="002D3DD0"/>
    <w:rsid w:val="002D43F5"/>
    <w:rsid w:val="002D44F9"/>
    <w:rsid w:val="002D49B5"/>
    <w:rsid w:val="002D4B95"/>
    <w:rsid w:val="002D4F08"/>
    <w:rsid w:val="002D5002"/>
    <w:rsid w:val="002D55E9"/>
    <w:rsid w:val="002D57B0"/>
    <w:rsid w:val="002D5A2C"/>
    <w:rsid w:val="002D5DE7"/>
    <w:rsid w:val="002D5E8D"/>
    <w:rsid w:val="002D64F3"/>
    <w:rsid w:val="002D662B"/>
    <w:rsid w:val="002D6A44"/>
    <w:rsid w:val="002D6B3F"/>
    <w:rsid w:val="002D6DCA"/>
    <w:rsid w:val="002D6E08"/>
    <w:rsid w:val="002D6F91"/>
    <w:rsid w:val="002D7372"/>
    <w:rsid w:val="002D7386"/>
    <w:rsid w:val="002D7469"/>
    <w:rsid w:val="002D77B3"/>
    <w:rsid w:val="002E0169"/>
    <w:rsid w:val="002E0264"/>
    <w:rsid w:val="002E0303"/>
    <w:rsid w:val="002E033C"/>
    <w:rsid w:val="002E0455"/>
    <w:rsid w:val="002E09AA"/>
    <w:rsid w:val="002E0BEB"/>
    <w:rsid w:val="002E0C5C"/>
    <w:rsid w:val="002E0CB6"/>
    <w:rsid w:val="002E0DDA"/>
    <w:rsid w:val="002E1023"/>
    <w:rsid w:val="002E103F"/>
    <w:rsid w:val="002E1101"/>
    <w:rsid w:val="002E1330"/>
    <w:rsid w:val="002E1382"/>
    <w:rsid w:val="002E14A0"/>
    <w:rsid w:val="002E1A52"/>
    <w:rsid w:val="002E1B1B"/>
    <w:rsid w:val="002E1DAB"/>
    <w:rsid w:val="002E2418"/>
    <w:rsid w:val="002E27B8"/>
    <w:rsid w:val="002E28BC"/>
    <w:rsid w:val="002E2AB2"/>
    <w:rsid w:val="002E2C7F"/>
    <w:rsid w:val="002E2F53"/>
    <w:rsid w:val="002E303A"/>
    <w:rsid w:val="002E3137"/>
    <w:rsid w:val="002E3565"/>
    <w:rsid w:val="002E3C49"/>
    <w:rsid w:val="002E3F62"/>
    <w:rsid w:val="002E4010"/>
    <w:rsid w:val="002E441B"/>
    <w:rsid w:val="002E442D"/>
    <w:rsid w:val="002E44AB"/>
    <w:rsid w:val="002E4634"/>
    <w:rsid w:val="002E4854"/>
    <w:rsid w:val="002E490F"/>
    <w:rsid w:val="002E4BFB"/>
    <w:rsid w:val="002E4E11"/>
    <w:rsid w:val="002E4EE5"/>
    <w:rsid w:val="002E5348"/>
    <w:rsid w:val="002E5AF6"/>
    <w:rsid w:val="002E5B7B"/>
    <w:rsid w:val="002E5FB7"/>
    <w:rsid w:val="002E6237"/>
    <w:rsid w:val="002E648A"/>
    <w:rsid w:val="002E653A"/>
    <w:rsid w:val="002E6BBC"/>
    <w:rsid w:val="002E6C0B"/>
    <w:rsid w:val="002E6C9C"/>
    <w:rsid w:val="002E6C9E"/>
    <w:rsid w:val="002E6F2B"/>
    <w:rsid w:val="002E6F43"/>
    <w:rsid w:val="002E7084"/>
    <w:rsid w:val="002E72D3"/>
    <w:rsid w:val="002E7391"/>
    <w:rsid w:val="002E76BF"/>
    <w:rsid w:val="002E7A48"/>
    <w:rsid w:val="002E7B16"/>
    <w:rsid w:val="002E7E86"/>
    <w:rsid w:val="002F0280"/>
    <w:rsid w:val="002F05CB"/>
    <w:rsid w:val="002F0A66"/>
    <w:rsid w:val="002F0A90"/>
    <w:rsid w:val="002F13C5"/>
    <w:rsid w:val="002F1449"/>
    <w:rsid w:val="002F1739"/>
    <w:rsid w:val="002F1A94"/>
    <w:rsid w:val="002F1AFA"/>
    <w:rsid w:val="002F1D07"/>
    <w:rsid w:val="002F1D8E"/>
    <w:rsid w:val="002F237E"/>
    <w:rsid w:val="002F2632"/>
    <w:rsid w:val="002F2D8F"/>
    <w:rsid w:val="002F33CE"/>
    <w:rsid w:val="002F3ABB"/>
    <w:rsid w:val="002F4085"/>
    <w:rsid w:val="002F41BF"/>
    <w:rsid w:val="002F4454"/>
    <w:rsid w:val="002F45A9"/>
    <w:rsid w:val="002F4858"/>
    <w:rsid w:val="002F4986"/>
    <w:rsid w:val="002F4E2F"/>
    <w:rsid w:val="002F51DC"/>
    <w:rsid w:val="002F5574"/>
    <w:rsid w:val="002F5773"/>
    <w:rsid w:val="002F581E"/>
    <w:rsid w:val="002F5AFF"/>
    <w:rsid w:val="002F5B81"/>
    <w:rsid w:val="002F5B97"/>
    <w:rsid w:val="002F5F63"/>
    <w:rsid w:val="002F650B"/>
    <w:rsid w:val="002F651C"/>
    <w:rsid w:val="002F668E"/>
    <w:rsid w:val="002F678B"/>
    <w:rsid w:val="002F6872"/>
    <w:rsid w:val="002F6970"/>
    <w:rsid w:val="002F6A31"/>
    <w:rsid w:val="002F6ECC"/>
    <w:rsid w:val="002F7311"/>
    <w:rsid w:val="002F7370"/>
    <w:rsid w:val="002F74D9"/>
    <w:rsid w:val="002F7E46"/>
    <w:rsid w:val="0030001B"/>
    <w:rsid w:val="003000B9"/>
    <w:rsid w:val="00300158"/>
    <w:rsid w:val="003003F0"/>
    <w:rsid w:val="00300445"/>
    <w:rsid w:val="003004A5"/>
    <w:rsid w:val="0030093C"/>
    <w:rsid w:val="00300AE0"/>
    <w:rsid w:val="00300CE6"/>
    <w:rsid w:val="00300D38"/>
    <w:rsid w:val="00300D50"/>
    <w:rsid w:val="0030119F"/>
    <w:rsid w:val="0030169F"/>
    <w:rsid w:val="003017EF"/>
    <w:rsid w:val="00301850"/>
    <w:rsid w:val="00301BA2"/>
    <w:rsid w:val="00301F67"/>
    <w:rsid w:val="0030277F"/>
    <w:rsid w:val="003027CC"/>
    <w:rsid w:val="00302A17"/>
    <w:rsid w:val="00302B7E"/>
    <w:rsid w:val="00302D2E"/>
    <w:rsid w:val="003033DC"/>
    <w:rsid w:val="003035A6"/>
    <w:rsid w:val="003038F3"/>
    <w:rsid w:val="00303E0C"/>
    <w:rsid w:val="0030401F"/>
    <w:rsid w:val="003042DA"/>
    <w:rsid w:val="0030485E"/>
    <w:rsid w:val="00304D24"/>
    <w:rsid w:val="00304DD5"/>
    <w:rsid w:val="00304E1E"/>
    <w:rsid w:val="00304F2B"/>
    <w:rsid w:val="00305059"/>
    <w:rsid w:val="0030535C"/>
    <w:rsid w:val="003057BA"/>
    <w:rsid w:val="00305B4C"/>
    <w:rsid w:val="00305C7C"/>
    <w:rsid w:val="00305D32"/>
    <w:rsid w:val="00305DA0"/>
    <w:rsid w:val="003062F2"/>
    <w:rsid w:val="00306351"/>
    <w:rsid w:val="0030654E"/>
    <w:rsid w:val="00306707"/>
    <w:rsid w:val="00306B9C"/>
    <w:rsid w:val="00306C09"/>
    <w:rsid w:val="00306E78"/>
    <w:rsid w:val="00307129"/>
    <w:rsid w:val="00307152"/>
    <w:rsid w:val="003072DE"/>
    <w:rsid w:val="003075EA"/>
    <w:rsid w:val="00307935"/>
    <w:rsid w:val="00307C63"/>
    <w:rsid w:val="0031014C"/>
    <w:rsid w:val="0031026A"/>
    <w:rsid w:val="00310A85"/>
    <w:rsid w:val="00310AF3"/>
    <w:rsid w:val="00310D95"/>
    <w:rsid w:val="00310DC2"/>
    <w:rsid w:val="00310FBA"/>
    <w:rsid w:val="00311110"/>
    <w:rsid w:val="00312107"/>
    <w:rsid w:val="00312A44"/>
    <w:rsid w:val="00312C4E"/>
    <w:rsid w:val="00312CEF"/>
    <w:rsid w:val="00312E02"/>
    <w:rsid w:val="00312F77"/>
    <w:rsid w:val="00312FC7"/>
    <w:rsid w:val="00313038"/>
    <w:rsid w:val="003132BE"/>
    <w:rsid w:val="00313319"/>
    <w:rsid w:val="0031340A"/>
    <w:rsid w:val="003139B7"/>
    <w:rsid w:val="00313FF3"/>
    <w:rsid w:val="00314196"/>
    <w:rsid w:val="003144E1"/>
    <w:rsid w:val="003149BD"/>
    <w:rsid w:val="003150B8"/>
    <w:rsid w:val="00315399"/>
    <w:rsid w:val="003159B0"/>
    <w:rsid w:val="00315DEF"/>
    <w:rsid w:val="0031653F"/>
    <w:rsid w:val="00316674"/>
    <w:rsid w:val="00316767"/>
    <w:rsid w:val="003168D3"/>
    <w:rsid w:val="00316E8D"/>
    <w:rsid w:val="003172BC"/>
    <w:rsid w:val="00317916"/>
    <w:rsid w:val="00317AB4"/>
    <w:rsid w:val="00317C1A"/>
    <w:rsid w:val="00317E32"/>
    <w:rsid w:val="0032027F"/>
    <w:rsid w:val="00320483"/>
    <w:rsid w:val="00320896"/>
    <w:rsid w:val="003209DA"/>
    <w:rsid w:val="00320A7D"/>
    <w:rsid w:val="00320D61"/>
    <w:rsid w:val="00320EA3"/>
    <w:rsid w:val="0032104F"/>
    <w:rsid w:val="0032155B"/>
    <w:rsid w:val="0032165B"/>
    <w:rsid w:val="003216B1"/>
    <w:rsid w:val="00321758"/>
    <w:rsid w:val="00321762"/>
    <w:rsid w:val="00321847"/>
    <w:rsid w:val="003218E4"/>
    <w:rsid w:val="0032191A"/>
    <w:rsid w:val="00321AF6"/>
    <w:rsid w:val="00322209"/>
    <w:rsid w:val="003224B3"/>
    <w:rsid w:val="00322697"/>
    <w:rsid w:val="003226BB"/>
    <w:rsid w:val="00322AE7"/>
    <w:rsid w:val="00322CAA"/>
    <w:rsid w:val="00322E39"/>
    <w:rsid w:val="003232AC"/>
    <w:rsid w:val="003233AF"/>
    <w:rsid w:val="003235A8"/>
    <w:rsid w:val="00323693"/>
    <w:rsid w:val="00323B35"/>
    <w:rsid w:val="00323B52"/>
    <w:rsid w:val="00323B7B"/>
    <w:rsid w:val="00323BDB"/>
    <w:rsid w:val="00323EEA"/>
    <w:rsid w:val="003240B3"/>
    <w:rsid w:val="0032412E"/>
    <w:rsid w:val="003243D7"/>
    <w:rsid w:val="003244B0"/>
    <w:rsid w:val="00324964"/>
    <w:rsid w:val="0032498F"/>
    <w:rsid w:val="00324AE8"/>
    <w:rsid w:val="00325259"/>
    <w:rsid w:val="0032536B"/>
    <w:rsid w:val="0032559E"/>
    <w:rsid w:val="00325748"/>
    <w:rsid w:val="003257DF"/>
    <w:rsid w:val="00325C27"/>
    <w:rsid w:val="0032624A"/>
    <w:rsid w:val="00326481"/>
    <w:rsid w:val="00326784"/>
    <w:rsid w:val="003267BE"/>
    <w:rsid w:val="0032689C"/>
    <w:rsid w:val="00326B66"/>
    <w:rsid w:val="00326D2E"/>
    <w:rsid w:val="00326D66"/>
    <w:rsid w:val="00326DBE"/>
    <w:rsid w:val="00326E53"/>
    <w:rsid w:val="00326E92"/>
    <w:rsid w:val="00326FBE"/>
    <w:rsid w:val="0032716B"/>
    <w:rsid w:val="0032724B"/>
    <w:rsid w:val="003273CB"/>
    <w:rsid w:val="003273DA"/>
    <w:rsid w:val="003274D2"/>
    <w:rsid w:val="003274F5"/>
    <w:rsid w:val="00327548"/>
    <w:rsid w:val="00327872"/>
    <w:rsid w:val="003278B5"/>
    <w:rsid w:val="00327A41"/>
    <w:rsid w:val="00327CBC"/>
    <w:rsid w:val="00327DB8"/>
    <w:rsid w:val="003300C0"/>
    <w:rsid w:val="0033043D"/>
    <w:rsid w:val="003308E0"/>
    <w:rsid w:val="00330CB5"/>
    <w:rsid w:val="00331705"/>
    <w:rsid w:val="00331790"/>
    <w:rsid w:val="00331C29"/>
    <w:rsid w:val="00331CD0"/>
    <w:rsid w:val="00331F2F"/>
    <w:rsid w:val="00331F7C"/>
    <w:rsid w:val="0033227C"/>
    <w:rsid w:val="0033246E"/>
    <w:rsid w:val="00332487"/>
    <w:rsid w:val="0033248C"/>
    <w:rsid w:val="0033272E"/>
    <w:rsid w:val="00332DC0"/>
    <w:rsid w:val="00333159"/>
    <w:rsid w:val="00333304"/>
    <w:rsid w:val="00333356"/>
    <w:rsid w:val="00333578"/>
    <w:rsid w:val="00333DEE"/>
    <w:rsid w:val="00333E68"/>
    <w:rsid w:val="003345B4"/>
    <w:rsid w:val="00334694"/>
    <w:rsid w:val="003348EF"/>
    <w:rsid w:val="003349AF"/>
    <w:rsid w:val="0033521E"/>
    <w:rsid w:val="003352A2"/>
    <w:rsid w:val="00335C21"/>
    <w:rsid w:val="0033601E"/>
    <w:rsid w:val="00336042"/>
    <w:rsid w:val="003360BC"/>
    <w:rsid w:val="003365E6"/>
    <w:rsid w:val="0033706D"/>
    <w:rsid w:val="0033736F"/>
    <w:rsid w:val="0033769E"/>
    <w:rsid w:val="00337E59"/>
    <w:rsid w:val="00337EE7"/>
    <w:rsid w:val="00337FD9"/>
    <w:rsid w:val="00337FEE"/>
    <w:rsid w:val="003400DB"/>
    <w:rsid w:val="003402A2"/>
    <w:rsid w:val="00340525"/>
    <w:rsid w:val="00340D24"/>
    <w:rsid w:val="00341163"/>
    <w:rsid w:val="00341308"/>
    <w:rsid w:val="00341452"/>
    <w:rsid w:val="00341607"/>
    <w:rsid w:val="00341624"/>
    <w:rsid w:val="0034171D"/>
    <w:rsid w:val="00341742"/>
    <w:rsid w:val="00341BEA"/>
    <w:rsid w:val="00341D7E"/>
    <w:rsid w:val="003420F3"/>
    <w:rsid w:val="00342196"/>
    <w:rsid w:val="003422CC"/>
    <w:rsid w:val="00342504"/>
    <w:rsid w:val="00342E34"/>
    <w:rsid w:val="0034312D"/>
    <w:rsid w:val="00343194"/>
    <w:rsid w:val="00343720"/>
    <w:rsid w:val="00343AC8"/>
    <w:rsid w:val="00343BFE"/>
    <w:rsid w:val="00343F8A"/>
    <w:rsid w:val="003441C8"/>
    <w:rsid w:val="003447F9"/>
    <w:rsid w:val="00344AEB"/>
    <w:rsid w:val="00344BA7"/>
    <w:rsid w:val="00344DFD"/>
    <w:rsid w:val="00344E3D"/>
    <w:rsid w:val="003451FC"/>
    <w:rsid w:val="0034523F"/>
    <w:rsid w:val="00345333"/>
    <w:rsid w:val="0034553C"/>
    <w:rsid w:val="003459D2"/>
    <w:rsid w:val="00345DEF"/>
    <w:rsid w:val="00345DF4"/>
    <w:rsid w:val="00346184"/>
    <w:rsid w:val="003464A1"/>
    <w:rsid w:val="00346723"/>
    <w:rsid w:val="00346B07"/>
    <w:rsid w:val="00346C93"/>
    <w:rsid w:val="00346C99"/>
    <w:rsid w:val="00346F9A"/>
    <w:rsid w:val="00347203"/>
    <w:rsid w:val="00347520"/>
    <w:rsid w:val="003475F4"/>
    <w:rsid w:val="00347772"/>
    <w:rsid w:val="00350060"/>
    <w:rsid w:val="0035021D"/>
    <w:rsid w:val="00350252"/>
    <w:rsid w:val="003503F8"/>
    <w:rsid w:val="00350BF2"/>
    <w:rsid w:val="00350D04"/>
    <w:rsid w:val="00350E29"/>
    <w:rsid w:val="00351051"/>
    <w:rsid w:val="003510C4"/>
    <w:rsid w:val="0035123E"/>
    <w:rsid w:val="00351271"/>
    <w:rsid w:val="00351907"/>
    <w:rsid w:val="00351913"/>
    <w:rsid w:val="00351D2A"/>
    <w:rsid w:val="00351D5A"/>
    <w:rsid w:val="00351E97"/>
    <w:rsid w:val="00351EB3"/>
    <w:rsid w:val="00352457"/>
    <w:rsid w:val="003526C5"/>
    <w:rsid w:val="00352D79"/>
    <w:rsid w:val="00352F90"/>
    <w:rsid w:val="0035317C"/>
    <w:rsid w:val="00353253"/>
    <w:rsid w:val="003535C9"/>
    <w:rsid w:val="003536B2"/>
    <w:rsid w:val="00353D64"/>
    <w:rsid w:val="003545A8"/>
    <w:rsid w:val="00354937"/>
    <w:rsid w:val="00354B3F"/>
    <w:rsid w:val="00354D02"/>
    <w:rsid w:val="0035520E"/>
    <w:rsid w:val="00355429"/>
    <w:rsid w:val="003557D0"/>
    <w:rsid w:val="00355A2E"/>
    <w:rsid w:val="00355A99"/>
    <w:rsid w:val="00356181"/>
    <w:rsid w:val="003567BF"/>
    <w:rsid w:val="003567FA"/>
    <w:rsid w:val="00356AE4"/>
    <w:rsid w:val="00356E9A"/>
    <w:rsid w:val="003572FF"/>
    <w:rsid w:val="00357356"/>
    <w:rsid w:val="00357413"/>
    <w:rsid w:val="003574FD"/>
    <w:rsid w:val="00357546"/>
    <w:rsid w:val="003576B0"/>
    <w:rsid w:val="00357A93"/>
    <w:rsid w:val="00357CA5"/>
    <w:rsid w:val="00357D61"/>
    <w:rsid w:val="00360967"/>
    <w:rsid w:val="003609E0"/>
    <w:rsid w:val="00360B5A"/>
    <w:rsid w:val="00360E1E"/>
    <w:rsid w:val="0036101A"/>
    <w:rsid w:val="0036137A"/>
    <w:rsid w:val="00361A3F"/>
    <w:rsid w:val="00361B5A"/>
    <w:rsid w:val="00361D89"/>
    <w:rsid w:val="00362BA6"/>
    <w:rsid w:val="00362CCE"/>
    <w:rsid w:val="00362F17"/>
    <w:rsid w:val="0036312A"/>
    <w:rsid w:val="003631FC"/>
    <w:rsid w:val="003633ED"/>
    <w:rsid w:val="00363B07"/>
    <w:rsid w:val="00363CBF"/>
    <w:rsid w:val="00363CC8"/>
    <w:rsid w:val="00363D23"/>
    <w:rsid w:val="00363E14"/>
    <w:rsid w:val="00364079"/>
    <w:rsid w:val="00364A6C"/>
    <w:rsid w:val="00364A7C"/>
    <w:rsid w:val="00364D16"/>
    <w:rsid w:val="00364F2C"/>
    <w:rsid w:val="00365608"/>
    <w:rsid w:val="003658DE"/>
    <w:rsid w:val="0036597D"/>
    <w:rsid w:val="00365DEE"/>
    <w:rsid w:val="00366455"/>
    <w:rsid w:val="00366719"/>
    <w:rsid w:val="00366B16"/>
    <w:rsid w:val="00366B9F"/>
    <w:rsid w:val="00366EE6"/>
    <w:rsid w:val="003670C9"/>
    <w:rsid w:val="003674AF"/>
    <w:rsid w:val="003675EE"/>
    <w:rsid w:val="00367E91"/>
    <w:rsid w:val="00370234"/>
    <w:rsid w:val="0037038A"/>
    <w:rsid w:val="003705A8"/>
    <w:rsid w:val="003705F6"/>
    <w:rsid w:val="00370916"/>
    <w:rsid w:val="003709B8"/>
    <w:rsid w:val="00370B29"/>
    <w:rsid w:val="00371397"/>
    <w:rsid w:val="00371447"/>
    <w:rsid w:val="003714B2"/>
    <w:rsid w:val="00371680"/>
    <w:rsid w:val="00371730"/>
    <w:rsid w:val="00371AAE"/>
    <w:rsid w:val="00371B5E"/>
    <w:rsid w:val="0037214D"/>
    <w:rsid w:val="0037224A"/>
    <w:rsid w:val="0037226F"/>
    <w:rsid w:val="0037252B"/>
    <w:rsid w:val="0037263F"/>
    <w:rsid w:val="003728B2"/>
    <w:rsid w:val="00372A14"/>
    <w:rsid w:val="00372B4A"/>
    <w:rsid w:val="003731C1"/>
    <w:rsid w:val="0037333F"/>
    <w:rsid w:val="003733C1"/>
    <w:rsid w:val="00373781"/>
    <w:rsid w:val="003738AA"/>
    <w:rsid w:val="00373EEB"/>
    <w:rsid w:val="0037425E"/>
    <w:rsid w:val="003744C5"/>
    <w:rsid w:val="00374E6C"/>
    <w:rsid w:val="00374F80"/>
    <w:rsid w:val="0037508A"/>
    <w:rsid w:val="00375110"/>
    <w:rsid w:val="003753CD"/>
    <w:rsid w:val="003759F6"/>
    <w:rsid w:val="00375BA0"/>
    <w:rsid w:val="00375C9C"/>
    <w:rsid w:val="00375CD2"/>
    <w:rsid w:val="00375CD5"/>
    <w:rsid w:val="00375ECB"/>
    <w:rsid w:val="00375F2F"/>
    <w:rsid w:val="00375F32"/>
    <w:rsid w:val="00375FAA"/>
    <w:rsid w:val="003761FA"/>
    <w:rsid w:val="00376431"/>
    <w:rsid w:val="003765F0"/>
    <w:rsid w:val="0037665C"/>
    <w:rsid w:val="003766EF"/>
    <w:rsid w:val="00376B5F"/>
    <w:rsid w:val="003779A2"/>
    <w:rsid w:val="00377C99"/>
    <w:rsid w:val="00380052"/>
    <w:rsid w:val="00380199"/>
    <w:rsid w:val="00380506"/>
    <w:rsid w:val="00380646"/>
    <w:rsid w:val="00380777"/>
    <w:rsid w:val="00380888"/>
    <w:rsid w:val="0038095D"/>
    <w:rsid w:val="00380A33"/>
    <w:rsid w:val="00380B9D"/>
    <w:rsid w:val="00381221"/>
    <w:rsid w:val="0038148A"/>
    <w:rsid w:val="003818D9"/>
    <w:rsid w:val="00381DF9"/>
    <w:rsid w:val="00381EDB"/>
    <w:rsid w:val="00382085"/>
    <w:rsid w:val="0038238A"/>
    <w:rsid w:val="003824BB"/>
    <w:rsid w:val="0038296A"/>
    <w:rsid w:val="0038297C"/>
    <w:rsid w:val="00382CCD"/>
    <w:rsid w:val="00382E9F"/>
    <w:rsid w:val="00382F7B"/>
    <w:rsid w:val="00383AF4"/>
    <w:rsid w:val="00383B0D"/>
    <w:rsid w:val="00383C7C"/>
    <w:rsid w:val="00383E2D"/>
    <w:rsid w:val="00383F2A"/>
    <w:rsid w:val="003845D5"/>
    <w:rsid w:val="00384D7B"/>
    <w:rsid w:val="00385104"/>
    <w:rsid w:val="003851FA"/>
    <w:rsid w:val="0038533D"/>
    <w:rsid w:val="003853B1"/>
    <w:rsid w:val="0038568A"/>
    <w:rsid w:val="00385A19"/>
    <w:rsid w:val="00385ECC"/>
    <w:rsid w:val="00385F70"/>
    <w:rsid w:val="00385F7D"/>
    <w:rsid w:val="0038602E"/>
    <w:rsid w:val="00386070"/>
    <w:rsid w:val="0038638B"/>
    <w:rsid w:val="00386642"/>
    <w:rsid w:val="003866EC"/>
    <w:rsid w:val="00386705"/>
    <w:rsid w:val="00386A62"/>
    <w:rsid w:val="00386BFE"/>
    <w:rsid w:val="003872A0"/>
    <w:rsid w:val="003874E0"/>
    <w:rsid w:val="00387628"/>
    <w:rsid w:val="003877EA"/>
    <w:rsid w:val="00387A29"/>
    <w:rsid w:val="00387AC2"/>
    <w:rsid w:val="00387BD4"/>
    <w:rsid w:val="00387F94"/>
    <w:rsid w:val="00387F97"/>
    <w:rsid w:val="003909CE"/>
    <w:rsid w:val="00390EC2"/>
    <w:rsid w:val="00391490"/>
    <w:rsid w:val="003915A2"/>
    <w:rsid w:val="003920F4"/>
    <w:rsid w:val="00392494"/>
    <w:rsid w:val="00392920"/>
    <w:rsid w:val="003929FA"/>
    <w:rsid w:val="003929FB"/>
    <w:rsid w:val="00392B52"/>
    <w:rsid w:val="00392C08"/>
    <w:rsid w:val="00392DA1"/>
    <w:rsid w:val="00393212"/>
    <w:rsid w:val="00393226"/>
    <w:rsid w:val="0039325A"/>
    <w:rsid w:val="00393448"/>
    <w:rsid w:val="00393B0D"/>
    <w:rsid w:val="00393DF7"/>
    <w:rsid w:val="00393EFA"/>
    <w:rsid w:val="003942AA"/>
    <w:rsid w:val="0039432A"/>
    <w:rsid w:val="0039449F"/>
    <w:rsid w:val="0039479C"/>
    <w:rsid w:val="00394F5D"/>
    <w:rsid w:val="00395B81"/>
    <w:rsid w:val="00395C16"/>
    <w:rsid w:val="00395CA2"/>
    <w:rsid w:val="00396377"/>
    <w:rsid w:val="00396471"/>
    <w:rsid w:val="0039687B"/>
    <w:rsid w:val="003969F2"/>
    <w:rsid w:val="00396C6D"/>
    <w:rsid w:val="00396D01"/>
    <w:rsid w:val="00396DBB"/>
    <w:rsid w:val="00396F4F"/>
    <w:rsid w:val="003970C2"/>
    <w:rsid w:val="00397278"/>
    <w:rsid w:val="003975A6"/>
    <w:rsid w:val="00397D10"/>
    <w:rsid w:val="00397D40"/>
    <w:rsid w:val="003A043E"/>
    <w:rsid w:val="003A0577"/>
    <w:rsid w:val="003A07DD"/>
    <w:rsid w:val="003A0851"/>
    <w:rsid w:val="003A0A35"/>
    <w:rsid w:val="003A0CF4"/>
    <w:rsid w:val="003A1605"/>
    <w:rsid w:val="003A176B"/>
    <w:rsid w:val="003A1800"/>
    <w:rsid w:val="003A184D"/>
    <w:rsid w:val="003A1B91"/>
    <w:rsid w:val="003A1D0C"/>
    <w:rsid w:val="003A1D64"/>
    <w:rsid w:val="003A22E9"/>
    <w:rsid w:val="003A22F8"/>
    <w:rsid w:val="003A27D7"/>
    <w:rsid w:val="003A28A8"/>
    <w:rsid w:val="003A2B51"/>
    <w:rsid w:val="003A2C1C"/>
    <w:rsid w:val="003A2CF9"/>
    <w:rsid w:val="003A31C3"/>
    <w:rsid w:val="003A3A1A"/>
    <w:rsid w:val="003A3B51"/>
    <w:rsid w:val="003A3D18"/>
    <w:rsid w:val="003A4079"/>
    <w:rsid w:val="003A409E"/>
    <w:rsid w:val="003A4A5F"/>
    <w:rsid w:val="003A4A68"/>
    <w:rsid w:val="003A4BC7"/>
    <w:rsid w:val="003A4EAB"/>
    <w:rsid w:val="003A5580"/>
    <w:rsid w:val="003A5675"/>
    <w:rsid w:val="003A5C46"/>
    <w:rsid w:val="003A5D47"/>
    <w:rsid w:val="003A609F"/>
    <w:rsid w:val="003A631A"/>
    <w:rsid w:val="003A6956"/>
    <w:rsid w:val="003A6B1A"/>
    <w:rsid w:val="003A6E4F"/>
    <w:rsid w:val="003A70A0"/>
    <w:rsid w:val="003A71CA"/>
    <w:rsid w:val="003A74FC"/>
    <w:rsid w:val="003A7A1A"/>
    <w:rsid w:val="003A7DBB"/>
    <w:rsid w:val="003A7DBF"/>
    <w:rsid w:val="003A7DE2"/>
    <w:rsid w:val="003A7FCE"/>
    <w:rsid w:val="003B01B1"/>
    <w:rsid w:val="003B0323"/>
    <w:rsid w:val="003B06E9"/>
    <w:rsid w:val="003B0940"/>
    <w:rsid w:val="003B0977"/>
    <w:rsid w:val="003B09DC"/>
    <w:rsid w:val="003B0AD8"/>
    <w:rsid w:val="003B0E0F"/>
    <w:rsid w:val="003B13F8"/>
    <w:rsid w:val="003B16C4"/>
    <w:rsid w:val="003B1A28"/>
    <w:rsid w:val="003B1A46"/>
    <w:rsid w:val="003B218C"/>
    <w:rsid w:val="003B2219"/>
    <w:rsid w:val="003B22DB"/>
    <w:rsid w:val="003B2498"/>
    <w:rsid w:val="003B2641"/>
    <w:rsid w:val="003B2675"/>
    <w:rsid w:val="003B2706"/>
    <w:rsid w:val="003B3046"/>
    <w:rsid w:val="003B3175"/>
    <w:rsid w:val="003B3185"/>
    <w:rsid w:val="003B3B41"/>
    <w:rsid w:val="003B3CF1"/>
    <w:rsid w:val="003B3DDC"/>
    <w:rsid w:val="003B4145"/>
    <w:rsid w:val="003B4313"/>
    <w:rsid w:val="003B438D"/>
    <w:rsid w:val="003B43C4"/>
    <w:rsid w:val="003B4497"/>
    <w:rsid w:val="003B4616"/>
    <w:rsid w:val="003B46AF"/>
    <w:rsid w:val="003B4BE3"/>
    <w:rsid w:val="003B4D48"/>
    <w:rsid w:val="003B4E7E"/>
    <w:rsid w:val="003B5061"/>
    <w:rsid w:val="003B5292"/>
    <w:rsid w:val="003B5799"/>
    <w:rsid w:val="003B59BA"/>
    <w:rsid w:val="003B5F0B"/>
    <w:rsid w:val="003B619B"/>
    <w:rsid w:val="003B621D"/>
    <w:rsid w:val="003B6237"/>
    <w:rsid w:val="003B6566"/>
    <w:rsid w:val="003B68B4"/>
    <w:rsid w:val="003B71E7"/>
    <w:rsid w:val="003B7239"/>
    <w:rsid w:val="003B7452"/>
    <w:rsid w:val="003B76E9"/>
    <w:rsid w:val="003B7700"/>
    <w:rsid w:val="003B7A40"/>
    <w:rsid w:val="003B7FFE"/>
    <w:rsid w:val="003C02BE"/>
    <w:rsid w:val="003C0644"/>
    <w:rsid w:val="003C071A"/>
    <w:rsid w:val="003C07DE"/>
    <w:rsid w:val="003C0874"/>
    <w:rsid w:val="003C0B67"/>
    <w:rsid w:val="003C1014"/>
    <w:rsid w:val="003C1342"/>
    <w:rsid w:val="003C1AD2"/>
    <w:rsid w:val="003C1C5A"/>
    <w:rsid w:val="003C1D11"/>
    <w:rsid w:val="003C2179"/>
    <w:rsid w:val="003C22DE"/>
    <w:rsid w:val="003C270B"/>
    <w:rsid w:val="003C28CE"/>
    <w:rsid w:val="003C2B31"/>
    <w:rsid w:val="003C3102"/>
    <w:rsid w:val="003C37FD"/>
    <w:rsid w:val="003C38CB"/>
    <w:rsid w:val="003C3A91"/>
    <w:rsid w:val="003C3D38"/>
    <w:rsid w:val="003C4252"/>
    <w:rsid w:val="003C4364"/>
    <w:rsid w:val="003C4471"/>
    <w:rsid w:val="003C47A2"/>
    <w:rsid w:val="003C4C12"/>
    <w:rsid w:val="003C4E53"/>
    <w:rsid w:val="003C4ED3"/>
    <w:rsid w:val="003C4ED4"/>
    <w:rsid w:val="003C54EA"/>
    <w:rsid w:val="003C575F"/>
    <w:rsid w:val="003C5843"/>
    <w:rsid w:val="003C5B20"/>
    <w:rsid w:val="003C5BC1"/>
    <w:rsid w:val="003C5C00"/>
    <w:rsid w:val="003C5E9C"/>
    <w:rsid w:val="003C5F02"/>
    <w:rsid w:val="003C5FDB"/>
    <w:rsid w:val="003C6246"/>
    <w:rsid w:val="003C6338"/>
    <w:rsid w:val="003C66CD"/>
    <w:rsid w:val="003C6A16"/>
    <w:rsid w:val="003C6AAF"/>
    <w:rsid w:val="003C6AF1"/>
    <w:rsid w:val="003C7013"/>
    <w:rsid w:val="003C7807"/>
    <w:rsid w:val="003C7850"/>
    <w:rsid w:val="003C7A5E"/>
    <w:rsid w:val="003C7C3C"/>
    <w:rsid w:val="003C7D3D"/>
    <w:rsid w:val="003C7FEF"/>
    <w:rsid w:val="003D00F5"/>
    <w:rsid w:val="003D02FD"/>
    <w:rsid w:val="003D04B6"/>
    <w:rsid w:val="003D057E"/>
    <w:rsid w:val="003D0619"/>
    <w:rsid w:val="003D07E5"/>
    <w:rsid w:val="003D0AC1"/>
    <w:rsid w:val="003D0CBE"/>
    <w:rsid w:val="003D0D9F"/>
    <w:rsid w:val="003D1108"/>
    <w:rsid w:val="003D16FC"/>
    <w:rsid w:val="003D1A47"/>
    <w:rsid w:val="003D1A78"/>
    <w:rsid w:val="003D1B48"/>
    <w:rsid w:val="003D1DC9"/>
    <w:rsid w:val="003D2104"/>
    <w:rsid w:val="003D2396"/>
    <w:rsid w:val="003D24A9"/>
    <w:rsid w:val="003D25AF"/>
    <w:rsid w:val="003D278E"/>
    <w:rsid w:val="003D29CA"/>
    <w:rsid w:val="003D2CDD"/>
    <w:rsid w:val="003D2DCE"/>
    <w:rsid w:val="003D2F2D"/>
    <w:rsid w:val="003D2F97"/>
    <w:rsid w:val="003D311F"/>
    <w:rsid w:val="003D325B"/>
    <w:rsid w:val="003D3359"/>
    <w:rsid w:val="003D372E"/>
    <w:rsid w:val="003D418B"/>
    <w:rsid w:val="003D42D4"/>
    <w:rsid w:val="003D43A6"/>
    <w:rsid w:val="003D4533"/>
    <w:rsid w:val="003D45B8"/>
    <w:rsid w:val="003D4938"/>
    <w:rsid w:val="003D4B25"/>
    <w:rsid w:val="003D4C83"/>
    <w:rsid w:val="003D4F3D"/>
    <w:rsid w:val="003D5068"/>
    <w:rsid w:val="003D5186"/>
    <w:rsid w:val="003D520F"/>
    <w:rsid w:val="003D5285"/>
    <w:rsid w:val="003D5593"/>
    <w:rsid w:val="003D5834"/>
    <w:rsid w:val="003D5857"/>
    <w:rsid w:val="003D59C6"/>
    <w:rsid w:val="003D5C6D"/>
    <w:rsid w:val="003D664E"/>
    <w:rsid w:val="003D670E"/>
    <w:rsid w:val="003D6D26"/>
    <w:rsid w:val="003D6E16"/>
    <w:rsid w:val="003D6EA7"/>
    <w:rsid w:val="003D76D9"/>
    <w:rsid w:val="003D7F45"/>
    <w:rsid w:val="003E02B6"/>
    <w:rsid w:val="003E0442"/>
    <w:rsid w:val="003E05AC"/>
    <w:rsid w:val="003E0EEA"/>
    <w:rsid w:val="003E10F3"/>
    <w:rsid w:val="003E12B4"/>
    <w:rsid w:val="003E13B9"/>
    <w:rsid w:val="003E15B6"/>
    <w:rsid w:val="003E16A0"/>
    <w:rsid w:val="003E1889"/>
    <w:rsid w:val="003E1ACF"/>
    <w:rsid w:val="003E202B"/>
    <w:rsid w:val="003E25B6"/>
    <w:rsid w:val="003E2A06"/>
    <w:rsid w:val="003E2A33"/>
    <w:rsid w:val="003E2B69"/>
    <w:rsid w:val="003E2D3C"/>
    <w:rsid w:val="003E2FF9"/>
    <w:rsid w:val="003E35D7"/>
    <w:rsid w:val="003E3682"/>
    <w:rsid w:val="003E37D4"/>
    <w:rsid w:val="003E3BA4"/>
    <w:rsid w:val="003E3E7D"/>
    <w:rsid w:val="003E3FDF"/>
    <w:rsid w:val="003E47AD"/>
    <w:rsid w:val="003E4935"/>
    <w:rsid w:val="003E4A00"/>
    <w:rsid w:val="003E5379"/>
    <w:rsid w:val="003E5DDF"/>
    <w:rsid w:val="003E6140"/>
    <w:rsid w:val="003E67A9"/>
    <w:rsid w:val="003E6DB3"/>
    <w:rsid w:val="003E7304"/>
    <w:rsid w:val="003E7909"/>
    <w:rsid w:val="003E7B2C"/>
    <w:rsid w:val="003E7B31"/>
    <w:rsid w:val="003E7B9E"/>
    <w:rsid w:val="003F03C3"/>
    <w:rsid w:val="003F05AB"/>
    <w:rsid w:val="003F05F9"/>
    <w:rsid w:val="003F0982"/>
    <w:rsid w:val="003F0BFC"/>
    <w:rsid w:val="003F0D1E"/>
    <w:rsid w:val="003F0DDF"/>
    <w:rsid w:val="003F1163"/>
    <w:rsid w:val="003F1232"/>
    <w:rsid w:val="003F1AE3"/>
    <w:rsid w:val="003F1E4D"/>
    <w:rsid w:val="003F219A"/>
    <w:rsid w:val="003F229A"/>
    <w:rsid w:val="003F22F8"/>
    <w:rsid w:val="003F2445"/>
    <w:rsid w:val="003F2543"/>
    <w:rsid w:val="003F27E1"/>
    <w:rsid w:val="003F2A08"/>
    <w:rsid w:val="003F2A1B"/>
    <w:rsid w:val="003F2BCC"/>
    <w:rsid w:val="003F2D4B"/>
    <w:rsid w:val="003F2DBE"/>
    <w:rsid w:val="003F2DEA"/>
    <w:rsid w:val="003F2E58"/>
    <w:rsid w:val="003F2ECB"/>
    <w:rsid w:val="003F318F"/>
    <w:rsid w:val="003F333A"/>
    <w:rsid w:val="003F3441"/>
    <w:rsid w:val="003F350A"/>
    <w:rsid w:val="003F3527"/>
    <w:rsid w:val="003F3866"/>
    <w:rsid w:val="003F40B5"/>
    <w:rsid w:val="003F428B"/>
    <w:rsid w:val="003F42AE"/>
    <w:rsid w:val="003F4458"/>
    <w:rsid w:val="003F471A"/>
    <w:rsid w:val="003F4AFB"/>
    <w:rsid w:val="003F4F94"/>
    <w:rsid w:val="003F5568"/>
    <w:rsid w:val="003F5801"/>
    <w:rsid w:val="003F5B57"/>
    <w:rsid w:val="003F6711"/>
    <w:rsid w:val="003F67A8"/>
    <w:rsid w:val="003F6B23"/>
    <w:rsid w:val="003F6EAC"/>
    <w:rsid w:val="003F7246"/>
    <w:rsid w:val="003F7393"/>
    <w:rsid w:val="003F775F"/>
    <w:rsid w:val="003F7AB4"/>
    <w:rsid w:val="0040012B"/>
    <w:rsid w:val="004010FF"/>
    <w:rsid w:val="004011D6"/>
    <w:rsid w:val="00401435"/>
    <w:rsid w:val="004014C0"/>
    <w:rsid w:val="00401626"/>
    <w:rsid w:val="004017FF"/>
    <w:rsid w:val="004018CF"/>
    <w:rsid w:val="00401B1D"/>
    <w:rsid w:val="00401B73"/>
    <w:rsid w:val="00401BFB"/>
    <w:rsid w:val="00401C4A"/>
    <w:rsid w:val="00401C96"/>
    <w:rsid w:val="00401DBC"/>
    <w:rsid w:val="00402069"/>
    <w:rsid w:val="00402217"/>
    <w:rsid w:val="00402477"/>
    <w:rsid w:val="004028A8"/>
    <w:rsid w:val="00402AD2"/>
    <w:rsid w:val="00402CB1"/>
    <w:rsid w:val="00402EDF"/>
    <w:rsid w:val="00402F02"/>
    <w:rsid w:val="00403526"/>
    <w:rsid w:val="00403BB8"/>
    <w:rsid w:val="00403E6E"/>
    <w:rsid w:val="00403F51"/>
    <w:rsid w:val="00403F6A"/>
    <w:rsid w:val="0040401D"/>
    <w:rsid w:val="004040B1"/>
    <w:rsid w:val="00404127"/>
    <w:rsid w:val="004044E5"/>
    <w:rsid w:val="00404592"/>
    <w:rsid w:val="00404845"/>
    <w:rsid w:val="00404A63"/>
    <w:rsid w:val="00404B0A"/>
    <w:rsid w:val="00404BAB"/>
    <w:rsid w:val="00404ED1"/>
    <w:rsid w:val="0040514B"/>
    <w:rsid w:val="00405659"/>
    <w:rsid w:val="004057D8"/>
    <w:rsid w:val="00406115"/>
    <w:rsid w:val="004064E7"/>
    <w:rsid w:val="00406677"/>
    <w:rsid w:val="00406798"/>
    <w:rsid w:val="00406AC9"/>
    <w:rsid w:val="00407256"/>
    <w:rsid w:val="0040725F"/>
    <w:rsid w:val="0040792C"/>
    <w:rsid w:val="00407FDA"/>
    <w:rsid w:val="0041008C"/>
    <w:rsid w:val="004102DE"/>
    <w:rsid w:val="00410398"/>
    <w:rsid w:val="004103FB"/>
    <w:rsid w:val="00410BCD"/>
    <w:rsid w:val="00410D42"/>
    <w:rsid w:val="004110BC"/>
    <w:rsid w:val="00411319"/>
    <w:rsid w:val="0041138B"/>
    <w:rsid w:val="004117FD"/>
    <w:rsid w:val="00411854"/>
    <w:rsid w:val="00411AAB"/>
    <w:rsid w:val="00411F7C"/>
    <w:rsid w:val="004121FC"/>
    <w:rsid w:val="00412670"/>
    <w:rsid w:val="00412A2A"/>
    <w:rsid w:val="00413067"/>
    <w:rsid w:val="004130AB"/>
    <w:rsid w:val="00413162"/>
    <w:rsid w:val="0041329A"/>
    <w:rsid w:val="004135B9"/>
    <w:rsid w:val="00413E26"/>
    <w:rsid w:val="00413E2B"/>
    <w:rsid w:val="004141B4"/>
    <w:rsid w:val="0041425B"/>
    <w:rsid w:val="00414906"/>
    <w:rsid w:val="004154A3"/>
    <w:rsid w:val="00415507"/>
    <w:rsid w:val="00415A0E"/>
    <w:rsid w:val="00415B6D"/>
    <w:rsid w:val="00415B92"/>
    <w:rsid w:val="00415BF2"/>
    <w:rsid w:val="00415C5D"/>
    <w:rsid w:val="0041611A"/>
    <w:rsid w:val="004162DF"/>
    <w:rsid w:val="00416439"/>
    <w:rsid w:val="00416545"/>
    <w:rsid w:val="0041665D"/>
    <w:rsid w:val="00416666"/>
    <w:rsid w:val="00416676"/>
    <w:rsid w:val="00416754"/>
    <w:rsid w:val="00416849"/>
    <w:rsid w:val="00416974"/>
    <w:rsid w:val="00416B2B"/>
    <w:rsid w:val="00417009"/>
    <w:rsid w:val="00417024"/>
    <w:rsid w:val="004170B8"/>
    <w:rsid w:val="00417462"/>
    <w:rsid w:val="00417708"/>
    <w:rsid w:val="0042072C"/>
    <w:rsid w:val="00420E06"/>
    <w:rsid w:val="0042131B"/>
    <w:rsid w:val="00421570"/>
    <w:rsid w:val="00421603"/>
    <w:rsid w:val="004217C9"/>
    <w:rsid w:val="00421C19"/>
    <w:rsid w:val="00421D0A"/>
    <w:rsid w:val="00421F15"/>
    <w:rsid w:val="00421F23"/>
    <w:rsid w:val="004223A3"/>
    <w:rsid w:val="0042249F"/>
    <w:rsid w:val="004224AB"/>
    <w:rsid w:val="00422848"/>
    <w:rsid w:val="00422C11"/>
    <w:rsid w:val="00422CB3"/>
    <w:rsid w:val="00422FEC"/>
    <w:rsid w:val="00423245"/>
    <w:rsid w:val="0042331E"/>
    <w:rsid w:val="004235C6"/>
    <w:rsid w:val="0042386F"/>
    <w:rsid w:val="00423A7B"/>
    <w:rsid w:val="00423AFE"/>
    <w:rsid w:val="004243DB"/>
    <w:rsid w:val="00424472"/>
    <w:rsid w:val="004246A9"/>
    <w:rsid w:val="004247C0"/>
    <w:rsid w:val="00424825"/>
    <w:rsid w:val="0042483D"/>
    <w:rsid w:val="00424C25"/>
    <w:rsid w:val="00424C72"/>
    <w:rsid w:val="00425038"/>
    <w:rsid w:val="00425071"/>
    <w:rsid w:val="004250B1"/>
    <w:rsid w:val="004251C9"/>
    <w:rsid w:val="00425325"/>
    <w:rsid w:val="004256D6"/>
    <w:rsid w:val="00425ABE"/>
    <w:rsid w:val="00425B3A"/>
    <w:rsid w:val="00425FD6"/>
    <w:rsid w:val="00426A2C"/>
    <w:rsid w:val="00426A4B"/>
    <w:rsid w:val="00426C36"/>
    <w:rsid w:val="00427657"/>
    <w:rsid w:val="004276F8"/>
    <w:rsid w:val="00427A0F"/>
    <w:rsid w:val="00427AF6"/>
    <w:rsid w:val="0043005D"/>
    <w:rsid w:val="00430744"/>
    <w:rsid w:val="00430997"/>
    <w:rsid w:val="00431008"/>
    <w:rsid w:val="004310DE"/>
    <w:rsid w:val="0043115D"/>
    <w:rsid w:val="004311CC"/>
    <w:rsid w:val="00431358"/>
    <w:rsid w:val="00431370"/>
    <w:rsid w:val="00431F00"/>
    <w:rsid w:val="0043227C"/>
    <w:rsid w:val="004325A2"/>
    <w:rsid w:val="0043279A"/>
    <w:rsid w:val="00432ACD"/>
    <w:rsid w:val="00432BEC"/>
    <w:rsid w:val="00432C98"/>
    <w:rsid w:val="00432E68"/>
    <w:rsid w:val="0043314E"/>
    <w:rsid w:val="004336AB"/>
    <w:rsid w:val="00433B1E"/>
    <w:rsid w:val="00433D20"/>
    <w:rsid w:val="00434011"/>
    <w:rsid w:val="00434212"/>
    <w:rsid w:val="00434349"/>
    <w:rsid w:val="0043449E"/>
    <w:rsid w:val="0043460C"/>
    <w:rsid w:val="00434B79"/>
    <w:rsid w:val="00434BBF"/>
    <w:rsid w:val="00434D41"/>
    <w:rsid w:val="0043505C"/>
    <w:rsid w:val="00435193"/>
    <w:rsid w:val="004354E3"/>
    <w:rsid w:val="00435E31"/>
    <w:rsid w:val="00435F4F"/>
    <w:rsid w:val="0043628B"/>
    <w:rsid w:val="00436397"/>
    <w:rsid w:val="00436830"/>
    <w:rsid w:val="00437216"/>
    <w:rsid w:val="004373EC"/>
    <w:rsid w:val="00437499"/>
    <w:rsid w:val="004407A0"/>
    <w:rsid w:val="00440AB2"/>
    <w:rsid w:val="00440C2E"/>
    <w:rsid w:val="00440E37"/>
    <w:rsid w:val="004415C4"/>
    <w:rsid w:val="00441858"/>
    <w:rsid w:val="00441929"/>
    <w:rsid w:val="00441946"/>
    <w:rsid w:val="00441E4B"/>
    <w:rsid w:val="00441ED6"/>
    <w:rsid w:val="00442416"/>
    <w:rsid w:val="00442532"/>
    <w:rsid w:val="00442545"/>
    <w:rsid w:val="004425AF"/>
    <w:rsid w:val="00442626"/>
    <w:rsid w:val="00442AFB"/>
    <w:rsid w:val="00442B11"/>
    <w:rsid w:val="00442C01"/>
    <w:rsid w:val="00442C0A"/>
    <w:rsid w:val="00442C1B"/>
    <w:rsid w:val="00442F31"/>
    <w:rsid w:val="00442F43"/>
    <w:rsid w:val="004434F4"/>
    <w:rsid w:val="00443641"/>
    <w:rsid w:val="00443D13"/>
    <w:rsid w:val="00443F2B"/>
    <w:rsid w:val="00443F78"/>
    <w:rsid w:val="004444AE"/>
    <w:rsid w:val="0044460B"/>
    <w:rsid w:val="00444DA6"/>
    <w:rsid w:val="00445325"/>
    <w:rsid w:val="00445C5C"/>
    <w:rsid w:val="00445D3C"/>
    <w:rsid w:val="00445D47"/>
    <w:rsid w:val="00446002"/>
    <w:rsid w:val="004462CF"/>
    <w:rsid w:val="004463C0"/>
    <w:rsid w:val="004465D6"/>
    <w:rsid w:val="00447075"/>
    <w:rsid w:val="00447E48"/>
    <w:rsid w:val="00450467"/>
    <w:rsid w:val="0045081A"/>
    <w:rsid w:val="004514BB"/>
    <w:rsid w:val="00451783"/>
    <w:rsid w:val="0045187E"/>
    <w:rsid w:val="00451C7D"/>
    <w:rsid w:val="004526CB"/>
    <w:rsid w:val="0045274F"/>
    <w:rsid w:val="00452A51"/>
    <w:rsid w:val="00452B85"/>
    <w:rsid w:val="00452E74"/>
    <w:rsid w:val="00453174"/>
    <w:rsid w:val="004534B8"/>
    <w:rsid w:val="00453964"/>
    <w:rsid w:val="00453AA3"/>
    <w:rsid w:val="00453C30"/>
    <w:rsid w:val="00453FC5"/>
    <w:rsid w:val="0045426B"/>
    <w:rsid w:val="00454452"/>
    <w:rsid w:val="00454723"/>
    <w:rsid w:val="00454B64"/>
    <w:rsid w:val="00455124"/>
    <w:rsid w:val="00455175"/>
    <w:rsid w:val="004556D8"/>
    <w:rsid w:val="00455881"/>
    <w:rsid w:val="00455AD7"/>
    <w:rsid w:val="00455E6A"/>
    <w:rsid w:val="0045604E"/>
    <w:rsid w:val="004562BE"/>
    <w:rsid w:val="004562EE"/>
    <w:rsid w:val="004565BB"/>
    <w:rsid w:val="00456B30"/>
    <w:rsid w:val="00456F3E"/>
    <w:rsid w:val="00457098"/>
    <w:rsid w:val="0045718D"/>
    <w:rsid w:val="00457267"/>
    <w:rsid w:val="004574FE"/>
    <w:rsid w:val="004575FB"/>
    <w:rsid w:val="00457812"/>
    <w:rsid w:val="00457BB7"/>
    <w:rsid w:val="00457E9D"/>
    <w:rsid w:val="004600C8"/>
    <w:rsid w:val="004601CD"/>
    <w:rsid w:val="004604DE"/>
    <w:rsid w:val="00460A31"/>
    <w:rsid w:val="00460D3D"/>
    <w:rsid w:val="00460E95"/>
    <w:rsid w:val="00461190"/>
    <w:rsid w:val="004619F2"/>
    <w:rsid w:val="00461B04"/>
    <w:rsid w:val="00461D1D"/>
    <w:rsid w:val="00462099"/>
    <w:rsid w:val="00462B4F"/>
    <w:rsid w:val="00462C1B"/>
    <w:rsid w:val="00462C49"/>
    <w:rsid w:val="00462E55"/>
    <w:rsid w:val="00462FFF"/>
    <w:rsid w:val="00463106"/>
    <w:rsid w:val="00463341"/>
    <w:rsid w:val="004637BF"/>
    <w:rsid w:val="00463990"/>
    <w:rsid w:val="00463A4C"/>
    <w:rsid w:val="00463A83"/>
    <w:rsid w:val="00463B51"/>
    <w:rsid w:val="00463C4C"/>
    <w:rsid w:val="00463C58"/>
    <w:rsid w:val="00463E50"/>
    <w:rsid w:val="00463EE1"/>
    <w:rsid w:val="004646ED"/>
    <w:rsid w:val="0046480E"/>
    <w:rsid w:val="00464A88"/>
    <w:rsid w:val="00464EA1"/>
    <w:rsid w:val="00464ED7"/>
    <w:rsid w:val="00465098"/>
    <w:rsid w:val="00465143"/>
    <w:rsid w:val="00465295"/>
    <w:rsid w:val="0046582E"/>
    <w:rsid w:val="00465C92"/>
    <w:rsid w:val="00466037"/>
    <w:rsid w:val="004660A1"/>
    <w:rsid w:val="00466B02"/>
    <w:rsid w:val="00466B6D"/>
    <w:rsid w:val="00467449"/>
    <w:rsid w:val="00467AFA"/>
    <w:rsid w:val="00467CB7"/>
    <w:rsid w:val="004700CE"/>
    <w:rsid w:val="00470115"/>
    <w:rsid w:val="004702B9"/>
    <w:rsid w:val="004703CC"/>
    <w:rsid w:val="00471305"/>
    <w:rsid w:val="0047136C"/>
    <w:rsid w:val="004713FD"/>
    <w:rsid w:val="0047146C"/>
    <w:rsid w:val="0047150F"/>
    <w:rsid w:val="0047162C"/>
    <w:rsid w:val="00471712"/>
    <w:rsid w:val="00471730"/>
    <w:rsid w:val="004719EE"/>
    <w:rsid w:val="00471C2B"/>
    <w:rsid w:val="00471EBD"/>
    <w:rsid w:val="0047243B"/>
    <w:rsid w:val="00472499"/>
    <w:rsid w:val="004725BA"/>
    <w:rsid w:val="00472786"/>
    <w:rsid w:val="00472CD2"/>
    <w:rsid w:val="004730BE"/>
    <w:rsid w:val="004732CE"/>
    <w:rsid w:val="0047330B"/>
    <w:rsid w:val="00473CCB"/>
    <w:rsid w:val="00473FBD"/>
    <w:rsid w:val="004748F3"/>
    <w:rsid w:val="00474AA6"/>
    <w:rsid w:val="00474BB6"/>
    <w:rsid w:val="0047503E"/>
    <w:rsid w:val="00475112"/>
    <w:rsid w:val="00475214"/>
    <w:rsid w:val="004758D8"/>
    <w:rsid w:val="0047595D"/>
    <w:rsid w:val="00475BE1"/>
    <w:rsid w:val="00475DD8"/>
    <w:rsid w:val="00475EB4"/>
    <w:rsid w:val="0047601C"/>
    <w:rsid w:val="0047629A"/>
    <w:rsid w:val="004767FD"/>
    <w:rsid w:val="00476954"/>
    <w:rsid w:val="00476C70"/>
    <w:rsid w:val="00476D04"/>
    <w:rsid w:val="00476E87"/>
    <w:rsid w:val="004772E8"/>
    <w:rsid w:val="00477EEC"/>
    <w:rsid w:val="004802D3"/>
    <w:rsid w:val="00480313"/>
    <w:rsid w:val="00480380"/>
    <w:rsid w:val="004806A8"/>
    <w:rsid w:val="004807A7"/>
    <w:rsid w:val="00480C25"/>
    <w:rsid w:val="00480CD6"/>
    <w:rsid w:val="00481096"/>
    <w:rsid w:val="0048111A"/>
    <w:rsid w:val="00481127"/>
    <w:rsid w:val="0048115F"/>
    <w:rsid w:val="004813FE"/>
    <w:rsid w:val="00481519"/>
    <w:rsid w:val="004815A3"/>
    <w:rsid w:val="004816B3"/>
    <w:rsid w:val="00481868"/>
    <w:rsid w:val="00481BE1"/>
    <w:rsid w:val="00481C5F"/>
    <w:rsid w:val="00481F99"/>
    <w:rsid w:val="0048213F"/>
    <w:rsid w:val="0048219B"/>
    <w:rsid w:val="0048245C"/>
    <w:rsid w:val="004824DB"/>
    <w:rsid w:val="00482596"/>
    <w:rsid w:val="00482A04"/>
    <w:rsid w:val="00482A16"/>
    <w:rsid w:val="00482EFD"/>
    <w:rsid w:val="00483059"/>
    <w:rsid w:val="004830C0"/>
    <w:rsid w:val="00483138"/>
    <w:rsid w:val="0048336A"/>
    <w:rsid w:val="00483399"/>
    <w:rsid w:val="00483682"/>
    <w:rsid w:val="0048369B"/>
    <w:rsid w:val="004839A0"/>
    <w:rsid w:val="00483C0A"/>
    <w:rsid w:val="00483C2B"/>
    <w:rsid w:val="00483C60"/>
    <w:rsid w:val="00483CEB"/>
    <w:rsid w:val="00483DB3"/>
    <w:rsid w:val="00483F6D"/>
    <w:rsid w:val="00483FBD"/>
    <w:rsid w:val="004841B1"/>
    <w:rsid w:val="00484203"/>
    <w:rsid w:val="00484295"/>
    <w:rsid w:val="004842CB"/>
    <w:rsid w:val="004844A0"/>
    <w:rsid w:val="00484603"/>
    <w:rsid w:val="0048473A"/>
    <w:rsid w:val="00484988"/>
    <w:rsid w:val="00484C31"/>
    <w:rsid w:val="00484D97"/>
    <w:rsid w:val="004850AD"/>
    <w:rsid w:val="0048511B"/>
    <w:rsid w:val="00485321"/>
    <w:rsid w:val="00485996"/>
    <w:rsid w:val="00485B8D"/>
    <w:rsid w:val="00485CA9"/>
    <w:rsid w:val="00485DD6"/>
    <w:rsid w:val="00485FF1"/>
    <w:rsid w:val="00486371"/>
    <w:rsid w:val="00486462"/>
    <w:rsid w:val="00486593"/>
    <w:rsid w:val="00486BBF"/>
    <w:rsid w:val="00486D26"/>
    <w:rsid w:val="00486D35"/>
    <w:rsid w:val="00486DD5"/>
    <w:rsid w:val="00486E8C"/>
    <w:rsid w:val="00487088"/>
    <w:rsid w:val="00487527"/>
    <w:rsid w:val="00487622"/>
    <w:rsid w:val="004876F1"/>
    <w:rsid w:val="00487803"/>
    <w:rsid w:val="00487A26"/>
    <w:rsid w:val="00487AD8"/>
    <w:rsid w:val="00487C0D"/>
    <w:rsid w:val="004906C1"/>
    <w:rsid w:val="004907F2"/>
    <w:rsid w:val="00490B04"/>
    <w:rsid w:val="00490BB0"/>
    <w:rsid w:val="00490CE6"/>
    <w:rsid w:val="00490EA2"/>
    <w:rsid w:val="00491D08"/>
    <w:rsid w:val="004921C4"/>
    <w:rsid w:val="004921D7"/>
    <w:rsid w:val="004924B4"/>
    <w:rsid w:val="00492756"/>
    <w:rsid w:val="00492776"/>
    <w:rsid w:val="004929B9"/>
    <w:rsid w:val="00492B56"/>
    <w:rsid w:val="00493028"/>
    <w:rsid w:val="0049308D"/>
    <w:rsid w:val="00493177"/>
    <w:rsid w:val="00493666"/>
    <w:rsid w:val="004939C1"/>
    <w:rsid w:val="00493DBB"/>
    <w:rsid w:val="00493E5B"/>
    <w:rsid w:val="00493EAB"/>
    <w:rsid w:val="00494AD6"/>
    <w:rsid w:val="00494B0C"/>
    <w:rsid w:val="00494B51"/>
    <w:rsid w:val="00494C5C"/>
    <w:rsid w:val="00494D22"/>
    <w:rsid w:val="00494FD3"/>
    <w:rsid w:val="0049507D"/>
    <w:rsid w:val="0049550E"/>
    <w:rsid w:val="00495A17"/>
    <w:rsid w:val="004961B1"/>
    <w:rsid w:val="00496417"/>
    <w:rsid w:val="004967D8"/>
    <w:rsid w:val="00496C91"/>
    <w:rsid w:val="00496C93"/>
    <w:rsid w:val="00496CE4"/>
    <w:rsid w:val="00496DF5"/>
    <w:rsid w:val="00497072"/>
    <w:rsid w:val="004970E8"/>
    <w:rsid w:val="004976ED"/>
    <w:rsid w:val="00497707"/>
    <w:rsid w:val="004979CD"/>
    <w:rsid w:val="00497A28"/>
    <w:rsid w:val="00497E6E"/>
    <w:rsid w:val="00497F4F"/>
    <w:rsid w:val="004A01F9"/>
    <w:rsid w:val="004A0550"/>
    <w:rsid w:val="004A0CA6"/>
    <w:rsid w:val="004A17D6"/>
    <w:rsid w:val="004A19A4"/>
    <w:rsid w:val="004A2708"/>
    <w:rsid w:val="004A271B"/>
    <w:rsid w:val="004A286F"/>
    <w:rsid w:val="004A2C3C"/>
    <w:rsid w:val="004A2D08"/>
    <w:rsid w:val="004A31B7"/>
    <w:rsid w:val="004A3A51"/>
    <w:rsid w:val="004A3C3A"/>
    <w:rsid w:val="004A3EDB"/>
    <w:rsid w:val="004A4573"/>
    <w:rsid w:val="004A460D"/>
    <w:rsid w:val="004A48DB"/>
    <w:rsid w:val="004A49FF"/>
    <w:rsid w:val="004A4B86"/>
    <w:rsid w:val="004A4CF3"/>
    <w:rsid w:val="004A4D35"/>
    <w:rsid w:val="004A4D42"/>
    <w:rsid w:val="004A4DCC"/>
    <w:rsid w:val="004A52A5"/>
    <w:rsid w:val="004A54CF"/>
    <w:rsid w:val="004A584A"/>
    <w:rsid w:val="004A58D4"/>
    <w:rsid w:val="004A5FA2"/>
    <w:rsid w:val="004A6157"/>
    <w:rsid w:val="004A618B"/>
    <w:rsid w:val="004A63C8"/>
    <w:rsid w:val="004A6C33"/>
    <w:rsid w:val="004A6F96"/>
    <w:rsid w:val="004A71F5"/>
    <w:rsid w:val="004A7276"/>
    <w:rsid w:val="004A75C0"/>
    <w:rsid w:val="004A7E4A"/>
    <w:rsid w:val="004B0064"/>
    <w:rsid w:val="004B0399"/>
    <w:rsid w:val="004B0619"/>
    <w:rsid w:val="004B0B90"/>
    <w:rsid w:val="004B0BC2"/>
    <w:rsid w:val="004B0ECE"/>
    <w:rsid w:val="004B0FFF"/>
    <w:rsid w:val="004B1145"/>
    <w:rsid w:val="004B138E"/>
    <w:rsid w:val="004B1758"/>
    <w:rsid w:val="004B1B57"/>
    <w:rsid w:val="004B1C52"/>
    <w:rsid w:val="004B20F4"/>
    <w:rsid w:val="004B2375"/>
    <w:rsid w:val="004B23F8"/>
    <w:rsid w:val="004B2D10"/>
    <w:rsid w:val="004B2EFE"/>
    <w:rsid w:val="004B3016"/>
    <w:rsid w:val="004B3398"/>
    <w:rsid w:val="004B3488"/>
    <w:rsid w:val="004B3DDA"/>
    <w:rsid w:val="004B4003"/>
    <w:rsid w:val="004B4780"/>
    <w:rsid w:val="004B47A7"/>
    <w:rsid w:val="004B47B7"/>
    <w:rsid w:val="004B4891"/>
    <w:rsid w:val="004B4BFF"/>
    <w:rsid w:val="004B4F88"/>
    <w:rsid w:val="004B4FDB"/>
    <w:rsid w:val="004B5132"/>
    <w:rsid w:val="004B5455"/>
    <w:rsid w:val="004B5533"/>
    <w:rsid w:val="004B55E2"/>
    <w:rsid w:val="004B579F"/>
    <w:rsid w:val="004B57BF"/>
    <w:rsid w:val="004B5809"/>
    <w:rsid w:val="004B5A80"/>
    <w:rsid w:val="004B5AB0"/>
    <w:rsid w:val="004B5ADB"/>
    <w:rsid w:val="004B6228"/>
    <w:rsid w:val="004B658D"/>
    <w:rsid w:val="004B6948"/>
    <w:rsid w:val="004B6B72"/>
    <w:rsid w:val="004B6E0C"/>
    <w:rsid w:val="004B7012"/>
    <w:rsid w:val="004B7268"/>
    <w:rsid w:val="004B790F"/>
    <w:rsid w:val="004B7C8E"/>
    <w:rsid w:val="004B7D64"/>
    <w:rsid w:val="004C00A3"/>
    <w:rsid w:val="004C05A4"/>
    <w:rsid w:val="004C075B"/>
    <w:rsid w:val="004C0E5C"/>
    <w:rsid w:val="004C0E66"/>
    <w:rsid w:val="004C11AD"/>
    <w:rsid w:val="004C1C4B"/>
    <w:rsid w:val="004C2085"/>
    <w:rsid w:val="004C229F"/>
    <w:rsid w:val="004C2355"/>
    <w:rsid w:val="004C2433"/>
    <w:rsid w:val="004C2799"/>
    <w:rsid w:val="004C2814"/>
    <w:rsid w:val="004C2A66"/>
    <w:rsid w:val="004C2AF1"/>
    <w:rsid w:val="004C2CCB"/>
    <w:rsid w:val="004C2D48"/>
    <w:rsid w:val="004C2F66"/>
    <w:rsid w:val="004C3139"/>
    <w:rsid w:val="004C344A"/>
    <w:rsid w:val="004C370A"/>
    <w:rsid w:val="004C3E49"/>
    <w:rsid w:val="004C4173"/>
    <w:rsid w:val="004C41DD"/>
    <w:rsid w:val="004C4AA5"/>
    <w:rsid w:val="004C52BC"/>
    <w:rsid w:val="004C5664"/>
    <w:rsid w:val="004C5AD5"/>
    <w:rsid w:val="004C5AEB"/>
    <w:rsid w:val="004C601D"/>
    <w:rsid w:val="004C6218"/>
    <w:rsid w:val="004C6E18"/>
    <w:rsid w:val="004C6FC2"/>
    <w:rsid w:val="004C6FFC"/>
    <w:rsid w:val="004C70E6"/>
    <w:rsid w:val="004C73C7"/>
    <w:rsid w:val="004C74E8"/>
    <w:rsid w:val="004C7A22"/>
    <w:rsid w:val="004C7C90"/>
    <w:rsid w:val="004D0576"/>
    <w:rsid w:val="004D05DE"/>
    <w:rsid w:val="004D0743"/>
    <w:rsid w:val="004D0A5E"/>
    <w:rsid w:val="004D1203"/>
    <w:rsid w:val="004D1470"/>
    <w:rsid w:val="004D14B9"/>
    <w:rsid w:val="004D187B"/>
    <w:rsid w:val="004D18AB"/>
    <w:rsid w:val="004D1A38"/>
    <w:rsid w:val="004D1A9B"/>
    <w:rsid w:val="004D1D53"/>
    <w:rsid w:val="004D1DB4"/>
    <w:rsid w:val="004D1E09"/>
    <w:rsid w:val="004D1E46"/>
    <w:rsid w:val="004D1E8B"/>
    <w:rsid w:val="004D2091"/>
    <w:rsid w:val="004D2213"/>
    <w:rsid w:val="004D25EF"/>
    <w:rsid w:val="004D2657"/>
    <w:rsid w:val="004D28A1"/>
    <w:rsid w:val="004D2DDF"/>
    <w:rsid w:val="004D2F62"/>
    <w:rsid w:val="004D322B"/>
    <w:rsid w:val="004D3687"/>
    <w:rsid w:val="004D3B9E"/>
    <w:rsid w:val="004D4208"/>
    <w:rsid w:val="004D44C4"/>
    <w:rsid w:val="004D4881"/>
    <w:rsid w:val="004D4EB5"/>
    <w:rsid w:val="004D4FBB"/>
    <w:rsid w:val="004D52E4"/>
    <w:rsid w:val="004D56E6"/>
    <w:rsid w:val="004D56F5"/>
    <w:rsid w:val="004D5D47"/>
    <w:rsid w:val="004D5F41"/>
    <w:rsid w:val="004D5FD6"/>
    <w:rsid w:val="004D6036"/>
    <w:rsid w:val="004D63EB"/>
    <w:rsid w:val="004D66B6"/>
    <w:rsid w:val="004D749C"/>
    <w:rsid w:val="004D7987"/>
    <w:rsid w:val="004D7DBC"/>
    <w:rsid w:val="004E00A2"/>
    <w:rsid w:val="004E024F"/>
    <w:rsid w:val="004E0340"/>
    <w:rsid w:val="004E06A7"/>
    <w:rsid w:val="004E06FD"/>
    <w:rsid w:val="004E0B90"/>
    <w:rsid w:val="004E1287"/>
    <w:rsid w:val="004E13E6"/>
    <w:rsid w:val="004E152A"/>
    <w:rsid w:val="004E1623"/>
    <w:rsid w:val="004E1742"/>
    <w:rsid w:val="004E1A55"/>
    <w:rsid w:val="004E1BFB"/>
    <w:rsid w:val="004E2293"/>
    <w:rsid w:val="004E278F"/>
    <w:rsid w:val="004E280B"/>
    <w:rsid w:val="004E2908"/>
    <w:rsid w:val="004E2C61"/>
    <w:rsid w:val="004E2FD3"/>
    <w:rsid w:val="004E31AA"/>
    <w:rsid w:val="004E3692"/>
    <w:rsid w:val="004E3703"/>
    <w:rsid w:val="004E37DF"/>
    <w:rsid w:val="004E3893"/>
    <w:rsid w:val="004E3927"/>
    <w:rsid w:val="004E39FA"/>
    <w:rsid w:val="004E3A0E"/>
    <w:rsid w:val="004E3D8E"/>
    <w:rsid w:val="004E3DD0"/>
    <w:rsid w:val="004E3DEA"/>
    <w:rsid w:val="004E3F8F"/>
    <w:rsid w:val="004E3F92"/>
    <w:rsid w:val="004E41F7"/>
    <w:rsid w:val="004E435E"/>
    <w:rsid w:val="004E4371"/>
    <w:rsid w:val="004E45A5"/>
    <w:rsid w:val="004E45AC"/>
    <w:rsid w:val="004E4894"/>
    <w:rsid w:val="004E49EE"/>
    <w:rsid w:val="004E4A1D"/>
    <w:rsid w:val="004E4A21"/>
    <w:rsid w:val="004E4A31"/>
    <w:rsid w:val="004E5345"/>
    <w:rsid w:val="004E594B"/>
    <w:rsid w:val="004E5A6B"/>
    <w:rsid w:val="004E5C25"/>
    <w:rsid w:val="004E60FF"/>
    <w:rsid w:val="004E64DC"/>
    <w:rsid w:val="004E673D"/>
    <w:rsid w:val="004E675A"/>
    <w:rsid w:val="004E6D9A"/>
    <w:rsid w:val="004E7037"/>
    <w:rsid w:val="004E7080"/>
    <w:rsid w:val="004E7759"/>
    <w:rsid w:val="004E78F7"/>
    <w:rsid w:val="004E79F0"/>
    <w:rsid w:val="004F0082"/>
    <w:rsid w:val="004F02D3"/>
    <w:rsid w:val="004F08B2"/>
    <w:rsid w:val="004F0C74"/>
    <w:rsid w:val="004F0EBD"/>
    <w:rsid w:val="004F138D"/>
    <w:rsid w:val="004F14A4"/>
    <w:rsid w:val="004F17B6"/>
    <w:rsid w:val="004F1F0A"/>
    <w:rsid w:val="004F20DB"/>
    <w:rsid w:val="004F2272"/>
    <w:rsid w:val="004F232E"/>
    <w:rsid w:val="004F2370"/>
    <w:rsid w:val="004F250E"/>
    <w:rsid w:val="004F2681"/>
    <w:rsid w:val="004F27D8"/>
    <w:rsid w:val="004F2DB9"/>
    <w:rsid w:val="004F3270"/>
    <w:rsid w:val="004F32ED"/>
    <w:rsid w:val="004F3439"/>
    <w:rsid w:val="004F3542"/>
    <w:rsid w:val="004F3A51"/>
    <w:rsid w:val="004F3A6F"/>
    <w:rsid w:val="004F3AE7"/>
    <w:rsid w:val="004F3CED"/>
    <w:rsid w:val="004F3DAF"/>
    <w:rsid w:val="004F4292"/>
    <w:rsid w:val="004F42BB"/>
    <w:rsid w:val="004F4555"/>
    <w:rsid w:val="004F45D3"/>
    <w:rsid w:val="004F46C7"/>
    <w:rsid w:val="004F4765"/>
    <w:rsid w:val="004F4942"/>
    <w:rsid w:val="004F4980"/>
    <w:rsid w:val="004F4993"/>
    <w:rsid w:val="004F532C"/>
    <w:rsid w:val="004F593A"/>
    <w:rsid w:val="004F5A50"/>
    <w:rsid w:val="004F5CCB"/>
    <w:rsid w:val="004F5F11"/>
    <w:rsid w:val="004F6023"/>
    <w:rsid w:val="004F6372"/>
    <w:rsid w:val="004F6603"/>
    <w:rsid w:val="004F6D8C"/>
    <w:rsid w:val="004F6ED2"/>
    <w:rsid w:val="004F7202"/>
    <w:rsid w:val="004F72BE"/>
    <w:rsid w:val="004F73DB"/>
    <w:rsid w:val="004F752E"/>
    <w:rsid w:val="004F7763"/>
    <w:rsid w:val="004F79B9"/>
    <w:rsid w:val="004F7C2C"/>
    <w:rsid w:val="0050034A"/>
    <w:rsid w:val="0050035A"/>
    <w:rsid w:val="0050051F"/>
    <w:rsid w:val="00500AB3"/>
    <w:rsid w:val="00500D4C"/>
    <w:rsid w:val="00501324"/>
    <w:rsid w:val="00501821"/>
    <w:rsid w:val="00501A12"/>
    <w:rsid w:val="00501B53"/>
    <w:rsid w:val="00501C1A"/>
    <w:rsid w:val="00502008"/>
    <w:rsid w:val="0050233A"/>
    <w:rsid w:val="0050278C"/>
    <w:rsid w:val="005027BE"/>
    <w:rsid w:val="00502A69"/>
    <w:rsid w:val="00502C36"/>
    <w:rsid w:val="00502C8A"/>
    <w:rsid w:val="00502EF0"/>
    <w:rsid w:val="00502FDE"/>
    <w:rsid w:val="0050301D"/>
    <w:rsid w:val="0050317F"/>
    <w:rsid w:val="00503398"/>
    <w:rsid w:val="00503481"/>
    <w:rsid w:val="00503A23"/>
    <w:rsid w:val="00503BB4"/>
    <w:rsid w:val="00503D4E"/>
    <w:rsid w:val="005043B3"/>
    <w:rsid w:val="0050466C"/>
    <w:rsid w:val="00504738"/>
    <w:rsid w:val="005047A7"/>
    <w:rsid w:val="0050487F"/>
    <w:rsid w:val="00504B1E"/>
    <w:rsid w:val="00504BFF"/>
    <w:rsid w:val="00504C13"/>
    <w:rsid w:val="00504E9E"/>
    <w:rsid w:val="00505195"/>
    <w:rsid w:val="005051FD"/>
    <w:rsid w:val="00505203"/>
    <w:rsid w:val="00505922"/>
    <w:rsid w:val="00506160"/>
    <w:rsid w:val="005062BF"/>
    <w:rsid w:val="0050638B"/>
    <w:rsid w:val="00506575"/>
    <w:rsid w:val="005065B4"/>
    <w:rsid w:val="00506B35"/>
    <w:rsid w:val="00506C8A"/>
    <w:rsid w:val="00506F51"/>
    <w:rsid w:val="00507094"/>
    <w:rsid w:val="005070CD"/>
    <w:rsid w:val="0050723C"/>
    <w:rsid w:val="005076D6"/>
    <w:rsid w:val="00507940"/>
    <w:rsid w:val="0050798C"/>
    <w:rsid w:val="005079D8"/>
    <w:rsid w:val="00507CFD"/>
    <w:rsid w:val="00507EFA"/>
    <w:rsid w:val="00507FEB"/>
    <w:rsid w:val="005102F4"/>
    <w:rsid w:val="0051047F"/>
    <w:rsid w:val="005105CD"/>
    <w:rsid w:val="00510801"/>
    <w:rsid w:val="00510B3F"/>
    <w:rsid w:val="00511203"/>
    <w:rsid w:val="00511249"/>
    <w:rsid w:val="00511A97"/>
    <w:rsid w:val="00511E76"/>
    <w:rsid w:val="0051235C"/>
    <w:rsid w:val="005124BC"/>
    <w:rsid w:val="005125E6"/>
    <w:rsid w:val="005129CE"/>
    <w:rsid w:val="00512F67"/>
    <w:rsid w:val="00513597"/>
    <w:rsid w:val="005137DE"/>
    <w:rsid w:val="00513A35"/>
    <w:rsid w:val="00513C7E"/>
    <w:rsid w:val="0051402F"/>
    <w:rsid w:val="00514177"/>
    <w:rsid w:val="00514286"/>
    <w:rsid w:val="005142FE"/>
    <w:rsid w:val="005144BE"/>
    <w:rsid w:val="005144C4"/>
    <w:rsid w:val="005148D3"/>
    <w:rsid w:val="00514C08"/>
    <w:rsid w:val="00515223"/>
    <w:rsid w:val="00515991"/>
    <w:rsid w:val="00515A1A"/>
    <w:rsid w:val="00515AE0"/>
    <w:rsid w:val="0051603E"/>
    <w:rsid w:val="005167C1"/>
    <w:rsid w:val="00516D19"/>
    <w:rsid w:val="00516D89"/>
    <w:rsid w:val="00516D9D"/>
    <w:rsid w:val="00516E45"/>
    <w:rsid w:val="00516E6B"/>
    <w:rsid w:val="00516F4C"/>
    <w:rsid w:val="00517160"/>
    <w:rsid w:val="00517345"/>
    <w:rsid w:val="005175B5"/>
    <w:rsid w:val="00517847"/>
    <w:rsid w:val="005179F6"/>
    <w:rsid w:val="00517A82"/>
    <w:rsid w:val="00517B60"/>
    <w:rsid w:val="00517BBF"/>
    <w:rsid w:val="00517EBE"/>
    <w:rsid w:val="00517F94"/>
    <w:rsid w:val="005200ED"/>
    <w:rsid w:val="005203D0"/>
    <w:rsid w:val="00520541"/>
    <w:rsid w:val="005207C9"/>
    <w:rsid w:val="005207E5"/>
    <w:rsid w:val="00520BA7"/>
    <w:rsid w:val="00520FE0"/>
    <w:rsid w:val="00521118"/>
    <w:rsid w:val="0052199A"/>
    <w:rsid w:val="00521A52"/>
    <w:rsid w:val="00521DEF"/>
    <w:rsid w:val="0052205B"/>
    <w:rsid w:val="00522084"/>
    <w:rsid w:val="005220B2"/>
    <w:rsid w:val="00522649"/>
    <w:rsid w:val="005227F1"/>
    <w:rsid w:val="00522880"/>
    <w:rsid w:val="00522D76"/>
    <w:rsid w:val="00522E52"/>
    <w:rsid w:val="00523401"/>
    <w:rsid w:val="00523419"/>
    <w:rsid w:val="00523747"/>
    <w:rsid w:val="005237ED"/>
    <w:rsid w:val="00523F66"/>
    <w:rsid w:val="00523FF0"/>
    <w:rsid w:val="00524447"/>
    <w:rsid w:val="00524557"/>
    <w:rsid w:val="00524849"/>
    <w:rsid w:val="00524943"/>
    <w:rsid w:val="00524B8F"/>
    <w:rsid w:val="00525012"/>
    <w:rsid w:val="005250EE"/>
    <w:rsid w:val="00525243"/>
    <w:rsid w:val="005252FA"/>
    <w:rsid w:val="00525417"/>
    <w:rsid w:val="00525464"/>
    <w:rsid w:val="00525971"/>
    <w:rsid w:val="00525E6A"/>
    <w:rsid w:val="005266A6"/>
    <w:rsid w:val="0052672E"/>
    <w:rsid w:val="00526A15"/>
    <w:rsid w:val="00526C64"/>
    <w:rsid w:val="00526E18"/>
    <w:rsid w:val="00526FD0"/>
    <w:rsid w:val="00527020"/>
    <w:rsid w:val="00527382"/>
    <w:rsid w:val="005274BC"/>
    <w:rsid w:val="00527886"/>
    <w:rsid w:val="005279A3"/>
    <w:rsid w:val="00527B4C"/>
    <w:rsid w:val="00527B66"/>
    <w:rsid w:val="00530184"/>
    <w:rsid w:val="00530234"/>
    <w:rsid w:val="005302DB"/>
    <w:rsid w:val="0053049C"/>
    <w:rsid w:val="005307D5"/>
    <w:rsid w:val="00530BD6"/>
    <w:rsid w:val="0053101C"/>
    <w:rsid w:val="005311B7"/>
    <w:rsid w:val="00531256"/>
    <w:rsid w:val="0053130F"/>
    <w:rsid w:val="00531662"/>
    <w:rsid w:val="005316D3"/>
    <w:rsid w:val="00531783"/>
    <w:rsid w:val="005318B5"/>
    <w:rsid w:val="005318EC"/>
    <w:rsid w:val="00531C54"/>
    <w:rsid w:val="00531E54"/>
    <w:rsid w:val="005323AF"/>
    <w:rsid w:val="005323DB"/>
    <w:rsid w:val="005327A6"/>
    <w:rsid w:val="0053290A"/>
    <w:rsid w:val="00532963"/>
    <w:rsid w:val="00532B66"/>
    <w:rsid w:val="005331A2"/>
    <w:rsid w:val="00533516"/>
    <w:rsid w:val="00533591"/>
    <w:rsid w:val="0053399B"/>
    <w:rsid w:val="00533A41"/>
    <w:rsid w:val="0053437A"/>
    <w:rsid w:val="00534597"/>
    <w:rsid w:val="00534656"/>
    <w:rsid w:val="005346CD"/>
    <w:rsid w:val="005347C4"/>
    <w:rsid w:val="00535C5D"/>
    <w:rsid w:val="00536117"/>
    <w:rsid w:val="00536320"/>
    <w:rsid w:val="00536531"/>
    <w:rsid w:val="0053655C"/>
    <w:rsid w:val="00536A29"/>
    <w:rsid w:val="00536C01"/>
    <w:rsid w:val="00536CF4"/>
    <w:rsid w:val="00537159"/>
    <w:rsid w:val="00537255"/>
    <w:rsid w:val="0053725E"/>
    <w:rsid w:val="005376FA"/>
    <w:rsid w:val="005378CA"/>
    <w:rsid w:val="0053795D"/>
    <w:rsid w:val="00537B40"/>
    <w:rsid w:val="00537BD2"/>
    <w:rsid w:val="005404EE"/>
    <w:rsid w:val="005405EC"/>
    <w:rsid w:val="005406CE"/>
    <w:rsid w:val="00540719"/>
    <w:rsid w:val="0054082B"/>
    <w:rsid w:val="00540995"/>
    <w:rsid w:val="00540BED"/>
    <w:rsid w:val="00541024"/>
    <w:rsid w:val="005410E0"/>
    <w:rsid w:val="00541853"/>
    <w:rsid w:val="005419F5"/>
    <w:rsid w:val="00541A7F"/>
    <w:rsid w:val="00541B56"/>
    <w:rsid w:val="00541FA1"/>
    <w:rsid w:val="0054232E"/>
    <w:rsid w:val="00542458"/>
    <w:rsid w:val="00542A17"/>
    <w:rsid w:val="00542E27"/>
    <w:rsid w:val="00542ED8"/>
    <w:rsid w:val="00542EF9"/>
    <w:rsid w:val="00542F29"/>
    <w:rsid w:val="0054349A"/>
    <w:rsid w:val="005437EC"/>
    <w:rsid w:val="0054389E"/>
    <w:rsid w:val="005442F2"/>
    <w:rsid w:val="005443E7"/>
    <w:rsid w:val="0054455F"/>
    <w:rsid w:val="00544EFA"/>
    <w:rsid w:val="005459D6"/>
    <w:rsid w:val="005459E0"/>
    <w:rsid w:val="00545AD5"/>
    <w:rsid w:val="005460EC"/>
    <w:rsid w:val="00546131"/>
    <w:rsid w:val="0054637A"/>
    <w:rsid w:val="0054640A"/>
    <w:rsid w:val="00546513"/>
    <w:rsid w:val="005466AD"/>
    <w:rsid w:val="00546812"/>
    <w:rsid w:val="00546911"/>
    <w:rsid w:val="00546A09"/>
    <w:rsid w:val="00546C9F"/>
    <w:rsid w:val="00546D7A"/>
    <w:rsid w:val="00546E7F"/>
    <w:rsid w:val="00547235"/>
    <w:rsid w:val="00547419"/>
    <w:rsid w:val="005477E7"/>
    <w:rsid w:val="005478EE"/>
    <w:rsid w:val="00547D79"/>
    <w:rsid w:val="00547E13"/>
    <w:rsid w:val="0055004A"/>
    <w:rsid w:val="0055060A"/>
    <w:rsid w:val="00551179"/>
    <w:rsid w:val="005514F5"/>
    <w:rsid w:val="0055172C"/>
    <w:rsid w:val="00551751"/>
    <w:rsid w:val="00551756"/>
    <w:rsid w:val="0055195A"/>
    <w:rsid w:val="00551964"/>
    <w:rsid w:val="005519EE"/>
    <w:rsid w:val="00551A21"/>
    <w:rsid w:val="00551D24"/>
    <w:rsid w:val="00552379"/>
    <w:rsid w:val="00552398"/>
    <w:rsid w:val="00552623"/>
    <w:rsid w:val="005527A4"/>
    <w:rsid w:val="005528C7"/>
    <w:rsid w:val="00552BE8"/>
    <w:rsid w:val="00552C9A"/>
    <w:rsid w:val="00553255"/>
    <w:rsid w:val="00553411"/>
    <w:rsid w:val="0055345B"/>
    <w:rsid w:val="00553629"/>
    <w:rsid w:val="00553B86"/>
    <w:rsid w:val="00553D47"/>
    <w:rsid w:val="00554112"/>
    <w:rsid w:val="0055417F"/>
    <w:rsid w:val="005545BC"/>
    <w:rsid w:val="00554782"/>
    <w:rsid w:val="0055482A"/>
    <w:rsid w:val="0055513D"/>
    <w:rsid w:val="00555234"/>
    <w:rsid w:val="00555465"/>
    <w:rsid w:val="0055582A"/>
    <w:rsid w:val="005559DB"/>
    <w:rsid w:val="005564A2"/>
    <w:rsid w:val="005567C8"/>
    <w:rsid w:val="00556B5F"/>
    <w:rsid w:val="00556C51"/>
    <w:rsid w:val="00556D1D"/>
    <w:rsid w:val="00556EDC"/>
    <w:rsid w:val="00557C1A"/>
    <w:rsid w:val="005601DB"/>
    <w:rsid w:val="005601EF"/>
    <w:rsid w:val="005605CF"/>
    <w:rsid w:val="00560A93"/>
    <w:rsid w:val="00560C90"/>
    <w:rsid w:val="00560D8F"/>
    <w:rsid w:val="00560FAC"/>
    <w:rsid w:val="00561001"/>
    <w:rsid w:val="00561082"/>
    <w:rsid w:val="00561315"/>
    <w:rsid w:val="00561E48"/>
    <w:rsid w:val="00561E65"/>
    <w:rsid w:val="00561E94"/>
    <w:rsid w:val="00561EB8"/>
    <w:rsid w:val="00562007"/>
    <w:rsid w:val="00562253"/>
    <w:rsid w:val="0056240B"/>
    <w:rsid w:val="00562E4C"/>
    <w:rsid w:val="005630CD"/>
    <w:rsid w:val="00563177"/>
    <w:rsid w:val="005631AB"/>
    <w:rsid w:val="00563245"/>
    <w:rsid w:val="00563510"/>
    <w:rsid w:val="005635BF"/>
    <w:rsid w:val="005635CF"/>
    <w:rsid w:val="00563B33"/>
    <w:rsid w:val="00563E9A"/>
    <w:rsid w:val="005641A4"/>
    <w:rsid w:val="00564E54"/>
    <w:rsid w:val="005654A4"/>
    <w:rsid w:val="00565735"/>
    <w:rsid w:val="00565CA7"/>
    <w:rsid w:val="00565D65"/>
    <w:rsid w:val="0056680B"/>
    <w:rsid w:val="00567465"/>
    <w:rsid w:val="005676AE"/>
    <w:rsid w:val="005678D0"/>
    <w:rsid w:val="00567A27"/>
    <w:rsid w:val="00570398"/>
    <w:rsid w:val="005703AD"/>
    <w:rsid w:val="005705AB"/>
    <w:rsid w:val="00570808"/>
    <w:rsid w:val="00570DA9"/>
    <w:rsid w:val="00570FF8"/>
    <w:rsid w:val="0057120B"/>
    <w:rsid w:val="005719BC"/>
    <w:rsid w:val="00572157"/>
    <w:rsid w:val="005721AC"/>
    <w:rsid w:val="0057284B"/>
    <w:rsid w:val="005729DB"/>
    <w:rsid w:val="00572F39"/>
    <w:rsid w:val="00573050"/>
    <w:rsid w:val="005739E3"/>
    <w:rsid w:val="00573B4F"/>
    <w:rsid w:val="00573D8E"/>
    <w:rsid w:val="00573F06"/>
    <w:rsid w:val="00573F58"/>
    <w:rsid w:val="005742D7"/>
    <w:rsid w:val="00574450"/>
    <w:rsid w:val="00574752"/>
    <w:rsid w:val="0057486E"/>
    <w:rsid w:val="00574A19"/>
    <w:rsid w:val="005756C0"/>
    <w:rsid w:val="005759E4"/>
    <w:rsid w:val="00576980"/>
    <w:rsid w:val="00576A89"/>
    <w:rsid w:val="00576C9F"/>
    <w:rsid w:val="00576D8C"/>
    <w:rsid w:val="00576F19"/>
    <w:rsid w:val="005778B6"/>
    <w:rsid w:val="00577BB4"/>
    <w:rsid w:val="00577CE1"/>
    <w:rsid w:val="005801B2"/>
    <w:rsid w:val="00580399"/>
    <w:rsid w:val="005803B1"/>
    <w:rsid w:val="005803FF"/>
    <w:rsid w:val="00580440"/>
    <w:rsid w:val="00580B12"/>
    <w:rsid w:val="00580B1A"/>
    <w:rsid w:val="00580EBE"/>
    <w:rsid w:val="00581783"/>
    <w:rsid w:val="0058199A"/>
    <w:rsid w:val="00581BA2"/>
    <w:rsid w:val="00581FE7"/>
    <w:rsid w:val="00582216"/>
    <w:rsid w:val="00582303"/>
    <w:rsid w:val="00582805"/>
    <w:rsid w:val="00582A1E"/>
    <w:rsid w:val="00582B22"/>
    <w:rsid w:val="00583071"/>
    <w:rsid w:val="00583197"/>
    <w:rsid w:val="005831A2"/>
    <w:rsid w:val="0058322E"/>
    <w:rsid w:val="0058325B"/>
    <w:rsid w:val="005832E5"/>
    <w:rsid w:val="00583C3C"/>
    <w:rsid w:val="00583F3D"/>
    <w:rsid w:val="00583FAB"/>
    <w:rsid w:val="00583FB7"/>
    <w:rsid w:val="00584026"/>
    <w:rsid w:val="00584473"/>
    <w:rsid w:val="005844F6"/>
    <w:rsid w:val="005845B9"/>
    <w:rsid w:val="005847E9"/>
    <w:rsid w:val="005849DA"/>
    <w:rsid w:val="00584D3B"/>
    <w:rsid w:val="00584F05"/>
    <w:rsid w:val="00584F59"/>
    <w:rsid w:val="00584F74"/>
    <w:rsid w:val="0058595D"/>
    <w:rsid w:val="00585C3D"/>
    <w:rsid w:val="0058624B"/>
    <w:rsid w:val="00586613"/>
    <w:rsid w:val="0058693B"/>
    <w:rsid w:val="00586A7C"/>
    <w:rsid w:val="00586CBF"/>
    <w:rsid w:val="005873D4"/>
    <w:rsid w:val="005900F2"/>
    <w:rsid w:val="005901B7"/>
    <w:rsid w:val="00590412"/>
    <w:rsid w:val="005906CF"/>
    <w:rsid w:val="0059083F"/>
    <w:rsid w:val="005908AA"/>
    <w:rsid w:val="00590BF7"/>
    <w:rsid w:val="005912A9"/>
    <w:rsid w:val="0059139A"/>
    <w:rsid w:val="0059144C"/>
    <w:rsid w:val="00591B61"/>
    <w:rsid w:val="00591B8C"/>
    <w:rsid w:val="00591EDF"/>
    <w:rsid w:val="005920A3"/>
    <w:rsid w:val="00592401"/>
    <w:rsid w:val="005927CB"/>
    <w:rsid w:val="00592D96"/>
    <w:rsid w:val="00592E7B"/>
    <w:rsid w:val="005930B5"/>
    <w:rsid w:val="005931D7"/>
    <w:rsid w:val="00593534"/>
    <w:rsid w:val="005936DD"/>
    <w:rsid w:val="005939CA"/>
    <w:rsid w:val="00593A71"/>
    <w:rsid w:val="00593C1E"/>
    <w:rsid w:val="00593D02"/>
    <w:rsid w:val="005941B2"/>
    <w:rsid w:val="005942DF"/>
    <w:rsid w:val="0059442F"/>
    <w:rsid w:val="005946DA"/>
    <w:rsid w:val="00594E4E"/>
    <w:rsid w:val="00594E56"/>
    <w:rsid w:val="00594F7C"/>
    <w:rsid w:val="00594FE8"/>
    <w:rsid w:val="00595068"/>
    <w:rsid w:val="005950B2"/>
    <w:rsid w:val="005958FD"/>
    <w:rsid w:val="005959BB"/>
    <w:rsid w:val="00595BA0"/>
    <w:rsid w:val="00595CFC"/>
    <w:rsid w:val="00595D03"/>
    <w:rsid w:val="00595EE9"/>
    <w:rsid w:val="00595F1C"/>
    <w:rsid w:val="00596232"/>
    <w:rsid w:val="005962B4"/>
    <w:rsid w:val="00596A51"/>
    <w:rsid w:val="00596B9C"/>
    <w:rsid w:val="00596F18"/>
    <w:rsid w:val="00597037"/>
    <w:rsid w:val="00597103"/>
    <w:rsid w:val="00597A5D"/>
    <w:rsid w:val="00597AF2"/>
    <w:rsid w:val="00597B85"/>
    <w:rsid w:val="00597C25"/>
    <w:rsid w:val="00597ED8"/>
    <w:rsid w:val="005A0056"/>
    <w:rsid w:val="005A0257"/>
    <w:rsid w:val="005A0D03"/>
    <w:rsid w:val="005A0ED9"/>
    <w:rsid w:val="005A16A2"/>
    <w:rsid w:val="005A1761"/>
    <w:rsid w:val="005A1A79"/>
    <w:rsid w:val="005A1A87"/>
    <w:rsid w:val="005A2499"/>
    <w:rsid w:val="005A26C0"/>
    <w:rsid w:val="005A29B6"/>
    <w:rsid w:val="005A29D2"/>
    <w:rsid w:val="005A2A91"/>
    <w:rsid w:val="005A2B1F"/>
    <w:rsid w:val="005A2E23"/>
    <w:rsid w:val="005A318E"/>
    <w:rsid w:val="005A357E"/>
    <w:rsid w:val="005A377B"/>
    <w:rsid w:val="005A37F2"/>
    <w:rsid w:val="005A3980"/>
    <w:rsid w:val="005A39BC"/>
    <w:rsid w:val="005A3B56"/>
    <w:rsid w:val="005A3B9F"/>
    <w:rsid w:val="005A3BE4"/>
    <w:rsid w:val="005A3E2A"/>
    <w:rsid w:val="005A3E6C"/>
    <w:rsid w:val="005A3F38"/>
    <w:rsid w:val="005A43BB"/>
    <w:rsid w:val="005A43BD"/>
    <w:rsid w:val="005A4925"/>
    <w:rsid w:val="005A4A9E"/>
    <w:rsid w:val="005A4B93"/>
    <w:rsid w:val="005A4D66"/>
    <w:rsid w:val="005A4F4E"/>
    <w:rsid w:val="005A5254"/>
    <w:rsid w:val="005A5601"/>
    <w:rsid w:val="005A5665"/>
    <w:rsid w:val="005A575A"/>
    <w:rsid w:val="005A66AE"/>
    <w:rsid w:val="005A66D5"/>
    <w:rsid w:val="005A695E"/>
    <w:rsid w:val="005A6C53"/>
    <w:rsid w:val="005A6FD9"/>
    <w:rsid w:val="005A7117"/>
    <w:rsid w:val="005A72BA"/>
    <w:rsid w:val="005A76EA"/>
    <w:rsid w:val="005A7894"/>
    <w:rsid w:val="005A7BBB"/>
    <w:rsid w:val="005B007C"/>
    <w:rsid w:val="005B0369"/>
    <w:rsid w:val="005B03C1"/>
    <w:rsid w:val="005B0473"/>
    <w:rsid w:val="005B069E"/>
    <w:rsid w:val="005B1827"/>
    <w:rsid w:val="005B1943"/>
    <w:rsid w:val="005B1BBA"/>
    <w:rsid w:val="005B1E5A"/>
    <w:rsid w:val="005B209E"/>
    <w:rsid w:val="005B24BF"/>
    <w:rsid w:val="005B2526"/>
    <w:rsid w:val="005B2635"/>
    <w:rsid w:val="005B27D2"/>
    <w:rsid w:val="005B280A"/>
    <w:rsid w:val="005B284A"/>
    <w:rsid w:val="005B2887"/>
    <w:rsid w:val="005B2A24"/>
    <w:rsid w:val="005B2BE0"/>
    <w:rsid w:val="005B2C43"/>
    <w:rsid w:val="005B2D24"/>
    <w:rsid w:val="005B3A7F"/>
    <w:rsid w:val="005B402B"/>
    <w:rsid w:val="005B4048"/>
    <w:rsid w:val="005B4141"/>
    <w:rsid w:val="005B4212"/>
    <w:rsid w:val="005B4472"/>
    <w:rsid w:val="005B4608"/>
    <w:rsid w:val="005B512E"/>
    <w:rsid w:val="005B541F"/>
    <w:rsid w:val="005B56D5"/>
    <w:rsid w:val="005B5B3A"/>
    <w:rsid w:val="005B5D23"/>
    <w:rsid w:val="005B5D9F"/>
    <w:rsid w:val="005B646A"/>
    <w:rsid w:val="005B6553"/>
    <w:rsid w:val="005B65B0"/>
    <w:rsid w:val="005B6840"/>
    <w:rsid w:val="005B68AF"/>
    <w:rsid w:val="005B6B22"/>
    <w:rsid w:val="005B6C7F"/>
    <w:rsid w:val="005B6E78"/>
    <w:rsid w:val="005B7F62"/>
    <w:rsid w:val="005C00D2"/>
    <w:rsid w:val="005C0123"/>
    <w:rsid w:val="005C07D2"/>
    <w:rsid w:val="005C0DC7"/>
    <w:rsid w:val="005C16CD"/>
    <w:rsid w:val="005C1A59"/>
    <w:rsid w:val="005C1ABA"/>
    <w:rsid w:val="005C1DCC"/>
    <w:rsid w:val="005C21BC"/>
    <w:rsid w:val="005C24B1"/>
    <w:rsid w:val="005C25EB"/>
    <w:rsid w:val="005C260C"/>
    <w:rsid w:val="005C2E34"/>
    <w:rsid w:val="005C31C4"/>
    <w:rsid w:val="005C3983"/>
    <w:rsid w:val="005C3996"/>
    <w:rsid w:val="005C39B3"/>
    <w:rsid w:val="005C3AF5"/>
    <w:rsid w:val="005C3C0B"/>
    <w:rsid w:val="005C3E16"/>
    <w:rsid w:val="005C3F89"/>
    <w:rsid w:val="005C4053"/>
    <w:rsid w:val="005C46EF"/>
    <w:rsid w:val="005C4750"/>
    <w:rsid w:val="005C47B8"/>
    <w:rsid w:val="005C4820"/>
    <w:rsid w:val="005C4AA1"/>
    <w:rsid w:val="005C4C52"/>
    <w:rsid w:val="005C4C86"/>
    <w:rsid w:val="005C4E73"/>
    <w:rsid w:val="005C5057"/>
    <w:rsid w:val="005C5214"/>
    <w:rsid w:val="005C566A"/>
    <w:rsid w:val="005C56BD"/>
    <w:rsid w:val="005C5789"/>
    <w:rsid w:val="005C5884"/>
    <w:rsid w:val="005C5AE2"/>
    <w:rsid w:val="005C5AF8"/>
    <w:rsid w:val="005C6202"/>
    <w:rsid w:val="005C64AF"/>
    <w:rsid w:val="005C662F"/>
    <w:rsid w:val="005C6659"/>
    <w:rsid w:val="005C67B8"/>
    <w:rsid w:val="005C6D2E"/>
    <w:rsid w:val="005C74AA"/>
    <w:rsid w:val="005C74F3"/>
    <w:rsid w:val="005C7BFF"/>
    <w:rsid w:val="005D00AC"/>
    <w:rsid w:val="005D0718"/>
    <w:rsid w:val="005D0A5D"/>
    <w:rsid w:val="005D0AF6"/>
    <w:rsid w:val="005D0B4A"/>
    <w:rsid w:val="005D0B55"/>
    <w:rsid w:val="005D0D5E"/>
    <w:rsid w:val="005D0E90"/>
    <w:rsid w:val="005D11A7"/>
    <w:rsid w:val="005D13EC"/>
    <w:rsid w:val="005D15A9"/>
    <w:rsid w:val="005D16B7"/>
    <w:rsid w:val="005D18BA"/>
    <w:rsid w:val="005D1B15"/>
    <w:rsid w:val="005D2176"/>
    <w:rsid w:val="005D229D"/>
    <w:rsid w:val="005D2324"/>
    <w:rsid w:val="005D2472"/>
    <w:rsid w:val="005D2878"/>
    <w:rsid w:val="005D2885"/>
    <w:rsid w:val="005D28F2"/>
    <w:rsid w:val="005D294D"/>
    <w:rsid w:val="005D2B60"/>
    <w:rsid w:val="005D330C"/>
    <w:rsid w:val="005D3622"/>
    <w:rsid w:val="005D39D2"/>
    <w:rsid w:val="005D3BA1"/>
    <w:rsid w:val="005D3F80"/>
    <w:rsid w:val="005D4082"/>
    <w:rsid w:val="005D40CD"/>
    <w:rsid w:val="005D4510"/>
    <w:rsid w:val="005D45A0"/>
    <w:rsid w:val="005D4660"/>
    <w:rsid w:val="005D4B35"/>
    <w:rsid w:val="005D4EF5"/>
    <w:rsid w:val="005D52C3"/>
    <w:rsid w:val="005D5ADC"/>
    <w:rsid w:val="005D5C50"/>
    <w:rsid w:val="005D5EB7"/>
    <w:rsid w:val="005D665F"/>
    <w:rsid w:val="005D6A81"/>
    <w:rsid w:val="005D6B0A"/>
    <w:rsid w:val="005D6CB2"/>
    <w:rsid w:val="005D7821"/>
    <w:rsid w:val="005D79A3"/>
    <w:rsid w:val="005D7A20"/>
    <w:rsid w:val="005D7EFE"/>
    <w:rsid w:val="005D7F70"/>
    <w:rsid w:val="005E0517"/>
    <w:rsid w:val="005E074C"/>
    <w:rsid w:val="005E09AB"/>
    <w:rsid w:val="005E0A55"/>
    <w:rsid w:val="005E0DA3"/>
    <w:rsid w:val="005E1018"/>
    <w:rsid w:val="005E121B"/>
    <w:rsid w:val="005E12AE"/>
    <w:rsid w:val="005E12F5"/>
    <w:rsid w:val="005E1653"/>
    <w:rsid w:val="005E1C6A"/>
    <w:rsid w:val="005E1C91"/>
    <w:rsid w:val="005E1E8F"/>
    <w:rsid w:val="005E2044"/>
    <w:rsid w:val="005E2153"/>
    <w:rsid w:val="005E28BD"/>
    <w:rsid w:val="005E2C44"/>
    <w:rsid w:val="005E2DFE"/>
    <w:rsid w:val="005E308C"/>
    <w:rsid w:val="005E3535"/>
    <w:rsid w:val="005E35A7"/>
    <w:rsid w:val="005E385C"/>
    <w:rsid w:val="005E39D4"/>
    <w:rsid w:val="005E3A49"/>
    <w:rsid w:val="005E3B3E"/>
    <w:rsid w:val="005E3DC7"/>
    <w:rsid w:val="005E3EFC"/>
    <w:rsid w:val="005E4023"/>
    <w:rsid w:val="005E418F"/>
    <w:rsid w:val="005E4595"/>
    <w:rsid w:val="005E4C0C"/>
    <w:rsid w:val="005E4FA9"/>
    <w:rsid w:val="005E5DDA"/>
    <w:rsid w:val="005E5FCA"/>
    <w:rsid w:val="005E61DA"/>
    <w:rsid w:val="005E6277"/>
    <w:rsid w:val="005E63A5"/>
    <w:rsid w:val="005E64BC"/>
    <w:rsid w:val="005E70DC"/>
    <w:rsid w:val="005E746A"/>
    <w:rsid w:val="005E7511"/>
    <w:rsid w:val="005E764F"/>
    <w:rsid w:val="005E796B"/>
    <w:rsid w:val="005E7A6C"/>
    <w:rsid w:val="005E7BEB"/>
    <w:rsid w:val="005F0224"/>
    <w:rsid w:val="005F0415"/>
    <w:rsid w:val="005F05AB"/>
    <w:rsid w:val="005F0BA8"/>
    <w:rsid w:val="005F0C46"/>
    <w:rsid w:val="005F0D0B"/>
    <w:rsid w:val="005F122B"/>
    <w:rsid w:val="005F13F3"/>
    <w:rsid w:val="005F1841"/>
    <w:rsid w:val="005F20B9"/>
    <w:rsid w:val="005F2C79"/>
    <w:rsid w:val="005F31CB"/>
    <w:rsid w:val="005F3467"/>
    <w:rsid w:val="005F3563"/>
    <w:rsid w:val="005F38A7"/>
    <w:rsid w:val="005F3B2C"/>
    <w:rsid w:val="005F3BD7"/>
    <w:rsid w:val="005F3C40"/>
    <w:rsid w:val="005F3CE6"/>
    <w:rsid w:val="005F3E04"/>
    <w:rsid w:val="005F3E77"/>
    <w:rsid w:val="005F3F58"/>
    <w:rsid w:val="005F4888"/>
    <w:rsid w:val="005F4D50"/>
    <w:rsid w:val="005F4E86"/>
    <w:rsid w:val="005F5751"/>
    <w:rsid w:val="005F584F"/>
    <w:rsid w:val="005F5B48"/>
    <w:rsid w:val="005F5E65"/>
    <w:rsid w:val="005F6281"/>
    <w:rsid w:val="005F6454"/>
    <w:rsid w:val="005F6517"/>
    <w:rsid w:val="005F683C"/>
    <w:rsid w:val="005F6B8E"/>
    <w:rsid w:val="005F6CD6"/>
    <w:rsid w:val="005F6D5C"/>
    <w:rsid w:val="005F7462"/>
    <w:rsid w:val="005F76F1"/>
    <w:rsid w:val="005F772C"/>
    <w:rsid w:val="005F7889"/>
    <w:rsid w:val="005F7D81"/>
    <w:rsid w:val="005F7DE5"/>
    <w:rsid w:val="006000E6"/>
    <w:rsid w:val="00600745"/>
    <w:rsid w:val="006007E9"/>
    <w:rsid w:val="00600A47"/>
    <w:rsid w:val="00600A7C"/>
    <w:rsid w:val="00600AD2"/>
    <w:rsid w:val="006010BE"/>
    <w:rsid w:val="00601328"/>
    <w:rsid w:val="00601947"/>
    <w:rsid w:val="00601F7A"/>
    <w:rsid w:val="00602010"/>
    <w:rsid w:val="006028A6"/>
    <w:rsid w:val="006028F6"/>
    <w:rsid w:val="0060294A"/>
    <w:rsid w:val="00602B77"/>
    <w:rsid w:val="00602BB3"/>
    <w:rsid w:val="0060318E"/>
    <w:rsid w:val="00603588"/>
    <w:rsid w:val="00603590"/>
    <w:rsid w:val="0060371E"/>
    <w:rsid w:val="006037FA"/>
    <w:rsid w:val="00603AD8"/>
    <w:rsid w:val="00603B9E"/>
    <w:rsid w:val="00604475"/>
    <w:rsid w:val="00604936"/>
    <w:rsid w:val="00604953"/>
    <w:rsid w:val="00604B9F"/>
    <w:rsid w:val="0060512E"/>
    <w:rsid w:val="006051AE"/>
    <w:rsid w:val="00605BDC"/>
    <w:rsid w:val="00605D70"/>
    <w:rsid w:val="00605E34"/>
    <w:rsid w:val="00605E3D"/>
    <w:rsid w:val="00605F40"/>
    <w:rsid w:val="00605FF7"/>
    <w:rsid w:val="00606682"/>
    <w:rsid w:val="00607010"/>
    <w:rsid w:val="0060703A"/>
    <w:rsid w:val="006073EA"/>
    <w:rsid w:val="006075CC"/>
    <w:rsid w:val="0060794E"/>
    <w:rsid w:val="006079BD"/>
    <w:rsid w:val="00607B93"/>
    <w:rsid w:val="006102C0"/>
    <w:rsid w:val="006103EC"/>
    <w:rsid w:val="00610425"/>
    <w:rsid w:val="00610566"/>
    <w:rsid w:val="006105E1"/>
    <w:rsid w:val="0061080C"/>
    <w:rsid w:val="00610B96"/>
    <w:rsid w:val="00610D4F"/>
    <w:rsid w:val="00611006"/>
    <w:rsid w:val="006110C9"/>
    <w:rsid w:val="00611208"/>
    <w:rsid w:val="00611345"/>
    <w:rsid w:val="006119F8"/>
    <w:rsid w:val="00611A9D"/>
    <w:rsid w:val="00611BE4"/>
    <w:rsid w:val="00611C28"/>
    <w:rsid w:val="00611C5A"/>
    <w:rsid w:val="00611CAB"/>
    <w:rsid w:val="00612206"/>
    <w:rsid w:val="00612249"/>
    <w:rsid w:val="00612358"/>
    <w:rsid w:val="006125F3"/>
    <w:rsid w:val="00612975"/>
    <w:rsid w:val="00612B6F"/>
    <w:rsid w:val="00612D33"/>
    <w:rsid w:val="00612DE0"/>
    <w:rsid w:val="00612DEE"/>
    <w:rsid w:val="00612F4D"/>
    <w:rsid w:val="00613050"/>
    <w:rsid w:val="0061322D"/>
    <w:rsid w:val="0061398A"/>
    <w:rsid w:val="00613B19"/>
    <w:rsid w:val="00613CD3"/>
    <w:rsid w:val="00613DC0"/>
    <w:rsid w:val="00614028"/>
    <w:rsid w:val="006156A0"/>
    <w:rsid w:val="00615AE9"/>
    <w:rsid w:val="00615D73"/>
    <w:rsid w:val="0061615C"/>
    <w:rsid w:val="0061636B"/>
    <w:rsid w:val="00616C22"/>
    <w:rsid w:val="00616C70"/>
    <w:rsid w:val="006170E4"/>
    <w:rsid w:val="006170F9"/>
    <w:rsid w:val="00617721"/>
    <w:rsid w:val="0061772B"/>
    <w:rsid w:val="00617923"/>
    <w:rsid w:val="00617BE8"/>
    <w:rsid w:val="00617D7D"/>
    <w:rsid w:val="00617F41"/>
    <w:rsid w:val="00617F72"/>
    <w:rsid w:val="0062009E"/>
    <w:rsid w:val="006204C0"/>
    <w:rsid w:val="00620537"/>
    <w:rsid w:val="0062097A"/>
    <w:rsid w:val="00620A44"/>
    <w:rsid w:val="00620BC8"/>
    <w:rsid w:val="00620CF5"/>
    <w:rsid w:val="00620FEE"/>
    <w:rsid w:val="00621941"/>
    <w:rsid w:val="00621E49"/>
    <w:rsid w:val="00621E95"/>
    <w:rsid w:val="00621EF9"/>
    <w:rsid w:val="0062212C"/>
    <w:rsid w:val="00622143"/>
    <w:rsid w:val="0062260A"/>
    <w:rsid w:val="00622D09"/>
    <w:rsid w:val="00622DF9"/>
    <w:rsid w:val="00622E0F"/>
    <w:rsid w:val="00622E73"/>
    <w:rsid w:val="006233BA"/>
    <w:rsid w:val="0062367E"/>
    <w:rsid w:val="00623752"/>
    <w:rsid w:val="00623812"/>
    <w:rsid w:val="00623F3D"/>
    <w:rsid w:val="0062435D"/>
    <w:rsid w:val="00624680"/>
    <w:rsid w:val="006247C9"/>
    <w:rsid w:val="00624CE9"/>
    <w:rsid w:val="00624D2B"/>
    <w:rsid w:val="00624EDB"/>
    <w:rsid w:val="0062528B"/>
    <w:rsid w:val="00625A2C"/>
    <w:rsid w:val="00625B30"/>
    <w:rsid w:val="00625C82"/>
    <w:rsid w:val="0062641D"/>
    <w:rsid w:val="00626DC2"/>
    <w:rsid w:val="006270CC"/>
    <w:rsid w:val="006276C3"/>
    <w:rsid w:val="00627705"/>
    <w:rsid w:val="00627B5D"/>
    <w:rsid w:val="00627BCD"/>
    <w:rsid w:val="00627D00"/>
    <w:rsid w:val="00627DF3"/>
    <w:rsid w:val="00627EF3"/>
    <w:rsid w:val="0063004C"/>
    <w:rsid w:val="00630076"/>
    <w:rsid w:val="006302A2"/>
    <w:rsid w:val="00630434"/>
    <w:rsid w:val="006305A2"/>
    <w:rsid w:val="006306BE"/>
    <w:rsid w:val="0063080E"/>
    <w:rsid w:val="00630A6C"/>
    <w:rsid w:val="00630A87"/>
    <w:rsid w:val="00630ADE"/>
    <w:rsid w:val="00630C16"/>
    <w:rsid w:val="00630C50"/>
    <w:rsid w:val="00630FC5"/>
    <w:rsid w:val="00631016"/>
    <w:rsid w:val="006315E1"/>
    <w:rsid w:val="00631B48"/>
    <w:rsid w:val="00632648"/>
    <w:rsid w:val="0063280A"/>
    <w:rsid w:val="00632C3D"/>
    <w:rsid w:val="00632C58"/>
    <w:rsid w:val="006332B9"/>
    <w:rsid w:val="0063331B"/>
    <w:rsid w:val="006334F2"/>
    <w:rsid w:val="00633765"/>
    <w:rsid w:val="00633956"/>
    <w:rsid w:val="00633D91"/>
    <w:rsid w:val="00634020"/>
    <w:rsid w:val="0063414B"/>
    <w:rsid w:val="006345F7"/>
    <w:rsid w:val="00634701"/>
    <w:rsid w:val="00634706"/>
    <w:rsid w:val="006347A6"/>
    <w:rsid w:val="0063491A"/>
    <w:rsid w:val="00634DB4"/>
    <w:rsid w:val="00634FF2"/>
    <w:rsid w:val="0063520D"/>
    <w:rsid w:val="0063558B"/>
    <w:rsid w:val="006356E4"/>
    <w:rsid w:val="0063582F"/>
    <w:rsid w:val="00635D38"/>
    <w:rsid w:val="00636035"/>
    <w:rsid w:val="006365BA"/>
    <w:rsid w:val="006367BE"/>
    <w:rsid w:val="00636959"/>
    <w:rsid w:val="00636A4D"/>
    <w:rsid w:val="00636B81"/>
    <w:rsid w:val="00636C1C"/>
    <w:rsid w:val="00636CDA"/>
    <w:rsid w:val="00636D20"/>
    <w:rsid w:val="00636EBA"/>
    <w:rsid w:val="006370E2"/>
    <w:rsid w:val="0063735D"/>
    <w:rsid w:val="006378C1"/>
    <w:rsid w:val="00637999"/>
    <w:rsid w:val="00637E3B"/>
    <w:rsid w:val="00637E48"/>
    <w:rsid w:val="00640103"/>
    <w:rsid w:val="006402C4"/>
    <w:rsid w:val="00640339"/>
    <w:rsid w:val="006405B4"/>
    <w:rsid w:val="006405BB"/>
    <w:rsid w:val="00640A39"/>
    <w:rsid w:val="0064108D"/>
    <w:rsid w:val="0064152E"/>
    <w:rsid w:val="006415CE"/>
    <w:rsid w:val="00641AF4"/>
    <w:rsid w:val="00641BA5"/>
    <w:rsid w:val="00641E2E"/>
    <w:rsid w:val="00641E59"/>
    <w:rsid w:val="006420BD"/>
    <w:rsid w:val="00642131"/>
    <w:rsid w:val="006429D9"/>
    <w:rsid w:val="00642EE1"/>
    <w:rsid w:val="00643059"/>
    <w:rsid w:val="0064305C"/>
    <w:rsid w:val="00643700"/>
    <w:rsid w:val="006439D7"/>
    <w:rsid w:val="00643B30"/>
    <w:rsid w:val="00643D53"/>
    <w:rsid w:val="00643DED"/>
    <w:rsid w:val="0064409B"/>
    <w:rsid w:val="0064420A"/>
    <w:rsid w:val="00644811"/>
    <w:rsid w:val="00644BC7"/>
    <w:rsid w:val="00644D64"/>
    <w:rsid w:val="00645623"/>
    <w:rsid w:val="0064658D"/>
    <w:rsid w:val="00646937"/>
    <w:rsid w:val="006469F1"/>
    <w:rsid w:val="00646AA2"/>
    <w:rsid w:val="0064720B"/>
    <w:rsid w:val="006472E6"/>
    <w:rsid w:val="00647444"/>
    <w:rsid w:val="00647827"/>
    <w:rsid w:val="00647839"/>
    <w:rsid w:val="00647CA9"/>
    <w:rsid w:val="00647EE5"/>
    <w:rsid w:val="00647EF9"/>
    <w:rsid w:val="0065018C"/>
    <w:rsid w:val="00650236"/>
    <w:rsid w:val="0065036F"/>
    <w:rsid w:val="0065068E"/>
    <w:rsid w:val="00651034"/>
    <w:rsid w:val="00651324"/>
    <w:rsid w:val="00651DB3"/>
    <w:rsid w:val="00651E53"/>
    <w:rsid w:val="00651EAA"/>
    <w:rsid w:val="0065230D"/>
    <w:rsid w:val="006524E7"/>
    <w:rsid w:val="00652AEC"/>
    <w:rsid w:val="00652CDE"/>
    <w:rsid w:val="00652E95"/>
    <w:rsid w:val="00653223"/>
    <w:rsid w:val="00653294"/>
    <w:rsid w:val="00653BC1"/>
    <w:rsid w:val="00653CAF"/>
    <w:rsid w:val="00653DD1"/>
    <w:rsid w:val="00653FF7"/>
    <w:rsid w:val="006544A4"/>
    <w:rsid w:val="00654966"/>
    <w:rsid w:val="00654A73"/>
    <w:rsid w:val="00655491"/>
    <w:rsid w:val="006556B9"/>
    <w:rsid w:val="00655834"/>
    <w:rsid w:val="0065587C"/>
    <w:rsid w:val="00655C76"/>
    <w:rsid w:val="00655C93"/>
    <w:rsid w:val="00655E09"/>
    <w:rsid w:val="006562B9"/>
    <w:rsid w:val="006566D2"/>
    <w:rsid w:val="00656818"/>
    <w:rsid w:val="00656F53"/>
    <w:rsid w:val="00656FD2"/>
    <w:rsid w:val="00657049"/>
    <w:rsid w:val="006570B3"/>
    <w:rsid w:val="00657289"/>
    <w:rsid w:val="00657388"/>
    <w:rsid w:val="00657660"/>
    <w:rsid w:val="0065787C"/>
    <w:rsid w:val="00657918"/>
    <w:rsid w:val="00657974"/>
    <w:rsid w:val="00657AD5"/>
    <w:rsid w:val="00657DE0"/>
    <w:rsid w:val="00660858"/>
    <w:rsid w:val="00660B46"/>
    <w:rsid w:val="0066106A"/>
    <w:rsid w:val="0066111B"/>
    <w:rsid w:val="006613BF"/>
    <w:rsid w:val="00661975"/>
    <w:rsid w:val="0066225F"/>
    <w:rsid w:val="00662699"/>
    <w:rsid w:val="00662840"/>
    <w:rsid w:val="00662B92"/>
    <w:rsid w:val="006630B9"/>
    <w:rsid w:val="00663265"/>
    <w:rsid w:val="006636CC"/>
    <w:rsid w:val="006638E0"/>
    <w:rsid w:val="00663A57"/>
    <w:rsid w:val="00663A63"/>
    <w:rsid w:val="00663E92"/>
    <w:rsid w:val="00663F09"/>
    <w:rsid w:val="006640BA"/>
    <w:rsid w:val="00664398"/>
    <w:rsid w:val="00664505"/>
    <w:rsid w:val="00664A04"/>
    <w:rsid w:val="00664A98"/>
    <w:rsid w:val="00664BBC"/>
    <w:rsid w:val="00664E79"/>
    <w:rsid w:val="00665ECA"/>
    <w:rsid w:val="00666354"/>
    <w:rsid w:val="0066654A"/>
    <w:rsid w:val="00666887"/>
    <w:rsid w:val="00666A6F"/>
    <w:rsid w:val="00666E8E"/>
    <w:rsid w:val="006670E3"/>
    <w:rsid w:val="00667574"/>
    <w:rsid w:val="00667623"/>
    <w:rsid w:val="00667CA7"/>
    <w:rsid w:val="00667E54"/>
    <w:rsid w:val="00667E77"/>
    <w:rsid w:val="00670166"/>
    <w:rsid w:val="006701D2"/>
    <w:rsid w:val="006701E8"/>
    <w:rsid w:val="0067078A"/>
    <w:rsid w:val="00670E38"/>
    <w:rsid w:val="006711A7"/>
    <w:rsid w:val="006711EC"/>
    <w:rsid w:val="00671307"/>
    <w:rsid w:val="00671405"/>
    <w:rsid w:val="0067142C"/>
    <w:rsid w:val="00671716"/>
    <w:rsid w:val="0067197F"/>
    <w:rsid w:val="00671FBA"/>
    <w:rsid w:val="0067200F"/>
    <w:rsid w:val="00672376"/>
    <w:rsid w:val="006723ED"/>
    <w:rsid w:val="00672955"/>
    <w:rsid w:val="00672960"/>
    <w:rsid w:val="00672AF2"/>
    <w:rsid w:val="00672B20"/>
    <w:rsid w:val="00673344"/>
    <w:rsid w:val="006734C5"/>
    <w:rsid w:val="00673635"/>
    <w:rsid w:val="00673777"/>
    <w:rsid w:val="0067382E"/>
    <w:rsid w:val="00673CE5"/>
    <w:rsid w:val="00673F28"/>
    <w:rsid w:val="00674203"/>
    <w:rsid w:val="00674214"/>
    <w:rsid w:val="0067424C"/>
    <w:rsid w:val="006744B5"/>
    <w:rsid w:val="0067455B"/>
    <w:rsid w:val="0067455C"/>
    <w:rsid w:val="00674629"/>
    <w:rsid w:val="006747CD"/>
    <w:rsid w:val="00674BBD"/>
    <w:rsid w:val="00674E96"/>
    <w:rsid w:val="00674EAF"/>
    <w:rsid w:val="0067515C"/>
    <w:rsid w:val="00675301"/>
    <w:rsid w:val="006753DA"/>
    <w:rsid w:val="006755BB"/>
    <w:rsid w:val="006758A8"/>
    <w:rsid w:val="006758C3"/>
    <w:rsid w:val="00675A4E"/>
    <w:rsid w:val="00675BBB"/>
    <w:rsid w:val="00675C30"/>
    <w:rsid w:val="00675CD1"/>
    <w:rsid w:val="006761FB"/>
    <w:rsid w:val="00676305"/>
    <w:rsid w:val="00676511"/>
    <w:rsid w:val="006768D1"/>
    <w:rsid w:val="0067690E"/>
    <w:rsid w:val="00676936"/>
    <w:rsid w:val="00676D27"/>
    <w:rsid w:val="00676E79"/>
    <w:rsid w:val="00676EAD"/>
    <w:rsid w:val="00677160"/>
    <w:rsid w:val="0067716D"/>
    <w:rsid w:val="00677214"/>
    <w:rsid w:val="0067780C"/>
    <w:rsid w:val="0067789F"/>
    <w:rsid w:val="006779B9"/>
    <w:rsid w:val="006779FE"/>
    <w:rsid w:val="00677E53"/>
    <w:rsid w:val="00677F29"/>
    <w:rsid w:val="00677FD9"/>
    <w:rsid w:val="006801D6"/>
    <w:rsid w:val="006802BC"/>
    <w:rsid w:val="0068046D"/>
    <w:rsid w:val="0068094F"/>
    <w:rsid w:val="00680B95"/>
    <w:rsid w:val="00680BF7"/>
    <w:rsid w:val="006815DE"/>
    <w:rsid w:val="0068199C"/>
    <w:rsid w:val="0068199E"/>
    <w:rsid w:val="006819D2"/>
    <w:rsid w:val="00681C14"/>
    <w:rsid w:val="00681D59"/>
    <w:rsid w:val="00681E09"/>
    <w:rsid w:val="00681F12"/>
    <w:rsid w:val="00681F21"/>
    <w:rsid w:val="00681FF3"/>
    <w:rsid w:val="00682246"/>
    <w:rsid w:val="006822BB"/>
    <w:rsid w:val="00682478"/>
    <w:rsid w:val="0068259A"/>
    <w:rsid w:val="00682636"/>
    <w:rsid w:val="00682753"/>
    <w:rsid w:val="006829A5"/>
    <w:rsid w:val="00683144"/>
    <w:rsid w:val="00683327"/>
    <w:rsid w:val="00683A2E"/>
    <w:rsid w:val="00683A6D"/>
    <w:rsid w:val="006844E7"/>
    <w:rsid w:val="00684862"/>
    <w:rsid w:val="00685506"/>
    <w:rsid w:val="00685A43"/>
    <w:rsid w:val="00685B05"/>
    <w:rsid w:val="00685C90"/>
    <w:rsid w:val="00685C91"/>
    <w:rsid w:val="00686FE0"/>
    <w:rsid w:val="00687A5F"/>
    <w:rsid w:val="006903E0"/>
    <w:rsid w:val="00690DCE"/>
    <w:rsid w:val="00691193"/>
    <w:rsid w:val="006917B1"/>
    <w:rsid w:val="0069193D"/>
    <w:rsid w:val="00691C8E"/>
    <w:rsid w:val="00691E1E"/>
    <w:rsid w:val="006928AC"/>
    <w:rsid w:val="006928C2"/>
    <w:rsid w:val="00692958"/>
    <w:rsid w:val="00692B5D"/>
    <w:rsid w:val="00692BCA"/>
    <w:rsid w:val="00692BD6"/>
    <w:rsid w:val="00692D6C"/>
    <w:rsid w:val="00692E52"/>
    <w:rsid w:val="00692F58"/>
    <w:rsid w:val="0069324D"/>
    <w:rsid w:val="00693711"/>
    <w:rsid w:val="006939D0"/>
    <w:rsid w:val="0069528D"/>
    <w:rsid w:val="0069533F"/>
    <w:rsid w:val="00695584"/>
    <w:rsid w:val="006958C6"/>
    <w:rsid w:val="00695929"/>
    <w:rsid w:val="00695964"/>
    <w:rsid w:val="00695A4C"/>
    <w:rsid w:val="00695C05"/>
    <w:rsid w:val="00695C13"/>
    <w:rsid w:val="00695CDF"/>
    <w:rsid w:val="00695D29"/>
    <w:rsid w:val="00695F0B"/>
    <w:rsid w:val="00695FBC"/>
    <w:rsid w:val="006960D1"/>
    <w:rsid w:val="00696136"/>
    <w:rsid w:val="00696448"/>
    <w:rsid w:val="00696470"/>
    <w:rsid w:val="006967DC"/>
    <w:rsid w:val="006969D6"/>
    <w:rsid w:val="00696BA1"/>
    <w:rsid w:val="00696BFA"/>
    <w:rsid w:val="00696E7B"/>
    <w:rsid w:val="00696EF4"/>
    <w:rsid w:val="00697587"/>
    <w:rsid w:val="00697989"/>
    <w:rsid w:val="00697A47"/>
    <w:rsid w:val="00697D0D"/>
    <w:rsid w:val="00697D39"/>
    <w:rsid w:val="006A012D"/>
    <w:rsid w:val="006A06C8"/>
    <w:rsid w:val="006A0792"/>
    <w:rsid w:val="006A0793"/>
    <w:rsid w:val="006A08DC"/>
    <w:rsid w:val="006A099B"/>
    <w:rsid w:val="006A0BF9"/>
    <w:rsid w:val="006A10A4"/>
    <w:rsid w:val="006A10DA"/>
    <w:rsid w:val="006A180C"/>
    <w:rsid w:val="006A1B6F"/>
    <w:rsid w:val="006A25D2"/>
    <w:rsid w:val="006A2770"/>
    <w:rsid w:val="006A2B01"/>
    <w:rsid w:val="006A2B77"/>
    <w:rsid w:val="006A30D3"/>
    <w:rsid w:val="006A3353"/>
    <w:rsid w:val="006A33CF"/>
    <w:rsid w:val="006A37BF"/>
    <w:rsid w:val="006A4053"/>
    <w:rsid w:val="006A43DF"/>
    <w:rsid w:val="006A4563"/>
    <w:rsid w:val="006A4EC4"/>
    <w:rsid w:val="006A5705"/>
    <w:rsid w:val="006A5DCD"/>
    <w:rsid w:val="006A5DE4"/>
    <w:rsid w:val="006A5EC1"/>
    <w:rsid w:val="006A6352"/>
    <w:rsid w:val="006A68B6"/>
    <w:rsid w:val="006A6D7C"/>
    <w:rsid w:val="006A723A"/>
    <w:rsid w:val="006A7764"/>
    <w:rsid w:val="006A77B8"/>
    <w:rsid w:val="006A7886"/>
    <w:rsid w:val="006A7B93"/>
    <w:rsid w:val="006B004C"/>
    <w:rsid w:val="006B010E"/>
    <w:rsid w:val="006B0159"/>
    <w:rsid w:val="006B015B"/>
    <w:rsid w:val="006B048B"/>
    <w:rsid w:val="006B04C1"/>
    <w:rsid w:val="006B069D"/>
    <w:rsid w:val="006B07DC"/>
    <w:rsid w:val="006B09B1"/>
    <w:rsid w:val="006B0A64"/>
    <w:rsid w:val="006B0ED0"/>
    <w:rsid w:val="006B121C"/>
    <w:rsid w:val="006B18EF"/>
    <w:rsid w:val="006B195D"/>
    <w:rsid w:val="006B1A2A"/>
    <w:rsid w:val="006B1B1E"/>
    <w:rsid w:val="006B1B86"/>
    <w:rsid w:val="006B1E26"/>
    <w:rsid w:val="006B1EDF"/>
    <w:rsid w:val="006B1EEF"/>
    <w:rsid w:val="006B2555"/>
    <w:rsid w:val="006B28A3"/>
    <w:rsid w:val="006B2EF6"/>
    <w:rsid w:val="006B3309"/>
    <w:rsid w:val="006B3342"/>
    <w:rsid w:val="006B33D5"/>
    <w:rsid w:val="006B350D"/>
    <w:rsid w:val="006B35A7"/>
    <w:rsid w:val="006B3D28"/>
    <w:rsid w:val="006B3D31"/>
    <w:rsid w:val="006B4235"/>
    <w:rsid w:val="006B4B74"/>
    <w:rsid w:val="006B52A2"/>
    <w:rsid w:val="006B543A"/>
    <w:rsid w:val="006B548B"/>
    <w:rsid w:val="006B54D8"/>
    <w:rsid w:val="006B55A0"/>
    <w:rsid w:val="006B5759"/>
    <w:rsid w:val="006B57A2"/>
    <w:rsid w:val="006B5AEB"/>
    <w:rsid w:val="006B5D48"/>
    <w:rsid w:val="006B604D"/>
    <w:rsid w:val="006B64E1"/>
    <w:rsid w:val="006B6536"/>
    <w:rsid w:val="006B66A5"/>
    <w:rsid w:val="006B6741"/>
    <w:rsid w:val="006B681B"/>
    <w:rsid w:val="006B6AAD"/>
    <w:rsid w:val="006B711B"/>
    <w:rsid w:val="006B7216"/>
    <w:rsid w:val="006C013C"/>
    <w:rsid w:val="006C0184"/>
    <w:rsid w:val="006C0674"/>
    <w:rsid w:val="006C0716"/>
    <w:rsid w:val="006C100D"/>
    <w:rsid w:val="006C1194"/>
    <w:rsid w:val="006C1488"/>
    <w:rsid w:val="006C1855"/>
    <w:rsid w:val="006C194A"/>
    <w:rsid w:val="006C1AFD"/>
    <w:rsid w:val="006C1EF2"/>
    <w:rsid w:val="006C1F76"/>
    <w:rsid w:val="006C2655"/>
    <w:rsid w:val="006C27D4"/>
    <w:rsid w:val="006C2838"/>
    <w:rsid w:val="006C2A9E"/>
    <w:rsid w:val="006C2BBF"/>
    <w:rsid w:val="006C2F9D"/>
    <w:rsid w:val="006C3624"/>
    <w:rsid w:val="006C3853"/>
    <w:rsid w:val="006C3B8D"/>
    <w:rsid w:val="006C3D0D"/>
    <w:rsid w:val="006C3F3F"/>
    <w:rsid w:val="006C43AC"/>
    <w:rsid w:val="006C4A89"/>
    <w:rsid w:val="006C4E37"/>
    <w:rsid w:val="006C4F8F"/>
    <w:rsid w:val="006C5106"/>
    <w:rsid w:val="006C52B4"/>
    <w:rsid w:val="006C5467"/>
    <w:rsid w:val="006C5489"/>
    <w:rsid w:val="006C5897"/>
    <w:rsid w:val="006C5D78"/>
    <w:rsid w:val="006C5F77"/>
    <w:rsid w:val="006C6030"/>
    <w:rsid w:val="006C603C"/>
    <w:rsid w:val="006C65B5"/>
    <w:rsid w:val="006C69A2"/>
    <w:rsid w:val="006C6C69"/>
    <w:rsid w:val="006C6C6A"/>
    <w:rsid w:val="006C7046"/>
    <w:rsid w:val="006C71C7"/>
    <w:rsid w:val="006C72E8"/>
    <w:rsid w:val="006C75C4"/>
    <w:rsid w:val="006C790D"/>
    <w:rsid w:val="006C7C2A"/>
    <w:rsid w:val="006D0278"/>
    <w:rsid w:val="006D09D3"/>
    <w:rsid w:val="006D09F4"/>
    <w:rsid w:val="006D0E33"/>
    <w:rsid w:val="006D123B"/>
    <w:rsid w:val="006D146D"/>
    <w:rsid w:val="006D14D1"/>
    <w:rsid w:val="006D1C59"/>
    <w:rsid w:val="006D1FB8"/>
    <w:rsid w:val="006D2037"/>
    <w:rsid w:val="006D21EE"/>
    <w:rsid w:val="006D2768"/>
    <w:rsid w:val="006D2B9D"/>
    <w:rsid w:val="006D2F8F"/>
    <w:rsid w:val="006D2FB5"/>
    <w:rsid w:val="006D2FEC"/>
    <w:rsid w:val="006D3058"/>
    <w:rsid w:val="006D33CE"/>
    <w:rsid w:val="006D342C"/>
    <w:rsid w:val="006D36A4"/>
    <w:rsid w:val="006D37E4"/>
    <w:rsid w:val="006D4471"/>
    <w:rsid w:val="006D4578"/>
    <w:rsid w:val="006D47C5"/>
    <w:rsid w:val="006D4A33"/>
    <w:rsid w:val="006D4DBC"/>
    <w:rsid w:val="006D5076"/>
    <w:rsid w:val="006D50C8"/>
    <w:rsid w:val="006D56E9"/>
    <w:rsid w:val="006D5C5C"/>
    <w:rsid w:val="006D5E93"/>
    <w:rsid w:val="006D5F21"/>
    <w:rsid w:val="006D6188"/>
    <w:rsid w:val="006D62AD"/>
    <w:rsid w:val="006D657A"/>
    <w:rsid w:val="006D6762"/>
    <w:rsid w:val="006D6851"/>
    <w:rsid w:val="006D7201"/>
    <w:rsid w:val="006D7268"/>
    <w:rsid w:val="006D72BE"/>
    <w:rsid w:val="006D7448"/>
    <w:rsid w:val="006D7814"/>
    <w:rsid w:val="006D79C7"/>
    <w:rsid w:val="006D7B45"/>
    <w:rsid w:val="006D7FD0"/>
    <w:rsid w:val="006E0226"/>
    <w:rsid w:val="006E0397"/>
    <w:rsid w:val="006E03AD"/>
    <w:rsid w:val="006E0717"/>
    <w:rsid w:val="006E07EC"/>
    <w:rsid w:val="006E0A6C"/>
    <w:rsid w:val="006E0E64"/>
    <w:rsid w:val="006E104A"/>
    <w:rsid w:val="006E139C"/>
    <w:rsid w:val="006E1443"/>
    <w:rsid w:val="006E15A3"/>
    <w:rsid w:val="006E1AA5"/>
    <w:rsid w:val="006E1D53"/>
    <w:rsid w:val="006E1EEB"/>
    <w:rsid w:val="006E2055"/>
    <w:rsid w:val="006E225C"/>
    <w:rsid w:val="006E238F"/>
    <w:rsid w:val="006E24E7"/>
    <w:rsid w:val="006E252B"/>
    <w:rsid w:val="006E2881"/>
    <w:rsid w:val="006E2B2A"/>
    <w:rsid w:val="006E2E22"/>
    <w:rsid w:val="006E2F62"/>
    <w:rsid w:val="006E322B"/>
    <w:rsid w:val="006E32C1"/>
    <w:rsid w:val="006E330C"/>
    <w:rsid w:val="006E3541"/>
    <w:rsid w:val="006E36AE"/>
    <w:rsid w:val="006E3776"/>
    <w:rsid w:val="006E394E"/>
    <w:rsid w:val="006E3BA4"/>
    <w:rsid w:val="006E4494"/>
    <w:rsid w:val="006E44A7"/>
    <w:rsid w:val="006E44FE"/>
    <w:rsid w:val="006E452D"/>
    <w:rsid w:val="006E48F3"/>
    <w:rsid w:val="006E4A54"/>
    <w:rsid w:val="006E4C3A"/>
    <w:rsid w:val="006E529D"/>
    <w:rsid w:val="006E52E2"/>
    <w:rsid w:val="006E56CF"/>
    <w:rsid w:val="006E5745"/>
    <w:rsid w:val="006E58D3"/>
    <w:rsid w:val="006E5C15"/>
    <w:rsid w:val="006E64FD"/>
    <w:rsid w:val="006E67AF"/>
    <w:rsid w:val="006E6887"/>
    <w:rsid w:val="006E6A17"/>
    <w:rsid w:val="006E6A9F"/>
    <w:rsid w:val="006E6AB9"/>
    <w:rsid w:val="006E70C5"/>
    <w:rsid w:val="006E7300"/>
    <w:rsid w:val="006E735E"/>
    <w:rsid w:val="006E754A"/>
    <w:rsid w:val="006E7562"/>
    <w:rsid w:val="006E76D5"/>
    <w:rsid w:val="006E793B"/>
    <w:rsid w:val="006E7B3A"/>
    <w:rsid w:val="006E7E0A"/>
    <w:rsid w:val="006E7EB8"/>
    <w:rsid w:val="006F0333"/>
    <w:rsid w:val="006F0598"/>
    <w:rsid w:val="006F07E8"/>
    <w:rsid w:val="006F0921"/>
    <w:rsid w:val="006F0A89"/>
    <w:rsid w:val="006F0E83"/>
    <w:rsid w:val="006F1825"/>
    <w:rsid w:val="006F1EA9"/>
    <w:rsid w:val="006F1FAA"/>
    <w:rsid w:val="006F226F"/>
    <w:rsid w:val="006F2441"/>
    <w:rsid w:val="006F247F"/>
    <w:rsid w:val="006F2731"/>
    <w:rsid w:val="006F2BF8"/>
    <w:rsid w:val="006F2D80"/>
    <w:rsid w:val="006F3220"/>
    <w:rsid w:val="006F3A5A"/>
    <w:rsid w:val="006F3A60"/>
    <w:rsid w:val="006F3C3D"/>
    <w:rsid w:val="006F3DB8"/>
    <w:rsid w:val="006F4129"/>
    <w:rsid w:val="006F430B"/>
    <w:rsid w:val="006F437A"/>
    <w:rsid w:val="006F4488"/>
    <w:rsid w:val="006F490A"/>
    <w:rsid w:val="006F4D1E"/>
    <w:rsid w:val="006F4E30"/>
    <w:rsid w:val="006F59B3"/>
    <w:rsid w:val="006F59CA"/>
    <w:rsid w:val="006F5B80"/>
    <w:rsid w:val="006F5CC6"/>
    <w:rsid w:val="006F5DA1"/>
    <w:rsid w:val="006F5DFA"/>
    <w:rsid w:val="006F5F3F"/>
    <w:rsid w:val="006F66EE"/>
    <w:rsid w:val="006F69E0"/>
    <w:rsid w:val="006F6BA1"/>
    <w:rsid w:val="006F6CE8"/>
    <w:rsid w:val="006F6F42"/>
    <w:rsid w:val="006F7188"/>
    <w:rsid w:val="006F76C5"/>
    <w:rsid w:val="006F783C"/>
    <w:rsid w:val="006F7E39"/>
    <w:rsid w:val="006F7EDF"/>
    <w:rsid w:val="007000D5"/>
    <w:rsid w:val="0070013D"/>
    <w:rsid w:val="0070028C"/>
    <w:rsid w:val="007002C3"/>
    <w:rsid w:val="00700378"/>
    <w:rsid w:val="007005F0"/>
    <w:rsid w:val="00700977"/>
    <w:rsid w:val="00700A16"/>
    <w:rsid w:val="007014AF"/>
    <w:rsid w:val="0070175D"/>
    <w:rsid w:val="00701810"/>
    <w:rsid w:val="00701B4E"/>
    <w:rsid w:val="00701EF6"/>
    <w:rsid w:val="0070202D"/>
    <w:rsid w:val="00702500"/>
    <w:rsid w:val="007027B6"/>
    <w:rsid w:val="00703155"/>
    <w:rsid w:val="007034CC"/>
    <w:rsid w:val="00703852"/>
    <w:rsid w:val="00703B49"/>
    <w:rsid w:val="00704049"/>
    <w:rsid w:val="007042F2"/>
    <w:rsid w:val="007044D0"/>
    <w:rsid w:val="007044E0"/>
    <w:rsid w:val="00704C01"/>
    <w:rsid w:val="00704E4E"/>
    <w:rsid w:val="00704F5A"/>
    <w:rsid w:val="007050DE"/>
    <w:rsid w:val="0070512B"/>
    <w:rsid w:val="007053DF"/>
    <w:rsid w:val="00705A73"/>
    <w:rsid w:val="00705A7D"/>
    <w:rsid w:val="00705F80"/>
    <w:rsid w:val="0070601F"/>
    <w:rsid w:val="00706223"/>
    <w:rsid w:val="00706483"/>
    <w:rsid w:val="00706B07"/>
    <w:rsid w:val="00706C1D"/>
    <w:rsid w:val="00706F99"/>
    <w:rsid w:val="007071DD"/>
    <w:rsid w:val="00707269"/>
    <w:rsid w:val="007074BC"/>
    <w:rsid w:val="007074BE"/>
    <w:rsid w:val="007079BF"/>
    <w:rsid w:val="00707D70"/>
    <w:rsid w:val="00710001"/>
    <w:rsid w:val="007101E2"/>
    <w:rsid w:val="00710AC1"/>
    <w:rsid w:val="007114C6"/>
    <w:rsid w:val="007116DE"/>
    <w:rsid w:val="00711735"/>
    <w:rsid w:val="00711793"/>
    <w:rsid w:val="007118A7"/>
    <w:rsid w:val="00711AEC"/>
    <w:rsid w:val="00711C5C"/>
    <w:rsid w:val="00711FE9"/>
    <w:rsid w:val="007122C7"/>
    <w:rsid w:val="007125D8"/>
    <w:rsid w:val="00712848"/>
    <w:rsid w:val="00712A30"/>
    <w:rsid w:val="00712A43"/>
    <w:rsid w:val="00712E7F"/>
    <w:rsid w:val="00712F83"/>
    <w:rsid w:val="007131BD"/>
    <w:rsid w:val="00713526"/>
    <w:rsid w:val="00713745"/>
    <w:rsid w:val="00713924"/>
    <w:rsid w:val="00713F4A"/>
    <w:rsid w:val="007143A7"/>
    <w:rsid w:val="007146FB"/>
    <w:rsid w:val="00714983"/>
    <w:rsid w:val="007149B6"/>
    <w:rsid w:val="007149ED"/>
    <w:rsid w:val="00714B79"/>
    <w:rsid w:val="00714D09"/>
    <w:rsid w:val="00714E39"/>
    <w:rsid w:val="00714F6A"/>
    <w:rsid w:val="00714F98"/>
    <w:rsid w:val="00714F9C"/>
    <w:rsid w:val="00715204"/>
    <w:rsid w:val="007154B7"/>
    <w:rsid w:val="00715778"/>
    <w:rsid w:val="0071580A"/>
    <w:rsid w:val="00715C34"/>
    <w:rsid w:val="00715CBF"/>
    <w:rsid w:val="00715E25"/>
    <w:rsid w:val="00715E31"/>
    <w:rsid w:val="00715E3C"/>
    <w:rsid w:val="00716302"/>
    <w:rsid w:val="00716348"/>
    <w:rsid w:val="007163EE"/>
    <w:rsid w:val="0071666F"/>
    <w:rsid w:val="00716A1D"/>
    <w:rsid w:val="00716B5D"/>
    <w:rsid w:val="00716C2F"/>
    <w:rsid w:val="00716F59"/>
    <w:rsid w:val="00716FE1"/>
    <w:rsid w:val="00717024"/>
    <w:rsid w:val="00717714"/>
    <w:rsid w:val="00720055"/>
    <w:rsid w:val="007207F0"/>
    <w:rsid w:val="007209CA"/>
    <w:rsid w:val="00720B81"/>
    <w:rsid w:val="00720C8F"/>
    <w:rsid w:val="00720F35"/>
    <w:rsid w:val="00720F44"/>
    <w:rsid w:val="00721278"/>
    <w:rsid w:val="007212A0"/>
    <w:rsid w:val="00721921"/>
    <w:rsid w:val="00721AA9"/>
    <w:rsid w:val="00721BCD"/>
    <w:rsid w:val="00721C22"/>
    <w:rsid w:val="00721FDC"/>
    <w:rsid w:val="007226BC"/>
    <w:rsid w:val="00722718"/>
    <w:rsid w:val="00722A0C"/>
    <w:rsid w:val="00722D48"/>
    <w:rsid w:val="00722E9B"/>
    <w:rsid w:val="00723021"/>
    <w:rsid w:val="007232AF"/>
    <w:rsid w:val="007236EB"/>
    <w:rsid w:val="007237B2"/>
    <w:rsid w:val="00723AB7"/>
    <w:rsid w:val="00723C37"/>
    <w:rsid w:val="00724066"/>
    <w:rsid w:val="0072448F"/>
    <w:rsid w:val="00724618"/>
    <w:rsid w:val="00724AD9"/>
    <w:rsid w:val="00724B73"/>
    <w:rsid w:val="00724BFF"/>
    <w:rsid w:val="00724C7F"/>
    <w:rsid w:val="00724ED5"/>
    <w:rsid w:val="00724F40"/>
    <w:rsid w:val="007255BE"/>
    <w:rsid w:val="00725AB2"/>
    <w:rsid w:val="00725E83"/>
    <w:rsid w:val="007260AB"/>
    <w:rsid w:val="007262EB"/>
    <w:rsid w:val="0072641B"/>
    <w:rsid w:val="00726F66"/>
    <w:rsid w:val="007270C8"/>
    <w:rsid w:val="0072716A"/>
    <w:rsid w:val="007271E4"/>
    <w:rsid w:val="007272B5"/>
    <w:rsid w:val="0073004B"/>
    <w:rsid w:val="007300FA"/>
    <w:rsid w:val="0073027C"/>
    <w:rsid w:val="00730F6E"/>
    <w:rsid w:val="00731059"/>
    <w:rsid w:val="007311C7"/>
    <w:rsid w:val="00731B0A"/>
    <w:rsid w:val="00731E0D"/>
    <w:rsid w:val="00732279"/>
    <w:rsid w:val="00732864"/>
    <w:rsid w:val="007329B1"/>
    <w:rsid w:val="00732B4C"/>
    <w:rsid w:val="00732E35"/>
    <w:rsid w:val="0073324F"/>
    <w:rsid w:val="0073347B"/>
    <w:rsid w:val="0073351B"/>
    <w:rsid w:val="007335E9"/>
    <w:rsid w:val="00733649"/>
    <w:rsid w:val="007336F1"/>
    <w:rsid w:val="007337CE"/>
    <w:rsid w:val="00733CAC"/>
    <w:rsid w:val="00733D06"/>
    <w:rsid w:val="00733D22"/>
    <w:rsid w:val="00733ED3"/>
    <w:rsid w:val="007340DE"/>
    <w:rsid w:val="00734FD8"/>
    <w:rsid w:val="00735399"/>
    <w:rsid w:val="007353E5"/>
    <w:rsid w:val="007355A2"/>
    <w:rsid w:val="00735676"/>
    <w:rsid w:val="0073569E"/>
    <w:rsid w:val="00735AC9"/>
    <w:rsid w:val="00735AE3"/>
    <w:rsid w:val="00735C6F"/>
    <w:rsid w:val="00735E5A"/>
    <w:rsid w:val="00735F6D"/>
    <w:rsid w:val="0073602A"/>
    <w:rsid w:val="007360AA"/>
    <w:rsid w:val="00736162"/>
    <w:rsid w:val="00736610"/>
    <w:rsid w:val="00736D95"/>
    <w:rsid w:val="00737048"/>
    <w:rsid w:val="0073752E"/>
    <w:rsid w:val="00737742"/>
    <w:rsid w:val="0073774A"/>
    <w:rsid w:val="0073797D"/>
    <w:rsid w:val="00737B38"/>
    <w:rsid w:val="00740652"/>
    <w:rsid w:val="00740826"/>
    <w:rsid w:val="007408F5"/>
    <w:rsid w:val="00740DE1"/>
    <w:rsid w:val="00740F21"/>
    <w:rsid w:val="00740FF3"/>
    <w:rsid w:val="00741176"/>
    <w:rsid w:val="007413DB"/>
    <w:rsid w:val="00741659"/>
    <w:rsid w:val="00741AEF"/>
    <w:rsid w:val="00741F4B"/>
    <w:rsid w:val="00742A20"/>
    <w:rsid w:val="00742B72"/>
    <w:rsid w:val="00742BC1"/>
    <w:rsid w:val="00742EA2"/>
    <w:rsid w:val="00742F98"/>
    <w:rsid w:val="00743219"/>
    <w:rsid w:val="0074335E"/>
    <w:rsid w:val="00743532"/>
    <w:rsid w:val="00743997"/>
    <w:rsid w:val="00743BE1"/>
    <w:rsid w:val="007441E6"/>
    <w:rsid w:val="0074455C"/>
    <w:rsid w:val="007448EE"/>
    <w:rsid w:val="00744931"/>
    <w:rsid w:val="00744938"/>
    <w:rsid w:val="00744B7B"/>
    <w:rsid w:val="00744C54"/>
    <w:rsid w:val="00744F24"/>
    <w:rsid w:val="00745075"/>
    <w:rsid w:val="007450CC"/>
    <w:rsid w:val="0074559B"/>
    <w:rsid w:val="00745660"/>
    <w:rsid w:val="007459B8"/>
    <w:rsid w:val="00745C1F"/>
    <w:rsid w:val="00745C2F"/>
    <w:rsid w:val="007460E8"/>
    <w:rsid w:val="0074613E"/>
    <w:rsid w:val="0074672B"/>
    <w:rsid w:val="00746BFB"/>
    <w:rsid w:val="00746C43"/>
    <w:rsid w:val="00746F1E"/>
    <w:rsid w:val="00747298"/>
    <w:rsid w:val="007472EB"/>
    <w:rsid w:val="00747483"/>
    <w:rsid w:val="00747E3D"/>
    <w:rsid w:val="007500C2"/>
    <w:rsid w:val="007501AC"/>
    <w:rsid w:val="007501EF"/>
    <w:rsid w:val="00750258"/>
    <w:rsid w:val="00750336"/>
    <w:rsid w:val="00750477"/>
    <w:rsid w:val="00750764"/>
    <w:rsid w:val="0075097D"/>
    <w:rsid w:val="00750B48"/>
    <w:rsid w:val="00750ED7"/>
    <w:rsid w:val="00750EF1"/>
    <w:rsid w:val="00751040"/>
    <w:rsid w:val="007512F4"/>
    <w:rsid w:val="0075154F"/>
    <w:rsid w:val="00751C11"/>
    <w:rsid w:val="00751DB5"/>
    <w:rsid w:val="00752622"/>
    <w:rsid w:val="00752EE4"/>
    <w:rsid w:val="00753272"/>
    <w:rsid w:val="007532B1"/>
    <w:rsid w:val="00753800"/>
    <w:rsid w:val="00753C06"/>
    <w:rsid w:val="007545C5"/>
    <w:rsid w:val="00754DCE"/>
    <w:rsid w:val="00754F07"/>
    <w:rsid w:val="007558DF"/>
    <w:rsid w:val="00755FFD"/>
    <w:rsid w:val="00756022"/>
    <w:rsid w:val="00756033"/>
    <w:rsid w:val="0075645E"/>
    <w:rsid w:val="007568D3"/>
    <w:rsid w:val="00756995"/>
    <w:rsid w:val="00756F42"/>
    <w:rsid w:val="0075706B"/>
    <w:rsid w:val="007578B9"/>
    <w:rsid w:val="00757B9E"/>
    <w:rsid w:val="00760129"/>
    <w:rsid w:val="00760321"/>
    <w:rsid w:val="00760A7D"/>
    <w:rsid w:val="00760A8C"/>
    <w:rsid w:val="00761033"/>
    <w:rsid w:val="00761ABB"/>
    <w:rsid w:val="00761C78"/>
    <w:rsid w:val="00761FCC"/>
    <w:rsid w:val="007620A3"/>
    <w:rsid w:val="007625B4"/>
    <w:rsid w:val="0076293F"/>
    <w:rsid w:val="00762A3D"/>
    <w:rsid w:val="00762AF9"/>
    <w:rsid w:val="00762DAA"/>
    <w:rsid w:val="0076307A"/>
    <w:rsid w:val="00763451"/>
    <w:rsid w:val="007634F9"/>
    <w:rsid w:val="007637B2"/>
    <w:rsid w:val="00763965"/>
    <w:rsid w:val="00763B0E"/>
    <w:rsid w:val="00763D79"/>
    <w:rsid w:val="00763F7A"/>
    <w:rsid w:val="00764067"/>
    <w:rsid w:val="007640B2"/>
    <w:rsid w:val="007644D8"/>
    <w:rsid w:val="007645A5"/>
    <w:rsid w:val="00764765"/>
    <w:rsid w:val="00764AC0"/>
    <w:rsid w:val="00764B49"/>
    <w:rsid w:val="007655EB"/>
    <w:rsid w:val="00765614"/>
    <w:rsid w:val="007658D9"/>
    <w:rsid w:val="00765A52"/>
    <w:rsid w:val="007660A9"/>
    <w:rsid w:val="00766577"/>
    <w:rsid w:val="00766E2F"/>
    <w:rsid w:val="00767FB1"/>
    <w:rsid w:val="00767FDB"/>
    <w:rsid w:val="00770201"/>
    <w:rsid w:val="007702F1"/>
    <w:rsid w:val="007704A6"/>
    <w:rsid w:val="00770DD6"/>
    <w:rsid w:val="007714F7"/>
    <w:rsid w:val="007719D5"/>
    <w:rsid w:val="00771ADF"/>
    <w:rsid w:val="00771D19"/>
    <w:rsid w:val="0077206D"/>
    <w:rsid w:val="007724A3"/>
    <w:rsid w:val="00772993"/>
    <w:rsid w:val="00772EEB"/>
    <w:rsid w:val="007730D6"/>
    <w:rsid w:val="00773256"/>
    <w:rsid w:val="00773558"/>
    <w:rsid w:val="00773B35"/>
    <w:rsid w:val="00773BDC"/>
    <w:rsid w:val="00773D5C"/>
    <w:rsid w:val="00773D64"/>
    <w:rsid w:val="00774354"/>
    <w:rsid w:val="00774392"/>
    <w:rsid w:val="0077442B"/>
    <w:rsid w:val="0077478A"/>
    <w:rsid w:val="007749F8"/>
    <w:rsid w:val="00774B3F"/>
    <w:rsid w:val="00774B63"/>
    <w:rsid w:val="007750E9"/>
    <w:rsid w:val="00775242"/>
    <w:rsid w:val="0077525F"/>
    <w:rsid w:val="007755CB"/>
    <w:rsid w:val="00775764"/>
    <w:rsid w:val="007759C5"/>
    <w:rsid w:val="00775A08"/>
    <w:rsid w:val="00775E91"/>
    <w:rsid w:val="007761CD"/>
    <w:rsid w:val="0077622E"/>
    <w:rsid w:val="007766C9"/>
    <w:rsid w:val="007767E6"/>
    <w:rsid w:val="00776851"/>
    <w:rsid w:val="00776E0D"/>
    <w:rsid w:val="00776EE8"/>
    <w:rsid w:val="00776F43"/>
    <w:rsid w:val="007770AA"/>
    <w:rsid w:val="007770B6"/>
    <w:rsid w:val="00777985"/>
    <w:rsid w:val="00777EDF"/>
    <w:rsid w:val="007801A4"/>
    <w:rsid w:val="007807E3"/>
    <w:rsid w:val="00780915"/>
    <w:rsid w:val="00780986"/>
    <w:rsid w:val="00780AF2"/>
    <w:rsid w:val="00780BD1"/>
    <w:rsid w:val="00780C67"/>
    <w:rsid w:val="00780CAB"/>
    <w:rsid w:val="00781020"/>
    <w:rsid w:val="00781034"/>
    <w:rsid w:val="00781067"/>
    <w:rsid w:val="007814E0"/>
    <w:rsid w:val="007815E9"/>
    <w:rsid w:val="007819E5"/>
    <w:rsid w:val="00781E23"/>
    <w:rsid w:val="00781F24"/>
    <w:rsid w:val="00781F34"/>
    <w:rsid w:val="00782096"/>
    <w:rsid w:val="007820FE"/>
    <w:rsid w:val="007826B6"/>
    <w:rsid w:val="00782A42"/>
    <w:rsid w:val="00783169"/>
    <w:rsid w:val="0078394B"/>
    <w:rsid w:val="00784343"/>
    <w:rsid w:val="00784511"/>
    <w:rsid w:val="00784653"/>
    <w:rsid w:val="0078495D"/>
    <w:rsid w:val="00784A7C"/>
    <w:rsid w:val="00784E5F"/>
    <w:rsid w:val="0078516E"/>
    <w:rsid w:val="00785286"/>
    <w:rsid w:val="007852D5"/>
    <w:rsid w:val="007858DA"/>
    <w:rsid w:val="00785C6D"/>
    <w:rsid w:val="00785DD5"/>
    <w:rsid w:val="007862D1"/>
    <w:rsid w:val="00786A18"/>
    <w:rsid w:val="00786A54"/>
    <w:rsid w:val="0078733C"/>
    <w:rsid w:val="00787552"/>
    <w:rsid w:val="0078781A"/>
    <w:rsid w:val="007878F7"/>
    <w:rsid w:val="00787C76"/>
    <w:rsid w:val="00787FC8"/>
    <w:rsid w:val="00787FD5"/>
    <w:rsid w:val="007903E2"/>
    <w:rsid w:val="00790582"/>
    <w:rsid w:val="00790A1E"/>
    <w:rsid w:val="00791914"/>
    <w:rsid w:val="00791B03"/>
    <w:rsid w:val="00791E24"/>
    <w:rsid w:val="0079206B"/>
    <w:rsid w:val="00792099"/>
    <w:rsid w:val="007921EC"/>
    <w:rsid w:val="0079230C"/>
    <w:rsid w:val="007926B5"/>
    <w:rsid w:val="00792B0B"/>
    <w:rsid w:val="00792DB8"/>
    <w:rsid w:val="00793184"/>
    <w:rsid w:val="007932E5"/>
    <w:rsid w:val="00793751"/>
    <w:rsid w:val="0079443D"/>
    <w:rsid w:val="00794CA0"/>
    <w:rsid w:val="00795485"/>
    <w:rsid w:val="007958C0"/>
    <w:rsid w:val="007958C7"/>
    <w:rsid w:val="00795B3B"/>
    <w:rsid w:val="00795E2B"/>
    <w:rsid w:val="00795F74"/>
    <w:rsid w:val="007969C8"/>
    <w:rsid w:val="00796CDB"/>
    <w:rsid w:val="00796E62"/>
    <w:rsid w:val="00796F0B"/>
    <w:rsid w:val="00797491"/>
    <w:rsid w:val="00797939"/>
    <w:rsid w:val="00797B97"/>
    <w:rsid w:val="00797CAC"/>
    <w:rsid w:val="00797EDB"/>
    <w:rsid w:val="007A020A"/>
    <w:rsid w:val="007A025A"/>
    <w:rsid w:val="007A04C4"/>
    <w:rsid w:val="007A09F8"/>
    <w:rsid w:val="007A0A52"/>
    <w:rsid w:val="007A0C7E"/>
    <w:rsid w:val="007A0D99"/>
    <w:rsid w:val="007A0EE0"/>
    <w:rsid w:val="007A10B2"/>
    <w:rsid w:val="007A12B2"/>
    <w:rsid w:val="007A1526"/>
    <w:rsid w:val="007A15D4"/>
    <w:rsid w:val="007A1A3A"/>
    <w:rsid w:val="007A1B01"/>
    <w:rsid w:val="007A1D78"/>
    <w:rsid w:val="007A21A7"/>
    <w:rsid w:val="007A2344"/>
    <w:rsid w:val="007A2567"/>
    <w:rsid w:val="007A27FF"/>
    <w:rsid w:val="007A2BDD"/>
    <w:rsid w:val="007A33FA"/>
    <w:rsid w:val="007A34AD"/>
    <w:rsid w:val="007A3714"/>
    <w:rsid w:val="007A396A"/>
    <w:rsid w:val="007A3A90"/>
    <w:rsid w:val="007A3CBD"/>
    <w:rsid w:val="007A3DFE"/>
    <w:rsid w:val="007A4147"/>
    <w:rsid w:val="007A42BB"/>
    <w:rsid w:val="007A47AB"/>
    <w:rsid w:val="007A4840"/>
    <w:rsid w:val="007A4FD5"/>
    <w:rsid w:val="007A508C"/>
    <w:rsid w:val="007A5561"/>
    <w:rsid w:val="007A56FF"/>
    <w:rsid w:val="007A5843"/>
    <w:rsid w:val="007A5D96"/>
    <w:rsid w:val="007A6028"/>
    <w:rsid w:val="007A62E0"/>
    <w:rsid w:val="007A6354"/>
    <w:rsid w:val="007A639E"/>
    <w:rsid w:val="007A66D9"/>
    <w:rsid w:val="007A66FF"/>
    <w:rsid w:val="007A69C0"/>
    <w:rsid w:val="007A6B1E"/>
    <w:rsid w:val="007A6BB7"/>
    <w:rsid w:val="007A6BDD"/>
    <w:rsid w:val="007A6D46"/>
    <w:rsid w:val="007A7029"/>
    <w:rsid w:val="007A76E3"/>
    <w:rsid w:val="007A7C68"/>
    <w:rsid w:val="007A7D40"/>
    <w:rsid w:val="007A7F80"/>
    <w:rsid w:val="007B01DB"/>
    <w:rsid w:val="007B07C7"/>
    <w:rsid w:val="007B0A3C"/>
    <w:rsid w:val="007B0A44"/>
    <w:rsid w:val="007B0BFD"/>
    <w:rsid w:val="007B0E10"/>
    <w:rsid w:val="007B0E93"/>
    <w:rsid w:val="007B0F09"/>
    <w:rsid w:val="007B0F33"/>
    <w:rsid w:val="007B1106"/>
    <w:rsid w:val="007B114F"/>
    <w:rsid w:val="007B1442"/>
    <w:rsid w:val="007B15EA"/>
    <w:rsid w:val="007B1713"/>
    <w:rsid w:val="007B186B"/>
    <w:rsid w:val="007B1A19"/>
    <w:rsid w:val="007B1AF9"/>
    <w:rsid w:val="007B1BFB"/>
    <w:rsid w:val="007B1EDD"/>
    <w:rsid w:val="007B1F3C"/>
    <w:rsid w:val="007B21AC"/>
    <w:rsid w:val="007B21B8"/>
    <w:rsid w:val="007B255B"/>
    <w:rsid w:val="007B26C8"/>
    <w:rsid w:val="007B2939"/>
    <w:rsid w:val="007B2C33"/>
    <w:rsid w:val="007B38AB"/>
    <w:rsid w:val="007B3903"/>
    <w:rsid w:val="007B3AAC"/>
    <w:rsid w:val="007B3ED5"/>
    <w:rsid w:val="007B4437"/>
    <w:rsid w:val="007B480D"/>
    <w:rsid w:val="007B4A98"/>
    <w:rsid w:val="007B4AF1"/>
    <w:rsid w:val="007B4BBC"/>
    <w:rsid w:val="007B4C31"/>
    <w:rsid w:val="007B4F74"/>
    <w:rsid w:val="007B5094"/>
    <w:rsid w:val="007B5152"/>
    <w:rsid w:val="007B5853"/>
    <w:rsid w:val="007B58C4"/>
    <w:rsid w:val="007B592F"/>
    <w:rsid w:val="007B5937"/>
    <w:rsid w:val="007B5A0C"/>
    <w:rsid w:val="007B5D0B"/>
    <w:rsid w:val="007B5ED9"/>
    <w:rsid w:val="007B6061"/>
    <w:rsid w:val="007B6178"/>
    <w:rsid w:val="007B6BF1"/>
    <w:rsid w:val="007B6C54"/>
    <w:rsid w:val="007B6F14"/>
    <w:rsid w:val="007B7348"/>
    <w:rsid w:val="007B7971"/>
    <w:rsid w:val="007B79A5"/>
    <w:rsid w:val="007B7C7D"/>
    <w:rsid w:val="007C0ADB"/>
    <w:rsid w:val="007C0C3F"/>
    <w:rsid w:val="007C0C86"/>
    <w:rsid w:val="007C0FA0"/>
    <w:rsid w:val="007C1059"/>
    <w:rsid w:val="007C10B8"/>
    <w:rsid w:val="007C10D6"/>
    <w:rsid w:val="007C1411"/>
    <w:rsid w:val="007C15A0"/>
    <w:rsid w:val="007C19FA"/>
    <w:rsid w:val="007C1B36"/>
    <w:rsid w:val="007C1C27"/>
    <w:rsid w:val="007C2115"/>
    <w:rsid w:val="007C217F"/>
    <w:rsid w:val="007C22EE"/>
    <w:rsid w:val="007C24A1"/>
    <w:rsid w:val="007C254C"/>
    <w:rsid w:val="007C2945"/>
    <w:rsid w:val="007C33D7"/>
    <w:rsid w:val="007C37E3"/>
    <w:rsid w:val="007C380F"/>
    <w:rsid w:val="007C386E"/>
    <w:rsid w:val="007C3C7F"/>
    <w:rsid w:val="007C3D03"/>
    <w:rsid w:val="007C3EF6"/>
    <w:rsid w:val="007C3F18"/>
    <w:rsid w:val="007C3FFA"/>
    <w:rsid w:val="007C403E"/>
    <w:rsid w:val="007C416E"/>
    <w:rsid w:val="007C49CC"/>
    <w:rsid w:val="007C4BFC"/>
    <w:rsid w:val="007C5124"/>
    <w:rsid w:val="007C550D"/>
    <w:rsid w:val="007C571A"/>
    <w:rsid w:val="007C5D53"/>
    <w:rsid w:val="007C5DFE"/>
    <w:rsid w:val="007C5E6B"/>
    <w:rsid w:val="007C64D9"/>
    <w:rsid w:val="007C693B"/>
    <w:rsid w:val="007C6EE1"/>
    <w:rsid w:val="007C74F9"/>
    <w:rsid w:val="007C7754"/>
    <w:rsid w:val="007C7772"/>
    <w:rsid w:val="007C7D6F"/>
    <w:rsid w:val="007C7E2D"/>
    <w:rsid w:val="007D0416"/>
    <w:rsid w:val="007D083E"/>
    <w:rsid w:val="007D0A50"/>
    <w:rsid w:val="007D12E5"/>
    <w:rsid w:val="007D13B2"/>
    <w:rsid w:val="007D153E"/>
    <w:rsid w:val="007D160C"/>
    <w:rsid w:val="007D16F6"/>
    <w:rsid w:val="007D1C92"/>
    <w:rsid w:val="007D1F64"/>
    <w:rsid w:val="007D2675"/>
    <w:rsid w:val="007D28CF"/>
    <w:rsid w:val="007D2A20"/>
    <w:rsid w:val="007D2A9D"/>
    <w:rsid w:val="007D2BA0"/>
    <w:rsid w:val="007D2BE5"/>
    <w:rsid w:val="007D2EA8"/>
    <w:rsid w:val="007D2EB1"/>
    <w:rsid w:val="007D32F8"/>
    <w:rsid w:val="007D3592"/>
    <w:rsid w:val="007D36A3"/>
    <w:rsid w:val="007D3A63"/>
    <w:rsid w:val="007D3A6E"/>
    <w:rsid w:val="007D3B25"/>
    <w:rsid w:val="007D3D6D"/>
    <w:rsid w:val="007D3DB1"/>
    <w:rsid w:val="007D3E2A"/>
    <w:rsid w:val="007D3E5D"/>
    <w:rsid w:val="007D3FB8"/>
    <w:rsid w:val="007D40A8"/>
    <w:rsid w:val="007D4162"/>
    <w:rsid w:val="007D46C3"/>
    <w:rsid w:val="007D49B8"/>
    <w:rsid w:val="007D4A2F"/>
    <w:rsid w:val="007D4AEB"/>
    <w:rsid w:val="007D4FC5"/>
    <w:rsid w:val="007D5421"/>
    <w:rsid w:val="007D558F"/>
    <w:rsid w:val="007D5724"/>
    <w:rsid w:val="007D5B06"/>
    <w:rsid w:val="007D5B49"/>
    <w:rsid w:val="007D5C24"/>
    <w:rsid w:val="007D5C5B"/>
    <w:rsid w:val="007D5CC4"/>
    <w:rsid w:val="007D5EBC"/>
    <w:rsid w:val="007D627E"/>
    <w:rsid w:val="007D62FA"/>
    <w:rsid w:val="007D6411"/>
    <w:rsid w:val="007D64B7"/>
    <w:rsid w:val="007D664F"/>
    <w:rsid w:val="007D675E"/>
    <w:rsid w:val="007D6932"/>
    <w:rsid w:val="007D69F8"/>
    <w:rsid w:val="007D6A4A"/>
    <w:rsid w:val="007D6D86"/>
    <w:rsid w:val="007D7252"/>
    <w:rsid w:val="007D72DE"/>
    <w:rsid w:val="007D7301"/>
    <w:rsid w:val="007D7444"/>
    <w:rsid w:val="007D76B6"/>
    <w:rsid w:val="007D76DF"/>
    <w:rsid w:val="007D77F1"/>
    <w:rsid w:val="007D793A"/>
    <w:rsid w:val="007D79B5"/>
    <w:rsid w:val="007D7C82"/>
    <w:rsid w:val="007D7DB0"/>
    <w:rsid w:val="007D7E37"/>
    <w:rsid w:val="007D7F8D"/>
    <w:rsid w:val="007E004B"/>
    <w:rsid w:val="007E0174"/>
    <w:rsid w:val="007E01A9"/>
    <w:rsid w:val="007E01E4"/>
    <w:rsid w:val="007E028D"/>
    <w:rsid w:val="007E02D6"/>
    <w:rsid w:val="007E03FF"/>
    <w:rsid w:val="007E0740"/>
    <w:rsid w:val="007E07D6"/>
    <w:rsid w:val="007E081D"/>
    <w:rsid w:val="007E0AA9"/>
    <w:rsid w:val="007E0EDA"/>
    <w:rsid w:val="007E0FB6"/>
    <w:rsid w:val="007E132D"/>
    <w:rsid w:val="007E149E"/>
    <w:rsid w:val="007E1730"/>
    <w:rsid w:val="007E1E6F"/>
    <w:rsid w:val="007E24CF"/>
    <w:rsid w:val="007E24E9"/>
    <w:rsid w:val="007E2570"/>
    <w:rsid w:val="007E2592"/>
    <w:rsid w:val="007E27D5"/>
    <w:rsid w:val="007E298B"/>
    <w:rsid w:val="007E2BCB"/>
    <w:rsid w:val="007E2F89"/>
    <w:rsid w:val="007E2F94"/>
    <w:rsid w:val="007E3288"/>
    <w:rsid w:val="007E3331"/>
    <w:rsid w:val="007E3649"/>
    <w:rsid w:val="007E36E0"/>
    <w:rsid w:val="007E38F9"/>
    <w:rsid w:val="007E3904"/>
    <w:rsid w:val="007E3A3E"/>
    <w:rsid w:val="007E3BAA"/>
    <w:rsid w:val="007E411E"/>
    <w:rsid w:val="007E49D4"/>
    <w:rsid w:val="007E4D26"/>
    <w:rsid w:val="007E4E40"/>
    <w:rsid w:val="007E4FCB"/>
    <w:rsid w:val="007E543B"/>
    <w:rsid w:val="007E5692"/>
    <w:rsid w:val="007E56B9"/>
    <w:rsid w:val="007E5730"/>
    <w:rsid w:val="007E579A"/>
    <w:rsid w:val="007E590E"/>
    <w:rsid w:val="007E5970"/>
    <w:rsid w:val="007E5BB8"/>
    <w:rsid w:val="007E5F2F"/>
    <w:rsid w:val="007E6034"/>
    <w:rsid w:val="007E6940"/>
    <w:rsid w:val="007E6E41"/>
    <w:rsid w:val="007E6FC4"/>
    <w:rsid w:val="007E7034"/>
    <w:rsid w:val="007E7084"/>
    <w:rsid w:val="007E70A2"/>
    <w:rsid w:val="007E7371"/>
    <w:rsid w:val="007E75EF"/>
    <w:rsid w:val="007E76DF"/>
    <w:rsid w:val="007E7B0F"/>
    <w:rsid w:val="007E7CE0"/>
    <w:rsid w:val="007E7F04"/>
    <w:rsid w:val="007E7F38"/>
    <w:rsid w:val="007E7F8B"/>
    <w:rsid w:val="007F01A5"/>
    <w:rsid w:val="007F031B"/>
    <w:rsid w:val="007F0329"/>
    <w:rsid w:val="007F0627"/>
    <w:rsid w:val="007F0747"/>
    <w:rsid w:val="007F087F"/>
    <w:rsid w:val="007F0AAF"/>
    <w:rsid w:val="007F0BF4"/>
    <w:rsid w:val="007F0CB8"/>
    <w:rsid w:val="007F0D2E"/>
    <w:rsid w:val="007F129C"/>
    <w:rsid w:val="007F13BB"/>
    <w:rsid w:val="007F15FE"/>
    <w:rsid w:val="007F1D2A"/>
    <w:rsid w:val="007F1E72"/>
    <w:rsid w:val="007F241E"/>
    <w:rsid w:val="007F2460"/>
    <w:rsid w:val="007F2508"/>
    <w:rsid w:val="007F280B"/>
    <w:rsid w:val="007F287C"/>
    <w:rsid w:val="007F2ED6"/>
    <w:rsid w:val="007F309C"/>
    <w:rsid w:val="007F3855"/>
    <w:rsid w:val="007F38A6"/>
    <w:rsid w:val="007F3A8B"/>
    <w:rsid w:val="007F3D19"/>
    <w:rsid w:val="007F43DC"/>
    <w:rsid w:val="007F4442"/>
    <w:rsid w:val="007F462D"/>
    <w:rsid w:val="007F4850"/>
    <w:rsid w:val="007F4B90"/>
    <w:rsid w:val="007F4C74"/>
    <w:rsid w:val="007F5A39"/>
    <w:rsid w:val="007F5FCB"/>
    <w:rsid w:val="007F6233"/>
    <w:rsid w:val="007F64B8"/>
    <w:rsid w:val="007F6A36"/>
    <w:rsid w:val="007F6C4B"/>
    <w:rsid w:val="007F72FD"/>
    <w:rsid w:val="007F78C7"/>
    <w:rsid w:val="007F79E7"/>
    <w:rsid w:val="007F7C88"/>
    <w:rsid w:val="007F7DE9"/>
    <w:rsid w:val="0080009C"/>
    <w:rsid w:val="00800673"/>
    <w:rsid w:val="00800B72"/>
    <w:rsid w:val="0080112B"/>
    <w:rsid w:val="0080165E"/>
    <w:rsid w:val="008016B3"/>
    <w:rsid w:val="00801900"/>
    <w:rsid w:val="00801917"/>
    <w:rsid w:val="00801965"/>
    <w:rsid w:val="00801C82"/>
    <w:rsid w:val="00801C8A"/>
    <w:rsid w:val="00801DA9"/>
    <w:rsid w:val="00801E90"/>
    <w:rsid w:val="00801F2C"/>
    <w:rsid w:val="008021D4"/>
    <w:rsid w:val="00802488"/>
    <w:rsid w:val="0080249E"/>
    <w:rsid w:val="00802C53"/>
    <w:rsid w:val="0080315C"/>
    <w:rsid w:val="008034E0"/>
    <w:rsid w:val="008035E1"/>
    <w:rsid w:val="008037CC"/>
    <w:rsid w:val="00803C5D"/>
    <w:rsid w:val="00803ED1"/>
    <w:rsid w:val="00803FEE"/>
    <w:rsid w:val="008044EE"/>
    <w:rsid w:val="008046E7"/>
    <w:rsid w:val="00804F8F"/>
    <w:rsid w:val="0080567B"/>
    <w:rsid w:val="00805799"/>
    <w:rsid w:val="0080585B"/>
    <w:rsid w:val="00805992"/>
    <w:rsid w:val="00805BB3"/>
    <w:rsid w:val="00805C8E"/>
    <w:rsid w:val="00806279"/>
    <w:rsid w:val="00806377"/>
    <w:rsid w:val="00806E8A"/>
    <w:rsid w:val="00806FF0"/>
    <w:rsid w:val="00807AAE"/>
    <w:rsid w:val="00807C42"/>
    <w:rsid w:val="00807C93"/>
    <w:rsid w:val="00807D5F"/>
    <w:rsid w:val="00807EE6"/>
    <w:rsid w:val="00810360"/>
    <w:rsid w:val="0081079C"/>
    <w:rsid w:val="00810824"/>
    <w:rsid w:val="00810C1D"/>
    <w:rsid w:val="008119EE"/>
    <w:rsid w:val="00811C54"/>
    <w:rsid w:val="00811E1C"/>
    <w:rsid w:val="00812045"/>
    <w:rsid w:val="00812285"/>
    <w:rsid w:val="008124E1"/>
    <w:rsid w:val="00812786"/>
    <w:rsid w:val="00812D6A"/>
    <w:rsid w:val="0081309F"/>
    <w:rsid w:val="00813166"/>
    <w:rsid w:val="008131F1"/>
    <w:rsid w:val="0081376E"/>
    <w:rsid w:val="00813896"/>
    <w:rsid w:val="00813B2A"/>
    <w:rsid w:val="00813BAC"/>
    <w:rsid w:val="00813D5E"/>
    <w:rsid w:val="00813DF0"/>
    <w:rsid w:val="00814107"/>
    <w:rsid w:val="0081470F"/>
    <w:rsid w:val="00814946"/>
    <w:rsid w:val="00814B49"/>
    <w:rsid w:val="00814EF8"/>
    <w:rsid w:val="00814EFE"/>
    <w:rsid w:val="008150F8"/>
    <w:rsid w:val="008152A6"/>
    <w:rsid w:val="00815478"/>
    <w:rsid w:val="00815677"/>
    <w:rsid w:val="008157EF"/>
    <w:rsid w:val="008158B1"/>
    <w:rsid w:val="0081596E"/>
    <w:rsid w:val="008159EF"/>
    <w:rsid w:val="00815C43"/>
    <w:rsid w:val="00815E78"/>
    <w:rsid w:val="00815FD2"/>
    <w:rsid w:val="008161B2"/>
    <w:rsid w:val="0081642A"/>
    <w:rsid w:val="0081649F"/>
    <w:rsid w:val="008165C9"/>
    <w:rsid w:val="00816732"/>
    <w:rsid w:val="008167A6"/>
    <w:rsid w:val="008171D0"/>
    <w:rsid w:val="00817634"/>
    <w:rsid w:val="008176DB"/>
    <w:rsid w:val="00817929"/>
    <w:rsid w:val="00817CA8"/>
    <w:rsid w:val="0082024C"/>
    <w:rsid w:val="00820582"/>
    <w:rsid w:val="008206AE"/>
    <w:rsid w:val="00820743"/>
    <w:rsid w:val="008207CC"/>
    <w:rsid w:val="008208BB"/>
    <w:rsid w:val="008209C0"/>
    <w:rsid w:val="00820F67"/>
    <w:rsid w:val="00821013"/>
    <w:rsid w:val="0082115F"/>
    <w:rsid w:val="008211B2"/>
    <w:rsid w:val="0082128A"/>
    <w:rsid w:val="00821311"/>
    <w:rsid w:val="00821451"/>
    <w:rsid w:val="008215A3"/>
    <w:rsid w:val="00821777"/>
    <w:rsid w:val="00821998"/>
    <w:rsid w:val="00821AAF"/>
    <w:rsid w:val="00821B38"/>
    <w:rsid w:val="0082216F"/>
    <w:rsid w:val="00822B6D"/>
    <w:rsid w:val="00822BD1"/>
    <w:rsid w:val="00822D3C"/>
    <w:rsid w:val="0082315B"/>
    <w:rsid w:val="00823353"/>
    <w:rsid w:val="008233BB"/>
    <w:rsid w:val="00823606"/>
    <w:rsid w:val="00823D96"/>
    <w:rsid w:val="00823FC7"/>
    <w:rsid w:val="008242A6"/>
    <w:rsid w:val="008243AC"/>
    <w:rsid w:val="00824809"/>
    <w:rsid w:val="00824FF8"/>
    <w:rsid w:val="0082531D"/>
    <w:rsid w:val="00825B7B"/>
    <w:rsid w:val="00825C31"/>
    <w:rsid w:val="00825C8C"/>
    <w:rsid w:val="00825FA4"/>
    <w:rsid w:val="00826210"/>
    <w:rsid w:val="0082672D"/>
    <w:rsid w:val="008269B8"/>
    <w:rsid w:val="00826FDE"/>
    <w:rsid w:val="00827196"/>
    <w:rsid w:val="008272D5"/>
    <w:rsid w:val="008277E9"/>
    <w:rsid w:val="00827A49"/>
    <w:rsid w:val="00827BD4"/>
    <w:rsid w:val="00827BD6"/>
    <w:rsid w:val="00830421"/>
    <w:rsid w:val="0083048B"/>
    <w:rsid w:val="008304A3"/>
    <w:rsid w:val="008307B6"/>
    <w:rsid w:val="00830866"/>
    <w:rsid w:val="00830893"/>
    <w:rsid w:val="00830EBC"/>
    <w:rsid w:val="00830ED1"/>
    <w:rsid w:val="00831117"/>
    <w:rsid w:val="00831300"/>
    <w:rsid w:val="0083131D"/>
    <w:rsid w:val="008313B6"/>
    <w:rsid w:val="0083148B"/>
    <w:rsid w:val="008314F9"/>
    <w:rsid w:val="008315B2"/>
    <w:rsid w:val="00831751"/>
    <w:rsid w:val="00831A31"/>
    <w:rsid w:val="008321C1"/>
    <w:rsid w:val="00832533"/>
    <w:rsid w:val="008325E4"/>
    <w:rsid w:val="00832E4A"/>
    <w:rsid w:val="008331A7"/>
    <w:rsid w:val="008334A4"/>
    <w:rsid w:val="008334FD"/>
    <w:rsid w:val="008339CA"/>
    <w:rsid w:val="00833AAE"/>
    <w:rsid w:val="00833D5F"/>
    <w:rsid w:val="0083455D"/>
    <w:rsid w:val="00834849"/>
    <w:rsid w:val="00834977"/>
    <w:rsid w:val="00834B8F"/>
    <w:rsid w:val="00834BF6"/>
    <w:rsid w:val="00834DD9"/>
    <w:rsid w:val="00834E5C"/>
    <w:rsid w:val="008350A2"/>
    <w:rsid w:val="00835175"/>
    <w:rsid w:val="0083575E"/>
    <w:rsid w:val="00835CC5"/>
    <w:rsid w:val="00835CF4"/>
    <w:rsid w:val="00836885"/>
    <w:rsid w:val="00836B01"/>
    <w:rsid w:val="00836BAC"/>
    <w:rsid w:val="00836EB5"/>
    <w:rsid w:val="0083729F"/>
    <w:rsid w:val="0083752B"/>
    <w:rsid w:val="008375A4"/>
    <w:rsid w:val="00837904"/>
    <w:rsid w:val="00837D99"/>
    <w:rsid w:val="00837FE9"/>
    <w:rsid w:val="00840253"/>
    <w:rsid w:val="008402BE"/>
    <w:rsid w:val="008402D6"/>
    <w:rsid w:val="0084038D"/>
    <w:rsid w:val="008405D4"/>
    <w:rsid w:val="0084069F"/>
    <w:rsid w:val="008407B0"/>
    <w:rsid w:val="00840B10"/>
    <w:rsid w:val="00840DC1"/>
    <w:rsid w:val="0084104E"/>
    <w:rsid w:val="00841280"/>
    <w:rsid w:val="00841A78"/>
    <w:rsid w:val="00841B7B"/>
    <w:rsid w:val="00841C38"/>
    <w:rsid w:val="008423B5"/>
    <w:rsid w:val="00842765"/>
    <w:rsid w:val="00842A2D"/>
    <w:rsid w:val="00842B74"/>
    <w:rsid w:val="00842BDA"/>
    <w:rsid w:val="00842D82"/>
    <w:rsid w:val="00843477"/>
    <w:rsid w:val="008434BD"/>
    <w:rsid w:val="00843909"/>
    <w:rsid w:val="008446B7"/>
    <w:rsid w:val="00844A2C"/>
    <w:rsid w:val="00845153"/>
    <w:rsid w:val="00845636"/>
    <w:rsid w:val="00845D35"/>
    <w:rsid w:val="00845DB8"/>
    <w:rsid w:val="00845E70"/>
    <w:rsid w:val="008460B0"/>
    <w:rsid w:val="008460B4"/>
    <w:rsid w:val="0084618E"/>
    <w:rsid w:val="008461C2"/>
    <w:rsid w:val="008462D5"/>
    <w:rsid w:val="008462DC"/>
    <w:rsid w:val="00846312"/>
    <w:rsid w:val="008465D6"/>
    <w:rsid w:val="00846676"/>
    <w:rsid w:val="00846CA0"/>
    <w:rsid w:val="00846D42"/>
    <w:rsid w:val="00846EED"/>
    <w:rsid w:val="00846EFE"/>
    <w:rsid w:val="0084738D"/>
    <w:rsid w:val="008474CC"/>
    <w:rsid w:val="0084765E"/>
    <w:rsid w:val="008476BE"/>
    <w:rsid w:val="00847FE3"/>
    <w:rsid w:val="008500D6"/>
    <w:rsid w:val="0085025C"/>
    <w:rsid w:val="00850313"/>
    <w:rsid w:val="00850840"/>
    <w:rsid w:val="00850BE7"/>
    <w:rsid w:val="00850C66"/>
    <w:rsid w:val="00851228"/>
    <w:rsid w:val="0085129A"/>
    <w:rsid w:val="00851630"/>
    <w:rsid w:val="00851F4A"/>
    <w:rsid w:val="008520A7"/>
    <w:rsid w:val="00852507"/>
    <w:rsid w:val="008533DD"/>
    <w:rsid w:val="0085348F"/>
    <w:rsid w:val="00853855"/>
    <w:rsid w:val="008538D6"/>
    <w:rsid w:val="0085392D"/>
    <w:rsid w:val="00853B32"/>
    <w:rsid w:val="00853B9D"/>
    <w:rsid w:val="00853D68"/>
    <w:rsid w:val="00853D96"/>
    <w:rsid w:val="00853EEB"/>
    <w:rsid w:val="00853F11"/>
    <w:rsid w:val="00854044"/>
    <w:rsid w:val="008547C9"/>
    <w:rsid w:val="00854D2D"/>
    <w:rsid w:val="00854F4C"/>
    <w:rsid w:val="0085511C"/>
    <w:rsid w:val="00855370"/>
    <w:rsid w:val="00855A53"/>
    <w:rsid w:val="00855B88"/>
    <w:rsid w:val="00855C42"/>
    <w:rsid w:val="00855FF6"/>
    <w:rsid w:val="00856060"/>
    <w:rsid w:val="00856149"/>
    <w:rsid w:val="008562B0"/>
    <w:rsid w:val="008563E6"/>
    <w:rsid w:val="008568A2"/>
    <w:rsid w:val="008568FC"/>
    <w:rsid w:val="00856A09"/>
    <w:rsid w:val="00856ADF"/>
    <w:rsid w:val="00857282"/>
    <w:rsid w:val="0085796E"/>
    <w:rsid w:val="00857AB0"/>
    <w:rsid w:val="00857CA4"/>
    <w:rsid w:val="00857D6D"/>
    <w:rsid w:val="00857F0E"/>
    <w:rsid w:val="00857FAD"/>
    <w:rsid w:val="00860611"/>
    <w:rsid w:val="00860A7D"/>
    <w:rsid w:val="00860C19"/>
    <w:rsid w:val="00860C26"/>
    <w:rsid w:val="00860E42"/>
    <w:rsid w:val="008618F5"/>
    <w:rsid w:val="00861C99"/>
    <w:rsid w:val="00861FE1"/>
    <w:rsid w:val="0086259A"/>
    <w:rsid w:val="0086264B"/>
    <w:rsid w:val="008628B5"/>
    <w:rsid w:val="00862A92"/>
    <w:rsid w:val="00862B34"/>
    <w:rsid w:val="00862B40"/>
    <w:rsid w:val="00862B92"/>
    <w:rsid w:val="00862CD8"/>
    <w:rsid w:val="008632C1"/>
    <w:rsid w:val="008632E6"/>
    <w:rsid w:val="008636AC"/>
    <w:rsid w:val="00863946"/>
    <w:rsid w:val="00863FC9"/>
    <w:rsid w:val="008640CC"/>
    <w:rsid w:val="0086419A"/>
    <w:rsid w:val="008642A8"/>
    <w:rsid w:val="00864418"/>
    <w:rsid w:val="00864501"/>
    <w:rsid w:val="00864580"/>
    <w:rsid w:val="008646A2"/>
    <w:rsid w:val="008647D6"/>
    <w:rsid w:val="00864C81"/>
    <w:rsid w:val="0086547A"/>
    <w:rsid w:val="00865578"/>
    <w:rsid w:val="008657BA"/>
    <w:rsid w:val="00865DA9"/>
    <w:rsid w:val="00865F34"/>
    <w:rsid w:val="00865F64"/>
    <w:rsid w:val="00865FE5"/>
    <w:rsid w:val="00865FE8"/>
    <w:rsid w:val="008660D6"/>
    <w:rsid w:val="0086626F"/>
    <w:rsid w:val="0086636E"/>
    <w:rsid w:val="00866533"/>
    <w:rsid w:val="00866712"/>
    <w:rsid w:val="00866E81"/>
    <w:rsid w:val="00866ECB"/>
    <w:rsid w:val="00867AB9"/>
    <w:rsid w:val="0087027E"/>
    <w:rsid w:val="008703B8"/>
    <w:rsid w:val="00871149"/>
    <w:rsid w:val="00871313"/>
    <w:rsid w:val="0087138B"/>
    <w:rsid w:val="008714A7"/>
    <w:rsid w:val="008718A3"/>
    <w:rsid w:val="008718C8"/>
    <w:rsid w:val="00871C73"/>
    <w:rsid w:val="00871FF0"/>
    <w:rsid w:val="008722F6"/>
    <w:rsid w:val="00872350"/>
    <w:rsid w:val="0087255C"/>
    <w:rsid w:val="008726EA"/>
    <w:rsid w:val="0087300B"/>
    <w:rsid w:val="0087356E"/>
    <w:rsid w:val="008737D3"/>
    <w:rsid w:val="00873B99"/>
    <w:rsid w:val="00873C2A"/>
    <w:rsid w:val="00873DDF"/>
    <w:rsid w:val="0087429D"/>
    <w:rsid w:val="00874838"/>
    <w:rsid w:val="0087499F"/>
    <w:rsid w:val="00874E84"/>
    <w:rsid w:val="00874F0B"/>
    <w:rsid w:val="00874F42"/>
    <w:rsid w:val="00874F7F"/>
    <w:rsid w:val="00875179"/>
    <w:rsid w:val="008754BD"/>
    <w:rsid w:val="0087550D"/>
    <w:rsid w:val="008757C1"/>
    <w:rsid w:val="00875A8A"/>
    <w:rsid w:val="00876150"/>
    <w:rsid w:val="00876668"/>
    <w:rsid w:val="008766A3"/>
    <w:rsid w:val="008766C8"/>
    <w:rsid w:val="008767AA"/>
    <w:rsid w:val="00876802"/>
    <w:rsid w:val="0087723E"/>
    <w:rsid w:val="00877467"/>
    <w:rsid w:val="00877680"/>
    <w:rsid w:val="0087790B"/>
    <w:rsid w:val="00877930"/>
    <w:rsid w:val="00877969"/>
    <w:rsid w:val="008779B1"/>
    <w:rsid w:val="00877AA7"/>
    <w:rsid w:val="00877AC4"/>
    <w:rsid w:val="00877AE4"/>
    <w:rsid w:val="00877DAE"/>
    <w:rsid w:val="00877ED0"/>
    <w:rsid w:val="00877EFF"/>
    <w:rsid w:val="008803BE"/>
    <w:rsid w:val="00880465"/>
    <w:rsid w:val="0088083C"/>
    <w:rsid w:val="00880A1B"/>
    <w:rsid w:val="008817FC"/>
    <w:rsid w:val="00881902"/>
    <w:rsid w:val="00881A33"/>
    <w:rsid w:val="00881A94"/>
    <w:rsid w:val="00881B58"/>
    <w:rsid w:val="0088206E"/>
    <w:rsid w:val="00882118"/>
    <w:rsid w:val="00882A8C"/>
    <w:rsid w:val="00882F8B"/>
    <w:rsid w:val="00883316"/>
    <w:rsid w:val="0088352D"/>
    <w:rsid w:val="00883886"/>
    <w:rsid w:val="00884677"/>
    <w:rsid w:val="00884AB4"/>
    <w:rsid w:val="00884BBC"/>
    <w:rsid w:val="00884DB0"/>
    <w:rsid w:val="0088500D"/>
    <w:rsid w:val="008851F4"/>
    <w:rsid w:val="00885346"/>
    <w:rsid w:val="00885974"/>
    <w:rsid w:val="00885AC7"/>
    <w:rsid w:val="00885B9E"/>
    <w:rsid w:val="00885C5C"/>
    <w:rsid w:val="00885E91"/>
    <w:rsid w:val="00886310"/>
    <w:rsid w:val="00886647"/>
    <w:rsid w:val="00886DFC"/>
    <w:rsid w:val="00886EE5"/>
    <w:rsid w:val="00886F29"/>
    <w:rsid w:val="00886FD4"/>
    <w:rsid w:val="00887419"/>
    <w:rsid w:val="0088742A"/>
    <w:rsid w:val="0088748E"/>
    <w:rsid w:val="00887689"/>
    <w:rsid w:val="00887716"/>
    <w:rsid w:val="00890144"/>
    <w:rsid w:val="0089048F"/>
    <w:rsid w:val="008904F5"/>
    <w:rsid w:val="00890A38"/>
    <w:rsid w:val="00890CFB"/>
    <w:rsid w:val="00890F21"/>
    <w:rsid w:val="008915FC"/>
    <w:rsid w:val="0089169B"/>
    <w:rsid w:val="008919D9"/>
    <w:rsid w:val="00891BB6"/>
    <w:rsid w:val="00892331"/>
    <w:rsid w:val="00892649"/>
    <w:rsid w:val="00892935"/>
    <w:rsid w:val="00892AA3"/>
    <w:rsid w:val="008933BD"/>
    <w:rsid w:val="008935C5"/>
    <w:rsid w:val="0089394E"/>
    <w:rsid w:val="00893CCD"/>
    <w:rsid w:val="00893D8A"/>
    <w:rsid w:val="00893F6E"/>
    <w:rsid w:val="00894244"/>
    <w:rsid w:val="0089442B"/>
    <w:rsid w:val="0089443F"/>
    <w:rsid w:val="00894518"/>
    <w:rsid w:val="008947E1"/>
    <w:rsid w:val="00894BA7"/>
    <w:rsid w:val="0089508C"/>
    <w:rsid w:val="0089515A"/>
    <w:rsid w:val="0089526B"/>
    <w:rsid w:val="008952F1"/>
    <w:rsid w:val="0089548E"/>
    <w:rsid w:val="0089563A"/>
    <w:rsid w:val="00895676"/>
    <w:rsid w:val="008956ED"/>
    <w:rsid w:val="00895722"/>
    <w:rsid w:val="00895919"/>
    <w:rsid w:val="00895992"/>
    <w:rsid w:val="00895995"/>
    <w:rsid w:val="008959AA"/>
    <w:rsid w:val="00896A36"/>
    <w:rsid w:val="00896B53"/>
    <w:rsid w:val="00896C34"/>
    <w:rsid w:val="00896E84"/>
    <w:rsid w:val="008972D3"/>
    <w:rsid w:val="008979A0"/>
    <w:rsid w:val="00897AC4"/>
    <w:rsid w:val="00897B9E"/>
    <w:rsid w:val="00897F39"/>
    <w:rsid w:val="008A0268"/>
    <w:rsid w:val="008A0A68"/>
    <w:rsid w:val="008A0ED4"/>
    <w:rsid w:val="008A177F"/>
    <w:rsid w:val="008A18FE"/>
    <w:rsid w:val="008A1A22"/>
    <w:rsid w:val="008A1B17"/>
    <w:rsid w:val="008A1B99"/>
    <w:rsid w:val="008A1BB6"/>
    <w:rsid w:val="008A1D99"/>
    <w:rsid w:val="008A1F1A"/>
    <w:rsid w:val="008A2000"/>
    <w:rsid w:val="008A2190"/>
    <w:rsid w:val="008A22EF"/>
    <w:rsid w:val="008A26A2"/>
    <w:rsid w:val="008A2745"/>
    <w:rsid w:val="008A2F4C"/>
    <w:rsid w:val="008A30D3"/>
    <w:rsid w:val="008A31EB"/>
    <w:rsid w:val="008A35E4"/>
    <w:rsid w:val="008A3820"/>
    <w:rsid w:val="008A3A03"/>
    <w:rsid w:val="008A3C40"/>
    <w:rsid w:val="008A3C50"/>
    <w:rsid w:val="008A420E"/>
    <w:rsid w:val="008A4636"/>
    <w:rsid w:val="008A469D"/>
    <w:rsid w:val="008A4D02"/>
    <w:rsid w:val="008A4ED3"/>
    <w:rsid w:val="008A507F"/>
    <w:rsid w:val="008A5300"/>
    <w:rsid w:val="008A537E"/>
    <w:rsid w:val="008A53E9"/>
    <w:rsid w:val="008A558B"/>
    <w:rsid w:val="008A5641"/>
    <w:rsid w:val="008A58B9"/>
    <w:rsid w:val="008A5CE3"/>
    <w:rsid w:val="008A5FE8"/>
    <w:rsid w:val="008A5FE9"/>
    <w:rsid w:val="008A6318"/>
    <w:rsid w:val="008A6AA8"/>
    <w:rsid w:val="008A7103"/>
    <w:rsid w:val="008A7577"/>
    <w:rsid w:val="008A7734"/>
    <w:rsid w:val="008A7888"/>
    <w:rsid w:val="008A793B"/>
    <w:rsid w:val="008A7A2E"/>
    <w:rsid w:val="008A7B3C"/>
    <w:rsid w:val="008A7BA7"/>
    <w:rsid w:val="008B00D4"/>
    <w:rsid w:val="008B01D3"/>
    <w:rsid w:val="008B0239"/>
    <w:rsid w:val="008B038D"/>
    <w:rsid w:val="008B09EF"/>
    <w:rsid w:val="008B0DC1"/>
    <w:rsid w:val="008B0E6F"/>
    <w:rsid w:val="008B1293"/>
    <w:rsid w:val="008B1294"/>
    <w:rsid w:val="008B129C"/>
    <w:rsid w:val="008B12BB"/>
    <w:rsid w:val="008B154D"/>
    <w:rsid w:val="008B1A6F"/>
    <w:rsid w:val="008B1AB8"/>
    <w:rsid w:val="008B1AC5"/>
    <w:rsid w:val="008B1D10"/>
    <w:rsid w:val="008B1F43"/>
    <w:rsid w:val="008B21B2"/>
    <w:rsid w:val="008B2440"/>
    <w:rsid w:val="008B2C70"/>
    <w:rsid w:val="008B2D3E"/>
    <w:rsid w:val="008B3234"/>
    <w:rsid w:val="008B35E9"/>
    <w:rsid w:val="008B36BB"/>
    <w:rsid w:val="008B3DD2"/>
    <w:rsid w:val="008B3FC5"/>
    <w:rsid w:val="008B402C"/>
    <w:rsid w:val="008B402F"/>
    <w:rsid w:val="008B41BD"/>
    <w:rsid w:val="008B42F0"/>
    <w:rsid w:val="008B4368"/>
    <w:rsid w:val="008B4650"/>
    <w:rsid w:val="008B46D0"/>
    <w:rsid w:val="008B4719"/>
    <w:rsid w:val="008B47A8"/>
    <w:rsid w:val="008B4CC3"/>
    <w:rsid w:val="008B4E1A"/>
    <w:rsid w:val="008B4F03"/>
    <w:rsid w:val="008B5043"/>
    <w:rsid w:val="008B509A"/>
    <w:rsid w:val="008B50D8"/>
    <w:rsid w:val="008B5158"/>
    <w:rsid w:val="008B5571"/>
    <w:rsid w:val="008B5654"/>
    <w:rsid w:val="008B5F08"/>
    <w:rsid w:val="008B5F14"/>
    <w:rsid w:val="008B608E"/>
    <w:rsid w:val="008B6336"/>
    <w:rsid w:val="008B64C6"/>
    <w:rsid w:val="008B67C9"/>
    <w:rsid w:val="008B68B7"/>
    <w:rsid w:val="008B6A59"/>
    <w:rsid w:val="008B6B06"/>
    <w:rsid w:val="008B7857"/>
    <w:rsid w:val="008B7C3F"/>
    <w:rsid w:val="008B7D68"/>
    <w:rsid w:val="008B7F74"/>
    <w:rsid w:val="008C0325"/>
    <w:rsid w:val="008C04F6"/>
    <w:rsid w:val="008C06AE"/>
    <w:rsid w:val="008C0D25"/>
    <w:rsid w:val="008C18F6"/>
    <w:rsid w:val="008C1F1E"/>
    <w:rsid w:val="008C221E"/>
    <w:rsid w:val="008C2580"/>
    <w:rsid w:val="008C2BE6"/>
    <w:rsid w:val="008C2EC3"/>
    <w:rsid w:val="008C308E"/>
    <w:rsid w:val="008C33B6"/>
    <w:rsid w:val="008C3473"/>
    <w:rsid w:val="008C4000"/>
    <w:rsid w:val="008C4CEA"/>
    <w:rsid w:val="008C5043"/>
    <w:rsid w:val="008C5495"/>
    <w:rsid w:val="008C55F7"/>
    <w:rsid w:val="008C57E7"/>
    <w:rsid w:val="008C58F9"/>
    <w:rsid w:val="008C59C2"/>
    <w:rsid w:val="008C59DF"/>
    <w:rsid w:val="008C5B51"/>
    <w:rsid w:val="008C5C26"/>
    <w:rsid w:val="008C5E7F"/>
    <w:rsid w:val="008C6147"/>
    <w:rsid w:val="008C63D9"/>
    <w:rsid w:val="008C659B"/>
    <w:rsid w:val="008C6675"/>
    <w:rsid w:val="008C672F"/>
    <w:rsid w:val="008C69DC"/>
    <w:rsid w:val="008C6A84"/>
    <w:rsid w:val="008C6E25"/>
    <w:rsid w:val="008C7227"/>
    <w:rsid w:val="008C75D2"/>
    <w:rsid w:val="008C7BD1"/>
    <w:rsid w:val="008C7E2C"/>
    <w:rsid w:val="008D01A1"/>
    <w:rsid w:val="008D0249"/>
    <w:rsid w:val="008D07C4"/>
    <w:rsid w:val="008D0949"/>
    <w:rsid w:val="008D0F74"/>
    <w:rsid w:val="008D110B"/>
    <w:rsid w:val="008D1373"/>
    <w:rsid w:val="008D1385"/>
    <w:rsid w:val="008D14D8"/>
    <w:rsid w:val="008D1824"/>
    <w:rsid w:val="008D18A1"/>
    <w:rsid w:val="008D1928"/>
    <w:rsid w:val="008D28D2"/>
    <w:rsid w:val="008D2B1A"/>
    <w:rsid w:val="008D2E0E"/>
    <w:rsid w:val="008D2E37"/>
    <w:rsid w:val="008D36F7"/>
    <w:rsid w:val="008D4126"/>
    <w:rsid w:val="008D443B"/>
    <w:rsid w:val="008D4A59"/>
    <w:rsid w:val="008D4B82"/>
    <w:rsid w:val="008D4BFD"/>
    <w:rsid w:val="008D4E0A"/>
    <w:rsid w:val="008D4F9E"/>
    <w:rsid w:val="008D5097"/>
    <w:rsid w:val="008D512B"/>
    <w:rsid w:val="008D556B"/>
    <w:rsid w:val="008D5638"/>
    <w:rsid w:val="008D5693"/>
    <w:rsid w:val="008D582F"/>
    <w:rsid w:val="008D588E"/>
    <w:rsid w:val="008D5E1E"/>
    <w:rsid w:val="008D5E97"/>
    <w:rsid w:val="008D5F8B"/>
    <w:rsid w:val="008D6058"/>
    <w:rsid w:val="008D6273"/>
    <w:rsid w:val="008D628C"/>
    <w:rsid w:val="008D6AFA"/>
    <w:rsid w:val="008D6D08"/>
    <w:rsid w:val="008D6E03"/>
    <w:rsid w:val="008D6E08"/>
    <w:rsid w:val="008D6F43"/>
    <w:rsid w:val="008D70AE"/>
    <w:rsid w:val="008D70D6"/>
    <w:rsid w:val="008D71D3"/>
    <w:rsid w:val="008D76CB"/>
    <w:rsid w:val="008D7B55"/>
    <w:rsid w:val="008D7E82"/>
    <w:rsid w:val="008E00CF"/>
    <w:rsid w:val="008E021B"/>
    <w:rsid w:val="008E022B"/>
    <w:rsid w:val="008E06AB"/>
    <w:rsid w:val="008E0D3B"/>
    <w:rsid w:val="008E0DA3"/>
    <w:rsid w:val="008E0E74"/>
    <w:rsid w:val="008E1780"/>
    <w:rsid w:val="008E1809"/>
    <w:rsid w:val="008E1B65"/>
    <w:rsid w:val="008E1BE4"/>
    <w:rsid w:val="008E222A"/>
    <w:rsid w:val="008E2489"/>
    <w:rsid w:val="008E26B7"/>
    <w:rsid w:val="008E2998"/>
    <w:rsid w:val="008E2D1B"/>
    <w:rsid w:val="008E2E58"/>
    <w:rsid w:val="008E2E79"/>
    <w:rsid w:val="008E32E8"/>
    <w:rsid w:val="008E34C5"/>
    <w:rsid w:val="008E3528"/>
    <w:rsid w:val="008E3749"/>
    <w:rsid w:val="008E37CA"/>
    <w:rsid w:val="008E3D18"/>
    <w:rsid w:val="008E3D2F"/>
    <w:rsid w:val="008E3F62"/>
    <w:rsid w:val="008E411B"/>
    <w:rsid w:val="008E4531"/>
    <w:rsid w:val="008E45D3"/>
    <w:rsid w:val="008E486F"/>
    <w:rsid w:val="008E49FC"/>
    <w:rsid w:val="008E4D48"/>
    <w:rsid w:val="008E4E8C"/>
    <w:rsid w:val="008E4F7A"/>
    <w:rsid w:val="008E5044"/>
    <w:rsid w:val="008E5213"/>
    <w:rsid w:val="008E529E"/>
    <w:rsid w:val="008E55DF"/>
    <w:rsid w:val="008E66FD"/>
    <w:rsid w:val="008E67DB"/>
    <w:rsid w:val="008E6ABC"/>
    <w:rsid w:val="008E6D19"/>
    <w:rsid w:val="008E70F1"/>
    <w:rsid w:val="008E74BE"/>
    <w:rsid w:val="008E77D2"/>
    <w:rsid w:val="008E7C85"/>
    <w:rsid w:val="008E7F31"/>
    <w:rsid w:val="008F0428"/>
    <w:rsid w:val="008F062B"/>
    <w:rsid w:val="008F0D72"/>
    <w:rsid w:val="008F0E12"/>
    <w:rsid w:val="008F1CAD"/>
    <w:rsid w:val="008F29E8"/>
    <w:rsid w:val="008F3078"/>
    <w:rsid w:val="008F31A6"/>
    <w:rsid w:val="008F3665"/>
    <w:rsid w:val="008F3686"/>
    <w:rsid w:val="008F3757"/>
    <w:rsid w:val="008F3944"/>
    <w:rsid w:val="008F3C33"/>
    <w:rsid w:val="008F3D96"/>
    <w:rsid w:val="008F4306"/>
    <w:rsid w:val="008F45B9"/>
    <w:rsid w:val="008F466F"/>
    <w:rsid w:val="008F4A34"/>
    <w:rsid w:val="008F4ABF"/>
    <w:rsid w:val="008F4D2D"/>
    <w:rsid w:val="008F4D79"/>
    <w:rsid w:val="008F4DBE"/>
    <w:rsid w:val="008F4F61"/>
    <w:rsid w:val="008F506F"/>
    <w:rsid w:val="008F518F"/>
    <w:rsid w:val="008F51B5"/>
    <w:rsid w:val="008F5745"/>
    <w:rsid w:val="008F57D1"/>
    <w:rsid w:val="008F5ADC"/>
    <w:rsid w:val="008F5B6B"/>
    <w:rsid w:val="008F5EFF"/>
    <w:rsid w:val="008F628B"/>
    <w:rsid w:val="008F6893"/>
    <w:rsid w:val="008F6BB7"/>
    <w:rsid w:val="008F6E83"/>
    <w:rsid w:val="008F7615"/>
    <w:rsid w:val="008F7E92"/>
    <w:rsid w:val="008F7FD5"/>
    <w:rsid w:val="00900284"/>
    <w:rsid w:val="0090037E"/>
    <w:rsid w:val="00900726"/>
    <w:rsid w:val="009007A0"/>
    <w:rsid w:val="00900FB8"/>
    <w:rsid w:val="009012F9"/>
    <w:rsid w:val="00901B52"/>
    <w:rsid w:val="00901C54"/>
    <w:rsid w:val="00901EA6"/>
    <w:rsid w:val="0090266E"/>
    <w:rsid w:val="00902FCD"/>
    <w:rsid w:val="00902FCE"/>
    <w:rsid w:val="00903554"/>
    <w:rsid w:val="009037C3"/>
    <w:rsid w:val="00903A38"/>
    <w:rsid w:val="00903BC9"/>
    <w:rsid w:val="00903C5B"/>
    <w:rsid w:val="00903D59"/>
    <w:rsid w:val="00903D64"/>
    <w:rsid w:val="00903DDC"/>
    <w:rsid w:val="00903E58"/>
    <w:rsid w:val="00903F02"/>
    <w:rsid w:val="00903FFC"/>
    <w:rsid w:val="0090423C"/>
    <w:rsid w:val="00904491"/>
    <w:rsid w:val="00904850"/>
    <w:rsid w:val="00904D00"/>
    <w:rsid w:val="00904E5C"/>
    <w:rsid w:val="009050BE"/>
    <w:rsid w:val="00905330"/>
    <w:rsid w:val="00905395"/>
    <w:rsid w:val="00905E2F"/>
    <w:rsid w:val="00905FCA"/>
    <w:rsid w:val="009061B4"/>
    <w:rsid w:val="00906291"/>
    <w:rsid w:val="00906380"/>
    <w:rsid w:val="00906722"/>
    <w:rsid w:val="0090717B"/>
    <w:rsid w:val="009071B5"/>
    <w:rsid w:val="00907345"/>
    <w:rsid w:val="0090734B"/>
    <w:rsid w:val="00907561"/>
    <w:rsid w:val="00907A78"/>
    <w:rsid w:val="00907C27"/>
    <w:rsid w:val="009100A5"/>
    <w:rsid w:val="00910127"/>
    <w:rsid w:val="00910190"/>
    <w:rsid w:val="0091039B"/>
    <w:rsid w:val="0091096B"/>
    <w:rsid w:val="009109A2"/>
    <w:rsid w:val="0091121A"/>
    <w:rsid w:val="009113E4"/>
    <w:rsid w:val="00911465"/>
    <w:rsid w:val="009117ED"/>
    <w:rsid w:val="00911F93"/>
    <w:rsid w:val="00912127"/>
    <w:rsid w:val="00912150"/>
    <w:rsid w:val="00912210"/>
    <w:rsid w:val="00912381"/>
    <w:rsid w:val="0091263C"/>
    <w:rsid w:val="009128EF"/>
    <w:rsid w:val="00912DBE"/>
    <w:rsid w:val="00912FE6"/>
    <w:rsid w:val="009132F9"/>
    <w:rsid w:val="009139E4"/>
    <w:rsid w:val="00913EAA"/>
    <w:rsid w:val="009142D2"/>
    <w:rsid w:val="00914392"/>
    <w:rsid w:val="00914725"/>
    <w:rsid w:val="0091476D"/>
    <w:rsid w:val="00914812"/>
    <w:rsid w:val="0091491C"/>
    <w:rsid w:val="00914B6A"/>
    <w:rsid w:val="00914E79"/>
    <w:rsid w:val="00914EB4"/>
    <w:rsid w:val="00914EFA"/>
    <w:rsid w:val="00914FF2"/>
    <w:rsid w:val="009155FA"/>
    <w:rsid w:val="00915DC0"/>
    <w:rsid w:val="0091606B"/>
    <w:rsid w:val="0091633D"/>
    <w:rsid w:val="00916491"/>
    <w:rsid w:val="00916914"/>
    <w:rsid w:val="00916EE3"/>
    <w:rsid w:val="00916F1B"/>
    <w:rsid w:val="009170C6"/>
    <w:rsid w:val="00917127"/>
    <w:rsid w:val="00917B5A"/>
    <w:rsid w:val="00917B70"/>
    <w:rsid w:val="00917E15"/>
    <w:rsid w:val="0092028D"/>
    <w:rsid w:val="00920715"/>
    <w:rsid w:val="00920742"/>
    <w:rsid w:val="009207CB"/>
    <w:rsid w:val="0092092B"/>
    <w:rsid w:val="0092098A"/>
    <w:rsid w:val="00920B92"/>
    <w:rsid w:val="00920DE2"/>
    <w:rsid w:val="009214BE"/>
    <w:rsid w:val="00921508"/>
    <w:rsid w:val="0092157B"/>
    <w:rsid w:val="009218E6"/>
    <w:rsid w:val="00921AA7"/>
    <w:rsid w:val="00921F98"/>
    <w:rsid w:val="0092235C"/>
    <w:rsid w:val="009229AA"/>
    <w:rsid w:val="009235E0"/>
    <w:rsid w:val="009236F2"/>
    <w:rsid w:val="00923708"/>
    <w:rsid w:val="00923CAE"/>
    <w:rsid w:val="00924030"/>
    <w:rsid w:val="009240BB"/>
    <w:rsid w:val="00924590"/>
    <w:rsid w:val="00924653"/>
    <w:rsid w:val="0092479D"/>
    <w:rsid w:val="009248FA"/>
    <w:rsid w:val="00924CF7"/>
    <w:rsid w:val="009251CF"/>
    <w:rsid w:val="009258FA"/>
    <w:rsid w:val="00925C42"/>
    <w:rsid w:val="00925D59"/>
    <w:rsid w:val="00925F99"/>
    <w:rsid w:val="009260DC"/>
    <w:rsid w:val="00926153"/>
    <w:rsid w:val="009262BC"/>
    <w:rsid w:val="0092638E"/>
    <w:rsid w:val="0092646C"/>
    <w:rsid w:val="00926AD7"/>
    <w:rsid w:val="00926D1E"/>
    <w:rsid w:val="00927040"/>
    <w:rsid w:val="00927127"/>
    <w:rsid w:val="00927174"/>
    <w:rsid w:val="009273F5"/>
    <w:rsid w:val="00927723"/>
    <w:rsid w:val="00927AC5"/>
    <w:rsid w:val="00927B5F"/>
    <w:rsid w:val="00927D6F"/>
    <w:rsid w:val="00927ECE"/>
    <w:rsid w:val="009300A0"/>
    <w:rsid w:val="00930309"/>
    <w:rsid w:val="009303E7"/>
    <w:rsid w:val="009305BF"/>
    <w:rsid w:val="0093071E"/>
    <w:rsid w:val="009308E7"/>
    <w:rsid w:val="00930961"/>
    <w:rsid w:val="00930F2C"/>
    <w:rsid w:val="00930F39"/>
    <w:rsid w:val="00931011"/>
    <w:rsid w:val="009311E9"/>
    <w:rsid w:val="00931308"/>
    <w:rsid w:val="00931D4D"/>
    <w:rsid w:val="00931E7C"/>
    <w:rsid w:val="00931EEE"/>
    <w:rsid w:val="00931F20"/>
    <w:rsid w:val="0093243F"/>
    <w:rsid w:val="00932523"/>
    <w:rsid w:val="009326F8"/>
    <w:rsid w:val="009330C7"/>
    <w:rsid w:val="009334E5"/>
    <w:rsid w:val="00933788"/>
    <w:rsid w:val="009338F2"/>
    <w:rsid w:val="009339EA"/>
    <w:rsid w:val="00933B16"/>
    <w:rsid w:val="00933C15"/>
    <w:rsid w:val="00933E30"/>
    <w:rsid w:val="00933E87"/>
    <w:rsid w:val="00933F7D"/>
    <w:rsid w:val="00934094"/>
    <w:rsid w:val="00934683"/>
    <w:rsid w:val="009348B4"/>
    <w:rsid w:val="00934E3B"/>
    <w:rsid w:val="00934FA7"/>
    <w:rsid w:val="0093519C"/>
    <w:rsid w:val="0093532F"/>
    <w:rsid w:val="00935353"/>
    <w:rsid w:val="009353D9"/>
    <w:rsid w:val="00935603"/>
    <w:rsid w:val="0093585D"/>
    <w:rsid w:val="00936207"/>
    <w:rsid w:val="009362FE"/>
    <w:rsid w:val="0093659A"/>
    <w:rsid w:val="0093673C"/>
    <w:rsid w:val="00936867"/>
    <w:rsid w:val="009369D3"/>
    <w:rsid w:val="00936A11"/>
    <w:rsid w:val="00936AC7"/>
    <w:rsid w:val="00937355"/>
    <w:rsid w:val="00937B36"/>
    <w:rsid w:val="00937EC0"/>
    <w:rsid w:val="00937EE0"/>
    <w:rsid w:val="0094064C"/>
    <w:rsid w:val="0094079F"/>
    <w:rsid w:val="00940B12"/>
    <w:rsid w:val="00940D38"/>
    <w:rsid w:val="00940D71"/>
    <w:rsid w:val="00940D91"/>
    <w:rsid w:val="00940DC7"/>
    <w:rsid w:val="00941459"/>
    <w:rsid w:val="009414AB"/>
    <w:rsid w:val="00941672"/>
    <w:rsid w:val="009416E2"/>
    <w:rsid w:val="00941799"/>
    <w:rsid w:val="00941D20"/>
    <w:rsid w:val="00941ED7"/>
    <w:rsid w:val="009423A5"/>
    <w:rsid w:val="009427E2"/>
    <w:rsid w:val="009429F5"/>
    <w:rsid w:val="00942D26"/>
    <w:rsid w:val="00942DAC"/>
    <w:rsid w:val="00942EA8"/>
    <w:rsid w:val="009432C0"/>
    <w:rsid w:val="009432E9"/>
    <w:rsid w:val="00943373"/>
    <w:rsid w:val="009437B3"/>
    <w:rsid w:val="00943891"/>
    <w:rsid w:val="00943D0E"/>
    <w:rsid w:val="00943FF2"/>
    <w:rsid w:val="0094425B"/>
    <w:rsid w:val="009443F8"/>
    <w:rsid w:val="009444F8"/>
    <w:rsid w:val="00944B2A"/>
    <w:rsid w:val="00944CCD"/>
    <w:rsid w:val="009451F0"/>
    <w:rsid w:val="009454C8"/>
    <w:rsid w:val="00945793"/>
    <w:rsid w:val="009463EF"/>
    <w:rsid w:val="0094679D"/>
    <w:rsid w:val="009467EF"/>
    <w:rsid w:val="00946A01"/>
    <w:rsid w:val="00946B3C"/>
    <w:rsid w:val="00946CDF"/>
    <w:rsid w:val="00946D29"/>
    <w:rsid w:val="00946EB5"/>
    <w:rsid w:val="00946F07"/>
    <w:rsid w:val="0094719B"/>
    <w:rsid w:val="009471F9"/>
    <w:rsid w:val="009475AF"/>
    <w:rsid w:val="009478D6"/>
    <w:rsid w:val="0095016E"/>
    <w:rsid w:val="0095084C"/>
    <w:rsid w:val="00950B18"/>
    <w:rsid w:val="00950BA4"/>
    <w:rsid w:val="00950EFA"/>
    <w:rsid w:val="009516C5"/>
    <w:rsid w:val="00951C0C"/>
    <w:rsid w:val="00952212"/>
    <w:rsid w:val="009522B8"/>
    <w:rsid w:val="009525F9"/>
    <w:rsid w:val="009528EC"/>
    <w:rsid w:val="009529F6"/>
    <w:rsid w:val="00952A45"/>
    <w:rsid w:val="00952A80"/>
    <w:rsid w:val="00952BDF"/>
    <w:rsid w:val="009531A7"/>
    <w:rsid w:val="009531C8"/>
    <w:rsid w:val="00953307"/>
    <w:rsid w:val="009536CB"/>
    <w:rsid w:val="00953D84"/>
    <w:rsid w:val="0095416E"/>
    <w:rsid w:val="009543F0"/>
    <w:rsid w:val="009546D0"/>
    <w:rsid w:val="00954821"/>
    <w:rsid w:val="00954ABE"/>
    <w:rsid w:val="00954CE7"/>
    <w:rsid w:val="00955053"/>
    <w:rsid w:val="00955100"/>
    <w:rsid w:val="009553BE"/>
    <w:rsid w:val="0095555F"/>
    <w:rsid w:val="00955573"/>
    <w:rsid w:val="009555CF"/>
    <w:rsid w:val="00955A61"/>
    <w:rsid w:val="00955F3E"/>
    <w:rsid w:val="00956121"/>
    <w:rsid w:val="0095612B"/>
    <w:rsid w:val="0095622E"/>
    <w:rsid w:val="009563E2"/>
    <w:rsid w:val="009563FD"/>
    <w:rsid w:val="009570D8"/>
    <w:rsid w:val="00957224"/>
    <w:rsid w:val="0095732A"/>
    <w:rsid w:val="009576BB"/>
    <w:rsid w:val="0095774A"/>
    <w:rsid w:val="00957768"/>
    <w:rsid w:val="00957A06"/>
    <w:rsid w:val="00957A3C"/>
    <w:rsid w:val="00957BCF"/>
    <w:rsid w:val="00957C37"/>
    <w:rsid w:val="00957C9B"/>
    <w:rsid w:val="00957D79"/>
    <w:rsid w:val="00957E18"/>
    <w:rsid w:val="00960494"/>
    <w:rsid w:val="009606BC"/>
    <w:rsid w:val="00960E38"/>
    <w:rsid w:val="0096142D"/>
    <w:rsid w:val="0096146B"/>
    <w:rsid w:val="00961600"/>
    <w:rsid w:val="009616D0"/>
    <w:rsid w:val="00961BA0"/>
    <w:rsid w:val="00961DE3"/>
    <w:rsid w:val="00961E1F"/>
    <w:rsid w:val="00961E39"/>
    <w:rsid w:val="00961FDF"/>
    <w:rsid w:val="0096253B"/>
    <w:rsid w:val="00962567"/>
    <w:rsid w:val="00962CD9"/>
    <w:rsid w:val="00963124"/>
    <w:rsid w:val="00963766"/>
    <w:rsid w:val="00963B4E"/>
    <w:rsid w:val="009643B1"/>
    <w:rsid w:val="00964434"/>
    <w:rsid w:val="00964CA1"/>
    <w:rsid w:val="00965250"/>
    <w:rsid w:val="0096546E"/>
    <w:rsid w:val="009654BC"/>
    <w:rsid w:val="00965624"/>
    <w:rsid w:val="0096576F"/>
    <w:rsid w:val="009657F0"/>
    <w:rsid w:val="00966040"/>
    <w:rsid w:val="009665C7"/>
    <w:rsid w:val="009666E3"/>
    <w:rsid w:val="009669F5"/>
    <w:rsid w:val="00966CD2"/>
    <w:rsid w:val="00966CE4"/>
    <w:rsid w:val="00966DFD"/>
    <w:rsid w:val="00966EEE"/>
    <w:rsid w:val="0096701D"/>
    <w:rsid w:val="00967052"/>
    <w:rsid w:val="0096733D"/>
    <w:rsid w:val="009673C5"/>
    <w:rsid w:val="0096755F"/>
    <w:rsid w:val="00967D57"/>
    <w:rsid w:val="00967E9D"/>
    <w:rsid w:val="009702B5"/>
    <w:rsid w:val="00970364"/>
    <w:rsid w:val="009707DF"/>
    <w:rsid w:val="00970D7F"/>
    <w:rsid w:val="00970DFF"/>
    <w:rsid w:val="00971101"/>
    <w:rsid w:val="00971130"/>
    <w:rsid w:val="00971139"/>
    <w:rsid w:val="009712FC"/>
    <w:rsid w:val="00971429"/>
    <w:rsid w:val="00971466"/>
    <w:rsid w:val="0097149A"/>
    <w:rsid w:val="009715BF"/>
    <w:rsid w:val="009716CA"/>
    <w:rsid w:val="0097180A"/>
    <w:rsid w:val="00971E06"/>
    <w:rsid w:val="00971FF7"/>
    <w:rsid w:val="009721D4"/>
    <w:rsid w:val="00972397"/>
    <w:rsid w:val="009726F6"/>
    <w:rsid w:val="00972B4B"/>
    <w:rsid w:val="00972F21"/>
    <w:rsid w:val="00973267"/>
    <w:rsid w:val="009735DC"/>
    <w:rsid w:val="0097398A"/>
    <w:rsid w:val="00973E3F"/>
    <w:rsid w:val="00973FF8"/>
    <w:rsid w:val="00974065"/>
    <w:rsid w:val="00974500"/>
    <w:rsid w:val="00974538"/>
    <w:rsid w:val="0097466C"/>
    <w:rsid w:val="0097488E"/>
    <w:rsid w:val="00974956"/>
    <w:rsid w:val="00974B80"/>
    <w:rsid w:val="00974C80"/>
    <w:rsid w:val="00974D4E"/>
    <w:rsid w:val="00975293"/>
    <w:rsid w:val="009755A9"/>
    <w:rsid w:val="0097599E"/>
    <w:rsid w:val="00975A4E"/>
    <w:rsid w:val="00975D3F"/>
    <w:rsid w:val="00975D7A"/>
    <w:rsid w:val="00976675"/>
    <w:rsid w:val="009766D7"/>
    <w:rsid w:val="009767A4"/>
    <w:rsid w:val="0097685A"/>
    <w:rsid w:val="00976941"/>
    <w:rsid w:val="009769E1"/>
    <w:rsid w:val="00976A41"/>
    <w:rsid w:val="00976AA9"/>
    <w:rsid w:val="00976C77"/>
    <w:rsid w:val="00976CFC"/>
    <w:rsid w:val="009771F7"/>
    <w:rsid w:val="00977315"/>
    <w:rsid w:val="009776C2"/>
    <w:rsid w:val="00981011"/>
    <w:rsid w:val="009812BD"/>
    <w:rsid w:val="0098130F"/>
    <w:rsid w:val="009825CA"/>
    <w:rsid w:val="009826B6"/>
    <w:rsid w:val="009826BA"/>
    <w:rsid w:val="009826C8"/>
    <w:rsid w:val="00982BF4"/>
    <w:rsid w:val="009832E2"/>
    <w:rsid w:val="0098369A"/>
    <w:rsid w:val="00984008"/>
    <w:rsid w:val="009840AB"/>
    <w:rsid w:val="009842B1"/>
    <w:rsid w:val="00984634"/>
    <w:rsid w:val="00984B26"/>
    <w:rsid w:val="00984BFA"/>
    <w:rsid w:val="00984F30"/>
    <w:rsid w:val="0098547A"/>
    <w:rsid w:val="00985612"/>
    <w:rsid w:val="00985A85"/>
    <w:rsid w:val="00985B37"/>
    <w:rsid w:val="00985D4A"/>
    <w:rsid w:val="00985E5B"/>
    <w:rsid w:val="009860E1"/>
    <w:rsid w:val="009861EB"/>
    <w:rsid w:val="00986458"/>
    <w:rsid w:val="00986576"/>
    <w:rsid w:val="00986B7C"/>
    <w:rsid w:val="00986EFD"/>
    <w:rsid w:val="0098700B"/>
    <w:rsid w:val="009870BE"/>
    <w:rsid w:val="009871F4"/>
    <w:rsid w:val="00987E0B"/>
    <w:rsid w:val="00987F9A"/>
    <w:rsid w:val="0099043E"/>
    <w:rsid w:val="0099044C"/>
    <w:rsid w:val="00990848"/>
    <w:rsid w:val="009909B0"/>
    <w:rsid w:val="00990E96"/>
    <w:rsid w:val="00991072"/>
    <w:rsid w:val="0099119B"/>
    <w:rsid w:val="00991403"/>
    <w:rsid w:val="009915B4"/>
    <w:rsid w:val="0099194D"/>
    <w:rsid w:val="0099196C"/>
    <w:rsid w:val="00991985"/>
    <w:rsid w:val="00991EF8"/>
    <w:rsid w:val="00991F2E"/>
    <w:rsid w:val="0099252D"/>
    <w:rsid w:val="009926A3"/>
    <w:rsid w:val="00992A6B"/>
    <w:rsid w:val="00992CDB"/>
    <w:rsid w:val="0099300C"/>
    <w:rsid w:val="009932E0"/>
    <w:rsid w:val="00993605"/>
    <w:rsid w:val="00993ABB"/>
    <w:rsid w:val="00994076"/>
    <w:rsid w:val="009943D9"/>
    <w:rsid w:val="00994880"/>
    <w:rsid w:val="00994C85"/>
    <w:rsid w:val="00994CD2"/>
    <w:rsid w:val="00995132"/>
    <w:rsid w:val="0099535F"/>
    <w:rsid w:val="009954C5"/>
    <w:rsid w:val="0099550D"/>
    <w:rsid w:val="00995662"/>
    <w:rsid w:val="00995C38"/>
    <w:rsid w:val="0099624C"/>
    <w:rsid w:val="0099641E"/>
    <w:rsid w:val="00996499"/>
    <w:rsid w:val="0099687D"/>
    <w:rsid w:val="009968BD"/>
    <w:rsid w:val="00996AAC"/>
    <w:rsid w:val="00996C5F"/>
    <w:rsid w:val="00997460"/>
    <w:rsid w:val="009979FA"/>
    <w:rsid w:val="00997BE0"/>
    <w:rsid w:val="009A007E"/>
    <w:rsid w:val="009A0223"/>
    <w:rsid w:val="009A0723"/>
    <w:rsid w:val="009A0724"/>
    <w:rsid w:val="009A083B"/>
    <w:rsid w:val="009A08DA"/>
    <w:rsid w:val="009A09B1"/>
    <w:rsid w:val="009A0E82"/>
    <w:rsid w:val="009A10AF"/>
    <w:rsid w:val="009A1164"/>
    <w:rsid w:val="009A15C9"/>
    <w:rsid w:val="009A19D1"/>
    <w:rsid w:val="009A1A0D"/>
    <w:rsid w:val="009A1BCF"/>
    <w:rsid w:val="009A1DFD"/>
    <w:rsid w:val="009A22D6"/>
    <w:rsid w:val="009A27C6"/>
    <w:rsid w:val="009A27D7"/>
    <w:rsid w:val="009A27FF"/>
    <w:rsid w:val="009A28A5"/>
    <w:rsid w:val="009A2A4D"/>
    <w:rsid w:val="009A2D00"/>
    <w:rsid w:val="009A31C5"/>
    <w:rsid w:val="009A34CF"/>
    <w:rsid w:val="009A3696"/>
    <w:rsid w:val="009A384F"/>
    <w:rsid w:val="009A4547"/>
    <w:rsid w:val="009A4959"/>
    <w:rsid w:val="009A4E3B"/>
    <w:rsid w:val="009A51EA"/>
    <w:rsid w:val="009A526C"/>
    <w:rsid w:val="009A544F"/>
    <w:rsid w:val="009A5A7F"/>
    <w:rsid w:val="009A5EA4"/>
    <w:rsid w:val="009A60AB"/>
    <w:rsid w:val="009A619B"/>
    <w:rsid w:val="009A67CA"/>
    <w:rsid w:val="009A69FA"/>
    <w:rsid w:val="009A6B6C"/>
    <w:rsid w:val="009A6BA4"/>
    <w:rsid w:val="009A6E36"/>
    <w:rsid w:val="009A741A"/>
    <w:rsid w:val="009A791E"/>
    <w:rsid w:val="009A7D59"/>
    <w:rsid w:val="009A7EE8"/>
    <w:rsid w:val="009B0324"/>
    <w:rsid w:val="009B0717"/>
    <w:rsid w:val="009B08B6"/>
    <w:rsid w:val="009B0D2E"/>
    <w:rsid w:val="009B11FA"/>
    <w:rsid w:val="009B13DE"/>
    <w:rsid w:val="009B15DD"/>
    <w:rsid w:val="009B1612"/>
    <w:rsid w:val="009B1653"/>
    <w:rsid w:val="009B18A6"/>
    <w:rsid w:val="009B1EB3"/>
    <w:rsid w:val="009B2114"/>
    <w:rsid w:val="009B217B"/>
    <w:rsid w:val="009B268F"/>
    <w:rsid w:val="009B2816"/>
    <w:rsid w:val="009B2833"/>
    <w:rsid w:val="009B28AD"/>
    <w:rsid w:val="009B2AD2"/>
    <w:rsid w:val="009B2B95"/>
    <w:rsid w:val="009B2BC1"/>
    <w:rsid w:val="009B2C71"/>
    <w:rsid w:val="009B34D9"/>
    <w:rsid w:val="009B3523"/>
    <w:rsid w:val="009B358E"/>
    <w:rsid w:val="009B3792"/>
    <w:rsid w:val="009B39D4"/>
    <w:rsid w:val="009B3A55"/>
    <w:rsid w:val="009B3C38"/>
    <w:rsid w:val="009B3D34"/>
    <w:rsid w:val="009B3EDA"/>
    <w:rsid w:val="009B3FE8"/>
    <w:rsid w:val="009B42AC"/>
    <w:rsid w:val="009B42EA"/>
    <w:rsid w:val="009B48CF"/>
    <w:rsid w:val="009B4AC7"/>
    <w:rsid w:val="009B51F6"/>
    <w:rsid w:val="009B5A46"/>
    <w:rsid w:val="009B60A6"/>
    <w:rsid w:val="009B610E"/>
    <w:rsid w:val="009B6124"/>
    <w:rsid w:val="009B6285"/>
    <w:rsid w:val="009B66F9"/>
    <w:rsid w:val="009B6A2B"/>
    <w:rsid w:val="009B6AAF"/>
    <w:rsid w:val="009B70CC"/>
    <w:rsid w:val="009B70F7"/>
    <w:rsid w:val="009B735D"/>
    <w:rsid w:val="009B74DD"/>
    <w:rsid w:val="009B7698"/>
    <w:rsid w:val="009B7866"/>
    <w:rsid w:val="009B790F"/>
    <w:rsid w:val="009B7B68"/>
    <w:rsid w:val="009B7BA9"/>
    <w:rsid w:val="009C0107"/>
    <w:rsid w:val="009C026A"/>
    <w:rsid w:val="009C028E"/>
    <w:rsid w:val="009C0315"/>
    <w:rsid w:val="009C061E"/>
    <w:rsid w:val="009C066D"/>
    <w:rsid w:val="009C075B"/>
    <w:rsid w:val="009C07E6"/>
    <w:rsid w:val="009C093E"/>
    <w:rsid w:val="009C112E"/>
    <w:rsid w:val="009C1524"/>
    <w:rsid w:val="009C1B4F"/>
    <w:rsid w:val="009C1EB9"/>
    <w:rsid w:val="009C2097"/>
    <w:rsid w:val="009C2191"/>
    <w:rsid w:val="009C2662"/>
    <w:rsid w:val="009C28CC"/>
    <w:rsid w:val="009C2FB2"/>
    <w:rsid w:val="009C3361"/>
    <w:rsid w:val="009C3408"/>
    <w:rsid w:val="009C359D"/>
    <w:rsid w:val="009C3633"/>
    <w:rsid w:val="009C38F6"/>
    <w:rsid w:val="009C3A9E"/>
    <w:rsid w:val="009C3E9A"/>
    <w:rsid w:val="009C4688"/>
    <w:rsid w:val="009C4C83"/>
    <w:rsid w:val="009C5262"/>
    <w:rsid w:val="009C53F1"/>
    <w:rsid w:val="009C5BBB"/>
    <w:rsid w:val="009C5DA7"/>
    <w:rsid w:val="009C5E42"/>
    <w:rsid w:val="009C663F"/>
    <w:rsid w:val="009C6824"/>
    <w:rsid w:val="009C6B62"/>
    <w:rsid w:val="009C6EC9"/>
    <w:rsid w:val="009C6FE2"/>
    <w:rsid w:val="009C7142"/>
    <w:rsid w:val="009C7744"/>
    <w:rsid w:val="009C7767"/>
    <w:rsid w:val="009C77C7"/>
    <w:rsid w:val="009D0151"/>
    <w:rsid w:val="009D0291"/>
    <w:rsid w:val="009D0477"/>
    <w:rsid w:val="009D06E5"/>
    <w:rsid w:val="009D08A3"/>
    <w:rsid w:val="009D0935"/>
    <w:rsid w:val="009D0B3C"/>
    <w:rsid w:val="009D0CE1"/>
    <w:rsid w:val="009D0E19"/>
    <w:rsid w:val="009D0F57"/>
    <w:rsid w:val="009D0FE3"/>
    <w:rsid w:val="009D1057"/>
    <w:rsid w:val="009D13C6"/>
    <w:rsid w:val="009D1563"/>
    <w:rsid w:val="009D1642"/>
    <w:rsid w:val="009D19C6"/>
    <w:rsid w:val="009D1C97"/>
    <w:rsid w:val="009D1DAD"/>
    <w:rsid w:val="009D2393"/>
    <w:rsid w:val="009D2731"/>
    <w:rsid w:val="009D2A11"/>
    <w:rsid w:val="009D2ADC"/>
    <w:rsid w:val="009D2C36"/>
    <w:rsid w:val="009D39D7"/>
    <w:rsid w:val="009D3A21"/>
    <w:rsid w:val="009D3B81"/>
    <w:rsid w:val="009D3BB4"/>
    <w:rsid w:val="009D3BBF"/>
    <w:rsid w:val="009D417F"/>
    <w:rsid w:val="009D42BC"/>
    <w:rsid w:val="009D491B"/>
    <w:rsid w:val="009D4942"/>
    <w:rsid w:val="009D4D00"/>
    <w:rsid w:val="009D4EE6"/>
    <w:rsid w:val="009D522F"/>
    <w:rsid w:val="009D53AD"/>
    <w:rsid w:val="009D53FC"/>
    <w:rsid w:val="009D55D7"/>
    <w:rsid w:val="009D58D0"/>
    <w:rsid w:val="009D5BF2"/>
    <w:rsid w:val="009D5F17"/>
    <w:rsid w:val="009D6173"/>
    <w:rsid w:val="009D62B6"/>
    <w:rsid w:val="009D6571"/>
    <w:rsid w:val="009D65DC"/>
    <w:rsid w:val="009D661A"/>
    <w:rsid w:val="009D668C"/>
    <w:rsid w:val="009D6AA0"/>
    <w:rsid w:val="009D6B5D"/>
    <w:rsid w:val="009D7238"/>
    <w:rsid w:val="009D742D"/>
    <w:rsid w:val="009D7BCD"/>
    <w:rsid w:val="009D7FD8"/>
    <w:rsid w:val="009E0405"/>
    <w:rsid w:val="009E0491"/>
    <w:rsid w:val="009E05D2"/>
    <w:rsid w:val="009E0637"/>
    <w:rsid w:val="009E0644"/>
    <w:rsid w:val="009E0A90"/>
    <w:rsid w:val="009E0DC7"/>
    <w:rsid w:val="009E1072"/>
    <w:rsid w:val="009E10DF"/>
    <w:rsid w:val="009E12D4"/>
    <w:rsid w:val="009E1315"/>
    <w:rsid w:val="009E1495"/>
    <w:rsid w:val="009E1788"/>
    <w:rsid w:val="009E1B87"/>
    <w:rsid w:val="009E1E24"/>
    <w:rsid w:val="009E1F74"/>
    <w:rsid w:val="009E220E"/>
    <w:rsid w:val="009E254F"/>
    <w:rsid w:val="009E27D6"/>
    <w:rsid w:val="009E2848"/>
    <w:rsid w:val="009E2CC7"/>
    <w:rsid w:val="009E32B7"/>
    <w:rsid w:val="009E37D1"/>
    <w:rsid w:val="009E4226"/>
    <w:rsid w:val="009E4303"/>
    <w:rsid w:val="009E449B"/>
    <w:rsid w:val="009E47B0"/>
    <w:rsid w:val="009E4D4B"/>
    <w:rsid w:val="009E5030"/>
    <w:rsid w:val="009E544F"/>
    <w:rsid w:val="009E54BA"/>
    <w:rsid w:val="009E56A0"/>
    <w:rsid w:val="009E5A61"/>
    <w:rsid w:val="009E5D0E"/>
    <w:rsid w:val="009E626C"/>
    <w:rsid w:val="009E6699"/>
    <w:rsid w:val="009E681C"/>
    <w:rsid w:val="009E68E7"/>
    <w:rsid w:val="009E6A1D"/>
    <w:rsid w:val="009E6DF7"/>
    <w:rsid w:val="009E7017"/>
    <w:rsid w:val="009E7127"/>
    <w:rsid w:val="009E77D4"/>
    <w:rsid w:val="009E7D90"/>
    <w:rsid w:val="009F0080"/>
    <w:rsid w:val="009F0409"/>
    <w:rsid w:val="009F0564"/>
    <w:rsid w:val="009F07FD"/>
    <w:rsid w:val="009F086D"/>
    <w:rsid w:val="009F0D6B"/>
    <w:rsid w:val="009F0E21"/>
    <w:rsid w:val="009F0E2C"/>
    <w:rsid w:val="009F10F7"/>
    <w:rsid w:val="009F1555"/>
    <w:rsid w:val="009F157F"/>
    <w:rsid w:val="009F1A49"/>
    <w:rsid w:val="009F2085"/>
    <w:rsid w:val="009F2A90"/>
    <w:rsid w:val="009F2EA5"/>
    <w:rsid w:val="009F31A7"/>
    <w:rsid w:val="009F333A"/>
    <w:rsid w:val="009F35A4"/>
    <w:rsid w:val="009F3671"/>
    <w:rsid w:val="009F3709"/>
    <w:rsid w:val="009F3984"/>
    <w:rsid w:val="009F3AAD"/>
    <w:rsid w:val="009F3C2D"/>
    <w:rsid w:val="009F3CB7"/>
    <w:rsid w:val="009F40A9"/>
    <w:rsid w:val="009F40EA"/>
    <w:rsid w:val="009F4343"/>
    <w:rsid w:val="009F437E"/>
    <w:rsid w:val="009F43B2"/>
    <w:rsid w:val="009F4468"/>
    <w:rsid w:val="009F4775"/>
    <w:rsid w:val="009F47A4"/>
    <w:rsid w:val="009F4A50"/>
    <w:rsid w:val="009F4F3F"/>
    <w:rsid w:val="009F5558"/>
    <w:rsid w:val="009F577C"/>
    <w:rsid w:val="009F5B18"/>
    <w:rsid w:val="009F5EF1"/>
    <w:rsid w:val="009F6025"/>
    <w:rsid w:val="009F615B"/>
    <w:rsid w:val="009F621D"/>
    <w:rsid w:val="009F6551"/>
    <w:rsid w:val="009F6752"/>
    <w:rsid w:val="009F677F"/>
    <w:rsid w:val="009F68C7"/>
    <w:rsid w:val="009F69B3"/>
    <w:rsid w:val="009F6EA7"/>
    <w:rsid w:val="009F6FEE"/>
    <w:rsid w:val="009F7570"/>
    <w:rsid w:val="009F7614"/>
    <w:rsid w:val="009F7635"/>
    <w:rsid w:val="009F7C47"/>
    <w:rsid w:val="009F7F9E"/>
    <w:rsid w:val="009F7FC1"/>
    <w:rsid w:val="00A00123"/>
    <w:rsid w:val="00A0089F"/>
    <w:rsid w:val="00A00A33"/>
    <w:rsid w:val="00A00B40"/>
    <w:rsid w:val="00A00C7C"/>
    <w:rsid w:val="00A010F4"/>
    <w:rsid w:val="00A011D7"/>
    <w:rsid w:val="00A01448"/>
    <w:rsid w:val="00A0152C"/>
    <w:rsid w:val="00A019E8"/>
    <w:rsid w:val="00A01A90"/>
    <w:rsid w:val="00A01A93"/>
    <w:rsid w:val="00A01D26"/>
    <w:rsid w:val="00A01D2C"/>
    <w:rsid w:val="00A01D9D"/>
    <w:rsid w:val="00A01EE7"/>
    <w:rsid w:val="00A01EF6"/>
    <w:rsid w:val="00A0253D"/>
    <w:rsid w:val="00A025A9"/>
    <w:rsid w:val="00A0269E"/>
    <w:rsid w:val="00A027D2"/>
    <w:rsid w:val="00A02E73"/>
    <w:rsid w:val="00A02E8A"/>
    <w:rsid w:val="00A02ECA"/>
    <w:rsid w:val="00A030C5"/>
    <w:rsid w:val="00A03614"/>
    <w:rsid w:val="00A03A89"/>
    <w:rsid w:val="00A03B67"/>
    <w:rsid w:val="00A03FB6"/>
    <w:rsid w:val="00A04456"/>
    <w:rsid w:val="00A04860"/>
    <w:rsid w:val="00A0488A"/>
    <w:rsid w:val="00A0490C"/>
    <w:rsid w:val="00A049E6"/>
    <w:rsid w:val="00A04F15"/>
    <w:rsid w:val="00A04F5A"/>
    <w:rsid w:val="00A05606"/>
    <w:rsid w:val="00A056B5"/>
    <w:rsid w:val="00A056BD"/>
    <w:rsid w:val="00A058AD"/>
    <w:rsid w:val="00A058C4"/>
    <w:rsid w:val="00A05C6E"/>
    <w:rsid w:val="00A05D11"/>
    <w:rsid w:val="00A05DBE"/>
    <w:rsid w:val="00A05F80"/>
    <w:rsid w:val="00A06807"/>
    <w:rsid w:val="00A06ED3"/>
    <w:rsid w:val="00A06F73"/>
    <w:rsid w:val="00A076E4"/>
    <w:rsid w:val="00A10032"/>
    <w:rsid w:val="00A10652"/>
    <w:rsid w:val="00A108DD"/>
    <w:rsid w:val="00A10C3E"/>
    <w:rsid w:val="00A10D4B"/>
    <w:rsid w:val="00A11068"/>
    <w:rsid w:val="00A11132"/>
    <w:rsid w:val="00A11369"/>
    <w:rsid w:val="00A11425"/>
    <w:rsid w:val="00A11615"/>
    <w:rsid w:val="00A125FC"/>
    <w:rsid w:val="00A12815"/>
    <w:rsid w:val="00A1284F"/>
    <w:rsid w:val="00A1286C"/>
    <w:rsid w:val="00A1288B"/>
    <w:rsid w:val="00A12A2C"/>
    <w:rsid w:val="00A13052"/>
    <w:rsid w:val="00A130DC"/>
    <w:rsid w:val="00A133A4"/>
    <w:rsid w:val="00A1369B"/>
    <w:rsid w:val="00A13B51"/>
    <w:rsid w:val="00A13B64"/>
    <w:rsid w:val="00A13D42"/>
    <w:rsid w:val="00A14200"/>
    <w:rsid w:val="00A14230"/>
    <w:rsid w:val="00A1455D"/>
    <w:rsid w:val="00A145B4"/>
    <w:rsid w:val="00A14843"/>
    <w:rsid w:val="00A159B0"/>
    <w:rsid w:val="00A15A2C"/>
    <w:rsid w:val="00A15ECC"/>
    <w:rsid w:val="00A1602D"/>
    <w:rsid w:val="00A16132"/>
    <w:rsid w:val="00A16857"/>
    <w:rsid w:val="00A16EE6"/>
    <w:rsid w:val="00A175F6"/>
    <w:rsid w:val="00A17701"/>
    <w:rsid w:val="00A17967"/>
    <w:rsid w:val="00A20073"/>
    <w:rsid w:val="00A201E1"/>
    <w:rsid w:val="00A20519"/>
    <w:rsid w:val="00A2078D"/>
    <w:rsid w:val="00A21282"/>
    <w:rsid w:val="00A2156D"/>
    <w:rsid w:val="00A21C45"/>
    <w:rsid w:val="00A21D29"/>
    <w:rsid w:val="00A21F5E"/>
    <w:rsid w:val="00A22A59"/>
    <w:rsid w:val="00A22BCD"/>
    <w:rsid w:val="00A22E8A"/>
    <w:rsid w:val="00A23178"/>
    <w:rsid w:val="00A2341A"/>
    <w:rsid w:val="00A234A3"/>
    <w:rsid w:val="00A23AAF"/>
    <w:rsid w:val="00A23D8D"/>
    <w:rsid w:val="00A23FF0"/>
    <w:rsid w:val="00A24299"/>
    <w:rsid w:val="00A24760"/>
    <w:rsid w:val="00A25281"/>
    <w:rsid w:val="00A25693"/>
    <w:rsid w:val="00A25A44"/>
    <w:rsid w:val="00A25ABC"/>
    <w:rsid w:val="00A25ACB"/>
    <w:rsid w:val="00A26235"/>
    <w:rsid w:val="00A2645F"/>
    <w:rsid w:val="00A265B5"/>
    <w:rsid w:val="00A269DC"/>
    <w:rsid w:val="00A26B32"/>
    <w:rsid w:val="00A26C97"/>
    <w:rsid w:val="00A26D1D"/>
    <w:rsid w:val="00A27089"/>
    <w:rsid w:val="00A2774B"/>
    <w:rsid w:val="00A27B43"/>
    <w:rsid w:val="00A27BEE"/>
    <w:rsid w:val="00A27C1B"/>
    <w:rsid w:val="00A27DFE"/>
    <w:rsid w:val="00A3069B"/>
    <w:rsid w:val="00A30A8B"/>
    <w:rsid w:val="00A30B29"/>
    <w:rsid w:val="00A30E86"/>
    <w:rsid w:val="00A30E9C"/>
    <w:rsid w:val="00A31A55"/>
    <w:rsid w:val="00A31FF6"/>
    <w:rsid w:val="00A3224D"/>
    <w:rsid w:val="00A323EB"/>
    <w:rsid w:val="00A3241B"/>
    <w:rsid w:val="00A32828"/>
    <w:rsid w:val="00A331AB"/>
    <w:rsid w:val="00A33722"/>
    <w:rsid w:val="00A339A4"/>
    <w:rsid w:val="00A33A1F"/>
    <w:rsid w:val="00A33B3A"/>
    <w:rsid w:val="00A33B60"/>
    <w:rsid w:val="00A33DBA"/>
    <w:rsid w:val="00A33F19"/>
    <w:rsid w:val="00A3404E"/>
    <w:rsid w:val="00A342FB"/>
    <w:rsid w:val="00A34332"/>
    <w:rsid w:val="00A347E7"/>
    <w:rsid w:val="00A34853"/>
    <w:rsid w:val="00A34869"/>
    <w:rsid w:val="00A348F0"/>
    <w:rsid w:val="00A34AED"/>
    <w:rsid w:val="00A34CCE"/>
    <w:rsid w:val="00A34D8B"/>
    <w:rsid w:val="00A35220"/>
    <w:rsid w:val="00A352EA"/>
    <w:rsid w:val="00A358FC"/>
    <w:rsid w:val="00A35B5C"/>
    <w:rsid w:val="00A35C35"/>
    <w:rsid w:val="00A360CA"/>
    <w:rsid w:val="00A36446"/>
    <w:rsid w:val="00A36480"/>
    <w:rsid w:val="00A365B7"/>
    <w:rsid w:val="00A366F3"/>
    <w:rsid w:val="00A36750"/>
    <w:rsid w:val="00A3685A"/>
    <w:rsid w:val="00A369C0"/>
    <w:rsid w:val="00A36EF7"/>
    <w:rsid w:val="00A36F0D"/>
    <w:rsid w:val="00A36FB7"/>
    <w:rsid w:val="00A3746C"/>
    <w:rsid w:val="00A37744"/>
    <w:rsid w:val="00A37AB7"/>
    <w:rsid w:val="00A37F3D"/>
    <w:rsid w:val="00A4029D"/>
    <w:rsid w:val="00A40510"/>
    <w:rsid w:val="00A4113E"/>
    <w:rsid w:val="00A4144D"/>
    <w:rsid w:val="00A41486"/>
    <w:rsid w:val="00A41530"/>
    <w:rsid w:val="00A41679"/>
    <w:rsid w:val="00A41742"/>
    <w:rsid w:val="00A41C50"/>
    <w:rsid w:val="00A41E8B"/>
    <w:rsid w:val="00A42055"/>
    <w:rsid w:val="00A4236C"/>
    <w:rsid w:val="00A424FD"/>
    <w:rsid w:val="00A42672"/>
    <w:rsid w:val="00A42EAB"/>
    <w:rsid w:val="00A42EF9"/>
    <w:rsid w:val="00A42FF3"/>
    <w:rsid w:val="00A433F8"/>
    <w:rsid w:val="00A43A81"/>
    <w:rsid w:val="00A44302"/>
    <w:rsid w:val="00A4447E"/>
    <w:rsid w:val="00A44668"/>
    <w:rsid w:val="00A448A0"/>
    <w:rsid w:val="00A44939"/>
    <w:rsid w:val="00A44965"/>
    <w:rsid w:val="00A44B9B"/>
    <w:rsid w:val="00A44E51"/>
    <w:rsid w:val="00A44FEA"/>
    <w:rsid w:val="00A451A2"/>
    <w:rsid w:val="00A45440"/>
    <w:rsid w:val="00A45C87"/>
    <w:rsid w:val="00A45DDF"/>
    <w:rsid w:val="00A46582"/>
    <w:rsid w:val="00A46601"/>
    <w:rsid w:val="00A46A3B"/>
    <w:rsid w:val="00A46B9C"/>
    <w:rsid w:val="00A47932"/>
    <w:rsid w:val="00A502CD"/>
    <w:rsid w:val="00A502E6"/>
    <w:rsid w:val="00A50992"/>
    <w:rsid w:val="00A50A77"/>
    <w:rsid w:val="00A50F79"/>
    <w:rsid w:val="00A50FF9"/>
    <w:rsid w:val="00A51015"/>
    <w:rsid w:val="00A51809"/>
    <w:rsid w:val="00A519E3"/>
    <w:rsid w:val="00A51D47"/>
    <w:rsid w:val="00A52089"/>
    <w:rsid w:val="00A52096"/>
    <w:rsid w:val="00A52419"/>
    <w:rsid w:val="00A524EF"/>
    <w:rsid w:val="00A52535"/>
    <w:rsid w:val="00A5280F"/>
    <w:rsid w:val="00A5288A"/>
    <w:rsid w:val="00A528A8"/>
    <w:rsid w:val="00A53BE3"/>
    <w:rsid w:val="00A53DB7"/>
    <w:rsid w:val="00A53E7D"/>
    <w:rsid w:val="00A54148"/>
    <w:rsid w:val="00A54203"/>
    <w:rsid w:val="00A54468"/>
    <w:rsid w:val="00A545A4"/>
    <w:rsid w:val="00A54812"/>
    <w:rsid w:val="00A549A5"/>
    <w:rsid w:val="00A549E5"/>
    <w:rsid w:val="00A54D64"/>
    <w:rsid w:val="00A54DA4"/>
    <w:rsid w:val="00A54ED2"/>
    <w:rsid w:val="00A55715"/>
    <w:rsid w:val="00A55783"/>
    <w:rsid w:val="00A55E26"/>
    <w:rsid w:val="00A55EA2"/>
    <w:rsid w:val="00A5635D"/>
    <w:rsid w:val="00A5677E"/>
    <w:rsid w:val="00A56AF1"/>
    <w:rsid w:val="00A5700E"/>
    <w:rsid w:val="00A5786F"/>
    <w:rsid w:val="00A5796F"/>
    <w:rsid w:val="00A57CB9"/>
    <w:rsid w:val="00A6016C"/>
    <w:rsid w:val="00A60218"/>
    <w:rsid w:val="00A6040E"/>
    <w:rsid w:val="00A6089A"/>
    <w:rsid w:val="00A60FF9"/>
    <w:rsid w:val="00A610AD"/>
    <w:rsid w:val="00A610DB"/>
    <w:rsid w:val="00A6131D"/>
    <w:rsid w:val="00A615BC"/>
    <w:rsid w:val="00A61624"/>
    <w:rsid w:val="00A61961"/>
    <w:rsid w:val="00A61A37"/>
    <w:rsid w:val="00A61C9A"/>
    <w:rsid w:val="00A61CCD"/>
    <w:rsid w:val="00A621F9"/>
    <w:rsid w:val="00A62509"/>
    <w:rsid w:val="00A62C38"/>
    <w:rsid w:val="00A62CD0"/>
    <w:rsid w:val="00A63809"/>
    <w:rsid w:val="00A63822"/>
    <w:rsid w:val="00A63957"/>
    <w:rsid w:val="00A63B84"/>
    <w:rsid w:val="00A63D5A"/>
    <w:rsid w:val="00A63E79"/>
    <w:rsid w:val="00A63FAD"/>
    <w:rsid w:val="00A63FF1"/>
    <w:rsid w:val="00A64037"/>
    <w:rsid w:val="00A640C5"/>
    <w:rsid w:val="00A6451B"/>
    <w:rsid w:val="00A647ED"/>
    <w:rsid w:val="00A64ACC"/>
    <w:rsid w:val="00A64E64"/>
    <w:rsid w:val="00A64F11"/>
    <w:rsid w:val="00A65098"/>
    <w:rsid w:val="00A65192"/>
    <w:rsid w:val="00A65507"/>
    <w:rsid w:val="00A656FB"/>
    <w:rsid w:val="00A65739"/>
    <w:rsid w:val="00A65873"/>
    <w:rsid w:val="00A6592D"/>
    <w:rsid w:val="00A65989"/>
    <w:rsid w:val="00A65A5D"/>
    <w:rsid w:val="00A65B80"/>
    <w:rsid w:val="00A65DD1"/>
    <w:rsid w:val="00A65F4D"/>
    <w:rsid w:val="00A66033"/>
    <w:rsid w:val="00A6662A"/>
    <w:rsid w:val="00A66682"/>
    <w:rsid w:val="00A668C1"/>
    <w:rsid w:val="00A66997"/>
    <w:rsid w:val="00A66B31"/>
    <w:rsid w:val="00A66D10"/>
    <w:rsid w:val="00A67369"/>
    <w:rsid w:val="00A673A6"/>
    <w:rsid w:val="00A67712"/>
    <w:rsid w:val="00A67847"/>
    <w:rsid w:val="00A67EE6"/>
    <w:rsid w:val="00A67FF9"/>
    <w:rsid w:val="00A7057E"/>
    <w:rsid w:val="00A70618"/>
    <w:rsid w:val="00A70A30"/>
    <w:rsid w:val="00A70AB7"/>
    <w:rsid w:val="00A70B23"/>
    <w:rsid w:val="00A70BB0"/>
    <w:rsid w:val="00A70EB7"/>
    <w:rsid w:val="00A712DF"/>
    <w:rsid w:val="00A716A4"/>
    <w:rsid w:val="00A717C1"/>
    <w:rsid w:val="00A71C1A"/>
    <w:rsid w:val="00A71D71"/>
    <w:rsid w:val="00A7249B"/>
    <w:rsid w:val="00A72776"/>
    <w:rsid w:val="00A72BAD"/>
    <w:rsid w:val="00A72BF2"/>
    <w:rsid w:val="00A7329C"/>
    <w:rsid w:val="00A734A7"/>
    <w:rsid w:val="00A734C4"/>
    <w:rsid w:val="00A73845"/>
    <w:rsid w:val="00A7386C"/>
    <w:rsid w:val="00A73CAD"/>
    <w:rsid w:val="00A73CFF"/>
    <w:rsid w:val="00A73D19"/>
    <w:rsid w:val="00A73E89"/>
    <w:rsid w:val="00A742BF"/>
    <w:rsid w:val="00A7437D"/>
    <w:rsid w:val="00A743DE"/>
    <w:rsid w:val="00A74957"/>
    <w:rsid w:val="00A74CFA"/>
    <w:rsid w:val="00A74E75"/>
    <w:rsid w:val="00A74EB7"/>
    <w:rsid w:val="00A7575B"/>
    <w:rsid w:val="00A75FF5"/>
    <w:rsid w:val="00A76152"/>
    <w:rsid w:val="00A76344"/>
    <w:rsid w:val="00A765CB"/>
    <w:rsid w:val="00A7662F"/>
    <w:rsid w:val="00A76713"/>
    <w:rsid w:val="00A76949"/>
    <w:rsid w:val="00A76A72"/>
    <w:rsid w:val="00A77033"/>
    <w:rsid w:val="00A77095"/>
    <w:rsid w:val="00A772C5"/>
    <w:rsid w:val="00A77437"/>
    <w:rsid w:val="00A777A3"/>
    <w:rsid w:val="00A77AAA"/>
    <w:rsid w:val="00A77B25"/>
    <w:rsid w:val="00A77B74"/>
    <w:rsid w:val="00A80B62"/>
    <w:rsid w:val="00A80E61"/>
    <w:rsid w:val="00A811AA"/>
    <w:rsid w:val="00A81860"/>
    <w:rsid w:val="00A81A51"/>
    <w:rsid w:val="00A81AC0"/>
    <w:rsid w:val="00A81AF5"/>
    <w:rsid w:val="00A81CFE"/>
    <w:rsid w:val="00A81FD8"/>
    <w:rsid w:val="00A821F0"/>
    <w:rsid w:val="00A822C4"/>
    <w:rsid w:val="00A823E8"/>
    <w:rsid w:val="00A824F2"/>
    <w:rsid w:val="00A8258F"/>
    <w:rsid w:val="00A82BD0"/>
    <w:rsid w:val="00A82C6A"/>
    <w:rsid w:val="00A82D03"/>
    <w:rsid w:val="00A82D8C"/>
    <w:rsid w:val="00A83849"/>
    <w:rsid w:val="00A8391A"/>
    <w:rsid w:val="00A83DAC"/>
    <w:rsid w:val="00A83EDA"/>
    <w:rsid w:val="00A840F9"/>
    <w:rsid w:val="00A8419A"/>
    <w:rsid w:val="00A84208"/>
    <w:rsid w:val="00A843B1"/>
    <w:rsid w:val="00A84873"/>
    <w:rsid w:val="00A848EB"/>
    <w:rsid w:val="00A849AA"/>
    <w:rsid w:val="00A849E9"/>
    <w:rsid w:val="00A849EB"/>
    <w:rsid w:val="00A84BF8"/>
    <w:rsid w:val="00A84D12"/>
    <w:rsid w:val="00A84EF7"/>
    <w:rsid w:val="00A85818"/>
    <w:rsid w:val="00A85CB6"/>
    <w:rsid w:val="00A85CCD"/>
    <w:rsid w:val="00A86007"/>
    <w:rsid w:val="00A86217"/>
    <w:rsid w:val="00A865A8"/>
    <w:rsid w:val="00A866E3"/>
    <w:rsid w:val="00A86E7B"/>
    <w:rsid w:val="00A87778"/>
    <w:rsid w:val="00A8783B"/>
    <w:rsid w:val="00A90862"/>
    <w:rsid w:val="00A90BEC"/>
    <w:rsid w:val="00A90F70"/>
    <w:rsid w:val="00A914C5"/>
    <w:rsid w:val="00A9180A"/>
    <w:rsid w:val="00A91852"/>
    <w:rsid w:val="00A9291A"/>
    <w:rsid w:val="00A92D15"/>
    <w:rsid w:val="00A93668"/>
    <w:rsid w:val="00A93AF7"/>
    <w:rsid w:val="00A93D28"/>
    <w:rsid w:val="00A94C19"/>
    <w:rsid w:val="00A94DA4"/>
    <w:rsid w:val="00A94EAA"/>
    <w:rsid w:val="00A95234"/>
    <w:rsid w:val="00A952E0"/>
    <w:rsid w:val="00A952FE"/>
    <w:rsid w:val="00A953FC"/>
    <w:rsid w:val="00A95929"/>
    <w:rsid w:val="00A95AAE"/>
    <w:rsid w:val="00A95B14"/>
    <w:rsid w:val="00A95D6D"/>
    <w:rsid w:val="00A9607E"/>
    <w:rsid w:val="00A96348"/>
    <w:rsid w:val="00A9682A"/>
    <w:rsid w:val="00A96B87"/>
    <w:rsid w:val="00A96BA2"/>
    <w:rsid w:val="00A96D83"/>
    <w:rsid w:val="00AA023B"/>
    <w:rsid w:val="00AA06A7"/>
    <w:rsid w:val="00AA0C06"/>
    <w:rsid w:val="00AA0C63"/>
    <w:rsid w:val="00AA1033"/>
    <w:rsid w:val="00AA11F1"/>
    <w:rsid w:val="00AA165F"/>
    <w:rsid w:val="00AA17FA"/>
    <w:rsid w:val="00AA1C37"/>
    <w:rsid w:val="00AA1E93"/>
    <w:rsid w:val="00AA220E"/>
    <w:rsid w:val="00AA236C"/>
    <w:rsid w:val="00AA2395"/>
    <w:rsid w:val="00AA2431"/>
    <w:rsid w:val="00AA2473"/>
    <w:rsid w:val="00AA2495"/>
    <w:rsid w:val="00AA25E6"/>
    <w:rsid w:val="00AA2865"/>
    <w:rsid w:val="00AA2F72"/>
    <w:rsid w:val="00AA30E1"/>
    <w:rsid w:val="00AA31CD"/>
    <w:rsid w:val="00AA349F"/>
    <w:rsid w:val="00AA376C"/>
    <w:rsid w:val="00AA395A"/>
    <w:rsid w:val="00AA3B13"/>
    <w:rsid w:val="00AA3EF0"/>
    <w:rsid w:val="00AA40E1"/>
    <w:rsid w:val="00AA4403"/>
    <w:rsid w:val="00AA47A8"/>
    <w:rsid w:val="00AA4E89"/>
    <w:rsid w:val="00AA5189"/>
    <w:rsid w:val="00AA5280"/>
    <w:rsid w:val="00AA53A5"/>
    <w:rsid w:val="00AA581A"/>
    <w:rsid w:val="00AA60BC"/>
    <w:rsid w:val="00AA62AA"/>
    <w:rsid w:val="00AA65D0"/>
    <w:rsid w:val="00AA6630"/>
    <w:rsid w:val="00AA6938"/>
    <w:rsid w:val="00AA69D9"/>
    <w:rsid w:val="00AA711F"/>
    <w:rsid w:val="00AA732B"/>
    <w:rsid w:val="00AA74CB"/>
    <w:rsid w:val="00AA7A26"/>
    <w:rsid w:val="00AB0499"/>
    <w:rsid w:val="00AB04E6"/>
    <w:rsid w:val="00AB05FD"/>
    <w:rsid w:val="00AB0657"/>
    <w:rsid w:val="00AB07B2"/>
    <w:rsid w:val="00AB08D3"/>
    <w:rsid w:val="00AB08DB"/>
    <w:rsid w:val="00AB08DD"/>
    <w:rsid w:val="00AB0E6E"/>
    <w:rsid w:val="00AB1A6E"/>
    <w:rsid w:val="00AB1BC5"/>
    <w:rsid w:val="00AB1E54"/>
    <w:rsid w:val="00AB239C"/>
    <w:rsid w:val="00AB258F"/>
    <w:rsid w:val="00AB29D5"/>
    <w:rsid w:val="00AB2D12"/>
    <w:rsid w:val="00AB3147"/>
    <w:rsid w:val="00AB363F"/>
    <w:rsid w:val="00AB36F6"/>
    <w:rsid w:val="00AB388C"/>
    <w:rsid w:val="00AB3CAB"/>
    <w:rsid w:val="00AB3F73"/>
    <w:rsid w:val="00AB422C"/>
    <w:rsid w:val="00AB4486"/>
    <w:rsid w:val="00AB479D"/>
    <w:rsid w:val="00AB4F46"/>
    <w:rsid w:val="00AB51CE"/>
    <w:rsid w:val="00AB533A"/>
    <w:rsid w:val="00AB57F1"/>
    <w:rsid w:val="00AB58D4"/>
    <w:rsid w:val="00AB5AE0"/>
    <w:rsid w:val="00AB5C76"/>
    <w:rsid w:val="00AB5DBD"/>
    <w:rsid w:val="00AB5DD6"/>
    <w:rsid w:val="00AB5FD9"/>
    <w:rsid w:val="00AB60F5"/>
    <w:rsid w:val="00AB64A0"/>
    <w:rsid w:val="00AB6860"/>
    <w:rsid w:val="00AB69BD"/>
    <w:rsid w:val="00AB6B2E"/>
    <w:rsid w:val="00AB6E0E"/>
    <w:rsid w:val="00AB6EA1"/>
    <w:rsid w:val="00AB7340"/>
    <w:rsid w:val="00AB7999"/>
    <w:rsid w:val="00AC0183"/>
    <w:rsid w:val="00AC061F"/>
    <w:rsid w:val="00AC065E"/>
    <w:rsid w:val="00AC0B80"/>
    <w:rsid w:val="00AC0BD4"/>
    <w:rsid w:val="00AC0C96"/>
    <w:rsid w:val="00AC0EB9"/>
    <w:rsid w:val="00AC1811"/>
    <w:rsid w:val="00AC1993"/>
    <w:rsid w:val="00AC1A6A"/>
    <w:rsid w:val="00AC222D"/>
    <w:rsid w:val="00AC2B1E"/>
    <w:rsid w:val="00AC2F61"/>
    <w:rsid w:val="00AC31F2"/>
    <w:rsid w:val="00AC3204"/>
    <w:rsid w:val="00AC3241"/>
    <w:rsid w:val="00AC35FB"/>
    <w:rsid w:val="00AC377E"/>
    <w:rsid w:val="00AC3857"/>
    <w:rsid w:val="00AC3A05"/>
    <w:rsid w:val="00AC3C4B"/>
    <w:rsid w:val="00AC3FB7"/>
    <w:rsid w:val="00AC43D2"/>
    <w:rsid w:val="00AC4786"/>
    <w:rsid w:val="00AC4828"/>
    <w:rsid w:val="00AC49FC"/>
    <w:rsid w:val="00AC4B04"/>
    <w:rsid w:val="00AC4D78"/>
    <w:rsid w:val="00AC51C7"/>
    <w:rsid w:val="00AC54A2"/>
    <w:rsid w:val="00AC5542"/>
    <w:rsid w:val="00AC599C"/>
    <w:rsid w:val="00AC5D4D"/>
    <w:rsid w:val="00AC5E3B"/>
    <w:rsid w:val="00AC5FB0"/>
    <w:rsid w:val="00AC6247"/>
    <w:rsid w:val="00AC6711"/>
    <w:rsid w:val="00AC6890"/>
    <w:rsid w:val="00AC6C19"/>
    <w:rsid w:val="00AC6C40"/>
    <w:rsid w:val="00AC6D1B"/>
    <w:rsid w:val="00AC6F16"/>
    <w:rsid w:val="00AC73A1"/>
    <w:rsid w:val="00AC7416"/>
    <w:rsid w:val="00AC75C0"/>
    <w:rsid w:val="00AC77F1"/>
    <w:rsid w:val="00AC7951"/>
    <w:rsid w:val="00AC7D66"/>
    <w:rsid w:val="00AD03D5"/>
    <w:rsid w:val="00AD04F3"/>
    <w:rsid w:val="00AD0652"/>
    <w:rsid w:val="00AD0DCE"/>
    <w:rsid w:val="00AD0EFA"/>
    <w:rsid w:val="00AD13F8"/>
    <w:rsid w:val="00AD15E0"/>
    <w:rsid w:val="00AD182E"/>
    <w:rsid w:val="00AD1A5A"/>
    <w:rsid w:val="00AD1B4E"/>
    <w:rsid w:val="00AD1D27"/>
    <w:rsid w:val="00AD203A"/>
    <w:rsid w:val="00AD20B7"/>
    <w:rsid w:val="00AD22DB"/>
    <w:rsid w:val="00AD2A27"/>
    <w:rsid w:val="00AD2FCB"/>
    <w:rsid w:val="00AD3275"/>
    <w:rsid w:val="00AD34A6"/>
    <w:rsid w:val="00AD35DF"/>
    <w:rsid w:val="00AD397A"/>
    <w:rsid w:val="00AD3A6B"/>
    <w:rsid w:val="00AD3C82"/>
    <w:rsid w:val="00AD3E4B"/>
    <w:rsid w:val="00AD3EE3"/>
    <w:rsid w:val="00AD4187"/>
    <w:rsid w:val="00AD437A"/>
    <w:rsid w:val="00AD4397"/>
    <w:rsid w:val="00AD451E"/>
    <w:rsid w:val="00AD4586"/>
    <w:rsid w:val="00AD45C3"/>
    <w:rsid w:val="00AD467A"/>
    <w:rsid w:val="00AD487B"/>
    <w:rsid w:val="00AD493B"/>
    <w:rsid w:val="00AD493F"/>
    <w:rsid w:val="00AD4A60"/>
    <w:rsid w:val="00AD4AD5"/>
    <w:rsid w:val="00AD4DE8"/>
    <w:rsid w:val="00AD5312"/>
    <w:rsid w:val="00AD539F"/>
    <w:rsid w:val="00AD53CF"/>
    <w:rsid w:val="00AD56D3"/>
    <w:rsid w:val="00AD5A4A"/>
    <w:rsid w:val="00AD5AFD"/>
    <w:rsid w:val="00AD5FF0"/>
    <w:rsid w:val="00AD60AF"/>
    <w:rsid w:val="00AD621A"/>
    <w:rsid w:val="00AD6E74"/>
    <w:rsid w:val="00AD6ED1"/>
    <w:rsid w:val="00AD725B"/>
    <w:rsid w:val="00AD782F"/>
    <w:rsid w:val="00AD78FB"/>
    <w:rsid w:val="00AD799A"/>
    <w:rsid w:val="00AD7C45"/>
    <w:rsid w:val="00AD7DB9"/>
    <w:rsid w:val="00AE0126"/>
    <w:rsid w:val="00AE0233"/>
    <w:rsid w:val="00AE040F"/>
    <w:rsid w:val="00AE05A5"/>
    <w:rsid w:val="00AE0D65"/>
    <w:rsid w:val="00AE0DFA"/>
    <w:rsid w:val="00AE165D"/>
    <w:rsid w:val="00AE1AFC"/>
    <w:rsid w:val="00AE1BB6"/>
    <w:rsid w:val="00AE1C44"/>
    <w:rsid w:val="00AE1C8D"/>
    <w:rsid w:val="00AE1E5A"/>
    <w:rsid w:val="00AE2222"/>
    <w:rsid w:val="00AE2548"/>
    <w:rsid w:val="00AE2915"/>
    <w:rsid w:val="00AE29DE"/>
    <w:rsid w:val="00AE2B7D"/>
    <w:rsid w:val="00AE313E"/>
    <w:rsid w:val="00AE31CF"/>
    <w:rsid w:val="00AE33DE"/>
    <w:rsid w:val="00AE3500"/>
    <w:rsid w:val="00AE35B4"/>
    <w:rsid w:val="00AE3914"/>
    <w:rsid w:val="00AE39E7"/>
    <w:rsid w:val="00AE3C75"/>
    <w:rsid w:val="00AE428C"/>
    <w:rsid w:val="00AE47E9"/>
    <w:rsid w:val="00AE493C"/>
    <w:rsid w:val="00AE4FAE"/>
    <w:rsid w:val="00AE50D2"/>
    <w:rsid w:val="00AE51D3"/>
    <w:rsid w:val="00AE55EF"/>
    <w:rsid w:val="00AE5C11"/>
    <w:rsid w:val="00AE5EFA"/>
    <w:rsid w:val="00AE61B3"/>
    <w:rsid w:val="00AE6AA3"/>
    <w:rsid w:val="00AE6C97"/>
    <w:rsid w:val="00AE70D4"/>
    <w:rsid w:val="00AE760B"/>
    <w:rsid w:val="00AE7DD1"/>
    <w:rsid w:val="00AE7F73"/>
    <w:rsid w:val="00AF02FC"/>
    <w:rsid w:val="00AF04B9"/>
    <w:rsid w:val="00AF05F7"/>
    <w:rsid w:val="00AF0BA3"/>
    <w:rsid w:val="00AF0DEC"/>
    <w:rsid w:val="00AF10D3"/>
    <w:rsid w:val="00AF144C"/>
    <w:rsid w:val="00AF19C7"/>
    <w:rsid w:val="00AF207A"/>
    <w:rsid w:val="00AF214A"/>
    <w:rsid w:val="00AF27B4"/>
    <w:rsid w:val="00AF27BC"/>
    <w:rsid w:val="00AF2A23"/>
    <w:rsid w:val="00AF3018"/>
    <w:rsid w:val="00AF33C5"/>
    <w:rsid w:val="00AF35DE"/>
    <w:rsid w:val="00AF3BE6"/>
    <w:rsid w:val="00AF3DFF"/>
    <w:rsid w:val="00AF4097"/>
    <w:rsid w:val="00AF4468"/>
    <w:rsid w:val="00AF4A05"/>
    <w:rsid w:val="00AF4E38"/>
    <w:rsid w:val="00AF4F3C"/>
    <w:rsid w:val="00AF4F77"/>
    <w:rsid w:val="00AF5D94"/>
    <w:rsid w:val="00AF5E9D"/>
    <w:rsid w:val="00AF5FAC"/>
    <w:rsid w:val="00AF6364"/>
    <w:rsid w:val="00AF6389"/>
    <w:rsid w:val="00AF63D4"/>
    <w:rsid w:val="00AF6608"/>
    <w:rsid w:val="00AF6874"/>
    <w:rsid w:val="00AF6A30"/>
    <w:rsid w:val="00AF6B33"/>
    <w:rsid w:val="00AF6B94"/>
    <w:rsid w:val="00AF7268"/>
    <w:rsid w:val="00AF73E1"/>
    <w:rsid w:val="00AF75B3"/>
    <w:rsid w:val="00AF763D"/>
    <w:rsid w:val="00AF7846"/>
    <w:rsid w:val="00AF7ABC"/>
    <w:rsid w:val="00AF7B16"/>
    <w:rsid w:val="00B00345"/>
    <w:rsid w:val="00B0058B"/>
    <w:rsid w:val="00B007CB"/>
    <w:rsid w:val="00B00884"/>
    <w:rsid w:val="00B00B5F"/>
    <w:rsid w:val="00B00D5C"/>
    <w:rsid w:val="00B00F04"/>
    <w:rsid w:val="00B01105"/>
    <w:rsid w:val="00B0130C"/>
    <w:rsid w:val="00B0133F"/>
    <w:rsid w:val="00B013C4"/>
    <w:rsid w:val="00B01591"/>
    <w:rsid w:val="00B0166D"/>
    <w:rsid w:val="00B018B5"/>
    <w:rsid w:val="00B01DA2"/>
    <w:rsid w:val="00B01E13"/>
    <w:rsid w:val="00B0219F"/>
    <w:rsid w:val="00B024D7"/>
    <w:rsid w:val="00B028A6"/>
    <w:rsid w:val="00B028AE"/>
    <w:rsid w:val="00B02F4E"/>
    <w:rsid w:val="00B032EA"/>
    <w:rsid w:val="00B0361D"/>
    <w:rsid w:val="00B03AA3"/>
    <w:rsid w:val="00B0415A"/>
    <w:rsid w:val="00B04257"/>
    <w:rsid w:val="00B04778"/>
    <w:rsid w:val="00B04CEC"/>
    <w:rsid w:val="00B04F5B"/>
    <w:rsid w:val="00B0540A"/>
    <w:rsid w:val="00B0560B"/>
    <w:rsid w:val="00B05664"/>
    <w:rsid w:val="00B058E9"/>
    <w:rsid w:val="00B05F8B"/>
    <w:rsid w:val="00B06392"/>
    <w:rsid w:val="00B06650"/>
    <w:rsid w:val="00B06743"/>
    <w:rsid w:val="00B06DC5"/>
    <w:rsid w:val="00B06DD4"/>
    <w:rsid w:val="00B06FA7"/>
    <w:rsid w:val="00B0732F"/>
    <w:rsid w:val="00B07666"/>
    <w:rsid w:val="00B07AE9"/>
    <w:rsid w:val="00B07B8F"/>
    <w:rsid w:val="00B07C60"/>
    <w:rsid w:val="00B10155"/>
    <w:rsid w:val="00B10584"/>
    <w:rsid w:val="00B10903"/>
    <w:rsid w:val="00B1092C"/>
    <w:rsid w:val="00B1098D"/>
    <w:rsid w:val="00B10DF4"/>
    <w:rsid w:val="00B1132E"/>
    <w:rsid w:val="00B113FC"/>
    <w:rsid w:val="00B115D5"/>
    <w:rsid w:val="00B11937"/>
    <w:rsid w:val="00B11B0C"/>
    <w:rsid w:val="00B1236F"/>
    <w:rsid w:val="00B129F2"/>
    <w:rsid w:val="00B12DD8"/>
    <w:rsid w:val="00B12F43"/>
    <w:rsid w:val="00B12F56"/>
    <w:rsid w:val="00B13423"/>
    <w:rsid w:val="00B13800"/>
    <w:rsid w:val="00B13CAA"/>
    <w:rsid w:val="00B14074"/>
    <w:rsid w:val="00B141D3"/>
    <w:rsid w:val="00B144C3"/>
    <w:rsid w:val="00B1471B"/>
    <w:rsid w:val="00B14A25"/>
    <w:rsid w:val="00B14C9A"/>
    <w:rsid w:val="00B15369"/>
    <w:rsid w:val="00B15490"/>
    <w:rsid w:val="00B154C2"/>
    <w:rsid w:val="00B15B7A"/>
    <w:rsid w:val="00B15CF9"/>
    <w:rsid w:val="00B15E6E"/>
    <w:rsid w:val="00B1615A"/>
    <w:rsid w:val="00B167B3"/>
    <w:rsid w:val="00B1684B"/>
    <w:rsid w:val="00B168C5"/>
    <w:rsid w:val="00B16AC8"/>
    <w:rsid w:val="00B17385"/>
    <w:rsid w:val="00B17478"/>
    <w:rsid w:val="00B1756F"/>
    <w:rsid w:val="00B17B21"/>
    <w:rsid w:val="00B17EA2"/>
    <w:rsid w:val="00B2086B"/>
    <w:rsid w:val="00B210F3"/>
    <w:rsid w:val="00B211A7"/>
    <w:rsid w:val="00B2178B"/>
    <w:rsid w:val="00B21FF0"/>
    <w:rsid w:val="00B22094"/>
    <w:rsid w:val="00B2245E"/>
    <w:rsid w:val="00B2271C"/>
    <w:rsid w:val="00B22B54"/>
    <w:rsid w:val="00B22E15"/>
    <w:rsid w:val="00B22F65"/>
    <w:rsid w:val="00B23048"/>
    <w:rsid w:val="00B230A9"/>
    <w:rsid w:val="00B231EA"/>
    <w:rsid w:val="00B236FF"/>
    <w:rsid w:val="00B23748"/>
    <w:rsid w:val="00B238E1"/>
    <w:rsid w:val="00B23BDE"/>
    <w:rsid w:val="00B23C4A"/>
    <w:rsid w:val="00B23D64"/>
    <w:rsid w:val="00B23DA4"/>
    <w:rsid w:val="00B23F43"/>
    <w:rsid w:val="00B2402A"/>
    <w:rsid w:val="00B2411E"/>
    <w:rsid w:val="00B243DD"/>
    <w:rsid w:val="00B243E1"/>
    <w:rsid w:val="00B249BC"/>
    <w:rsid w:val="00B24AC6"/>
    <w:rsid w:val="00B24B60"/>
    <w:rsid w:val="00B25250"/>
    <w:rsid w:val="00B25638"/>
    <w:rsid w:val="00B25CD4"/>
    <w:rsid w:val="00B25CF1"/>
    <w:rsid w:val="00B25E6A"/>
    <w:rsid w:val="00B25F49"/>
    <w:rsid w:val="00B26008"/>
    <w:rsid w:val="00B26174"/>
    <w:rsid w:val="00B2618B"/>
    <w:rsid w:val="00B2635F"/>
    <w:rsid w:val="00B265A1"/>
    <w:rsid w:val="00B2661A"/>
    <w:rsid w:val="00B26A21"/>
    <w:rsid w:val="00B26C1B"/>
    <w:rsid w:val="00B27807"/>
    <w:rsid w:val="00B27C74"/>
    <w:rsid w:val="00B30582"/>
    <w:rsid w:val="00B305FD"/>
    <w:rsid w:val="00B30756"/>
    <w:rsid w:val="00B308C3"/>
    <w:rsid w:val="00B30B80"/>
    <w:rsid w:val="00B30BAA"/>
    <w:rsid w:val="00B30E49"/>
    <w:rsid w:val="00B30ED2"/>
    <w:rsid w:val="00B314F9"/>
    <w:rsid w:val="00B3158B"/>
    <w:rsid w:val="00B3198F"/>
    <w:rsid w:val="00B31BA1"/>
    <w:rsid w:val="00B3237B"/>
    <w:rsid w:val="00B324E5"/>
    <w:rsid w:val="00B325A3"/>
    <w:rsid w:val="00B325C9"/>
    <w:rsid w:val="00B32916"/>
    <w:rsid w:val="00B32CCD"/>
    <w:rsid w:val="00B33164"/>
    <w:rsid w:val="00B333E2"/>
    <w:rsid w:val="00B3370E"/>
    <w:rsid w:val="00B33879"/>
    <w:rsid w:val="00B33BE9"/>
    <w:rsid w:val="00B33E79"/>
    <w:rsid w:val="00B344D6"/>
    <w:rsid w:val="00B347C2"/>
    <w:rsid w:val="00B34B40"/>
    <w:rsid w:val="00B34C32"/>
    <w:rsid w:val="00B34E01"/>
    <w:rsid w:val="00B34F6A"/>
    <w:rsid w:val="00B35AC1"/>
    <w:rsid w:val="00B35EE6"/>
    <w:rsid w:val="00B35FEE"/>
    <w:rsid w:val="00B360A8"/>
    <w:rsid w:val="00B36180"/>
    <w:rsid w:val="00B36254"/>
    <w:rsid w:val="00B36F2B"/>
    <w:rsid w:val="00B37030"/>
    <w:rsid w:val="00B371EB"/>
    <w:rsid w:val="00B372D3"/>
    <w:rsid w:val="00B374AE"/>
    <w:rsid w:val="00B37512"/>
    <w:rsid w:val="00B3752B"/>
    <w:rsid w:val="00B37586"/>
    <w:rsid w:val="00B37750"/>
    <w:rsid w:val="00B37A87"/>
    <w:rsid w:val="00B37ABB"/>
    <w:rsid w:val="00B37D0F"/>
    <w:rsid w:val="00B40308"/>
    <w:rsid w:val="00B40430"/>
    <w:rsid w:val="00B40670"/>
    <w:rsid w:val="00B4081F"/>
    <w:rsid w:val="00B40978"/>
    <w:rsid w:val="00B409B1"/>
    <w:rsid w:val="00B40A74"/>
    <w:rsid w:val="00B40D65"/>
    <w:rsid w:val="00B41046"/>
    <w:rsid w:val="00B415F4"/>
    <w:rsid w:val="00B41ED0"/>
    <w:rsid w:val="00B42194"/>
    <w:rsid w:val="00B425A4"/>
    <w:rsid w:val="00B42651"/>
    <w:rsid w:val="00B427A9"/>
    <w:rsid w:val="00B42F62"/>
    <w:rsid w:val="00B43094"/>
    <w:rsid w:val="00B4312E"/>
    <w:rsid w:val="00B431D3"/>
    <w:rsid w:val="00B4357D"/>
    <w:rsid w:val="00B43D5E"/>
    <w:rsid w:val="00B43E9E"/>
    <w:rsid w:val="00B43FBE"/>
    <w:rsid w:val="00B441D1"/>
    <w:rsid w:val="00B44375"/>
    <w:rsid w:val="00B44D0D"/>
    <w:rsid w:val="00B44EF9"/>
    <w:rsid w:val="00B44F6A"/>
    <w:rsid w:val="00B45328"/>
    <w:rsid w:val="00B45364"/>
    <w:rsid w:val="00B4543C"/>
    <w:rsid w:val="00B456B4"/>
    <w:rsid w:val="00B456BA"/>
    <w:rsid w:val="00B45B3A"/>
    <w:rsid w:val="00B460AA"/>
    <w:rsid w:val="00B467EE"/>
    <w:rsid w:val="00B46938"/>
    <w:rsid w:val="00B4694A"/>
    <w:rsid w:val="00B46D1B"/>
    <w:rsid w:val="00B46E34"/>
    <w:rsid w:val="00B46EF9"/>
    <w:rsid w:val="00B47251"/>
    <w:rsid w:val="00B47328"/>
    <w:rsid w:val="00B4734C"/>
    <w:rsid w:val="00B4738C"/>
    <w:rsid w:val="00B47A2A"/>
    <w:rsid w:val="00B508A4"/>
    <w:rsid w:val="00B50ADD"/>
    <w:rsid w:val="00B50D56"/>
    <w:rsid w:val="00B50E9F"/>
    <w:rsid w:val="00B50ECB"/>
    <w:rsid w:val="00B51579"/>
    <w:rsid w:val="00B51C55"/>
    <w:rsid w:val="00B51CD7"/>
    <w:rsid w:val="00B51DA8"/>
    <w:rsid w:val="00B51E42"/>
    <w:rsid w:val="00B52542"/>
    <w:rsid w:val="00B5268F"/>
    <w:rsid w:val="00B52729"/>
    <w:rsid w:val="00B52751"/>
    <w:rsid w:val="00B52A30"/>
    <w:rsid w:val="00B52CF3"/>
    <w:rsid w:val="00B52DE0"/>
    <w:rsid w:val="00B52ECA"/>
    <w:rsid w:val="00B52F74"/>
    <w:rsid w:val="00B535E5"/>
    <w:rsid w:val="00B53987"/>
    <w:rsid w:val="00B53B89"/>
    <w:rsid w:val="00B53BB3"/>
    <w:rsid w:val="00B53D2B"/>
    <w:rsid w:val="00B540FC"/>
    <w:rsid w:val="00B5424F"/>
    <w:rsid w:val="00B545D6"/>
    <w:rsid w:val="00B547BE"/>
    <w:rsid w:val="00B5490F"/>
    <w:rsid w:val="00B54A6C"/>
    <w:rsid w:val="00B54AB9"/>
    <w:rsid w:val="00B54C80"/>
    <w:rsid w:val="00B55004"/>
    <w:rsid w:val="00B5517C"/>
    <w:rsid w:val="00B552BF"/>
    <w:rsid w:val="00B553C3"/>
    <w:rsid w:val="00B55650"/>
    <w:rsid w:val="00B55949"/>
    <w:rsid w:val="00B55B5C"/>
    <w:rsid w:val="00B55E6C"/>
    <w:rsid w:val="00B56121"/>
    <w:rsid w:val="00B56177"/>
    <w:rsid w:val="00B5640D"/>
    <w:rsid w:val="00B56782"/>
    <w:rsid w:val="00B56C1A"/>
    <w:rsid w:val="00B56DD5"/>
    <w:rsid w:val="00B56E0C"/>
    <w:rsid w:val="00B56FB0"/>
    <w:rsid w:val="00B570EF"/>
    <w:rsid w:val="00B57190"/>
    <w:rsid w:val="00B572A8"/>
    <w:rsid w:val="00B5749E"/>
    <w:rsid w:val="00B577A8"/>
    <w:rsid w:val="00B57E0E"/>
    <w:rsid w:val="00B57E24"/>
    <w:rsid w:val="00B600AD"/>
    <w:rsid w:val="00B60435"/>
    <w:rsid w:val="00B60640"/>
    <w:rsid w:val="00B60797"/>
    <w:rsid w:val="00B60859"/>
    <w:rsid w:val="00B608E1"/>
    <w:rsid w:val="00B60C4E"/>
    <w:rsid w:val="00B60D44"/>
    <w:rsid w:val="00B60F36"/>
    <w:rsid w:val="00B60F9F"/>
    <w:rsid w:val="00B6107E"/>
    <w:rsid w:val="00B6138E"/>
    <w:rsid w:val="00B618EE"/>
    <w:rsid w:val="00B61985"/>
    <w:rsid w:val="00B61A9B"/>
    <w:rsid w:val="00B61D49"/>
    <w:rsid w:val="00B61E57"/>
    <w:rsid w:val="00B61EBE"/>
    <w:rsid w:val="00B622D7"/>
    <w:rsid w:val="00B62914"/>
    <w:rsid w:val="00B6297E"/>
    <w:rsid w:val="00B62AD5"/>
    <w:rsid w:val="00B62BE9"/>
    <w:rsid w:val="00B62E32"/>
    <w:rsid w:val="00B634B9"/>
    <w:rsid w:val="00B6361A"/>
    <w:rsid w:val="00B63637"/>
    <w:rsid w:val="00B63725"/>
    <w:rsid w:val="00B63A32"/>
    <w:rsid w:val="00B63AF3"/>
    <w:rsid w:val="00B63C2B"/>
    <w:rsid w:val="00B63E65"/>
    <w:rsid w:val="00B63FCD"/>
    <w:rsid w:val="00B641BA"/>
    <w:rsid w:val="00B6428E"/>
    <w:rsid w:val="00B644D3"/>
    <w:rsid w:val="00B64B05"/>
    <w:rsid w:val="00B64DAD"/>
    <w:rsid w:val="00B64EC8"/>
    <w:rsid w:val="00B650F3"/>
    <w:rsid w:val="00B65D51"/>
    <w:rsid w:val="00B663D4"/>
    <w:rsid w:val="00B66A6D"/>
    <w:rsid w:val="00B66EB5"/>
    <w:rsid w:val="00B66F36"/>
    <w:rsid w:val="00B66FBA"/>
    <w:rsid w:val="00B67613"/>
    <w:rsid w:val="00B676D0"/>
    <w:rsid w:val="00B701D4"/>
    <w:rsid w:val="00B7028D"/>
    <w:rsid w:val="00B707A2"/>
    <w:rsid w:val="00B708FB"/>
    <w:rsid w:val="00B70B14"/>
    <w:rsid w:val="00B70B40"/>
    <w:rsid w:val="00B70D0E"/>
    <w:rsid w:val="00B71DF0"/>
    <w:rsid w:val="00B71EFA"/>
    <w:rsid w:val="00B7216B"/>
    <w:rsid w:val="00B72329"/>
    <w:rsid w:val="00B72352"/>
    <w:rsid w:val="00B7262F"/>
    <w:rsid w:val="00B72895"/>
    <w:rsid w:val="00B728F3"/>
    <w:rsid w:val="00B729D2"/>
    <w:rsid w:val="00B72AD6"/>
    <w:rsid w:val="00B72B6E"/>
    <w:rsid w:val="00B73043"/>
    <w:rsid w:val="00B7319F"/>
    <w:rsid w:val="00B73320"/>
    <w:rsid w:val="00B73334"/>
    <w:rsid w:val="00B734D8"/>
    <w:rsid w:val="00B73786"/>
    <w:rsid w:val="00B740BE"/>
    <w:rsid w:val="00B74158"/>
    <w:rsid w:val="00B747CC"/>
    <w:rsid w:val="00B749E8"/>
    <w:rsid w:val="00B74BD7"/>
    <w:rsid w:val="00B74CD4"/>
    <w:rsid w:val="00B755FD"/>
    <w:rsid w:val="00B757E5"/>
    <w:rsid w:val="00B75993"/>
    <w:rsid w:val="00B75A45"/>
    <w:rsid w:val="00B75A55"/>
    <w:rsid w:val="00B75C0E"/>
    <w:rsid w:val="00B75F02"/>
    <w:rsid w:val="00B76060"/>
    <w:rsid w:val="00B76181"/>
    <w:rsid w:val="00B76250"/>
    <w:rsid w:val="00B7634E"/>
    <w:rsid w:val="00B76427"/>
    <w:rsid w:val="00B768CB"/>
    <w:rsid w:val="00B768E4"/>
    <w:rsid w:val="00B76CB9"/>
    <w:rsid w:val="00B77399"/>
    <w:rsid w:val="00B77562"/>
    <w:rsid w:val="00B779E4"/>
    <w:rsid w:val="00B77ACA"/>
    <w:rsid w:val="00B77E71"/>
    <w:rsid w:val="00B77F6A"/>
    <w:rsid w:val="00B80154"/>
    <w:rsid w:val="00B801F6"/>
    <w:rsid w:val="00B805B9"/>
    <w:rsid w:val="00B807DE"/>
    <w:rsid w:val="00B80E7E"/>
    <w:rsid w:val="00B815B0"/>
    <w:rsid w:val="00B81800"/>
    <w:rsid w:val="00B821DD"/>
    <w:rsid w:val="00B82939"/>
    <w:rsid w:val="00B82997"/>
    <w:rsid w:val="00B82B33"/>
    <w:rsid w:val="00B82FC8"/>
    <w:rsid w:val="00B83220"/>
    <w:rsid w:val="00B83758"/>
    <w:rsid w:val="00B8386C"/>
    <w:rsid w:val="00B83CD5"/>
    <w:rsid w:val="00B83E61"/>
    <w:rsid w:val="00B84045"/>
    <w:rsid w:val="00B840B1"/>
    <w:rsid w:val="00B8437D"/>
    <w:rsid w:val="00B84491"/>
    <w:rsid w:val="00B8463C"/>
    <w:rsid w:val="00B8474F"/>
    <w:rsid w:val="00B850A7"/>
    <w:rsid w:val="00B85211"/>
    <w:rsid w:val="00B852F4"/>
    <w:rsid w:val="00B8537B"/>
    <w:rsid w:val="00B8549F"/>
    <w:rsid w:val="00B85A9B"/>
    <w:rsid w:val="00B85BE5"/>
    <w:rsid w:val="00B85CE6"/>
    <w:rsid w:val="00B85E02"/>
    <w:rsid w:val="00B85F2F"/>
    <w:rsid w:val="00B8600B"/>
    <w:rsid w:val="00B86962"/>
    <w:rsid w:val="00B86A82"/>
    <w:rsid w:val="00B86CB3"/>
    <w:rsid w:val="00B871F1"/>
    <w:rsid w:val="00B874DC"/>
    <w:rsid w:val="00B87506"/>
    <w:rsid w:val="00B87579"/>
    <w:rsid w:val="00B87AAE"/>
    <w:rsid w:val="00B87B0D"/>
    <w:rsid w:val="00B87B46"/>
    <w:rsid w:val="00B87CF8"/>
    <w:rsid w:val="00B87D03"/>
    <w:rsid w:val="00B87EDA"/>
    <w:rsid w:val="00B9022D"/>
    <w:rsid w:val="00B90420"/>
    <w:rsid w:val="00B908BA"/>
    <w:rsid w:val="00B90B6E"/>
    <w:rsid w:val="00B91AE5"/>
    <w:rsid w:val="00B91D2D"/>
    <w:rsid w:val="00B91F51"/>
    <w:rsid w:val="00B921D7"/>
    <w:rsid w:val="00B9234D"/>
    <w:rsid w:val="00B92465"/>
    <w:rsid w:val="00B92760"/>
    <w:rsid w:val="00B92958"/>
    <w:rsid w:val="00B929FC"/>
    <w:rsid w:val="00B92B79"/>
    <w:rsid w:val="00B9300B"/>
    <w:rsid w:val="00B9301E"/>
    <w:rsid w:val="00B93140"/>
    <w:rsid w:val="00B93217"/>
    <w:rsid w:val="00B9323D"/>
    <w:rsid w:val="00B938CA"/>
    <w:rsid w:val="00B938CC"/>
    <w:rsid w:val="00B93A3D"/>
    <w:rsid w:val="00B93CB5"/>
    <w:rsid w:val="00B93D74"/>
    <w:rsid w:val="00B941E9"/>
    <w:rsid w:val="00B94330"/>
    <w:rsid w:val="00B94804"/>
    <w:rsid w:val="00B94AD7"/>
    <w:rsid w:val="00B94F8E"/>
    <w:rsid w:val="00B9502F"/>
    <w:rsid w:val="00B951BA"/>
    <w:rsid w:val="00B95CF4"/>
    <w:rsid w:val="00B95D03"/>
    <w:rsid w:val="00B95ED2"/>
    <w:rsid w:val="00B96188"/>
    <w:rsid w:val="00B963C1"/>
    <w:rsid w:val="00B963F4"/>
    <w:rsid w:val="00B96630"/>
    <w:rsid w:val="00B96751"/>
    <w:rsid w:val="00B96887"/>
    <w:rsid w:val="00B96917"/>
    <w:rsid w:val="00B96A55"/>
    <w:rsid w:val="00B96AD9"/>
    <w:rsid w:val="00B96C74"/>
    <w:rsid w:val="00B97113"/>
    <w:rsid w:val="00B97659"/>
    <w:rsid w:val="00B97669"/>
    <w:rsid w:val="00B979BF"/>
    <w:rsid w:val="00B979DF"/>
    <w:rsid w:val="00B97C5D"/>
    <w:rsid w:val="00B97CEF"/>
    <w:rsid w:val="00B97F97"/>
    <w:rsid w:val="00B97FFE"/>
    <w:rsid w:val="00BA01E7"/>
    <w:rsid w:val="00BA0A34"/>
    <w:rsid w:val="00BA0C6B"/>
    <w:rsid w:val="00BA1102"/>
    <w:rsid w:val="00BA1147"/>
    <w:rsid w:val="00BA1207"/>
    <w:rsid w:val="00BA135A"/>
    <w:rsid w:val="00BA1647"/>
    <w:rsid w:val="00BA1EF7"/>
    <w:rsid w:val="00BA283B"/>
    <w:rsid w:val="00BA2912"/>
    <w:rsid w:val="00BA2948"/>
    <w:rsid w:val="00BA2FBF"/>
    <w:rsid w:val="00BA3141"/>
    <w:rsid w:val="00BA31C7"/>
    <w:rsid w:val="00BA346C"/>
    <w:rsid w:val="00BA35FA"/>
    <w:rsid w:val="00BA376B"/>
    <w:rsid w:val="00BA39CF"/>
    <w:rsid w:val="00BA3EB7"/>
    <w:rsid w:val="00BA4237"/>
    <w:rsid w:val="00BA438E"/>
    <w:rsid w:val="00BA4B43"/>
    <w:rsid w:val="00BA4FA8"/>
    <w:rsid w:val="00BA5081"/>
    <w:rsid w:val="00BA520A"/>
    <w:rsid w:val="00BA53D7"/>
    <w:rsid w:val="00BA5750"/>
    <w:rsid w:val="00BA5A65"/>
    <w:rsid w:val="00BA5BF3"/>
    <w:rsid w:val="00BA68D2"/>
    <w:rsid w:val="00BA696D"/>
    <w:rsid w:val="00BA6DE1"/>
    <w:rsid w:val="00BA6FC6"/>
    <w:rsid w:val="00BA70A7"/>
    <w:rsid w:val="00BA7223"/>
    <w:rsid w:val="00BA74C3"/>
    <w:rsid w:val="00BA79A0"/>
    <w:rsid w:val="00BA7D29"/>
    <w:rsid w:val="00BA7DC3"/>
    <w:rsid w:val="00BB0357"/>
    <w:rsid w:val="00BB0657"/>
    <w:rsid w:val="00BB06C1"/>
    <w:rsid w:val="00BB0953"/>
    <w:rsid w:val="00BB09BB"/>
    <w:rsid w:val="00BB09E5"/>
    <w:rsid w:val="00BB103E"/>
    <w:rsid w:val="00BB13FE"/>
    <w:rsid w:val="00BB141F"/>
    <w:rsid w:val="00BB1603"/>
    <w:rsid w:val="00BB167F"/>
    <w:rsid w:val="00BB1AF4"/>
    <w:rsid w:val="00BB1B14"/>
    <w:rsid w:val="00BB1DE1"/>
    <w:rsid w:val="00BB2297"/>
    <w:rsid w:val="00BB241D"/>
    <w:rsid w:val="00BB2426"/>
    <w:rsid w:val="00BB2CD1"/>
    <w:rsid w:val="00BB334B"/>
    <w:rsid w:val="00BB3740"/>
    <w:rsid w:val="00BB3864"/>
    <w:rsid w:val="00BB5A69"/>
    <w:rsid w:val="00BB5F7E"/>
    <w:rsid w:val="00BB6382"/>
    <w:rsid w:val="00BB68B5"/>
    <w:rsid w:val="00BB68E7"/>
    <w:rsid w:val="00BB6ABE"/>
    <w:rsid w:val="00BB6CFE"/>
    <w:rsid w:val="00BB6DCD"/>
    <w:rsid w:val="00BB71B0"/>
    <w:rsid w:val="00BB72FE"/>
    <w:rsid w:val="00BB736C"/>
    <w:rsid w:val="00BB7385"/>
    <w:rsid w:val="00BB770E"/>
    <w:rsid w:val="00BB7961"/>
    <w:rsid w:val="00BB7B2A"/>
    <w:rsid w:val="00BB7BDA"/>
    <w:rsid w:val="00BB7C28"/>
    <w:rsid w:val="00BB7F66"/>
    <w:rsid w:val="00BB7FC6"/>
    <w:rsid w:val="00BC005D"/>
    <w:rsid w:val="00BC0769"/>
    <w:rsid w:val="00BC0879"/>
    <w:rsid w:val="00BC0A96"/>
    <w:rsid w:val="00BC1AC0"/>
    <w:rsid w:val="00BC1B14"/>
    <w:rsid w:val="00BC1C9B"/>
    <w:rsid w:val="00BC20E8"/>
    <w:rsid w:val="00BC21A6"/>
    <w:rsid w:val="00BC237A"/>
    <w:rsid w:val="00BC26BE"/>
    <w:rsid w:val="00BC2755"/>
    <w:rsid w:val="00BC2B29"/>
    <w:rsid w:val="00BC2ECE"/>
    <w:rsid w:val="00BC318B"/>
    <w:rsid w:val="00BC346A"/>
    <w:rsid w:val="00BC36F7"/>
    <w:rsid w:val="00BC3A89"/>
    <w:rsid w:val="00BC3E50"/>
    <w:rsid w:val="00BC46A9"/>
    <w:rsid w:val="00BC4942"/>
    <w:rsid w:val="00BC4FE5"/>
    <w:rsid w:val="00BC5125"/>
    <w:rsid w:val="00BC53A3"/>
    <w:rsid w:val="00BC55C4"/>
    <w:rsid w:val="00BC588A"/>
    <w:rsid w:val="00BC58BA"/>
    <w:rsid w:val="00BC5CC7"/>
    <w:rsid w:val="00BC60D8"/>
    <w:rsid w:val="00BC63C4"/>
    <w:rsid w:val="00BC6461"/>
    <w:rsid w:val="00BC681F"/>
    <w:rsid w:val="00BC6879"/>
    <w:rsid w:val="00BC6A4D"/>
    <w:rsid w:val="00BC6B3D"/>
    <w:rsid w:val="00BC6B8D"/>
    <w:rsid w:val="00BC71E7"/>
    <w:rsid w:val="00BD00EE"/>
    <w:rsid w:val="00BD03F7"/>
    <w:rsid w:val="00BD056E"/>
    <w:rsid w:val="00BD08C0"/>
    <w:rsid w:val="00BD0AB8"/>
    <w:rsid w:val="00BD10A1"/>
    <w:rsid w:val="00BD115B"/>
    <w:rsid w:val="00BD11C0"/>
    <w:rsid w:val="00BD130E"/>
    <w:rsid w:val="00BD175B"/>
    <w:rsid w:val="00BD2092"/>
    <w:rsid w:val="00BD2337"/>
    <w:rsid w:val="00BD2662"/>
    <w:rsid w:val="00BD3023"/>
    <w:rsid w:val="00BD3702"/>
    <w:rsid w:val="00BD3875"/>
    <w:rsid w:val="00BD3FBA"/>
    <w:rsid w:val="00BD405F"/>
    <w:rsid w:val="00BD41F1"/>
    <w:rsid w:val="00BD42E5"/>
    <w:rsid w:val="00BD43EE"/>
    <w:rsid w:val="00BD4868"/>
    <w:rsid w:val="00BD49E5"/>
    <w:rsid w:val="00BD4BED"/>
    <w:rsid w:val="00BD4E95"/>
    <w:rsid w:val="00BD543B"/>
    <w:rsid w:val="00BD56EE"/>
    <w:rsid w:val="00BD586E"/>
    <w:rsid w:val="00BD59D9"/>
    <w:rsid w:val="00BD6715"/>
    <w:rsid w:val="00BD68CD"/>
    <w:rsid w:val="00BD6C24"/>
    <w:rsid w:val="00BD6DFA"/>
    <w:rsid w:val="00BD6EC2"/>
    <w:rsid w:val="00BD738B"/>
    <w:rsid w:val="00BD7398"/>
    <w:rsid w:val="00BD7825"/>
    <w:rsid w:val="00BD7D03"/>
    <w:rsid w:val="00BE07F0"/>
    <w:rsid w:val="00BE0900"/>
    <w:rsid w:val="00BE0C28"/>
    <w:rsid w:val="00BE0E78"/>
    <w:rsid w:val="00BE0F51"/>
    <w:rsid w:val="00BE105E"/>
    <w:rsid w:val="00BE1588"/>
    <w:rsid w:val="00BE1A1A"/>
    <w:rsid w:val="00BE1F22"/>
    <w:rsid w:val="00BE2585"/>
    <w:rsid w:val="00BE2695"/>
    <w:rsid w:val="00BE28B3"/>
    <w:rsid w:val="00BE2B49"/>
    <w:rsid w:val="00BE2F0A"/>
    <w:rsid w:val="00BE324F"/>
    <w:rsid w:val="00BE33F1"/>
    <w:rsid w:val="00BE36E5"/>
    <w:rsid w:val="00BE3A9E"/>
    <w:rsid w:val="00BE3BE9"/>
    <w:rsid w:val="00BE3C93"/>
    <w:rsid w:val="00BE3D8F"/>
    <w:rsid w:val="00BE405C"/>
    <w:rsid w:val="00BE4336"/>
    <w:rsid w:val="00BE4A3D"/>
    <w:rsid w:val="00BE4E0D"/>
    <w:rsid w:val="00BE4F82"/>
    <w:rsid w:val="00BE4FC5"/>
    <w:rsid w:val="00BE501C"/>
    <w:rsid w:val="00BE544A"/>
    <w:rsid w:val="00BE54F3"/>
    <w:rsid w:val="00BE5A60"/>
    <w:rsid w:val="00BE5A85"/>
    <w:rsid w:val="00BE5C67"/>
    <w:rsid w:val="00BE5F4E"/>
    <w:rsid w:val="00BE61C9"/>
    <w:rsid w:val="00BE678A"/>
    <w:rsid w:val="00BE68EE"/>
    <w:rsid w:val="00BE6C76"/>
    <w:rsid w:val="00BE6F27"/>
    <w:rsid w:val="00BE7299"/>
    <w:rsid w:val="00BE72E0"/>
    <w:rsid w:val="00BE7426"/>
    <w:rsid w:val="00BE7533"/>
    <w:rsid w:val="00BE7B41"/>
    <w:rsid w:val="00BE7BD7"/>
    <w:rsid w:val="00BE7DBF"/>
    <w:rsid w:val="00BF0278"/>
    <w:rsid w:val="00BF0672"/>
    <w:rsid w:val="00BF0769"/>
    <w:rsid w:val="00BF0BEE"/>
    <w:rsid w:val="00BF1097"/>
    <w:rsid w:val="00BF1316"/>
    <w:rsid w:val="00BF1414"/>
    <w:rsid w:val="00BF18EF"/>
    <w:rsid w:val="00BF1C6E"/>
    <w:rsid w:val="00BF1D10"/>
    <w:rsid w:val="00BF1ED2"/>
    <w:rsid w:val="00BF1F8B"/>
    <w:rsid w:val="00BF2330"/>
    <w:rsid w:val="00BF2553"/>
    <w:rsid w:val="00BF2889"/>
    <w:rsid w:val="00BF2CF7"/>
    <w:rsid w:val="00BF2D19"/>
    <w:rsid w:val="00BF3332"/>
    <w:rsid w:val="00BF346B"/>
    <w:rsid w:val="00BF34AC"/>
    <w:rsid w:val="00BF42F3"/>
    <w:rsid w:val="00BF4314"/>
    <w:rsid w:val="00BF4484"/>
    <w:rsid w:val="00BF44F7"/>
    <w:rsid w:val="00BF4580"/>
    <w:rsid w:val="00BF46F5"/>
    <w:rsid w:val="00BF4BB5"/>
    <w:rsid w:val="00BF4C69"/>
    <w:rsid w:val="00BF4C9A"/>
    <w:rsid w:val="00BF4F57"/>
    <w:rsid w:val="00BF5137"/>
    <w:rsid w:val="00BF52DF"/>
    <w:rsid w:val="00BF55E3"/>
    <w:rsid w:val="00BF563B"/>
    <w:rsid w:val="00BF58DF"/>
    <w:rsid w:val="00BF59D4"/>
    <w:rsid w:val="00BF5A1C"/>
    <w:rsid w:val="00BF5DBE"/>
    <w:rsid w:val="00BF5E9E"/>
    <w:rsid w:val="00BF60A8"/>
    <w:rsid w:val="00BF65CA"/>
    <w:rsid w:val="00BF6A6A"/>
    <w:rsid w:val="00BF6AA6"/>
    <w:rsid w:val="00BF6F3B"/>
    <w:rsid w:val="00BF7179"/>
    <w:rsid w:val="00BF7191"/>
    <w:rsid w:val="00BF735D"/>
    <w:rsid w:val="00BF736F"/>
    <w:rsid w:val="00BF74B1"/>
    <w:rsid w:val="00BF74DE"/>
    <w:rsid w:val="00BF75A1"/>
    <w:rsid w:val="00BF784B"/>
    <w:rsid w:val="00BF7CE7"/>
    <w:rsid w:val="00BF7D58"/>
    <w:rsid w:val="00BF7E09"/>
    <w:rsid w:val="00BF7E98"/>
    <w:rsid w:val="00BF7F1F"/>
    <w:rsid w:val="00C0078B"/>
    <w:rsid w:val="00C00F40"/>
    <w:rsid w:val="00C010C6"/>
    <w:rsid w:val="00C01307"/>
    <w:rsid w:val="00C01441"/>
    <w:rsid w:val="00C0177F"/>
    <w:rsid w:val="00C01D39"/>
    <w:rsid w:val="00C01DD3"/>
    <w:rsid w:val="00C01E72"/>
    <w:rsid w:val="00C01FF3"/>
    <w:rsid w:val="00C02192"/>
    <w:rsid w:val="00C02551"/>
    <w:rsid w:val="00C025B8"/>
    <w:rsid w:val="00C027B3"/>
    <w:rsid w:val="00C028F1"/>
    <w:rsid w:val="00C02A9B"/>
    <w:rsid w:val="00C02DAF"/>
    <w:rsid w:val="00C02F2E"/>
    <w:rsid w:val="00C030CA"/>
    <w:rsid w:val="00C03436"/>
    <w:rsid w:val="00C0349A"/>
    <w:rsid w:val="00C036CF"/>
    <w:rsid w:val="00C037D6"/>
    <w:rsid w:val="00C03B9A"/>
    <w:rsid w:val="00C03FA9"/>
    <w:rsid w:val="00C03FEE"/>
    <w:rsid w:val="00C04027"/>
    <w:rsid w:val="00C041DB"/>
    <w:rsid w:val="00C04356"/>
    <w:rsid w:val="00C0485C"/>
    <w:rsid w:val="00C04D10"/>
    <w:rsid w:val="00C04D66"/>
    <w:rsid w:val="00C04E30"/>
    <w:rsid w:val="00C05003"/>
    <w:rsid w:val="00C05814"/>
    <w:rsid w:val="00C0582F"/>
    <w:rsid w:val="00C05849"/>
    <w:rsid w:val="00C05868"/>
    <w:rsid w:val="00C05C16"/>
    <w:rsid w:val="00C05C63"/>
    <w:rsid w:val="00C05EF4"/>
    <w:rsid w:val="00C063B7"/>
    <w:rsid w:val="00C065C3"/>
    <w:rsid w:val="00C0692E"/>
    <w:rsid w:val="00C069ED"/>
    <w:rsid w:val="00C06AFE"/>
    <w:rsid w:val="00C06B14"/>
    <w:rsid w:val="00C06C65"/>
    <w:rsid w:val="00C06CF9"/>
    <w:rsid w:val="00C06E21"/>
    <w:rsid w:val="00C0709C"/>
    <w:rsid w:val="00C070A7"/>
    <w:rsid w:val="00C079EF"/>
    <w:rsid w:val="00C07CC0"/>
    <w:rsid w:val="00C07CCD"/>
    <w:rsid w:val="00C1044B"/>
    <w:rsid w:val="00C10778"/>
    <w:rsid w:val="00C10927"/>
    <w:rsid w:val="00C10AF1"/>
    <w:rsid w:val="00C10B74"/>
    <w:rsid w:val="00C11005"/>
    <w:rsid w:val="00C112C6"/>
    <w:rsid w:val="00C11394"/>
    <w:rsid w:val="00C114EF"/>
    <w:rsid w:val="00C11852"/>
    <w:rsid w:val="00C1222B"/>
    <w:rsid w:val="00C123CE"/>
    <w:rsid w:val="00C124AA"/>
    <w:rsid w:val="00C1286D"/>
    <w:rsid w:val="00C12986"/>
    <w:rsid w:val="00C129B9"/>
    <w:rsid w:val="00C12A10"/>
    <w:rsid w:val="00C12A91"/>
    <w:rsid w:val="00C12B39"/>
    <w:rsid w:val="00C12D7E"/>
    <w:rsid w:val="00C13017"/>
    <w:rsid w:val="00C1335D"/>
    <w:rsid w:val="00C1359C"/>
    <w:rsid w:val="00C136AA"/>
    <w:rsid w:val="00C139FA"/>
    <w:rsid w:val="00C13DA8"/>
    <w:rsid w:val="00C1456E"/>
    <w:rsid w:val="00C1458F"/>
    <w:rsid w:val="00C14601"/>
    <w:rsid w:val="00C147C4"/>
    <w:rsid w:val="00C1480E"/>
    <w:rsid w:val="00C14870"/>
    <w:rsid w:val="00C148D5"/>
    <w:rsid w:val="00C151C2"/>
    <w:rsid w:val="00C15205"/>
    <w:rsid w:val="00C15502"/>
    <w:rsid w:val="00C15579"/>
    <w:rsid w:val="00C155B2"/>
    <w:rsid w:val="00C157D9"/>
    <w:rsid w:val="00C1580A"/>
    <w:rsid w:val="00C15D85"/>
    <w:rsid w:val="00C15EE9"/>
    <w:rsid w:val="00C1615A"/>
    <w:rsid w:val="00C16464"/>
    <w:rsid w:val="00C16673"/>
    <w:rsid w:val="00C168CD"/>
    <w:rsid w:val="00C16D84"/>
    <w:rsid w:val="00C17060"/>
    <w:rsid w:val="00C1707A"/>
    <w:rsid w:val="00C17127"/>
    <w:rsid w:val="00C173D2"/>
    <w:rsid w:val="00C17476"/>
    <w:rsid w:val="00C17489"/>
    <w:rsid w:val="00C1786A"/>
    <w:rsid w:val="00C17AD0"/>
    <w:rsid w:val="00C17C95"/>
    <w:rsid w:val="00C17CF1"/>
    <w:rsid w:val="00C17D82"/>
    <w:rsid w:val="00C17F67"/>
    <w:rsid w:val="00C20142"/>
    <w:rsid w:val="00C20147"/>
    <w:rsid w:val="00C20880"/>
    <w:rsid w:val="00C20C76"/>
    <w:rsid w:val="00C20CEC"/>
    <w:rsid w:val="00C20F26"/>
    <w:rsid w:val="00C21178"/>
    <w:rsid w:val="00C212DE"/>
    <w:rsid w:val="00C21464"/>
    <w:rsid w:val="00C214AE"/>
    <w:rsid w:val="00C215E6"/>
    <w:rsid w:val="00C21634"/>
    <w:rsid w:val="00C21AC6"/>
    <w:rsid w:val="00C21B37"/>
    <w:rsid w:val="00C21BF5"/>
    <w:rsid w:val="00C21CBF"/>
    <w:rsid w:val="00C22338"/>
    <w:rsid w:val="00C22362"/>
    <w:rsid w:val="00C22695"/>
    <w:rsid w:val="00C226A1"/>
    <w:rsid w:val="00C2272D"/>
    <w:rsid w:val="00C22B68"/>
    <w:rsid w:val="00C22BE7"/>
    <w:rsid w:val="00C22CB3"/>
    <w:rsid w:val="00C22E59"/>
    <w:rsid w:val="00C232F3"/>
    <w:rsid w:val="00C232FE"/>
    <w:rsid w:val="00C23739"/>
    <w:rsid w:val="00C23884"/>
    <w:rsid w:val="00C239E8"/>
    <w:rsid w:val="00C23CB7"/>
    <w:rsid w:val="00C240E8"/>
    <w:rsid w:val="00C244C1"/>
    <w:rsid w:val="00C248F7"/>
    <w:rsid w:val="00C24D38"/>
    <w:rsid w:val="00C24DBB"/>
    <w:rsid w:val="00C24FEE"/>
    <w:rsid w:val="00C25142"/>
    <w:rsid w:val="00C2547B"/>
    <w:rsid w:val="00C25491"/>
    <w:rsid w:val="00C25513"/>
    <w:rsid w:val="00C25695"/>
    <w:rsid w:val="00C25A51"/>
    <w:rsid w:val="00C25A76"/>
    <w:rsid w:val="00C25D48"/>
    <w:rsid w:val="00C25E00"/>
    <w:rsid w:val="00C25F23"/>
    <w:rsid w:val="00C2616B"/>
    <w:rsid w:val="00C261B3"/>
    <w:rsid w:val="00C2651F"/>
    <w:rsid w:val="00C265C6"/>
    <w:rsid w:val="00C265F1"/>
    <w:rsid w:val="00C26950"/>
    <w:rsid w:val="00C26B2E"/>
    <w:rsid w:val="00C26B30"/>
    <w:rsid w:val="00C26B4A"/>
    <w:rsid w:val="00C26F46"/>
    <w:rsid w:val="00C2736A"/>
    <w:rsid w:val="00C2767F"/>
    <w:rsid w:val="00C27685"/>
    <w:rsid w:val="00C277CE"/>
    <w:rsid w:val="00C27BFD"/>
    <w:rsid w:val="00C27EDA"/>
    <w:rsid w:val="00C27FE6"/>
    <w:rsid w:val="00C308FF"/>
    <w:rsid w:val="00C30C19"/>
    <w:rsid w:val="00C30EF4"/>
    <w:rsid w:val="00C31120"/>
    <w:rsid w:val="00C3197F"/>
    <w:rsid w:val="00C31A54"/>
    <w:rsid w:val="00C31B36"/>
    <w:rsid w:val="00C31F68"/>
    <w:rsid w:val="00C32AE9"/>
    <w:rsid w:val="00C32BE2"/>
    <w:rsid w:val="00C32D4E"/>
    <w:rsid w:val="00C33115"/>
    <w:rsid w:val="00C331BC"/>
    <w:rsid w:val="00C33769"/>
    <w:rsid w:val="00C337FA"/>
    <w:rsid w:val="00C33996"/>
    <w:rsid w:val="00C33E36"/>
    <w:rsid w:val="00C33F27"/>
    <w:rsid w:val="00C340AE"/>
    <w:rsid w:val="00C341CA"/>
    <w:rsid w:val="00C341F3"/>
    <w:rsid w:val="00C3424F"/>
    <w:rsid w:val="00C34666"/>
    <w:rsid w:val="00C34AC2"/>
    <w:rsid w:val="00C34B31"/>
    <w:rsid w:val="00C34CFB"/>
    <w:rsid w:val="00C35343"/>
    <w:rsid w:val="00C3538E"/>
    <w:rsid w:val="00C35BC3"/>
    <w:rsid w:val="00C35CD9"/>
    <w:rsid w:val="00C35F22"/>
    <w:rsid w:val="00C36142"/>
    <w:rsid w:val="00C363B5"/>
    <w:rsid w:val="00C36411"/>
    <w:rsid w:val="00C365C9"/>
    <w:rsid w:val="00C36686"/>
    <w:rsid w:val="00C36A6A"/>
    <w:rsid w:val="00C36B49"/>
    <w:rsid w:val="00C36DED"/>
    <w:rsid w:val="00C36EB8"/>
    <w:rsid w:val="00C37199"/>
    <w:rsid w:val="00C371BB"/>
    <w:rsid w:val="00C374F8"/>
    <w:rsid w:val="00C375BC"/>
    <w:rsid w:val="00C3794E"/>
    <w:rsid w:val="00C37BE6"/>
    <w:rsid w:val="00C37C75"/>
    <w:rsid w:val="00C37CEE"/>
    <w:rsid w:val="00C40573"/>
    <w:rsid w:val="00C40575"/>
    <w:rsid w:val="00C4058B"/>
    <w:rsid w:val="00C407A9"/>
    <w:rsid w:val="00C40803"/>
    <w:rsid w:val="00C40965"/>
    <w:rsid w:val="00C41164"/>
    <w:rsid w:val="00C41630"/>
    <w:rsid w:val="00C41692"/>
    <w:rsid w:val="00C416C1"/>
    <w:rsid w:val="00C41FD4"/>
    <w:rsid w:val="00C42199"/>
    <w:rsid w:val="00C422C7"/>
    <w:rsid w:val="00C426A8"/>
    <w:rsid w:val="00C42785"/>
    <w:rsid w:val="00C42845"/>
    <w:rsid w:val="00C42906"/>
    <w:rsid w:val="00C42CA2"/>
    <w:rsid w:val="00C43C3A"/>
    <w:rsid w:val="00C43CC7"/>
    <w:rsid w:val="00C43DF6"/>
    <w:rsid w:val="00C43E45"/>
    <w:rsid w:val="00C43F3C"/>
    <w:rsid w:val="00C44412"/>
    <w:rsid w:val="00C44722"/>
    <w:rsid w:val="00C44BF0"/>
    <w:rsid w:val="00C44DB4"/>
    <w:rsid w:val="00C44E31"/>
    <w:rsid w:val="00C45061"/>
    <w:rsid w:val="00C4517E"/>
    <w:rsid w:val="00C45440"/>
    <w:rsid w:val="00C4557B"/>
    <w:rsid w:val="00C45809"/>
    <w:rsid w:val="00C459AC"/>
    <w:rsid w:val="00C45B85"/>
    <w:rsid w:val="00C45D27"/>
    <w:rsid w:val="00C45D57"/>
    <w:rsid w:val="00C46222"/>
    <w:rsid w:val="00C4647C"/>
    <w:rsid w:val="00C46615"/>
    <w:rsid w:val="00C46EB7"/>
    <w:rsid w:val="00C47200"/>
    <w:rsid w:val="00C472C2"/>
    <w:rsid w:val="00C4756E"/>
    <w:rsid w:val="00C50147"/>
    <w:rsid w:val="00C5050B"/>
    <w:rsid w:val="00C50642"/>
    <w:rsid w:val="00C50705"/>
    <w:rsid w:val="00C50A61"/>
    <w:rsid w:val="00C50DDC"/>
    <w:rsid w:val="00C50EBC"/>
    <w:rsid w:val="00C50EDC"/>
    <w:rsid w:val="00C50F29"/>
    <w:rsid w:val="00C512F4"/>
    <w:rsid w:val="00C514F4"/>
    <w:rsid w:val="00C515E3"/>
    <w:rsid w:val="00C516D3"/>
    <w:rsid w:val="00C5184C"/>
    <w:rsid w:val="00C518B9"/>
    <w:rsid w:val="00C51CC2"/>
    <w:rsid w:val="00C51D3F"/>
    <w:rsid w:val="00C51D5A"/>
    <w:rsid w:val="00C51F23"/>
    <w:rsid w:val="00C5231A"/>
    <w:rsid w:val="00C523CC"/>
    <w:rsid w:val="00C52A95"/>
    <w:rsid w:val="00C52AF5"/>
    <w:rsid w:val="00C52CF3"/>
    <w:rsid w:val="00C536D7"/>
    <w:rsid w:val="00C53780"/>
    <w:rsid w:val="00C53BC9"/>
    <w:rsid w:val="00C53D98"/>
    <w:rsid w:val="00C54033"/>
    <w:rsid w:val="00C544A9"/>
    <w:rsid w:val="00C54556"/>
    <w:rsid w:val="00C5462E"/>
    <w:rsid w:val="00C54752"/>
    <w:rsid w:val="00C54ABA"/>
    <w:rsid w:val="00C54BC3"/>
    <w:rsid w:val="00C54CB0"/>
    <w:rsid w:val="00C54CB1"/>
    <w:rsid w:val="00C54D17"/>
    <w:rsid w:val="00C54F86"/>
    <w:rsid w:val="00C55029"/>
    <w:rsid w:val="00C550D5"/>
    <w:rsid w:val="00C55117"/>
    <w:rsid w:val="00C551AB"/>
    <w:rsid w:val="00C551AD"/>
    <w:rsid w:val="00C5538E"/>
    <w:rsid w:val="00C557F4"/>
    <w:rsid w:val="00C5594B"/>
    <w:rsid w:val="00C55E8A"/>
    <w:rsid w:val="00C56477"/>
    <w:rsid w:val="00C5654B"/>
    <w:rsid w:val="00C56AEF"/>
    <w:rsid w:val="00C5709F"/>
    <w:rsid w:val="00C570C6"/>
    <w:rsid w:val="00C571C6"/>
    <w:rsid w:val="00C573F8"/>
    <w:rsid w:val="00C575A0"/>
    <w:rsid w:val="00C575AE"/>
    <w:rsid w:val="00C57B21"/>
    <w:rsid w:val="00C57CDA"/>
    <w:rsid w:val="00C57FBA"/>
    <w:rsid w:val="00C60A32"/>
    <w:rsid w:val="00C60D83"/>
    <w:rsid w:val="00C60DAD"/>
    <w:rsid w:val="00C60F0F"/>
    <w:rsid w:val="00C611CE"/>
    <w:rsid w:val="00C613BF"/>
    <w:rsid w:val="00C614EC"/>
    <w:rsid w:val="00C61878"/>
    <w:rsid w:val="00C6191A"/>
    <w:rsid w:val="00C6203E"/>
    <w:rsid w:val="00C626C5"/>
    <w:rsid w:val="00C62783"/>
    <w:rsid w:val="00C62801"/>
    <w:rsid w:val="00C62988"/>
    <w:rsid w:val="00C62CBF"/>
    <w:rsid w:val="00C630B2"/>
    <w:rsid w:val="00C6314B"/>
    <w:rsid w:val="00C6359B"/>
    <w:rsid w:val="00C6362F"/>
    <w:rsid w:val="00C637AD"/>
    <w:rsid w:val="00C63CB9"/>
    <w:rsid w:val="00C63DBD"/>
    <w:rsid w:val="00C63E46"/>
    <w:rsid w:val="00C63F34"/>
    <w:rsid w:val="00C64512"/>
    <w:rsid w:val="00C64654"/>
    <w:rsid w:val="00C64735"/>
    <w:rsid w:val="00C64779"/>
    <w:rsid w:val="00C649A1"/>
    <w:rsid w:val="00C64F0B"/>
    <w:rsid w:val="00C64FB5"/>
    <w:rsid w:val="00C6567F"/>
    <w:rsid w:val="00C656D9"/>
    <w:rsid w:val="00C656E6"/>
    <w:rsid w:val="00C656F0"/>
    <w:rsid w:val="00C65882"/>
    <w:rsid w:val="00C658D9"/>
    <w:rsid w:val="00C65DE9"/>
    <w:rsid w:val="00C66128"/>
    <w:rsid w:val="00C662BF"/>
    <w:rsid w:val="00C6647A"/>
    <w:rsid w:val="00C66530"/>
    <w:rsid w:val="00C66814"/>
    <w:rsid w:val="00C6685D"/>
    <w:rsid w:val="00C66914"/>
    <w:rsid w:val="00C66C04"/>
    <w:rsid w:val="00C67126"/>
    <w:rsid w:val="00C67955"/>
    <w:rsid w:val="00C67A22"/>
    <w:rsid w:val="00C67ED6"/>
    <w:rsid w:val="00C7034A"/>
    <w:rsid w:val="00C70AE0"/>
    <w:rsid w:val="00C70F68"/>
    <w:rsid w:val="00C7135E"/>
    <w:rsid w:val="00C71560"/>
    <w:rsid w:val="00C71831"/>
    <w:rsid w:val="00C718E5"/>
    <w:rsid w:val="00C7202A"/>
    <w:rsid w:val="00C720B2"/>
    <w:rsid w:val="00C722CA"/>
    <w:rsid w:val="00C72589"/>
    <w:rsid w:val="00C72A98"/>
    <w:rsid w:val="00C72AEE"/>
    <w:rsid w:val="00C72D15"/>
    <w:rsid w:val="00C72F48"/>
    <w:rsid w:val="00C73081"/>
    <w:rsid w:val="00C73377"/>
    <w:rsid w:val="00C7389D"/>
    <w:rsid w:val="00C73A74"/>
    <w:rsid w:val="00C73CFF"/>
    <w:rsid w:val="00C74039"/>
    <w:rsid w:val="00C74224"/>
    <w:rsid w:val="00C74780"/>
    <w:rsid w:val="00C749A1"/>
    <w:rsid w:val="00C74A49"/>
    <w:rsid w:val="00C74BDC"/>
    <w:rsid w:val="00C74E94"/>
    <w:rsid w:val="00C74F78"/>
    <w:rsid w:val="00C7530C"/>
    <w:rsid w:val="00C75329"/>
    <w:rsid w:val="00C75687"/>
    <w:rsid w:val="00C75DC3"/>
    <w:rsid w:val="00C75ED9"/>
    <w:rsid w:val="00C7606B"/>
    <w:rsid w:val="00C76235"/>
    <w:rsid w:val="00C7640B"/>
    <w:rsid w:val="00C76498"/>
    <w:rsid w:val="00C7658B"/>
    <w:rsid w:val="00C76799"/>
    <w:rsid w:val="00C769E0"/>
    <w:rsid w:val="00C76DBC"/>
    <w:rsid w:val="00C76F7C"/>
    <w:rsid w:val="00C76FD9"/>
    <w:rsid w:val="00C77113"/>
    <w:rsid w:val="00C77AFB"/>
    <w:rsid w:val="00C77BD2"/>
    <w:rsid w:val="00C80072"/>
    <w:rsid w:val="00C8007B"/>
    <w:rsid w:val="00C800B1"/>
    <w:rsid w:val="00C80223"/>
    <w:rsid w:val="00C8035D"/>
    <w:rsid w:val="00C803F7"/>
    <w:rsid w:val="00C80775"/>
    <w:rsid w:val="00C80796"/>
    <w:rsid w:val="00C80AEB"/>
    <w:rsid w:val="00C80ED2"/>
    <w:rsid w:val="00C81552"/>
    <w:rsid w:val="00C8181D"/>
    <w:rsid w:val="00C818D3"/>
    <w:rsid w:val="00C81C91"/>
    <w:rsid w:val="00C81D00"/>
    <w:rsid w:val="00C82037"/>
    <w:rsid w:val="00C822F6"/>
    <w:rsid w:val="00C82377"/>
    <w:rsid w:val="00C82B25"/>
    <w:rsid w:val="00C82B9F"/>
    <w:rsid w:val="00C82E98"/>
    <w:rsid w:val="00C83053"/>
    <w:rsid w:val="00C83229"/>
    <w:rsid w:val="00C83811"/>
    <w:rsid w:val="00C8383C"/>
    <w:rsid w:val="00C83D77"/>
    <w:rsid w:val="00C83F9E"/>
    <w:rsid w:val="00C8425A"/>
    <w:rsid w:val="00C844BB"/>
    <w:rsid w:val="00C846BD"/>
    <w:rsid w:val="00C84F63"/>
    <w:rsid w:val="00C8574D"/>
    <w:rsid w:val="00C85935"/>
    <w:rsid w:val="00C85A4D"/>
    <w:rsid w:val="00C85EF2"/>
    <w:rsid w:val="00C85FC9"/>
    <w:rsid w:val="00C86010"/>
    <w:rsid w:val="00C8634E"/>
    <w:rsid w:val="00C86403"/>
    <w:rsid w:val="00C86C9E"/>
    <w:rsid w:val="00C86CC5"/>
    <w:rsid w:val="00C87515"/>
    <w:rsid w:val="00C876FB"/>
    <w:rsid w:val="00C87AAC"/>
    <w:rsid w:val="00C87E21"/>
    <w:rsid w:val="00C90104"/>
    <w:rsid w:val="00C90135"/>
    <w:rsid w:val="00C906B3"/>
    <w:rsid w:val="00C90A45"/>
    <w:rsid w:val="00C90B1A"/>
    <w:rsid w:val="00C90FD2"/>
    <w:rsid w:val="00C90FD5"/>
    <w:rsid w:val="00C9123C"/>
    <w:rsid w:val="00C91461"/>
    <w:rsid w:val="00C916AD"/>
    <w:rsid w:val="00C917B3"/>
    <w:rsid w:val="00C91A30"/>
    <w:rsid w:val="00C91F12"/>
    <w:rsid w:val="00C9253C"/>
    <w:rsid w:val="00C927A8"/>
    <w:rsid w:val="00C92914"/>
    <w:rsid w:val="00C929CE"/>
    <w:rsid w:val="00C92C08"/>
    <w:rsid w:val="00C92C23"/>
    <w:rsid w:val="00C92EF4"/>
    <w:rsid w:val="00C92FB3"/>
    <w:rsid w:val="00C93206"/>
    <w:rsid w:val="00C933FB"/>
    <w:rsid w:val="00C9345E"/>
    <w:rsid w:val="00C93666"/>
    <w:rsid w:val="00C937AD"/>
    <w:rsid w:val="00C93816"/>
    <w:rsid w:val="00C93850"/>
    <w:rsid w:val="00C93991"/>
    <w:rsid w:val="00C93AF1"/>
    <w:rsid w:val="00C93B83"/>
    <w:rsid w:val="00C93F52"/>
    <w:rsid w:val="00C94460"/>
    <w:rsid w:val="00C9487A"/>
    <w:rsid w:val="00C95373"/>
    <w:rsid w:val="00C95685"/>
    <w:rsid w:val="00C95AD2"/>
    <w:rsid w:val="00C95C20"/>
    <w:rsid w:val="00C96040"/>
    <w:rsid w:val="00C96081"/>
    <w:rsid w:val="00C96463"/>
    <w:rsid w:val="00C96927"/>
    <w:rsid w:val="00C9703B"/>
    <w:rsid w:val="00C971EF"/>
    <w:rsid w:val="00C972BD"/>
    <w:rsid w:val="00C972F7"/>
    <w:rsid w:val="00C9775D"/>
    <w:rsid w:val="00C97959"/>
    <w:rsid w:val="00C97BD6"/>
    <w:rsid w:val="00C97E20"/>
    <w:rsid w:val="00CA0004"/>
    <w:rsid w:val="00CA039E"/>
    <w:rsid w:val="00CA047B"/>
    <w:rsid w:val="00CA0580"/>
    <w:rsid w:val="00CA05D6"/>
    <w:rsid w:val="00CA0868"/>
    <w:rsid w:val="00CA1399"/>
    <w:rsid w:val="00CA15DD"/>
    <w:rsid w:val="00CA18C1"/>
    <w:rsid w:val="00CA18FF"/>
    <w:rsid w:val="00CA192E"/>
    <w:rsid w:val="00CA1C18"/>
    <w:rsid w:val="00CA1C98"/>
    <w:rsid w:val="00CA1E28"/>
    <w:rsid w:val="00CA1F4E"/>
    <w:rsid w:val="00CA258F"/>
    <w:rsid w:val="00CA2E2D"/>
    <w:rsid w:val="00CA2E57"/>
    <w:rsid w:val="00CA2FDC"/>
    <w:rsid w:val="00CA3499"/>
    <w:rsid w:val="00CA363F"/>
    <w:rsid w:val="00CA3AD7"/>
    <w:rsid w:val="00CA3C47"/>
    <w:rsid w:val="00CA3EC1"/>
    <w:rsid w:val="00CA5924"/>
    <w:rsid w:val="00CA5A9E"/>
    <w:rsid w:val="00CA5DF2"/>
    <w:rsid w:val="00CA5E25"/>
    <w:rsid w:val="00CA5FC5"/>
    <w:rsid w:val="00CA6D46"/>
    <w:rsid w:val="00CA759F"/>
    <w:rsid w:val="00CA794E"/>
    <w:rsid w:val="00CA7E5B"/>
    <w:rsid w:val="00CB0674"/>
    <w:rsid w:val="00CB08E2"/>
    <w:rsid w:val="00CB0E1F"/>
    <w:rsid w:val="00CB0F26"/>
    <w:rsid w:val="00CB13B8"/>
    <w:rsid w:val="00CB14A9"/>
    <w:rsid w:val="00CB14B8"/>
    <w:rsid w:val="00CB1A27"/>
    <w:rsid w:val="00CB1DDF"/>
    <w:rsid w:val="00CB1E2A"/>
    <w:rsid w:val="00CB1EC2"/>
    <w:rsid w:val="00CB1EC7"/>
    <w:rsid w:val="00CB1FFC"/>
    <w:rsid w:val="00CB21AC"/>
    <w:rsid w:val="00CB273E"/>
    <w:rsid w:val="00CB274B"/>
    <w:rsid w:val="00CB276A"/>
    <w:rsid w:val="00CB2A5B"/>
    <w:rsid w:val="00CB3179"/>
    <w:rsid w:val="00CB3311"/>
    <w:rsid w:val="00CB33D3"/>
    <w:rsid w:val="00CB3481"/>
    <w:rsid w:val="00CB34A8"/>
    <w:rsid w:val="00CB3668"/>
    <w:rsid w:val="00CB388E"/>
    <w:rsid w:val="00CB393E"/>
    <w:rsid w:val="00CB399C"/>
    <w:rsid w:val="00CB3C70"/>
    <w:rsid w:val="00CB4155"/>
    <w:rsid w:val="00CB434F"/>
    <w:rsid w:val="00CB493B"/>
    <w:rsid w:val="00CB4BE1"/>
    <w:rsid w:val="00CB4EE1"/>
    <w:rsid w:val="00CB4F04"/>
    <w:rsid w:val="00CB4F3D"/>
    <w:rsid w:val="00CB5192"/>
    <w:rsid w:val="00CB52CF"/>
    <w:rsid w:val="00CB53EC"/>
    <w:rsid w:val="00CB58CB"/>
    <w:rsid w:val="00CB631E"/>
    <w:rsid w:val="00CB64F6"/>
    <w:rsid w:val="00CB68B0"/>
    <w:rsid w:val="00CB6F12"/>
    <w:rsid w:val="00CB7019"/>
    <w:rsid w:val="00CB703F"/>
    <w:rsid w:val="00CB72B6"/>
    <w:rsid w:val="00CB74D7"/>
    <w:rsid w:val="00CB75D4"/>
    <w:rsid w:val="00CB7AD0"/>
    <w:rsid w:val="00CB7E80"/>
    <w:rsid w:val="00CB7FC9"/>
    <w:rsid w:val="00CC00C9"/>
    <w:rsid w:val="00CC023C"/>
    <w:rsid w:val="00CC02E0"/>
    <w:rsid w:val="00CC054A"/>
    <w:rsid w:val="00CC0906"/>
    <w:rsid w:val="00CC0A64"/>
    <w:rsid w:val="00CC1555"/>
    <w:rsid w:val="00CC157C"/>
    <w:rsid w:val="00CC181E"/>
    <w:rsid w:val="00CC1B40"/>
    <w:rsid w:val="00CC1D0D"/>
    <w:rsid w:val="00CC1DAA"/>
    <w:rsid w:val="00CC1E6E"/>
    <w:rsid w:val="00CC2068"/>
    <w:rsid w:val="00CC22C5"/>
    <w:rsid w:val="00CC262F"/>
    <w:rsid w:val="00CC2641"/>
    <w:rsid w:val="00CC2942"/>
    <w:rsid w:val="00CC2BFA"/>
    <w:rsid w:val="00CC2C9F"/>
    <w:rsid w:val="00CC2CAC"/>
    <w:rsid w:val="00CC2E09"/>
    <w:rsid w:val="00CC2E2F"/>
    <w:rsid w:val="00CC2EE3"/>
    <w:rsid w:val="00CC3283"/>
    <w:rsid w:val="00CC357C"/>
    <w:rsid w:val="00CC3B48"/>
    <w:rsid w:val="00CC3D1F"/>
    <w:rsid w:val="00CC4082"/>
    <w:rsid w:val="00CC4556"/>
    <w:rsid w:val="00CC4BE1"/>
    <w:rsid w:val="00CC5175"/>
    <w:rsid w:val="00CC540D"/>
    <w:rsid w:val="00CC5462"/>
    <w:rsid w:val="00CC5530"/>
    <w:rsid w:val="00CC59E2"/>
    <w:rsid w:val="00CC5B63"/>
    <w:rsid w:val="00CC5B9F"/>
    <w:rsid w:val="00CC5EC3"/>
    <w:rsid w:val="00CC618B"/>
    <w:rsid w:val="00CC64BA"/>
    <w:rsid w:val="00CC665B"/>
    <w:rsid w:val="00CC6748"/>
    <w:rsid w:val="00CC6B2B"/>
    <w:rsid w:val="00CC6BB4"/>
    <w:rsid w:val="00CC6D3A"/>
    <w:rsid w:val="00CC6EB6"/>
    <w:rsid w:val="00CC70FB"/>
    <w:rsid w:val="00CC716A"/>
    <w:rsid w:val="00CC772E"/>
    <w:rsid w:val="00CC773D"/>
    <w:rsid w:val="00CC7A1C"/>
    <w:rsid w:val="00CC7CC0"/>
    <w:rsid w:val="00CC7F9F"/>
    <w:rsid w:val="00CD0597"/>
    <w:rsid w:val="00CD08CC"/>
    <w:rsid w:val="00CD092B"/>
    <w:rsid w:val="00CD15AC"/>
    <w:rsid w:val="00CD17BB"/>
    <w:rsid w:val="00CD1981"/>
    <w:rsid w:val="00CD1DE1"/>
    <w:rsid w:val="00CD2410"/>
    <w:rsid w:val="00CD243E"/>
    <w:rsid w:val="00CD25D3"/>
    <w:rsid w:val="00CD2724"/>
    <w:rsid w:val="00CD2944"/>
    <w:rsid w:val="00CD2A14"/>
    <w:rsid w:val="00CD2BD3"/>
    <w:rsid w:val="00CD2BEE"/>
    <w:rsid w:val="00CD2EE3"/>
    <w:rsid w:val="00CD3209"/>
    <w:rsid w:val="00CD39B6"/>
    <w:rsid w:val="00CD39C8"/>
    <w:rsid w:val="00CD3C65"/>
    <w:rsid w:val="00CD3CA3"/>
    <w:rsid w:val="00CD41BE"/>
    <w:rsid w:val="00CD4843"/>
    <w:rsid w:val="00CD499C"/>
    <w:rsid w:val="00CD5567"/>
    <w:rsid w:val="00CD5590"/>
    <w:rsid w:val="00CD55B9"/>
    <w:rsid w:val="00CD5748"/>
    <w:rsid w:val="00CD57FB"/>
    <w:rsid w:val="00CD5AF9"/>
    <w:rsid w:val="00CD5AFD"/>
    <w:rsid w:val="00CD5DB3"/>
    <w:rsid w:val="00CD5F55"/>
    <w:rsid w:val="00CD604E"/>
    <w:rsid w:val="00CD623A"/>
    <w:rsid w:val="00CD6392"/>
    <w:rsid w:val="00CD66E4"/>
    <w:rsid w:val="00CD6A22"/>
    <w:rsid w:val="00CD711E"/>
    <w:rsid w:val="00CD7477"/>
    <w:rsid w:val="00CD7AAB"/>
    <w:rsid w:val="00CD7D81"/>
    <w:rsid w:val="00CD7DEC"/>
    <w:rsid w:val="00CD7F88"/>
    <w:rsid w:val="00CE011F"/>
    <w:rsid w:val="00CE037D"/>
    <w:rsid w:val="00CE0494"/>
    <w:rsid w:val="00CE049B"/>
    <w:rsid w:val="00CE0AE4"/>
    <w:rsid w:val="00CE0E18"/>
    <w:rsid w:val="00CE0E7E"/>
    <w:rsid w:val="00CE0F94"/>
    <w:rsid w:val="00CE1734"/>
    <w:rsid w:val="00CE18D2"/>
    <w:rsid w:val="00CE1989"/>
    <w:rsid w:val="00CE1B93"/>
    <w:rsid w:val="00CE1D68"/>
    <w:rsid w:val="00CE1E22"/>
    <w:rsid w:val="00CE2144"/>
    <w:rsid w:val="00CE2D25"/>
    <w:rsid w:val="00CE358F"/>
    <w:rsid w:val="00CE36AD"/>
    <w:rsid w:val="00CE39FD"/>
    <w:rsid w:val="00CE3CAC"/>
    <w:rsid w:val="00CE3D2F"/>
    <w:rsid w:val="00CE3DE6"/>
    <w:rsid w:val="00CE40CF"/>
    <w:rsid w:val="00CE417A"/>
    <w:rsid w:val="00CE438A"/>
    <w:rsid w:val="00CE43DC"/>
    <w:rsid w:val="00CE4641"/>
    <w:rsid w:val="00CE472A"/>
    <w:rsid w:val="00CE4746"/>
    <w:rsid w:val="00CE4A46"/>
    <w:rsid w:val="00CE4BFA"/>
    <w:rsid w:val="00CE4C5C"/>
    <w:rsid w:val="00CE4DED"/>
    <w:rsid w:val="00CE4F94"/>
    <w:rsid w:val="00CE55E9"/>
    <w:rsid w:val="00CE58C9"/>
    <w:rsid w:val="00CE58FB"/>
    <w:rsid w:val="00CE6106"/>
    <w:rsid w:val="00CE636E"/>
    <w:rsid w:val="00CE63BF"/>
    <w:rsid w:val="00CE6835"/>
    <w:rsid w:val="00CE6849"/>
    <w:rsid w:val="00CE6D38"/>
    <w:rsid w:val="00CE6D57"/>
    <w:rsid w:val="00CE7040"/>
    <w:rsid w:val="00CE7081"/>
    <w:rsid w:val="00CE71C6"/>
    <w:rsid w:val="00CE7BB9"/>
    <w:rsid w:val="00CE7D56"/>
    <w:rsid w:val="00CE7DE6"/>
    <w:rsid w:val="00CE7FE9"/>
    <w:rsid w:val="00CF00AE"/>
    <w:rsid w:val="00CF00E8"/>
    <w:rsid w:val="00CF0144"/>
    <w:rsid w:val="00CF016D"/>
    <w:rsid w:val="00CF020F"/>
    <w:rsid w:val="00CF03E9"/>
    <w:rsid w:val="00CF051F"/>
    <w:rsid w:val="00CF073C"/>
    <w:rsid w:val="00CF0A9A"/>
    <w:rsid w:val="00CF0E98"/>
    <w:rsid w:val="00CF101C"/>
    <w:rsid w:val="00CF1402"/>
    <w:rsid w:val="00CF1935"/>
    <w:rsid w:val="00CF19ED"/>
    <w:rsid w:val="00CF1DF9"/>
    <w:rsid w:val="00CF2021"/>
    <w:rsid w:val="00CF2445"/>
    <w:rsid w:val="00CF244A"/>
    <w:rsid w:val="00CF292F"/>
    <w:rsid w:val="00CF2A37"/>
    <w:rsid w:val="00CF2DE4"/>
    <w:rsid w:val="00CF2DF1"/>
    <w:rsid w:val="00CF38C7"/>
    <w:rsid w:val="00CF3A8D"/>
    <w:rsid w:val="00CF3E9E"/>
    <w:rsid w:val="00CF47F4"/>
    <w:rsid w:val="00CF4BCF"/>
    <w:rsid w:val="00CF4E1D"/>
    <w:rsid w:val="00CF4FEC"/>
    <w:rsid w:val="00CF562C"/>
    <w:rsid w:val="00CF5890"/>
    <w:rsid w:val="00CF5EA8"/>
    <w:rsid w:val="00CF5F16"/>
    <w:rsid w:val="00CF5FD2"/>
    <w:rsid w:val="00CF61A5"/>
    <w:rsid w:val="00CF62DE"/>
    <w:rsid w:val="00CF63B4"/>
    <w:rsid w:val="00CF64F8"/>
    <w:rsid w:val="00CF6595"/>
    <w:rsid w:val="00CF67EE"/>
    <w:rsid w:val="00CF69E6"/>
    <w:rsid w:val="00CF6B80"/>
    <w:rsid w:val="00CF6CDE"/>
    <w:rsid w:val="00CF6D18"/>
    <w:rsid w:val="00CF6E6A"/>
    <w:rsid w:val="00CF6E8D"/>
    <w:rsid w:val="00CF6EC9"/>
    <w:rsid w:val="00CF6F7D"/>
    <w:rsid w:val="00CF75F7"/>
    <w:rsid w:val="00CF7D8C"/>
    <w:rsid w:val="00CF7DC3"/>
    <w:rsid w:val="00CF7F2E"/>
    <w:rsid w:val="00D00128"/>
    <w:rsid w:val="00D0040C"/>
    <w:rsid w:val="00D0079F"/>
    <w:rsid w:val="00D00804"/>
    <w:rsid w:val="00D00914"/>
    <w:rsid w:val="00D00A13"/>
    <w:rsid w:val="00D00A47"/>
    <w:rsid w:val="00D00EA3"/>
    <w:rsid w:val="00D00F24"/>
    <w:rsid w:val="00D012C9"/>
    <w:rsid w:val="00D014A9"/>
    <w:rsid w:val="00D01636"/>
    <w:rsid w:val="00D01B14"/>
    <w:rsid w:val="00D01BC5"/>
    <w:rsid w:val="00D01DBF"/>
    <w:rsid w:val="00D01EF9"/>
    <w:rsid w:val="00D01F9F"/>
    <w:rsid w:val="00D02E68"/>
    <w:rsid w:val="00D03534"/>
    <w:rsid w:val="00D035D1"/>
    <w:rsid w:val="00D0386C"/>
    <w:rsid w:val="00D03B6A"/>
    <w:rsid w:val="00D03ED3"/>
    <w:rsid w:val="00D03FAC"/>
    <w:rsid w:val="00D041FD"/>
    <w:rsid w:val="00D0424D"/>
    <w:rsid w:val="00D04436"/>
    <w:rsid w:val="00D0447D"/>
    <w:rsid w:val="00D04686"/>
    <w:rsid w:val="00D048ED"/>
    <w:rsid w:val="00D04E36"/>
    <w:rsid w:val="00D04F8C"/>
    <w:rsid w:val="00D05044"/>
    <w:rsid w:val="00D052E9"/>
    <w:rsid w:val="00D056B9"/>
    <w:rsid w:val="00D059E0"/>
    <w:rsid w:val="00D06111"/>
    <w:rsid w:val="00D062B7"/>
    <w:rsid w:val="00D06AE5"/>
    <w:rsid w:val="00D06C9D"/>
    <w:rsid w:val="00D06E3E"/>
    <w:rsid w:val="00D06E6A"/>
    <w:rsid w:val="00D07328"/>
    <w:rsid w:val="00D0758F"/>
    <w:rsid w:val="00D1008A"/>
    <w:rsid w:val="00D10226"/>
    <w:rsid w:val="00D10376"/>
    <w:rsid w:val="00D1041D"/>
    <w:rsid w:val="00D10570"/>
    <w:rsid w:val="00D106C8"/>
    <w:rsid w:val="00D106E0"/>
    <w:rsid w:val="00D10E43"/>
    <w:rsid w:val="00D110AE"/>
    <w:rsid w:val="00D11444"/>
    <w:rsid w:val="00D1166A"/>
    <w:rsid w:val="00D116F1"/>
    <w:rsid w:val="00D11AA5"/>
    <w:rsid w:val="00D11BAF"/>
    <w:rsid w:val="00D11DA1"/>
    <w:rsid w:val="00D11EFE"/>
    <w:rsid w:val="00D11F27"/>
    <w:rsid w:val="00D122D7"/>
    <w:rsid w:val="00D1253D"/>
    <w:rsid w:val="00D1259C"/>
    <w:rsid w:val="00D127D8"/>
    <w:rsid w:val="00D1285C"/>
    <w:rsid w:val="00D129E5"/>
    <w:rsid w:val="00D12A3A"/>
    <w:rsid w:val="00D12ADC"/>
    <w:rsid w:val="00D12E48"/>
    <w:rsid w:val="00D12FCF"/>
    <w:rsid w:val="00D13388"/>
    <w:rsid w:val="00D136B2"/>
    <w:rsid w:val="00D1376D"/>
    <w:rsid w:val="00D13852"/>
    <w:rsid w:val="00D13B14"/>
    <w:rsid w:val="00D13DB4"/>
    <w:rsid w:val="00D141AA"/>
    <w:rsid w:val="00D14267"/>
    <w:rsid w:val="00D14750"/>
    <w:rsid w:val="00D14784"/>
    <w:rsid w:val="00D1489B"/>
    <w:rsid w:val="00D148FB"/>
    <w:rsid w:val="00D1496F"/>
    <w:rsid w:val="00D14BD4"/>
    <w:rsid w:val="00D14CF5"/>
    <w:rsid w:val="00D14D1A"/>
    <w:rsid w:val="00D156E3"/>
    <w:rsid w:val="00D1570B"/>
    <w:rsid w:val="00D157BE"/>
    <w:rsid w:val="00D15852"/>
    <w:rsid w:val="00D15E47"/>
    <w:rsid w:val="00D15F09"/>
    <w:rsid w:val="00D1603E"/>
    <w:rsid w:val="00D160ED"/>
    <w:rsid w:val="00D16101"/>
    <w:rsid w:val="00D1616C"/>
    <w:rsid w:val="00D16327"/>
    <w:rsid w:val="00D165AB"/>
    <w:rsid w:val="00D1669C"/>
    <w:rsid w:val="00D16816"/>
    <w:rsid w:val="00D169ED"/>
    <w:rsid w:val="00D16EE0"/>
    <w:rsid w:val="00D1714F"/>
    <w:rsid w:val="00D171BA"/>
    <w:rsid w:val="00D173C9"/>
    <w:rsid w:val="00D17697"/>
    <w:rsid w:val="00D17C40"/>
    <w:rsid w:val="00D17CD1"/>
    <w:rsid w:val="00D17D16"/>
    <w:rsid w:val="00D20020"/>
    <w:rsid w:val="00D20A59"/>
    <w:rsid w:val="00D21139"/>
    <w:rsid w:val="00D21973"/>
    <w:rsid w:val="00D21A5E"/>
    <w:rsid w:val="00D21D37"/>
    <w:rsid w:val="00D21F0B"/>
    <w:rsid w:val="00D21FE8"/>
    <w:rsid w:val="00D2240C"/>
    <w:rsid w:val="00D224A3"/>
    <w:rsid w:val="00D2257B"/>
    <w:rsid w:val="00D23046"/>
    <w:rsid w:val="00D23581"/>
    <w:rsid w:val="00D236F0"/>
    <w:rsid w:val="00D2371C"/>
    <w:rsid w:val="00D242F0"/>
    <w:rsid w:val="00D244ED"/>
    <w:rsid w:val="00D2463D"/>
    <w:rsid w:val="00D248D9"/>
    <w:rsid w:val="00D24FAF"/>
    <w:rsid w:val="00D2553F"/>
    <w:rsid w:val="00D25646"/>
    <w:rsid w:val="00D256D6"/>
    <w:rsid w:val="00D25A59"/>
    <w:rsid w:val="00D25C92"/>
    <w:rsid w:val="00D26599"/>
    <w:rsid w:val="00D2672A"/>
    <w:rsid w:val="00D26CF2"/>
    <w:rsid w:val="00D27497"/>
    <w:rsid w:val="00D27853"/>
    <w:rsid w:val="00D279BA"/>
    <w:rsid w:val="00D27B54"/>
    <w:rsid w:val="00D27D00"/>
    <w:rsid w:val="00D27D8D"/>
    <w:rsid w:val="00D27FE5"/>
    <w:rsid w:val="00D304AD"/>
    <w:rsid w:val="00D309E0"/>
    <w:rsid w:val="00D3168A"/>
    <w:rsid w:val="00D31694"/>
    <w:rsid w:val="00D31793"/>
    <w:rsid w:val="00D32279"/>
    <w:rsid w:val="00D322F2"/>
    <w:rsid w:val="00D328DF"/>
    <w:rsid w:val="00D32A0F"/>
    <w:rsid w:val="00D32B55"/>
    <w:rsid w:val="00D32D4D"/>
    <w:rsid w:val="00D32EF8"/>
    <w:rsid w:val="00D32F08"/>
    <w:rsid w:val="00D33213"/>
    <w:rsid w:val="00D3348A"/>
    <w:rsid w:val="00D33866"/>
    <w:rsid w:val="00D33905"/>
    <w:rsid w:val="00D3399D"/>
    <w:rsid w:val="00D33B97"/>
    <w:rsid w:val="00D34252"/>
    <w:rsid w:val="00D344D0"/>
    <w:rsid w:val="00D3489C"/>
    <w:rsid w:val="00D348CD"/>
    <w:rsid w:val="00D34BB7"/>
    <w:rsid w:val="00D34BEF"/>
    <w:rsid w:val="00D356E2"/>
    <w:rsid w:val="00D3588D"/>
    <w:rsid w:val="00D359B6"/>
    <w:rsid w:val="00D35BAE"/>
    <w:rsid w:val="00D35C08"/>
    <w:rsid w:val="00D35DBC"/>
    <w:rsid w:val="00D3601E"/>
    <w:rsid w:val="00D36374"/>
    <w:rsid w:val="00D36A47"/>
    <w:rsid w:val="00D36AD9"/>
    <w:rsid w:val="00D36AF7"/>
    <w:rsid w:val="00D3705F"/>
    <w:rsid w:val="00D374DA"/>
    <w:rsid w:val="00D3787E"/>
    <w:rsid w:val="00D37943"/>
    <w:rsid w:val="00D37AF9"/>
    <w:rsid w:val="00D37C4C"/>
    <w:rsid w:val="00D37CC8"/>
    <w:rsid w:val="00D37CD3"/>
    <w:rsid w:val="00D37CF6"/>
    <w:rsid w:val="00D37E1E"/>
    <w:rsid w:val="00D4033D"/>
    <w:rsid w:val="00D40657"/>
    <w:rsid w:val="00D40879"/>
    <w:rsid w:val="00D40AFE"/>
    <w:rsid w:val="00D41B96"/>
    <w:rsid w:val="00D41EEE"/>
    <w:rsid w:val="00D421B5"/>
    <w:rsid w:val="00D4248D"/>
    <w:rsid w:val="00D424BC"/>
    <w:rsid w:val="00D4299F"/>
    <w:rsid w:val="00D42ABC"/>
    <w:rsid w:val="00D4310E"/>
    <w:rsid w:val="00D431C2"/>
    <w:rsid w:val="00D437B7"/>
    <w:rsid w:val="00D438F5"/>
    <w:rsid w:val="00D43F5C"/>
    <w:rsid w:val="00D44157"/>
    <w:rsid w:val="00D441EE"/>
    <w:rsid w:val="00D44D1F"/>
    <w:rsid w:val="00D45390"/>
    <w:rsid w:val="00D459F1"/>
    <w:rsid w:val="00D45EA7"/>
    <w:rsid w:val="00D45FB4"/>
    <w:rsid w:val="00D45FE2"/>
    <w:rsid w:val="00D460A7"/>
    <w:rsid w:val="00D460DC"/>
    <w:rsid w:val="00D46447"/>
    <w:rsid w:val="00D46AF0"/>
    <w:rsid w:val="00D46BC3"/>
    <w:rsid w:val="00D46C44"/>
    <w:rsid w:val="00D4718F"/>
    <w:rsid w:val="00D473C8"/>
    <w:rsid w:val="00D474C3"/>
    <w:rsid w:val="00D474EA"/>
    <w:rsid w:val="00D478E9"/>
    <w:rsid w:val="00D47A03"/>
    <w:rsid w:val="00D50082"/>
    <w:rsid w:val="00D502B3"/>
    <w:rsid w:val="00D5033F"/>
    <w:rsid w:val="00D5047C"/>
    <w:rsid w:val="00D504FA"/>
    <w:rsid w:val="00D50507"/>
    <w:rsid w:val="00D50512"/>
    <w:rsid w:val="00D50522"/>
    <w:rsid w:val="00D507F8"/>
    <w:rsid w:val="00D50804"/>
    <w:rsid w:val="00D50890"/>
    <w:rsid w:val="00D50B23"/>
    <w:rsid w:val="00D51072"/>
    <w:rsid w:val="00D511C4"/>
    <w:rsid w:val="00D51357"/>
    <w:rsid w:val="00D5138D"/>
    <w:rsid w:val="00D515FF"/>
    <w:rsid w:val="00D51736"/>
    <w:rsid w:val="00D51A7A"/>
    <w:rsid w:val="00D51B73"/>
    <w:rsid w:val="00D51D35"/>
    <w:rsid w:val="00D51E55"/>
    <w:rsid w:val="00D51E77"/>
    <w:rsid w:val="00D51F19"/>
    <w:rsid w:val="00D51F1B"/>
    <w:rsid w:val="00D5209C"/>
    <w:rsid w:val="00D523E6"/>
    <w:rsid w:val="00D529BE"/>
    <w:rsid w:val="00D52C3F"/>
    <w:rsid w:val="00D52DA9"/>
    <w:rsid w:val="00D52E4D"/>
    <w:rsid w:val="00D52E61"/>
    <w:rsid w:val="00D52FA9"/>
    <w:rsid w:val="00D53324"/>
    <w:rsid w:val="00D53331"/>
    <w:rsid w:val="00D533C4"/>
    <w:rsid w:val="00D534AD"/>
    <w:rsid w:val="00D53513"/>
    <w:rsid w:val="00D53C10"/>
    <w:rsid w:val="00D53E41"/>
    <w:rsid w:val="00D53EE0"/>
    <w:rsid w:val="00D54135"/>
    <w:rsid w:val="00D54308"/>
    <w:rsid w:val="00D54319"/>
    <w:rsid w:val="00D547FD"/>
    <w:rsid w:val="00D55182"/>
    <w:rsid w:val="00D5571B"/>
    <w:rsid w:val="00D563EF"/>
    <w:rsid w:val="00D56472"/>
    <w:rsid w:val="00D564D0"/>
    <w:rsid w:val="00D564D2"/>
    <w:rsid w:val="00D565B6"/>
    <w:rsid w:val="00D57385"/>
    <w:rsid w:val="00D573B6"/>
    <w:rsid w:val="00D57B38"/>
    <w:rsid w:val="00D57C5C"/>
    <w:rsid w:val="00D600D6"/>
    <w:rsid w:val="00D6010A"/>
    <w:rsid w:val="00D6019A"/>
    <w:rsid w:val="00D60514"/>
    <w:rsid w:val="00D607C3"/>
    <w:rsid w:val="00D60936"/>
    <w:rsid w:val="00D60ED2"/>
    <w:rsid w:val="00D61022"/>
    <w:rsid w:val="00D61160"/>
    <w:rsid w:val="00D613C6"/>
    <w:rsid w:val="00D6166B"/>
    <w:rsid w:val="00D616F1"/>
    <w:rsid w:val="00D61DA2"/>
    <w:rsid w:val="00D6235F"/>
    <w:rsid w:val="00D6268B"/>
    <w:rsid w:val="00D62922"/>
    <w:rsid w:val="00D62C1F"/>
    <w:rsid w:val="00D62E27"/>
    <w:rsid w:val="00D631DE"/>
    <w:rsid w:val="00D636F7"/>
    <w:rsid w:val="00D6390F"/>
    <w:rsid w:val="00D63A45"/>
    <w:rsid w:val="00D63AD2"/>
    <w:rsid w:val="00D63C9D"/>
    <w:rsid w:val="00D64347"/>
    <w:rsid w:val="00D6458B"/>
    <w:rsid w:val="00D64738"/>
    <w:rsid w:val="00D64C8C"/>
    <w:rsid w:val="00D64D10"/>
    <w:rsid w:val="00D64F56"/>
    <w:rsid w:val="00D65381"/>
    <w:rsid w:val="00D653FA"/>
    <w:rsid w:val="00D65D36"/>
    <w:rsid w:val="00D65DAD"/>
    <w:rsid w:val="00D66475"/>
    <w:rsid w:val="00D664E4"/>
    <w:rsid w:val="00D66CFD"/>
    <w:rsid w:val="00D66E30"/>
    <w:rsid w:val="00D66F0E"/>
    <w:rsid w:val="00D67265"/>
    <w:rsid w:val="00D674B7"/>
    <w:rsid w:val="00D677AE"/>
    <w:rsid w:val="00D6799B"/>
    <w:rsid w:val="00D679A7"/>
    <w:rsid w:val="00D67AA5"/>
    <w:rsid w:val="00D67BB2"/>
    <w:rsid w:val="00D67D3E"/>
    <w:rsid w:val="00D67E09"/>
    <w:rsid w:val="00D67E10"/>
    <w:rsid w:val="00D702B9"/>
    <w:rsid w:val="00D70866"/>
    <w:rsid w:val="00D70BC2"/>
    <w:rsid w:val="00D70DFD"/>
    <w:rsid w:val="00D70FE4"/>
    <w:rsid w:val="00D71276"/>
    <w:rsid w:val="00D712DA"/>
    <w:rsid w:val="00D714F6"/>
    <w:rsid w:val="00D719D3"/>
    <w:rsid w:val="00D71EA6"/>
    <w:rsid w:val="00D72503"/>
    <w:rsid w:val="00D72D19"/>
    <w:rsid w:val="00D72FBC"/>
    <w:rsid w:val="00D731E4"/>
    <w:rsid w:val="00D7337E"/>
    <w:rsid w:val="00D733AF"/>
    <w:rsid w:val="00D73627"/>
    <w:rsid w:val="00D738C7"/>
    <w:rsid w:val="00D73997"/>
    <w:rsid w:val="00D73C0E"/>
    <w:rsid w:val="00D73CBA"/>
    <w:rsid w:val="00D73CD9"/>
    <w:rsid w:val="00D73EAC"/>
    <w:rsid w:val="00D74158"/>
    <w:rsid w:val="00D744E1"/>
    <w:rsid w:val="00D74AB3"/>
    <w:rsid w:val="00D75544"/>
    <w:rsid w:val="00D75992"/>
    <w:rsid w:val="00D75A27"/>
    <w:rsid w:val="00D75A8A"/>
    <w:rsid w:val="00D75B36"/>
    <w:rsid w:val="00D75C56"/>
    <w:rsid w:val="00D75D94"/>
    <w:rsid w:val="00D75E1C"/>
    <w:rsid w:val="00D76740"/>
    <w:rsid w:val="00D76AA4"/>
    <w:rsid w:val="00D770A1"/>
    <w:rsid w:val="00D774BD"/>
    <w:rsid w:val="00D77DD3"/>
    <w:rsid w:val="00D802EF"/>
    <w:rsid w:val="00D8046A"/>
    <w:rsid w:val="00D80677"/>
    <w:rsid w:val="00D80783"/>
    <w:rsid w:val="00D80841"/>
    <w:rsid w:val="00D80854"/>
    <w:rsid w:val="00D80890"/>
    <w:rsid w:val="00D808C1"/>
    <w:rsid w:val="00D809FC"/>
    <w:rsid w:val="00D8103B"/>
    <w:rsid w:val="00D81136"/>
    <w:rsid w:val="00D81180"/>
    <w:rsid w:val="00D81291"/>
    <w:rsid w:val="00D817C0"/>
    <w:rsid w:val="00D819AD"/>
    <w:rsid w:val="00D81AB6"/>
    <w:rsid w:val="00D81E22"/>
    <w:rsid w:val="00D81EDD"/>
    <w:rsid w:val="00D81F4F"/>
    <w:rsid w:val="00D8216F"/>
    <w:rsid w:val="00D82243"/>
    <w:rsid w:val="00D82308"/>
    <w:rsid w:val="00D82582"/>
    <w:rsid w:val="00D829C9"/>
    <w:rsid w:val="00D82A97"/>
    <w:rsid w:val="00D83223"/>
    <w:rsid w:val="00D837AF"/>
    <w:rsid w:val="00D837EB"/>
    <w:rsid w:val="00D83DB4"/>
    <w:rsid w:val="00D848CE"/>
    <w:rsid w:val="00D84A58"/>
    <w:rsid w:val="00D84E4F"/>
    <w:rsid w:val="00D85043"/>
    <w:rsid w:val="00D8558F"/>
    <w:rsid w:val="00D855B1"/>
    <w:rsid w:val="00D85989"/>
    <w:rsid w:val="00D85AF6"/>
    <w:rsid w:val="00D85BDE"/>
    <w:rsid w:val="00D85D73"/>
    <w:rsid w:val="00D85FC5"/>
    <w:rsid w:val="00D86273"/>
    <w:rsid w:val="00D8641B"/>
    <w:rsid w:val="00D8653C"/>
    <w:rsid w:val="00D8666E"/>
    <w:rsid w:val="00D86695"/>
    <w:rsid w:val="00D86799"/>
    <w:rsid w:val="00D86E7A"/>
    <w:rsid w:val="00D8723A"/>
    <w:rsid w:val="00D87C06"/>
    <w:rsid w:val="00D87EFE"/>
    <w:rsid w:val="00D90136"/>
    <w:rsid w:val="00D90165"/>
    <w:rsid w:val="00D901EA"/>
    <w:rsid w:val="00D905ED"/>
    <w:rsid w:val="00D90653"/>
    <w:rsid w:val="00D90B19"/>
    <w:rsid w:val="00D9119A"/>
    <w:rsid w:val="00D91632"/>
    <w:rsid w:val="00D9181F"/>
    <w:rsid w:val="00D919CF"/>
    <w:rsid w:val="00D91BA6"/>
    <w:rsid w:val="00D91E6B"/>
    <w:rsid w:val="00D92640"/>
    <w:rsid w:val="00D92B69"/>
    <w:rsid w:val="00D92CB0"/>
    <w:rsid w:val="00D92CDC"/>
    <w:rsid w:val="00D92CFC"/>
    <w:rsid w:val="00D92D3A"/>
    <w:rsid w:val="00D93069"/>
    <w:rsid w:val="00D930DA"/>
    <w:rsid w:val="00D932F3"/>
    <w:rsid w:val="00D934D9"/>
    <w:rsid w:val="00D93561"/>
    <w:rsid w:val="00D93F5F"/>
    <w:rsid w:val="00D940AA"/>
    <w:rsid w:val="00D9430D"/>
    <w:rsid w:val="00D94606"/>
    <w:rsid w:val="00D9460A"/>
    <w:rsid w:val="00D946AA"/>
    <w:rsid w:val="00D94780"/>
    <w:rsid w:val="00D94C41"/>
    <w:rsid w:val="00D94C6E"/>
    <w:rsid w:val="00D94E8F"/>
    <w:rsid w:val="00D95274"/>
    <w:rsid w:val="00D9527F"/>
    <w:rsid w:val="00D958F6"/>
    <w:rsid w:val="00D95EED"/>
    <w:rsid w:val="00D96006"/>
    <w:rsid w:val="00D960A4"/>
    <w:rsid w:val="00D960D9"/>
    <w:rsid w:val="00D96660"/>
    <w:rsid w:val="00D966ED"/>
    <w:rsid w:val="00D96ADC"/>
    <w:rsid w:val="00D971B2"/>
    <w:rsid w:val="00D9736B"/>
    <w:rsid w:val="00D975E4"/>
    <w:rsid w:val="00D978E3"/>
    <w:rsid w:val="00D97B63"/>
    <w:rsid w:val="00D97C33"/>
    <w:rsid w:val="00DA023F"/>
    <w:rsid w:val="00DA077C"/>
    <w:rsid w:val="00DA07B1"/>
    <w:rsid w:val="00DA0854"/>
    <w:rsid w:val="00DA0C35"/>
    <w:rsid w:val="00DA0C8C"/>
    <w:rsid w:val="00DA0F9B"/>
    <w:rsid w:val="00DA120A"/>
    <w:rsid w:val="00DA19B1"/>
    <w:rsid w:val="00DA19F7"/>
    <w:rsid w:val="00DA1A4E"/>
    <w:rsid w:val="00DA2396"/>
    <w:rsid w:val="00DA2569"/>
    <w:rsid w:val="00DA27DA"/>
    <w:rsid w:val="00DA29D8"/>
    <w:rsid w:val="00DA2A2E"/>
    <w:rsid w:val="00DA3287"/>
    <w:rsid w:val="00DA334A"/>
    <w:rsid w:val="00DA3713"/>
    <w:rsid w:val="00DA376E"/>
    <w:rsid w:val="00DA3A82"/>
    <w:rsid w:val="00DA3B51"/>
    <w:rsid w:val="00DA3C34"/>
    <w:rsid w:val="00DA3DEE"/>
    <w:rsid w:val="00DA3E32"/>
    <w:rsid w:val="00DA3FD0"/>
    <w:rsid w:val="00DA421B"/>
    <w:rsid w:val="00DA42A7"/>
    <w:rsid w:val="00DA4EDB"/>
    <w:rsid w:val="00DA4F7A"/>
    <w:rsid w:val="00DA533A"/>
    <w:rsid w:val="00DA55D7"/>
    <w:rsid w:val="00DA57AC"/>
    <w:rsid w:val="00DA5891"/>
    <w:rsid w:val="00DA58ED"/>
    <w:rsid w:val="00DA5A1A"/>
    <w:rsid w:val="00DA5D09"/>
    <w:rsid w:val="00DA5F1F"/>
    <w:rsid w:val="00DA6090"/>
    <w:rsid w:val="00DA6AB3"/>
    <w:rsid w:val="00DA6D04"/>
    <w:rsid w:val="00DA73BE"/>
    <w:rsid w:val="00DA7C33"/>
    <w:rsid w:val="00DA7FD6"/>
    <w:rsid w:val="00DB007F"/>
    <w:rsid w:val="00DB0214"/>
    <w:rsid w:val="00DB0366"/>
    <w:rsid w:val="00DB064E"/>
    <w:rsid w:val="00DB069A"/>
    <w:rsid w:val="00DB0733"/>
    <w:rsid w:val="00DB0A59"/>
    <w:rsid w:val="00DB0C74"/>
    <w:rsid w:val="00DB0E44"/>
    <w:rsid w:val="00DB13E0"/>
    <w:rsid w:val="00DB1997"/>
    <w:rsid w:val="00DB1B46"/>
    <w:rsid w:val="00DB1C84"/>
    <w:rsid w:val="00DB2116"/>
    <w:rsid w:val="00DB215C"/>
    <w:rsid w:val="00DB2231"/>
    <w:rsid w:val="00DB22D1"/>
    <w:rsid w:val="00DB23E1"/>
    <w:rsid w:val="00DB23E8"/>
    <w:rsid w:val="00DB2840"/>
    <w:rsid w:val="00DB2B02"/>
    <w:rsid w:val="00DB2BBD"/>
    <w:rsid w:val="00DB30EB"/>
    <w:rsid w:val="00DB3298"/>
    <w:rsid w:val="00DB35FE"/>
    <w:rsid w:val="00DB370B"/>
    <w:rsid w:val="00DB3786"/>
    <w:rsid w:val="00DB37EA"/>
    <w:rsid w:val="00DB3B63"/>
    <w:rsid w:val="00DB3D24"/>
    <w:rsid w:val="00DB3E5C"/>
    <w:rsid w:val="00DB3EC2"/>
    <w:rsid w:val="00DB404E"/>
    <w:rsid w:val="00DB406A"/>
    <w:rsid w:val="00DB45D9"/>
    <w:rsid w:val="00DB4935"/>
    <w:rsid w:val="00DB4B00"/>
    <w:rsid w:val="00DB4FCA"/>
    <w:rsid w:val="00DB5191"/>
    <w:rsid w:val="00DB5790"/>
    <w:rsid w:val="00DB57F2"/>
    <w:rsid w:val="00DB5B63"/>
    <w:rsid w:val="00DB5BD1"/>
    <w:rsid w:val="00DB61BC"/>
    <w:rsid w:val="00DB6CB3"/>
    <w:rsid w:val="00DB6D3C"/>
    <w:rsid w:val="00DB6F45"/>
    <w:rsid w:val="00DB70F2"/>
    <w:rsid w:val="00DB748B"/>
    <w:rsid w:val="00DB78E2"/>
    <w:rsid w:val="00DB7A95"/>
    <w:rsid w:val="00DB7C4F"/>
    <w:rsid w:val="00DB7FEB"/>
    <w:rsid w:val="00DC006C"/>
    <w:rsid w:val="00DC00EC"/>
    <w:rsid w:val="00DC0684"/>
    <w:rsid w:val="00DC0747"/>
    <w:rsid w:val="00DC0D4F"/>
    <w:rsid w:val="00DC0DEE"/>
    <w:rsid w:val="00DC1022"/>
    <w:rsid w:val="00DC1164"/>
    <w:rsid w:val="00DC1227"/>
    <w:rsid w:val="00DC135C"/>
    <w:rsid w:val="00DC1812"/>
    <w:rsid w:val="00DC1E27"/>
    <w:rsid w:val="00DC2362"/>
    <w:rsid w:val="00DC23F5"/>
    <w:rsid w:val="00DC2444"/>
    <w:rsid w:val="00DC2447"/>
    <w:rsid w:val="00DC2543"/>
    <w:rsid w:val="00DC3065"/>
    <w:rsid w:val="00DC30C0"/>
    <w:rsid w:val="00DC3B3C"/>
    <w:rsid w:val="00DC3BA7"/>
    <w:rsid w:val="00DC3D28"/>
    <w:rsid w:val="00DC3E35"/>
    <w:rsid w:val="00DC4211"/>
    <w:rsid w:val="00DC44E7"/>
    <w:rsid w:val="00DC45BD"/>
    <w:rsid w:val="00DC46AD"/>
    <w:rsid w:val="00DC4737"/>
    <w:rsid w:val="00DC49CF"/>
    <w:rsid w:val="00DC504D"/>
    <w:rsid w:val="00DC53D0"/>
    <w:rsid w:val="00DC57A3"/>
    <w:rsid w:val="00DC583C"/>
    <w:rsid w:val="00DC590F"/>
    <w:rsid w:val="00DC5BF5"/>
    <w:rsid w:val="00DC5C79"/>
    <w:rsid w:val="00DC6066"/>
    <w:rsid w:val="00DC6615"/>
    <w:rsid w:val="00DC6629"/>
    <w:rsid w:val="00DC66D3"/>
    <w:rsid w:val="00DC6790"/>
    <w:rsid w:val="00DC6CD9"/>
    <w:rsid w:val="00DC7044"/>
    <w:rsid w:val="00DC71DB"/>
    <w:rsid w:val="00DC7429"/>
    <w:rsid w:val="00DC74FB"/>
    <w:rsid w:val="00DD0132"/>
    <w:rsid w:val="00DD07F2"/>
    <w:rsid w:val="00DD07F4"/>
    <w:rsid w:val="00DD0AA0"/>
    <w:rsid w:val="00DD0AF3"/>
    <w:rsid w:val="00DD0FCD"/>
    <w:rsid w:val="00DD1003"/>
    <w:rsid w:val="00DD16F0"/>
    <w:rsid w:val="00DD19C3"/>
    <w:rsid w:val="00DD1B4B"/>
    <w:rsid w:val="00DD1BBB"/>
    <w:rsid w:val="00DD1E86"/>
    <w:rsid w:val="00DD20F5"/>
    <w:rsid w:val="00DD22A3"/>
    <w:rsid w:val="00DD2384"/>
    <w:rsid w:val="00DD24C1"/>
    <w:rsid w:val="00DD26CA"/>
    <w:rsid w:val="00DD2787"/>
    <w:rsid w:val="00DD292A"/>
    <w:rsid w:val="00DD2996"/>
    <w:rsid w:val="00DD3211"/>
    <w:rsid w:val="00DD322F"/>
    <w:rsid w:val="00DD33AD"/>
    <w:rsid w:val="00DD35E8"/>
    <w:rsid w:val="00DD3902"/>
    <w:rsid w:val="00DD39B9"/>
    <w:rsid w:val="00DD3E12"/>
    <w:rsid w:val="00DD4094"/>
    <w:rsid w:val="00DD46D7"/>
    <w:rsid w:val="00DD482A"/>
    <w:rsid w:val="00DD490A"/>
    <w:rsid w:val="00DD4A64"/>
    <w:rsid w:val="00DD4AB3"/>
    <w:rsid w:val="00DD4D1D"/>
    <w:rsid w:val="00DD52C2"/>
    <w:rsid w:val="00DD5328"/>
    <w:rsid w:val="00DD53B2"/>
    <w:rsid w:val="00DD58D9"/>
    <w:rsid w:val="00DD58EB"/>
    <w:rsid w:val="00DD5901"/>
    <w:rsid w:val="00DD5EB9"/>
    <w:rsid w:val="00DD5F9A"/>
    <w:rsid w:val="00DD6054"/>
    <w:rsid w:val="00DD605D"/>
    <w:rsid w:val="00DD65B5"/>
    <w:rsid w:val="00DD65E4"/>
    <w:rsid w:val="00DD6760"/>
    <w:rsid w:val="00DD6AC3"/>
    <w:rsid w:val="00DD71C5"/>
    <w:rsid w:val="00DD749F"/>
    <w:rsid w:val="00DD7556"/>
    <w:rsid w:val="00DD75D9"/>
    <w:rsid w:val="00DD7669"/>
    <w:rsid w:val="00DD7919"/>
    <w:rsid w:val="00DD7C21"/>
    <w:rsid w:val="00DD7CF8"/>
    <w:rsid w:val="00DD7DB6"/>
    <w:rsid w:val="00DD7F42"/>
    <w:rsid w:val="00DE0129"/>
    <w:rsid w:val="00DE02C7"/>
    <w:rsid w:val="00DE0860"/>
    <w:rsid w:val="00DE0974"/>
    <w:rsid w:val="00DE0A26"/>
    <w:rsid w:val="00DE116F"/>
    <w:rsid w:val="00DE12D5"/>
    <w:rsid w:val="00DE13AD"/>
    <w:rsid w:val="00DE1794"/>
    <w:rsid w:val="00DE1855"/>
    <w:rsid w:val="00DE2628"/>
    <w:rsid w:val="00DE2701"/>
    <w:rsid w:val="00DE27AA"/>
    <w:rsid w:val="00DE2849"/>
    <w:rsid w:val="00DE2C7B"/>
    <w:rsid w:val="00DE30EC"/>
    <w:rsid w:val="00DE3173"/>
    <w:rsid w:val="00DE362E"/>
    <w:rsid w:val="00DE3A95"/>
    <w:rsid w:val="00DE3BD9"/>
    <w:rsid w:val="00DE3D1B"/>
    <w:rsid w:val="00DE3E21"/>
    <w:rsid w:val="00DE3E7A"/>
    <w:rsid w:val="00DE3FD8"/>
    <w:rsid w:val="00DE4045"/>
    <w:rsid w:val="00DE40EF"/>
    <w:rsid w:val="00DE42F8"/>
    <w:rsid w:val="00DE451B"/>
    <w:rsid w:val="00DE48EE"/>
    <w:rsid w:val="00DE4B72"/>
    <w:rsid w:val="00DE52E9"/>
    <w:rsid w:val="00DE53A8"/>
    <w:rsid w:val="00DE53D6"/>
    <w:rsid w:val="00DE53F1"/>
    <w:rsid w:val="00DE543F"/>
    <w:rsid w:val="00DE54A3"/>
    <w:rsid w:val="00DE5A47"/>
    <w:rsid w:val="00DE653D"/>
    <w:rsid w:val="00DE67E4"/>
    <w:rsid w:val="00DE6B5F"/>
    <w:rsid w:val="00DE6F9A"/>
    <w:rsid w:val="00DE6FFB"/>
    <w:rsid w:val="00DE70C4"/>
    <w:rsid w:val="00DE72B7"/>
    <w:rsid w:val="00DE7E7D"/>
    <w:rsid w:val="00DE7F69"/>
    <w:rsid w:val="00DF0006"/>
    <w:rsid w:val="00DF0038"/>
    <w:rsid w:val="00DF00B0"/>
    <w:rsid w:val="00DF0526"/>
    <w:rsid w:val="00DF0544"/>
    <w:rsid w:val="00DF08DE"/>
    <w:rsid w:val="00DF0A39"/>
    <w:rsid w:val="00DF0C68"/>
    <w:rsid w:val="00DF0D12"/>
    <w:rsid w:val="00DF0D6A"/>
    <w:rsid w:val="00DF10CF"/>
    <w:rsid w:val="00DF13EC"/>
    <w:rsid w:val="00DF19AC"/>
    <w:rsid w:val="00DF19B5"/>
    <w:rsid w:val="00DF1B86"/>
    <w:rsid w:val="00DF1BEF"/>
    <w:rsid w:val="00DF1D7D"/>
    <w:rsid w:val="00DF1E04"/>
    <w:rsid w:val="00DF1E3B"/>
    <w:rsid w:val="00DF2189"/>
    <w:rsid w:val="00DF21D5"/>
    <w:rsid w:val="00DF251B"/>
    <w:rsid w:val="00DF2594"/>
    <w:rsid w:val="00DF2879"/>
    <w:rsid w:val="00DF2893"/>
    <w:rsid w:val="00DF2AA7"/>
    <w:rsid w:val="00DF2C43"/>
    <w:rsid w:val="00DF2C96"/>
    <w:rsid w:val="00DF2D49"/>
    <w:rsid w:val="00DF30AF"/>
    <w:rsid w:val="00DF312A"/>
    <w:rsid w:val="00DF31BC"/>
    <w:rsid w:val="00DF37FB"/>
    <w:rsid w:val="00DF3AE1"/>
    <w:rsid w:val="00DF3C41"/>
    <w:rsid w:val="00DF409C"/>
    <w:rsid w:val="00DF43AD"/>
    <w:rsid w:val="00DF5309"/>
    <w:rsid w:val="00DF5400"/>
    <w:rsid w:val="00DF554B"/>
    <w:rsid w:val="00DF567A"/>
    <w:rsid w:val="00DF569C"/>
    <w:rsid w:val="00DF5CD8"/>
    <w:rsid w:val="00DF627F"/>
    <w:rsid w:val="00DF66DE"/>
    <w:rsid w:val="00DF68AC"/>
    <w:rsid w:val="00DF6A14"/>
    <w:rsid w:val="00DF6E04"/>
    <w:rsid w:val="00DF7258"/>
    <w:rsid w:val="00DF751C"/>
    <w:rsid w:val="00DF7CDA"/>
    <w:rsid w:val="00DF7EA1"/>
    <w:rsid w:val="00E00003"/>
    <w:rsid w:val="00E0047C"/>
    <w:rsid w:val="00E008FC"/>
    <w:rsid w:val="00E00A5D"/>
    <w:rsid w:val="00E00B3D"/>
    <w:rsid w:val="00E00BC9"/>
    <w:rsid w:val="00E00C3D"/>
    <w:rsid w:val="00E00F0E"/>
    <w:rsid w:val="00E01052"/>
    <w:rsid w:val="00E01192"/>
    <w:rsid w:val="00E0127F"/>
    <w:rsid w:val="00E01710"/>
    <w:rsid w:val="00E0179E"/>
    <w:rsid w:val="00E018AE"/>
    <w:rsid w:val="00E019D8"/>
    <w:rsid w:val="00E02087"/>
    <w:rsid w:val="00E022F3"/>
    <w:rsid w:val="00E0232E"/>
    <w:rsid w:val="00E02690"/>
    <w:rsid w:val="00E027CF"/>
    <w:rsid w:val="00E02AF8"/>
    <w:rsid w:val="00E02B45"/>
    <w:rsid w:val="00E02DB1"/>
    <w:rsid w:val="00E032B7"/>
    <w:rsid w:val="00E03690"/>
    <w:rsid w:val="00E03AEE"/>
    <w:rsid w:val="00E03BFA"/>
    <w:rsid w:val="00E03C82"/>
    <w:rsid w:val="00E03E12"/>
    <w:rsid w:val="00E03F74"/>
    <w:rsid w:val="00E0493E"/>
    <w:rsid w:val="00E04BEA"/>
    <w:rsid w:val="00E04FB3"/>
    <w:rsid w:val="00E0522D"/>
    <w:rsid w:val="00E0526E"/>
    <w:rsid w:val="00E05464"/>
    <w:rsid w:val="00E05495"/>
    <w:rsid w:val="00E054FE"/>
    <w:rsid w:val="00E0587B"/>
    <w:rsid w:val="00E058A4"/>
    <w:rsid w:val="00E05C11"/>
    <w:rsid w:val="00E05CE0"/>
    <w:rsid w:val="00E0604B"/>
    <w:rsid w:val="00E06541"/>
    <w:rsid w:val="00E0672B"/>
    <w:rsid w:val="00E06C90"/>
    <w:rsid w:val="00E06CB5"/>
    <w:rsid w:val="00E06D49"/>
    <w:rsid w:val="00E06F8E"/>
    <w:rsid w:val="00E0707C"/>
    <w:rsid w:val="00E074E1"/>
    <w:rsid w:val="00E0764B"/>
    <w:rsid w:val="00E0789D"/>
    <w:rsid w:val="00E078FB"/>
    <w:rsid w:val="00E0799A"/>
    <w:rsid w:val="00E07A7B"/>
    <w:rsid w:val="00E07E59"/>
    <w:rsid w:val="00E07EEB"/>
    <w:rsid w:val="00E07F66"/>
    <w:rsid w:val="00E102AA"/>
    <w:rsid w:val="00E104DF"/>
    <w:rsid w:val="00E10720"/>
    <w:rsid w:val="00E10779"/>
    <w:rsid w:val="00E1083C"/>
    <w:rsid w:val="00E10CF5"/>
    <w:rsid w:val="00E10DD6"/>
    <w:rsid w:val="00E10F2D"/>
    <w:rsid w:val="00E10F64"/>
    <w:rsid w:val="00E11090"/>
    <w:rsid w:val="00E1131E"/>
    <w:rsid w:val="00E1134F"/>
    <w:rsid w:val="00E1177F"/>
    <w:rsid w:val="00E118FD"/>
    <w:rsid w:val="00E1195C"/>
    <w:rsid w:val="00E11C75"/>
    <w:rsid w:val="00E11CE0"/>
    <w:rsid w:val="00E12179"/>
    <w:rsid w:val="00E122C0"/>
    <w:rsid w:val="00E1232F"/>
    <w:rsid w:val="00E125A3"/>
    <w:rsid w:val="00E128B4"/>
    <w:rsid w:val="00E12A02"/>
    <w:rsid w:val="00E12A3E"/>
    <w:rsid w:val="00E12E40"/>
    <w:rsid w:val="00E131F2"/>
    <w:rsid w:val="00E13703"/>
    <w:rsid w:val="00E13BBC"/>
    <w:rsid w:val="00E13BCB"/>
    <w:rsid w:val="00E13E81"/>
    <w:rsid w:val="00E14040"/>
    <w:rsid w:val="00E143DC"/>
    <w:rsid w:val="00E146CF"/>
    <w:rsid w:val="00E1489C"/>
    <w:rsid w:val="00E152C0"/>
    <w:rsid w:val="00E162A5"/>
    <w:rsid w:val="00E1654B"/>
    <w:rsid w:val="00E16557"/>
    <w:rsid w:val="00E1685B"/>
    <w:rsid w:val="00E16A5B"/>
    <w:rsid w:val="00E17055"/>
    <w:rsid w:val="00E1709A"/>
    <w:rsid w:val="00E170DF"/>
    <w:rsid w:val="00E1712A"/>
    <w:rsid w:val="00E171C5"/>
    <w:rsid w:val="00E1722C"/>
    <w:rsid w:val="00E174A9"/>
    <w:rsid w:val="00E175A1"/>
    <w:rsid w:val="00E175AE"/>
    <w:rsid w:val="00E17B99"/>
    <w:rsid w:val="00E17C5F"/>
    <w:rsid w:val="00E204C2"/>
    <w:rsid w:val="00E2087B"/>
    <w:rsid w:val="00E213B2"/>
    <w:rsid w:val="00E214CA"/>
    <w:rsid w:val="00E22395"/>
    <w:rsid w:val="00E22D46"/>
    <w:rsid w:val="00E22E39"/>
    <w:rsid w:val="00E22ECE"/>
    <w:rsid w:val="00E22ED3"/>
    <w:rsid w:val="00E23042"/>
    <w:rsid w:val="00E231C6"/>
    <w:rsid w:val="00E234FD"/>
    <w:rsid w:val="00E2394E"/>
    <w:rsid w:val="00E23B8B"/>
    <w:rsid w:val="00E23BC1"/>
    <w:rsid w:val="00E23CAE"/>
    <w:rsid w:val="00E23E9B"/>
    <w:rsid w:val="00E24230"/>
    <w:rsid w:val="00E2434E"/>
    <w:rsid w:val="00E2456C"/>
    <w:rsid w:val="00E2470E"/>
    <w:rsid w:val="00E247F1"/>
    <w:rsid w:val="00E2484F"/>
    <w:rsid w:val="00E24956"/>
    <w:rsid w:val="00E25253"/>
    <w:rsid w:val="00E2525B"/>
    <w:rsid w:val="00E25B67"/>
    <w:rsid w:val="00E2612D"/>
    <w:rsid w:val="00E2613B"/>
    <w:rsid w:val="00E2625C"/>
    <w:rsid w:val="00E263B8"/>
    <w:rsid w:val="00E263E7"/>
    <w:rsid w:val="00E2642C"/>
    <w:rsid w:val="00E264FD"/>
    <w:rsid w:val="00E268A4"/>
    <w:rsid w:val="00E268D9"/>
    <w:rsid w:val="00E26E34"/>
    <w:rsid w:val="00E26EA0"/>
    <w:rsid w:val="00E26FD0"/>
    <w:rsid w:val="00E275CA"/>
    <w:rsid w:val="00E3045A"/>
    <w:rsid w:val="00E30A42"/>
    <w:rsid w:val="00E30BD4"/>
    <w:rsid w:val="00E30E5E"/>
    <w:rsid w:val="00E30EA1"/>
    <w:rsid w:val="00E3102F"/>
    <w:rsid w:val="00E31055"/>
    <w:rsid w:val="00E3116A"/>
    <w:rsid w:val="00E31317"/>
    <w:rsid w:val="00E31B53"/>
    <w:rsid w:val="00E31DC9"/>
    <w:rsid w:val="00E32581"/>
    <w:rsid w:val="00E327A2"/>
    <w:rsid w:val="00E328B7"/>
    <w:rsid w:val="00E32A18"/>
    <w:rsid w:val="00E32EF4"/>
    <w:rsid w:val="00E3301D"/>
    <w:rsid w:val="00E33058"/>
    <w:rsid w:val="00E3381C"/>
    <w:rsid w:val="00E33D34"/>
    <w:rsid w:val="00E33FEB"/>
    <w:rsid w:val="00E34A72"/>
    <w:rsid w:val="00E34ADC"/>
    <w:rsid w:val="00E34C17"/>
    <w:rsid w:val="00E34CC4"/>
    <w:rsid w:val="00E34CF9"/>
    <w:rsid w:val="00E3522D"/>
    <w:rsid w:val="00E3539D"/>
    <w:rsid w:val="00E35629"/>
    <w:rsid w:val="00E3566C"/>
    <w:rsid w:val="00E3597F"/>
    <w:rsid w:val="00E35B00"/>
    <w:rsid w:val="00E35E54"/>
    <w:rsid w:val="00E35EDF"/>
    <w:rsid w:val="00E35F4E"/>
    <w:rsid w:val="00E36415"/>
    <w:rsid w:val="00E3646E"/>
    <w:rsid w:val="00E36717"/>
    <w:rsid w:val="00E36DFD"/>
    <w:rsid w:val="00E36F1C"/>
    <w:rsid w:val="00E3711D"/>
    <w:rsid w:val="00E3716C"/>
    <w:rsid w:val="00E374AB"/>
    <w:rsid w:val="00E376E7"/>
    <w:rsid w:val="00E37CA0"/>
    <w:rsid w:val="00E37D5B"/>
    <w:rsid w:val="00E40011"/>
    <w:rsid w:val="00E4065B"/>
    <w:rsid w:val="00E4066C"/>
    <w:rsid w:val="00E40B1B"/>
    <w:rsid w:val="00E40F13"/>
    <w:rsid w:val="00E40F4A"/>
    <w:rsid w:val="00E4115E"/>
    <w:rsid w:val="00E41245"/>
    <w:rsid w:val="00E41303"/>
    <w:rsid w:val="00E41724"/>
    <w:rsid w:val="00E417A1"/>
    <w:rsid w:val="00E41BF3"/>
    <w:rsid w:val="00E41E53"/>
    <w:rsid w:val="00E4216E"/>
    <w:rsid w:val="00E422DF"/>
    <w:rsid w:val="00E42547"/>
    <w:rsid w:val="00E42DA5"/>
    <w:rsid w:val="00E42EEA"/>
    <w:rsid w:val="00E43585"/>
    <w:rsid w:val="00E435E1"/>
    <w:rsid w:val="00E435F4"/>
    <w:rsid w:val="00E43A85"/>
    <w:rsid w:val="00E43D76"/>
    <w:rsid w:val="00E44437"/>
    <w:rsid w:val="00E44439"/>
    <w:rsid w:val="00E44AAA"/>
    <w:rsid w:val="00E44D9B"/>
    <w:rsid w:val="00E44DB9"/>
    <w:rsid w:val="00E44E49"/>
    <w:rsid w:val="00E44E93"/>
    <w:rsid w:val="00E45244"/>
    <w:rsid w:val="00E461B2"/>
    <w:rsid w:val="00E46449"/>
    <w:rsid w:val="00E4679F"/>
    <w:rsid w:val="00E46948"/>
    <w:rsid w:val="00E46A3B"/>
    <w:rsid w:val="00E46AD5"/>
    <w:rsid w:val="00E47020"/>
    <w:rsid w:val="00E47584"/>
    <w:rsid w:val="00E47736"/>
    <w:rsid w:val="00E47C10"/>
    <w:rsid w:val="00E47F69"/>
    <w:rsid w:val="00E507D4"/>
    <w:rsid w:val="00E5089E"/>
    <w:rsid w:val="00E50962"/>
    <w:rsid w:val="00E50C6C"/>
    <w:rsid w:val="00E51051"/>
    <w:rsid w:val="00E511AD"/>
    <w:rsid w:val="00E511D9"/>
    <w:rsid w:val="00E5158E"/>
    <w:rsid w:val="00E519BC"/>
    <w:rsid w:val="00E51A8A"/>
    <w:rsid w:val="00E52130"/>
    <w:rsid w:val="00E52266"/>
    <w:rsid w:val="00E52915"/>
    <w:rsid w:val="00E52B25"/>
    <w:rsid w:val="00E52B67"/>
    <w:rsid w:val="00E52E6D"/>
    <w:rsid w:val="00E531CA"/>
    <w:rsid w:val="00E534E1"/>
    <w:rsid w:val="00E53665"/>
    <w:rsid w:val="00E536B2"/>
    <w:rsid w:val="00E53A28"/>
    <w:rsid w:val="00E53C8A"/>
    <w:rsid w:val="00E53DE0"/>
    <w:rsid w:val="00E53EB8"/>
    <w:rsid w:val="00E5446E"/>
    <w:rsid w:val="00E544D4"/>
    <w:rsid w:val="00E54DA9"/>
    <w:rsid w:val="00E54DF8"/>
    <w:rsid w:val="00E552CD"/>
    <w:rsid w:val="00E555A0"/>
    <w:rsid w:val="00E55DC2"/>
    <w:rsid w:val="00E55FF5"/>
    <w:rsid w:val="00E5633C"/>
    <w:rsid w:val="00E5635E"/>
    <w:rsid w:val="00E56983"/>
    <w:rsid w:val="00E56D89"/>
    <w:rsid w:val="00E56F95"/>
    <w:rsid w:val="00E5700D"/>
    <w:rsid w:val="00E5707F"/>
    <w:rsid w:val="00E57146"/>
    <w:rsid w:val="00E572E2"/>
    <w:rsid w:val="00E574BE"/>
    <w:rsid w:val="00E574DA"/>
    <w:rsid w:val="00E575D9"/>
    <w:rsid w:val="00E5781E"/>
    <w:rsid w:val="00E578FD"/>
    <w:rsid w:val="00E601E5"/>
    <w:rsid w:val="00E60303"/>
    <w:rsid w:val="00E60810"/>
    <w:rsid w:val="00E6089C"/>
    <w:rsid w:val="00E60AFF"/>
    <w:rsid w:val="00E60B8D"/>
    <w:rsid w:val="00E60B94"/>
    <w:rsid w:val="00E60CF3"/>
    <w:rsid w:val="00E60ED3"/>
    <w:rsid w:val="00E60F96"/>
    <w:rsid w:val="00E61013"/>
    <w:rsid w:val="00E61611"/>
    <w:rsid w:val="00E616BF"/>
    <w:rsid w:val="00E616FD"/>
    <w:rsid w:val="00E61920"/>
    <w:rsid w:val="00E61F0F"/>
    <w:rsid w:val="00E61FC3"/>
    <w:rsid w:val="00E620DE"/>
    <w:rsid w:val="00E62BA5"/>
    <w:rsid w:val="00E62D57"/>
    <w:rsid w:val="00E630CB"/>
    <w:rsid w:val="00E63179"/>
    <w:rsid w:val="00E6339B"/>
    <w:rsid w:val="00E633E8"/>
    <w:rsid w:val="00E636E9"/>
    <w:rsid w:val="00E63CE5"/>
    <w:rsid w:val="00E63FC5"/>
    <w:rsid w:val="00E6403F"/>
    <w:rsid w:val="00E64394"/>
    <w:rsid w:val="00E647D3"/>
    <w:rsid w:val="00E64929"/>
    <w:rsid w:val="00E6497D"/>
    <w:rsid w:val="00E64A97"/>
    <w:rsid w:val="00E64D2D"/>
    <w:rsid w:val="00E6524E"/>
    <w:rsid w:val="00E6542A"/>
    <w:rsid w:val="00E65AB4"/>
    <w:rsid w:val="00E65D8A"/>
    <w:rsid w:val="00E66103"/>
    <w:rsid w:val="00E66875"/>
    <w:rsid w:val="00E66C27"/>
    <w:rsid w:val="00E670A6"/>
    <w:rsid w:val="00E6710A"/>
    <w:rsid w:val="00E67991"/>
    <w:rsid w:val="00E67A56"/>
    <w:rsid w:val="00E67B95"/>
    <w:rsid w:val="00E67C23"/>
    <w:rsid w:val="00E7002E"/>
    <w:rsid w:val="00E7048E"/>
    <w:rsid w:val="00E707E5"/>
    <w:rsid w:val="00E709F3"/>
    <w:rsid w:val="00E70DDF"/>
    <w:rsid w:val="00E7118C"/>
    <w:rsid w:val="00E71A50"/>
    <w:rsid w:val="00E7227C"/>
    <w:rsid w:val="00E72792"/>
    <w:rsid w:val="00E7288C"/>
    <w:rsid w:val="00E72E69"/>
    <w:rsid w:val="00E73158"/>
    <w:rsid w:val="00E73B53"/>
    <w:rsid w:val="00E73D24"/>
    <w:rsid w:val="00E7426C"/>
    <w:rsid w:val="00E746E8"/>
    <w:rsid w:val="00E747FC"/>
    <w:rsid w:val="00E74958"/>
    <w:rsid w:val="00E74AD4"/>
    <w:rsid w:val="00E74AEE"/>
    <w:rsid w:val="00E74B1B"/>
    <w:rsid w:val="00E74BBD"/>
    <w:rsid w:val="00E74FE5"/>
    <w:rsid w:val="00E754A7"/>
    <w:rsid w:val="00E75720"/>
    <w:rsid w:val="00E75AB7"/>
    <w:rsid w:val="00E75C72"/>
    <w:rsid w:val="00E75C78"/>
    <w:rsid w:val="00E75D11"/>
    <w:rsid w:val="00E75D32"/>
    <w:rsid w:val="00E76120"/>
    <w:rsid w:val="00E76195"/>
    <w:rsid w:val="00E76B4A"/>
    <w:rsid w:val="00E76BC9"/>
    <w:rsid w:val="00E776DA"/>
    <w:rsid w:val="00E777CD"/>
    <w:rsid w:val="00E777FE"/>
    <w:rsid w:val="00E779F2"/>
    <w:rsid w:val="00E77EAD"/>
    <w:rsid w:val="00E801DF"/>
    <w:rsid w:val="00E80414"/>
    <w:rsid w:val="00E8069D"/>
    <w:rsid w:val="00E8076A"/>
    <w:rsid w:val="00E8096E"/>
    <w:rsid w:val="00E8112A"/>
    <w:rsid w:val="00E8157E"/>
    <w:rsid w:val="00E819A3"/>
    <w:rsid w:val="00E81A3E"/>
    <w:rsid w:val="00E81EBD"/>
    <w:rsid w:val="00E82049"/>
    <w:rsid w:val="00E82EE5"/>
    <w:rsid w:val="00E837E1"/>
    <w:rsid w:val="00E83C0F"/>
    <w:rsid w:val="00E83DC5"/>
    <w:rsid w:val="00E83E62"/>
    <w:rsid w:val="00E83F18"/>
    <w:rsid w:val="00E840EA"/>
    <w:rsid w:val="00E84802"/>
    <w:rsid w:val="00E84A46"/>
    <w:rsid w:val="00E84B38"/>
    <w:rsid w:val="00E850A5"/>
    <w:rsid w:val="00E852D2"/>
    <w:rsid w:val="00E85510"/>
    <w:rsid w:val="00E85E35"/>
    <w:rsid w:val="00E85EC8"/>
    <w:rsid w:val="00E86130"/>
    <w:rsid w:val="00E862A5"/>
    <w:rsid w:val="00E8636B"/>
    <w:rsid w:val="00E863CB"/>
    <w:rsid w:val="00E866DC"/>
    <w:rsid w:val="00E866E0"/>
    <w:rsid w:val="00E869BC"/>
    <w:rsid w:val="00E87588"/>
    <w:rsid w:val="00E876EC"/>
    <w:rsid w:val="00E87B9F"/>
    <w:rsid w:val="00E87D79"/>
    <w:rsid w:val="00E87F07"/>
    <w:rsid w:val="00E87F80"/>
    <w:rsid w:val="00E90F0A"/>
    <w:rsid w:val="00E9135E"/>
    <w:rsid w:val="00E913B0"/>
    <w:rsid w:val="00E91999"/>
    <w:rsid w:val="00E92710"/>
    <w:rsid w:val="00E927B6"/>
    <w:rsid w:val="00E92BEC"/>
    <w:rsid w:val="00E92F60"/>
    <w:rsid w:val="00E93030"/>
    <w:rsid w:val="00E930F5"/>
    <w:rsid w:val="00E9376F"/>
    <w:rsid w:val="00E94346"/>
    <w:rsid w:val="00E9445A"/>
    <w:rsid w:val="00E948A6"/>
    <w:rsid w:val="00E94986"/>
    <w:rsid w:val="00E949FD"/>
    <w:rsid w:val="00E94AB4"/>
    <w:rsid w:val="00E94B63"/>
    <w:rsid w:val="00E94C6C"/>
    <w:rsid w:val="00E94E5B"/>
    <w:rsid w:val="00E94FC8"/>
    <w:rsid w:val="00E95131"/>
    <w:rsid w:val="00E95990"/>
    <w:rsid w:val="00E95A52"/>
    <w:rsid w:val="00E95B0F"/>
    <w:rsid w:val="00E95DBC"/>
    <w:rsid w:val="00E95E50"/>
    <w:rsid w:val="00E96221"/>
    <w:rsid w:val="00E962FA"/>
    <w:rsid w:val="00E96376"/>
    <w:rsid w:val="00E963A4"/>
    <w:rsid w:val="00E9641D"/>
    <w:rsid w:val="00E96530"/>
    <w:rsid w:val="00E966AB"/>
    <w:rsid w:val="00E96AEE"/>
    <w:rsid w:val="00E96BB6"/>
    <w:rsid w:val="00E970EF"/>
    <w:rsid w:val="00E97868"/>
    <w:rsid w:val="00E97A83"/>
    <w:rsid w:val="00E97A96"/>
    <w:rsid w:val="00EA00AA"/>
    <w:rsid w:val="00EA020A"/>
    <w:rsid w:val="00EA029F"/>
    <w:rsid w:val="00EA0480"/>
    <w:rsid w:val="00EA0511"/>
    <w:rsid w:val="00EA0764"/>
    <w:rsid w:val="00EA08D9"/>
    <w:rsid w:val="00EA0C2B"/>
    <w:rsid w:val="00EA0E83"/>
    <w:rsid w:val="00EA0F48"/>
    <w:rsid w:val="00EA110E"/>
    <w:rsid w:val="00EA176C"/>
    <w:rsid w:val="00EA1A4B"/>
    <w:rsid w:val="00EA1C5B"/>
    <w:rsid w:val="00EA1F85"/>
    <w:rsid w:val="00EA261A"/>
    <w:rsid w:val="00EA28F1"/>
    <w:rsid w:val="00EA2CFD"/>
    <w:rsid w:val="00EA2D2E"/>
    <w:rsid w:val="00EA2EB7"/>
    <w:rsid w:val="00EA31A8"/>
    <w:rsid w:val="00EA34E6"/>
    <w:rsid w:val="00EA37E0"/>
    <w:rsid w:val="00EA3FB6"/>
    <w:rsid w:val="00EA3FFE"/>
    <w:rsid w:val="00EA414A"/>
    <w:rsid w:val="00EA41A9"/>
    <w:rsid w:val="00EA44EA"/>
    <w:rsid w:val="00EA4853"/>
    <w:rsid w:val="00EA4DD5"/>
    <w:rsid w:val="00EA4E14"/>
    <w:rsid w:val="00EA4E3D"/>
    <w:rsid w:val="00EA4EC8"/>
    <w:rsid w:val="00EA5127"/>
    <w:rsid w:val="00EA5841"/>
    <w:rsid w:val="00EA5861"/>
    <w:rsid w:val="00EA5EC1"/>
    <w:rsid w:val="00EA64FD"/>
    <w:rsid w:val="00EA66A6"/>
    <w:rsid w:val="00EA66E6"/>
    <w:rsid w:val="00EA67F3"/>
    <w:rsid w:val="00EA69CB"/>
    <w:rsid w:val="00EA6BE3"/>
    <w:rsid w:val="00EA6C0B"/>
    <w:rsid w:val="00EA6F92"/>
    <w:rsid w:val="00EA6F96"/>
    <w:rsid w:val="00EA7020"/>
    <w:rsid w:val="00EA70D4"/>
    <w:rsid w:val="00EA7836"/>
    <w:rsid w:val="00EA78D2"/>
    <w:rsid w:val="00EA7BB5"/>
    <w:rsid w:val="00EA7BC2"/>
    <w:rsid w:val="00EA7DFF"/>
    <w:rsid w:val="00EB03A7"/>
    <w:rsid w:val="00EB03D5"/>
    <w:rsid w:val="00EB0519"/>
    <w:rsid w:val="00EB065B"/>
    <w:rsid w:val="00EB06DD"/>
    <w:rsid w:val="00EB0AA8"/>
    <w:rsid w:val="00EB0B49"/>
    <w:rsid w:val="00EB0BCA"/>
    <w:rsid w:val="00EB0D83"/>
    <w:rsid w:val="00EB0F4C"/>
    <w:rsid w:val="00EB0F91"/>
    <w:rsid w:val="00EB0FD8"/>
    <w:rsid w:val="00EB1378"/>
    <w:rsid w:val="00EB19AB"/>
    <w:rsid w:val="00EB1AC6"/>
    <w:rsid w:val="00EB1C39"/>
    <w:rsid w:val="00EB1CB7"/>
    <w:rsid w:val="00EB20C5"/>
    <w:rsid w:val="00EB23E1"/>
    <w:rsid w:val="00EB296C"/>
    <w:rsid w:val="00EB2A8B"/>
    <w:rsid w:val="00EB2A95"/>
    <w:rsid w:val="00EB3288"/>
    <w:rsid w:val="00EB335E"/>
    <w:rsid w:val="00EB34CF"/>
    <w:rsid w:val="00EB393D"/>
    <w:rsid w:val="00EB3D91"/>
    <w:rsid w:val="00EB3FA6"/>
    <w:rsid w:val="00EB3FF7"/>
    <w:rsid w:val="00EB4098"/>
    <w:rsid w:val="00EB48A7"/>
    <w:rsid w:val="00EB48F3"/>
    <w:rsid w:val="00EB4A7F"/>
    <w:rsid w:val="00EB4C2B"/>
    <w:rsid w:val="00EB4C45"/>
    <w:rsid w:val="00EB4EB7"/>
    <w:rsid w:val="00EB4EEC"/>
    <w:rsid w:val="00EB4F73"/>
    <w:rsid w:val="00EB5105"/>
    <w:rsid w:val="00EB5317"/>
    <w:rsid w:val="00EB5643"/>
    <w:rsid w:val="00EB5DBE"/>
    <w:rsid w:val="00EB63D2"/>
    <w:rsid w:val="00EB64F4"/>
    <w:rsid w:val="00EB6DCA"/>
    <w:rsid w:val="00EB6EB4"/>
    <w:rsid w:val="00EB70C2"/>
    <w:rsid w:val="00EB71B0"/>
    <w:rsid w:val="00EB72D1"/>
    <w:rsid w:val="00EB731F"/>
    <w:rsid w:val="00EB77FE"/>
    <w:rsid w:val="00EB7A07"/>
    <w:rsid w:val="00EB7BDA"/>
    <w:rsid w:val="00EC0563"/>
    <w:rsid w:val="00EC065C"/>
    <w:rsid w:val="00EC08FB"/>
    <w:rsid w:val="00EC0A17"/>
    <w:rsid w:val="00EC0B54"/>
    <w:rsid w:val="00EC0D73"/>
    <w:rsid w:val="00EC0FCD"/>
    <w:rsid w:val="00EC1508"/>
    <w:rsid w:val="00EC1995"/>
    <w:rsid w:val="00EC1A29"/>
    <w:rsid w:val="00EC1CD4"/>
    <w:rsid w:val="00EC2796"/>
    <w:rsid w:val="00EC2D3B"/>
    <w:rsid w:val="00EC2EB1"/>
    <w:rsid w:val="00EC3360"/>
    <w:rsid w:val="00EC374F"/>
    <w:rsid w:val="00EC3CF9"/>
    <w:rsid w:val="00EC40C0"/>
    <w:rsid w:val="00EC43CF"/>
    <w:rsid w:val="00EC47F8"/>
    <w:rsid w:val="00EC4D94"/>
    <w:rsid w:val="00EC4F63"/>
    <w:rsid w:val="00EC4FC4"/>
    <w:rsid w:val="00EC510E"/>
    <w:rsid w:val="00EC5181"/>
    <w:rsid w:val="00EC51E2"/>
    <w:rsid w:val="00EC5995"/>
    <w:rsid w:val="00EC59D8"/>
    <w:rsid w:val="00EC6509"/>
    <w:rsid w:val="00EC6BC4"/>
    <w:rsid w:val="00EC7267"/>
    <w:rsid w:val="00EC730B"/>
    <w:rsid w:val="00EC7387"/>
    <w:rsid w:val="00EC73E2"/>
    <w:rsid w:val="00EC7B48"/>
    <w:rsid w:val="00EC7CDA"/>
    <w:rsid w:val="00ED00D1"/>
    <w:rsid w:val="00ED0508"/>
    <w:rsid w:val="00ED07F1"/>
    <w:rsid w:val="00ED0D69"/>
    <w:rsid w:val="00ED1031"/>
    <w:rsid w:val="00ED1249"/>
    <w:rsid w:val="00ED12D5"/>
    <w:rsid w:val="00ED14D0"/>
    <w:rsid w:val="00ED19E9"/>
    <w:rsid w:val="00ED1D70"/>
    <w:rsid w:val="00ED1FAA"/>
    <w:rsid w:val="00ED3147"/>
    <w:rsid w:val="00ED3E74"/>
    <w:rsid w:val="00ED3EA0"/>
    <w:rsid w:val="00ED3F22"/>
    <w:rsid w:val="00ED428F"/>
    <w:rsid w:val="00ED447E"/>
    <w:rsid w:val="00ED44D5"/>
    <w:rsid w:val="00ED4810"/>
    <w:rsid w:val="00ED4A5A"/>
    <w:rsid w:val="00ED4AC5"/>
    <w:rsid w:val="00ED4CE3"/>
    <w:rsid w:val="00ED50E4"/>
    <w:rsid w:val="00ED5292"/>
    <w:rsid w:val="00ED5322"/>
    <w:rsid w:val="00ED5429"/>
    <w:rsid w:val="00ED5ACE"/>
    <w:rsid w:val="00ED5C8A"/>
    <w:rsid w:val="00ED5EDB"/>
    <w:rsid w:val="00ED6019"/>
    <w:rsid w:val="00ED6A79"/>
    <w:rsid w:val="00ED6A9B"/>
    <w:rsid w:val="00ED744E"/>
    <w:rsid w:val="00ED7530"/>
    <w:rsid w:val="00ED77C6"/>
    <w:rsid w:val="00EE00CF"/>
    <w:rsid w:val="00EE0158"/>
    <w:rsid w:val="00EE0568"/>
    <w:rsid w:val="00EE0D76"/>
    <w:rsid w:val="00EE102A"/>
    <w:rsid w:val="00EE1198"/>
    <w:rsid w:val="00EE11C5"/>
    <w:rsid w:val="00EE11FA"/>
    <w:rsid w:val="00EE166C"/>
    <w:rsid w:val="00EE1D35"/>
    <w:rsid w:val="00EE1EF7"/>
    <w:rsid w:val="00EE2668"/>
    <w:rsid w:val="00EE275C"/>
    <w:rsid w:val="00EE2F37"/>
    <w:rsid w:val="00EE31D1"/>
    <w:rsid w:val="00EE32C7"/>
    <w:rsid w:val="00EE35E5"/>
    <w:rsid w:val="00EE3675"/>
    <w:rsid w:val="00EE38CB"/>
    <w:rsid w:val="00EE3A91"/>
    <w:rsid w:val="00EE3B58"/>
    <w:rsid w:val="00EE3FE9"/>
    <w:rsid w:val="00EE4027"/>
    <w:rsid w:val="00EE412A"/>
    <w:rsid w:val="00EE485E"/>
    <w:rsid w:val="00EE4922"/>
    <w:rsid w:val="00EE4A4A"/>
    <w:rsid w:val="00EE4C6D"/>
    <w:rsid w:val="00EE5065"/>
    <w:rsid w:val="00EE59DB"/>
    <w:rsid w:val="00EE5DC5"/>
    <w:rsid w:val="00EE5F25"/>
    <w:rsid w:val="00EE66DE"/>
    <w:rsid w:val="00EE66F5"/>
    <w:rsid w:val="00EE6CC2"/>
    <w:rsid w:val="00EE6CEB"/>
    <w:rsid w:val="00EE6F89"/>
    <w:rsid w:val="00EE70DE"/>
    <w:rsid w:val="00EE70F2"/>
    <w:rsid w:val="00EE7894"/>
    <w:rsid w:val="00EE78D0"/>
    <w:rsid w:val="00EE797D"/>
    <w:rsid w:val="00EE799B"/>
    <w:rsid w:val="00EE79CF"/>
    <w:rsid w:val="00EE7B6C"/>
    <w:rsid w:val="00EE7D2D"/>
    <w:rsid w:val="00EE7D5B"/>
    <w:rsid w:val="00EE7F07"/>
    <w:rsid w:val="00EF0165"/>
    <w:rsid w:val="00EF03F5"/>
    <w:rsid w:val="00EF0424"/>
    <w:rsid w:val="00EF0558"/>
    <w:rsid w:val="00EF057B"/>
    <w:rsid w:val="00EF05EB"/>
    <w:rsid w:val="00EF0738"/>
    <w:rsid w:val="00EF07B2"/>
    <w:rsid w:val="00EF07F2"/>
    <w:rsid w:val="00EF0884"/>
    <w:rsid w:val="00EF0C53"/>
    <w:rsid w:val="00EF0D2C"/>
    <w:rsid w:val="00EF0DD2"/>
    <w:rsid w:val="00EF0F31"/>
    <w:rsid w:val="00EF1225"/>
    <w:rsid w:val="00EF12ED"/>
    <w:rsid w:val="00EF1E67"/>
    <w:rsid w:val="00EF2049"/>
    <w:rsid w:val="00EF2275"/>
    <w:rsid w:val="00EF2510"/>
    <w:rsid w:val="00EF2817"/>
    <w:rsid w:val="00EF287A"/>
    <w:rsid w:val="00EF2934"/>
    <w:rsid w:val="00EF3033"/>
    <w:rsid w:val="00EF31AD"/>
    <w:rsid w:val="00EF322C"/>
    <w:rsid w:val="00EF3825"/>
    <w:rsid w:val="00EF3925"/>
    <w:rsid w:val="00EF3D72"/>
    <w:rsid w:val="00EF4358"/>
    <w:rsid w:val="00EF4688"/>
    <w:rsid w:val="00EF4B78"/>
    <w:rsid w:val="00EF4C52"/>
    <w:rsid w:val="00EF5009"/>
    <w:rsid w:val="00EF5018"/>
    <w:rsid w:val="00EF5333"/>
    <w:rsid w:val="00EF5869"/>
    <w:rsid w:val="00EF663E"/>
    <w:rsid w:val="00EF690B"/>
    <w:rsid w:val="00EF6A65"/>
    <w:rsid w:val="00EF6C32"/>
    <w:rsid w:val="00EF7266"/>
    <w:rsid w:val="00EF7270"/>
    <w:rsid w:val="00EF72C0"/>
    <w:rsid w:val="00EF7406"/>
    <w:rsid w:val="00EF75AA"/>
    <w:rsid w:val="00EF75B0"/>
    <w:rsid w:val="00EF767B"/>
    <w:rsid w:val="00EF7898"/>
    <w:rsid w:val="00EF78A9"/>
    <w:rsid w:val="00EF7920"/>
    <w:rsid w:val="00EF7BFD"/>
    <w:rsid w:val="00F000B2"/>
    <w:rsid w:val="00F009A4"/>
    <w:rsid w:val="00F00B4E"/>
    <w:rsid w:val="00F0144E"/>
    <w:rsid w:val="00F014B5"/>
    <w:rsid w:val="00F020EA"/>
    <w:rsid w:val="00F02181"/>
    <w:rsid w:val="00F02442"/>
    <w:rsid w:val="00F02A8C"/>
    <w:rsid w:val="00F02CE2"/>
    <w:rsid w:val="00F02F50"/>
    <w:rsid w:val="00F031D8"/>
    <w:rsid w:val="00F03566"/>
    <w:rsid w:val="00F03635"/>
    <w:rsid w:val="00F03EA6"/>
    <w:rsid w:val="00F040DB"/>
    <w:rsid w:val="00F0411C"/>
    <w:rsid w:val="00F042FE"/>
    <w:rsid w:val="00F04A88"/>
    <w:rsid w:val="00F04AE7"/>
    <w:rsid w:val="00F052D5"/>
    <w:rsid w:val="00F0535B"/>
    <w:rsid w:val="00F0574A"/>
    <w:rsid w:val="00F05B8E"/>
    <w:rsid w:val="00F05E55"/>
    <w:rsid w:val="00F06070"/>
    <w:rsid w:val="00F06581"/>
    <w:rsid w:val="00F06A37"/>
    <w:rsid w:val="00F06A95"/>
    <w:rsid w:val="00F06EFC"/>
    <w:rsid w:val="00F074D1"/>
    <w:rsid w:val="00F0757E"/>
    <w:rsid w:val="00F07990"/>
    <w:rsid w:val="00F07F6E"/>
    <w:rsid w:val="00F10185"/>
    <w:rsid w:val="00F1078F"/>
    <w:rsid w:val="00F10AF6"/>
    <w:rsid w:val="00F10FB1"/>
    <w:rsid w:val="00F110D4"/>
    <w:rsid w:val="00F111D1"/>
    <w:rsid w:val="00F116BA"/>
    <w:rsid w:val="00F118A1"/>
    <w:rsid w:val="00F118BC"/>
    <w:rsid w:val="00F11D17"/>
    <w:rsid w:val="00F124C4"/>
    <w:rsid w:val="00F12507"/>
    <w:rsid w:val="00F1276E"/>
    <w:rsid w:val="00F1285F"/>
    <w:rsid w:val="00F12959"/>
    <w:rsid w:val="00F12A97"/>
    <w:rsid w:val="00F12B32"/>
    <w:rsid w:val="00F12F32"/>
    <w:rsid w:val="00F13839"/>
    <w:rsid w:val="00F13A6F"/>
    <w:rsid w:val="00F13E91"/>
    <w:rsid w:val="00F141A3"/>
    <w:rsid w:val="00F143DC"/>
    <w:rsid w:val="00F14E27"/>
    <w:rsid w:val="00F150F1"/>
    <w:rsid w:val="00F1520D"/>
    <w:rsid w:val="00F1584C"/>
    <w:rsid w:val="00F15AC6"/>
    <w:rsid w:val="00F15F2A"/>
    <w:rsid w:val="00F1637E"/>
    <w:rsid w:val="00F166A9"/>
    <w:rsid w:val="00F16822"/>
    <w:rsid w:val="00F172B9"/>
    <w:rsid w:val="00F175A9"/>
    <w:rsid w:val="00F175FD"/>
    <w:rsid w:val="00F1795C"/>
    <w:rsid w:val="00F1797C"/>
    <w:rsid w:val="00F17C73"/>
    <w:rsid w:val="00F17F42"/>
    <w:rsid w:val="00F20287"/>
    <w:rsid w:val="00F20434"/>
    <w:rsid w:val="00F20B39"/>
    <w:rsid w:val="00F20E7F"/>
    <w:rsid w:val="00F20F88"/>
    <w:rsid w:val="00F20FAC"/>
    <w:rsid w:val="00F211BD"/>
    <w:rsid w:val="00F2139F"/>
    <w:rsid w:val="00F2156E"/>
    <w:rsid w:val="00F21628"/>
    <w:rsid w:val="00F21A69"/>
    <w:rsid w:val="00F22030"/>
    <w:rsid w:val="00F22090"/>
    <w:rsid w:val="00F2209F"/>
    <w:rsid w:val="00F2223E"/>
    <w:rsid w:val="00F226F2"/>
    <w:rsid w:val="00F22E6E"/>
    <w:rsid w:val="00F23004"/>
    <w:rsid w:val="00F234A7"/>
    <w:rsid w:val="00F23B06"/>
    <w:rsid w:val="00F23D97"/>
    <w:rsid w:val="00F24141"/>
    <w:rsid w:val="00F242A5"/>
    <w:rsid w:val="00F247B1"/>
    <w:rsid w:val="00F252C0"/>
    <w:rsid w:val="00F2557F"/>
    <w:rsid w:val="00F2561E"/>
    <w:rsid w:val="00F2575F"/>
    <w:rsid w:val="00F259B7"/>
    <w:rsid w:val="00F25B23"/>
    <w:rsid w:val="00F25B7C"/>
    <w:rsid w:val="00F25BA5"/>
    <w:rsid w:val="00F25C18"/>
    <w:rsid w:val="00F262B3"/>
    <w:rsid w:val="00F26450"/>
    <w:rsid w:val="00F26529"/>
    <w:rsid w:val="00F265A7"/>
    <w:rsid w:val="00F265CF"/>
    <w:rsid w:val="00F2667F"/>
    <w:rsid w:val="00F26861"/>
    <w:rsid w:val="00F268D6"/>
    <w:rsid w:val="00F26C62"/>
    <w:rsid w:val="00F26CCE"/>
    <w:rsid w:val="00F27B9D"/>
    <w:rsid w:val="00F30069"/>
    <w:rsid w:val="00F300F3"/>
    <w:rsid w:val="00F30205"/>
    <w:rsid w:val="00F30494"/>
    <w:rsid w:val="00F304A5"/>
    <w:rsid w:val="00F30FAE"/>
    <w:rsid w:val="00F30FF6"/>
    <w:rsid w:val="00F31168"/>
    <w:rsid w:val="00F312D4"/>
    <w:rsid w:val="00F31366"/>
    <w:rsid w:val="00F3142D"/>
    <w:rsid w:val="00F31446"/>
    <w:rsid w:val="00F31E34"/>
    <w:rsid w:val="00F31EAD"/>
    <w:rsid w:val="00F3234B"/>
    <w:rsid w:val="00F32366"/>
    <w:rsid w:val="00F323CD"/>
    <w:rsid w:val="00F323EC"/>
    <w:rsid w:val="00F325F1"/>
    <w:rsid w:val="00F32B58"/>
    <w:rsid w:val="00F32B75"/>
    <w:rsid w:val="00F32BBF"/>
    <w:rsid w:val="00F32D9C"/>
    <w:rsid w:val="00F32DF8"/>
    <w:rsid w:val="00F32E5B"/>
    <w:rsid w:val="00F32FBE"/>
    <w:rsid w:val="00F332C4"/>
    <w:rsid w:val="00F333BE"/>
    <w:rsid w:val="00F33591"/>
    <w:rsid w:val="00F3362E"/>
    <w:rsid w:val="00F33A06"/>
    <w:rsid w:val="00F33ED7"/>
    <w:rsid w:val="00F33FAF"/>
    <w:rsid w:val="00F33FF3"/>
    <w:rsid w:val="00F34107"/>
    <w:rsid w:val="00F341FA"/>
    <w:rsid w:val="00F343A7"/>
    <w:rsid w:val="00F344CC"/>
    <w:rsid w:val="00F34909"/>
    <w:rsid w:val="00F349A6"/>
    <w:rsid w:val="00F34A07"/>
    <w:rsid w:val="00F34A3A"/>
    <w:rsid w:val="00F34A44"/>
    <w:rsid w:val="00F34D06"/>
    <w:rsid w:val="00F34D72"/>
    <w:rsid w:val="00F355E4"/>
    <w:rsid w:val="00F358F6"/>
    <w:rsid w:val="00F361BD"/>
    <w:rsid w:val="00F361C3"/>
    <w:rsid w:val="00F36237"/>
    <w:rsid w:val="00F369A7"/>
    <w:rsid w:val="00F36D36"/>
    <w:rsid w:val="00F36E35"/>
    <w:rsid w:val="00F36FBC"/>
    <w:rsid w:val="00F37057"/>
    <w:rsid w:val="00F37081"/>
    <w:rsid w:val="00F376D3"/>
    <w:rsid w:val="00F377C7"/>
    <w:rsid w:val="00F37A95"/>
    <w:rsid w:val="00F37BC5"/>
    <w:rsid w:val="00F4010E"/>
    <w:rsid w:val="00F402F9"/>
    <w:rsid w:val="00F4030E"/>
    <w:rsid w:val="00F405AC"/>
    <w:rsid w:val="00F408C5"/>
    <w:rsid w:val="00F408FF"/>
    <w:rsid w:val="00F40AEB"/>
    <w:rsid w:val="00F40CE1"/>
    <w:rsid w:val="00F40EBE"/>
    <w:rsid w:val="00F4104F"/>
    <w:rsid w:val="00F41617"/>
    <w:rsid w:val="00F4170D"/>
    <w:rsid w:val="00F41D66"/>
    <w:rsid w:val="00F421D7"/>
    <w:rsid w:val="00F42408"/>
    <w:rsid w:val="00F42643"/>
    <w:rsid w:val="00F4265B"/>
    <w:rsid w:val="00F42EEE"/>
    <w:rsid w:val="00F43029"/>
    <w:rsid w:val="00F438F8"/>
    <w:rsid w:val="00F439D1"/>
    <w:rsid w:val="00F43AA7"/>
    <w:rsid w:val="00F43FFC"/>
    <w:rsid w:val="00F44759"/>
    <w:rsid w:val="00F449F2"/>
    <w:rsid w:val="00F44DF7"/>
    <w:rsid w:val="00F44E35"/>
    <w:rsid w:val="00F44F59"/>
    <w:rsid w:val="00F45005"/>
    <w:rsid w:val="00F4515C"/>
    <w:rsid w:val="00F45419"/>
    <w:rsid w:val="00F45589"/>
    <w:rsid w:val="00F45BC0"/>
    <w:rsid w:val="00F45EB3"/>
    <w:rsid w:val="00F4602B"/>
    <w:rsid w:val="00F461CB"/>
    <w:rsid w:val="00F46264"/>
    <w:rsid w:val="00F462D4"/>
    <w:rsid w:val="00F4661F"/>
    <w:rsid w:val="00F4690D"/>
    <w:rsid w:val="00F46EF9"/>
    <w:rsid w:val="00F47C4A"/>
    <w:rsid w:val="00F47CD6"/>
    <w:rsid w:val="00F50492"/>
    <w:rsid w:val="00F511C3"/>
    <w:rsid w:val="00F51A8F"/>
    <w:rsid w:val="00F51B64"/>
    <w:rsid w:val="00F51FFF"/>
    <w:rsid w:val="00F5204E"/>
    <w:rsid w:val="00F5210E"/>
    <w:rsid w:val="00F52393"/>
    <w:rsid w:val="00F52417"/>
    <w:rsid w:val="00F52676"/>
    <w:rsid w:val="00F52777"/>
    <w:rsid w:val="00F528D3"/>
    <w:rsid w:val="00F52DC2"/>
    <w:rsid w:val="00F53807"/>
    <w:rsid w:val="00F5393F"/>
    <w:rsid w:val="00F53B1A"/>
    <w:rsid w:val="00F53E96"/>
    <w:rsid w:val="00F53EDB"/>
    <w:rsid w:val="00F53EFA"/>
    <w:rsid w:val="00F5412E"/>
    <w:rsid w:val="00F54269"/>
    <w:rsid w:val="00F542E7"/>
    <w:rsid w:val="00F544DC"/>
    <w:rsid w:val="00F54622"/>
    <w:rsid w:val="00F54643"/>
    <w:rsid w:val="00F54B38"/>
    <w:rsid w:val="00F55500"/>
    <w:rsid w:val="00F55640"/>
    <w:rsid w:val="00F55861"/>
    <w:rsid w:val="00F55A78"/>
    <w:rsid w:val="00F55AF1"/>
    <w:rsid w:val="00F55CD4"/>
    <w:rsid w:val="00F55DB8"/>
    <w:rsid w:val="00F55FCD"/>
    <w:rsid w:val="00F56365"/>
    <w:rsid w:val="00F56756"/>
    <w:rsid w:val="00F56BD7"/>
    <w:rsid w:val="00F56E41"/>
    <w:rsid w:val="00F57171"/>
    <w:rsid w:val="00F574AB"/>
    <w:rsid w:val="00F577B7"/>
    <w:rsid w:val="00F57945"/>
    <w:rsid w:val="00F60264"/>
    <w:rsid w:val="00F603FA"/>
    <w:rsid w:val="00F60CD4"/>
    <w:rsid w:val="00F6204C"/>
    <w:rsid w:val="00F622A5"/>
    <w:rsid w:val="00F622E6"/>
    <w:rsid w:val="00F624FD"/>
    <w:rsid w:val="00F625CA"/>
    <w:rsid w:val="00F626A5"/>
    <w:rsid w:val="00F627AC"/>
    <w:rsid w:val="00F62892"/>
    <w:rsid w:val="00F628A3"/>
    <w:rsid w:val="00F62CDA"/>
    <w:rsid w:val="00F62DC8"/>
    <w:rsid w:val="00F6332F"/>
    <w:rsid w:val="00F635B4"/>
    <w:rsid w:val="00F645D5"/>
    <w:rsid w:val="00F6469E"/>
    <w:rsid w:val="00F655E1"/>
    <w:rsid w:val="00F6574A"/>
    <w:rsid w:val="00F65A01"/>
    <w:rsid w:val="00F65E86"/>
    <w:rsid w:val="00F65EE1"/>
    <w:rsid w:val="00F66223"/>
    <w:rsid w:val="00F662CF"/>
    <w:rsid w:val="00F662FD"/>
    <w:rsid w:val="00F66455"/>
    <w:rsid w:val="00F66543"/>
    <w:rsid w:val="00F66672"/>
    <w:rsid w:val="00F66A12"/>
    <w:rsid w:val="00F66DC8"/>
    <w:rsid w:val="00F670C8"/>
    <w:rsid w:val="00F6757C"/>
    <w:rsid w:val="00F6765F"/>
    <w:rsid w:val="00F676C6"/>
    <w:rsid w:val="00F676C9"/>
    <w:rsid w:val="00F679E0"/>
    <w:rsid w:val="00F67C3C"/>
    <w:rsid w:val="00F67E95"/>
    <w:rsid w:val="00F70457"/>
    <w:rsid w:val="00F7054D"/>
    <w:rsid w:val="00F706B7"/>
    <w:rsid w:val="00F70A67"/>
    <w:rsid w:val="00F70D3F"/>
    <w:rsid w:val="00F70EB1"/>
    <w:rsid w:val="00F70ECB"/>
    <w:rsid w:val="00F70F51"/>
    <w:rsid w:val="00F7116F"/>
    <w:rsid w:val="00F711E8"/>
    <w:rsid w:val="00F71669"/>
    <w:rsid w:val="00F7173A"/>
    <w:rsid w:val="00F719A8"/>
    <w:rsid w:val="00F71C5C"/>
    <w:rsid w:val="00F71CFC"/>
    <w:rsid w:val="00F71EAD"/>
    <w:rsid w:val="00F7253E"/>
    <w:rsid w:val="00F72883"/>
    <w:rsid w:val="00F7291F"/>
    <w:rsid w:val="00F72A5D"/>
    <w:rsid w:val="00F72E4E"/>
    <w:rsid w:val="00F72F1B"/>
    <w:rsid w:val="00F72F31"/>
    <w:rsid w:val="00F735AC"/>
    <w:rsid w:val="00F735EB"/>
    <w:rsid w:val="00F73A0F"/>
    <w:rsid w:val="00F73C30"/>
    <w:rsid w:val="00F73FA0"/>
    <w:rsid w:val="00F7461B"/>
    <w:rsid w:val="00F746ED"/>
    <w:rsid w:val="00F74F7A"/>
    <w:rsid w:val="00F7513D"/>
    <w:rsid w:val="00F75302"/>
    <w:rsid w:val="00F7579C"/>
    <w:rsid w:val="00F75AF9"/>
    <w:rsid w:val="00F75E55"/>
    <w:rsid w:val="00F7614C"/>
    <w:rsid w:val="00F761E0"/>
    <w:rsid w:val="00F76469"/>
    <w:rsid w:val="00F76CA7"/>
    <w:rsid w:val="00F76F14"/>
    <w:rsid w:val="00F76F51"/>
    <w:rsid w:val="00F76FAC"/>
    <w:rsid w:val="00F770EE"/>
    <w:rsid w:val="00F7717E"/>
    <w:rsid w:val="00F77884"/>
    <w:rsid w:val="00F77D09"/>
    <w:rsid w:val="00F77D1F"/>
    <w:rsid w:val="00F803CF"/>
    <w:rsid w:val="00F80631"/>
    <w:rsid w:val="00F806CD"/>
    <w:rsid w:val="00F8099A"/>
    <w:rsid w:val="00F809A5"/>
    <w:rsid w:val="00F80A03"/>
    <w:rsid w:val="00F80A85"/>
    <w:rsid w:val="00F811FF"/>
    <w:rsid w:val="00F812F0"/>
    <w:rsid w:val="00F81A12"/>
    <w:rsid w:val="00F81BB7"/>
    <w:rsid w:val="00F8234B"/>
    <w:rsid w:val="00F826B7"/>
    <w:rsid w:val="00F82721"/>
    <w:rsid w:val="00F82A47"/>
    <w:rsid w:val="00F82BC0"/>
    <w:rsid w:val="00F82D69"/>
    <w:rsid w:val="00F82DB9"/>
    <w:rsid w:val="00F82DF7"/>
    <w:rsid w:val="00F83214"/>
    <w:rsid w:val="00F83415"/>
    <w:rsid w:val="00F83648"/>
    <w:rsid w:val="00F83918"/>
    <w:rsid w:val="00F83D23"/>
    <w:rsid w:val="00F83EF4"/>
    <w:rsid w:val="00F83FC6"/>
    <w:rsid w:val="00F84122"/>
    <w:rsid w:val="00F8465B"/>
    <w:rsid w:val="00F846F2"/>
    <w:rsid w:val="00F8498A"/>
    <w:rsid w:val="00F84B98"/>
    <w:rsid w:val="00F852CB"/>
    <w:rsid w:val="00F8546C"/>
    <w:rsid w:val="00F856F9"/>
    <w:rsid w:val="00F86055"/>
    <w:rsid w:val="00F861A7"/>
    <w:rsid w:val="00F86655"/>
    <w:rsid w:val="00F866B4"/>
    <w:rsid w:val="00F86D04"/>
    <w:rsid w:val="00F86D48"/>
    <w:rsid w:val="00F870AD"/>
    <w:rsid w:val="00F870D0"/>
    <w:rsid w:val="00F871D2"/>
    <w:rsid w:val="00F875B3"/>
    <w:rsid w:val="00F876B0"/>
    <w:rsid w:val="00F879FE"/>
    <w:rsid w:val="00F90155"/>
    <w:rsid w:val="00F905CD"/>
    <w:rsid w:val="00F9063B"/>
    <w:rsid w:val="00F9068F"/>
    <w:rsid w:val="00F90825"/>
    <w:rsid w:val="00F91198"/>
    <w:rsid w:val="00F91580"/>
    <w:rsid w:val="00F916EF"/>
    <w:rsid w:val="00F92570"/>
    <w:rsid w:val="00F92710"/>
    <w:rsid w:val="00F92ABF"/>
    <w:rsid w:val="00F92D99"/>
    <w:rsid w:val="00F93178"/>
    <w:rsid w:val="00F93633"/>
    <w:rsid w:val="00F9386F"/>
    <w:rsid w:val="00F93A19"/>
    <w:rsid w:val="00F93D28"/>
    <w:rsid w:val="00F9403A"/>
    <w:rsid w:val="00F940F4"/>
    <w:rsid w:val="00F944F0"/>
    <w:rsid w:val="00F94624"/>
    <w:rsid w:val="00F94704"/>
    <w:rsid w:val="00F94866"/>
    <w:rsid w:val="00F9496E"/>
    <w:rsid w:val="00F94978"/>
    <w:rsid w:val="00F949A5"/>
    <w:rsid w:val="00F94A88"/>
    <w:rsid w:val="00F94C93"/>
    <w:rsid w:val="00F94FBC"/>
    <w:rsid w:val="00F9540A"/>
    <w:rsid w:val="00F955D4"/>
    <w:rsid w:val="00F9569F"/>
    <w:rsid w:val="00F95827"/>
    <w:rsid w:val="00F95E1E"/>
    <w:rsid w:val="00F95EE7"/>
    <w:rsid w:val="00F95F3F"/>
    <w:rsid w:val="00F968D5"/>
    <w:rsid w:val="00F96969"/>
    <w:rsid w:val="00F9731A"/>
    <w:rsid w:val="00F97363"/>
    <w:rsid w:val="00F97A35"/>
    <w:rsid w:val="00F97C60"/>
    <w:rsid w:val="00F97DB9"/>
    <w:rsid w:val="00FA0204"/>
    <w:rsid w:val="00FA0278"/>
    <w:rsid w:val="00FA09A6"/>
    <w:rsid w:val="00FA0BE0"/>
    <w:rsid w:val="00FA0DDF"/>
    <w:rsid w:val="00FA0E33"/>
    <w:rsid w:val="00FA0FBA"/>
    <w:rsid w:val="00FA108F"/>
    <w:rsid w:val="00FA12CA"/>
    <w:rsid w:val="00FA1425"/>
    <w:rsid w:val="00FA1449"/>
    <w:rsid w:val="00FA189C"/>
    <w:rsid w:val="00FA1BD5"/>
    <w:rsid w:val="00FA2005"/>
    <w:rsid w:val="00FA20B3"/>
    <w:rsid w:val="00FA2479"/>
    <w:rsid w:val="00FA25DD"/>
    <w:rsid w:val="00FA2989"/>
    <w:rsid w:val="00FA2A41"/>
    <w:rsid w:val="00FA2E25"/>
    <w:rsid w:val="00FA3471"/>
    <w:rsid w:val="00FA357B"/>
    <w:rsid w:val="00FA3977"/>
    <w:rsid w:val="00FA3D4A"/>
    <w:rsid w:val="00FA3DC5"/>
    <w:rsid w:val="00FA3DC8"/>
    <w:rsid w:val="00FA41E0"/>
    <w:rsid w:val="00FA43DC"/>
    <w:rsid w:val="00FA4433"/>
    <w:rsid w:val="00FA497F"/>
    <w:rsid w:val="00FA5050"/>
    <w:rsid w:val="00FA5230"/>
    <w:rsid w:val="00FA5502"/>
    <w:rsid w:val="00FA59C6"/>
    <w:rsid w:val="00FA5CEB"/>
    <w:rsid w:val="00FA7429"/>
    <w:rsid w:val="00FA78FE"/>
    <w:rsid w:val="00FA7E75"/>
    <w:rsid w:val="00FA7FD3"/>
    <w:rsid w:val="00FB00EF"/>
    <w:rsid w:val="00FB0363"/>
    <w:rsid w:val="00FB04EB"/>
    <w:rsid w:val="00FB062D"/>
    <w:rsid w:val="00FB079C"/>
    <w:rsid w:val="00FB0BA2"/>
    <w:rsid w:val="00FB0C3B"/>
    <w:rsid w:val="00FB15BA"/>
    <w:rsid w:val="00FB17F9"/>
    <w:rsid w:val="00FB194C"/>
    <w:rsid w:val="00FB1B96"/>
    <w:rsid w:val="00FB1E0D"/>
    <w:rsid w:val="00FB2119"/>
    <w:rsid w:val="00FB21A6"/>
    <w:rsid w:val="00FB221F"/>
    <w:rsid w:val="00FB2283"/>
    <w:rsid w:val="00FB253F"/>
    <w:rsid w:val="00FB3156"/>
    <w:rsid w:val="00FB31DA"/>
    <w:rsid w:val="00FB31E1"/>
    <w:rsid w:val="00FB36FE"/>
    <w:rsid w:val="00FB37C5"/>
    <w:rsid w:val="00FB4140"/>
    <w:rsid w:val="00FB4350"/>
    <w:rsid w:val="00FB46EB"/>
    <w:rsid w:val="00FB485A"/>
    <w:rsid w:val="00FB5069"/>
    <w:rsid w:val="00FB5277"/>
    <w:rsid w:val="00FB5799"/>
    <w:rsid w:val="00FB57B9"/>
    <w:rsid w:val="00FB586A"/>
    <w:rsid w:val="00FB587F"/>
    <w:rsid w:val="00FB588A"/>
    <w:rsid w:val="00FB5AD6"/>
    <w:rsid w:val="00FB5D1E"/>
    <w:rsid w:val="00FB5F09"/>
    <w:rsid w:val="00FB5F6A"/>
    <w:rsid w:val="00FB64B7"/>
    <w:rsid w:val="00FB685D"/>
    <w:rsid w:val="00FB68C6"/>
    <w:rsid w:val="00FB6DC4"/>
    <w:rsid w:val="00FB6F38"/>
    <w:rsid w:val="00FB6FBB"/>
    <w:rsid w:val="00FB76A6"/>
    <w:rsid w:val="00FB7887"/>
    <w:rsid w:val="00FB7A13"/>
    <w:rsid w:val="00FB7AED"/>
    <w:rsid w:val="00FB7EFA"/>
    <w:rsid w:val="00FC04B6"/>
    <w:rsid w:val="00FC0534"/>
    <w:rsid w:val="00FC06CB"/>
    <w:rsid w:val="00FC0BA2"/>
    <w:rsid w:val="00FC0F57"/>
    <w:rsid w:val="00FC1102"/>
    <w:rsid w:val="00FC1203"/>
    <w:rsid w:val="00FC1745"/>
    <w:rsid w:val="00FC1A15"/>
    <w:rsid w:val="00FC2287"/>
    <w:rsid w:val="00FC2397"/>
    <w:rsid w:val="00FC263A"/>
    <w:rsid w:val="00FC2811"/>
    <w:rsid w:val="00FC2835"/>
    <w:rsid w:val="00FC2A99"/>
    <w:rsid w:val="00FC2E73"/>
    <w:rsid w:val="00FC31FF"/>
    <w:rsid w:val="00FC3511"/>
    <w:rsid w:val="00FC36D3"/>
    <w:rsid w:val="00FC3797"/>
    <w:rsid w:val="00FC4890"/>
    <w:rsid w:val="00FC48AA"/>
    <w:rsid w:val="00FC48FD"/>
    <w:rsid w:val="00FC4C09"/>
    <w:rsid w:val="00FC5447"/>
    <w:rsid w:val="00FC5857"/>
    <w:rsid w:val="00FC5C44"/>
    <w:rsid w:val="00FC5D94"/>
    <w:rsid w:val="00FC5F84"/>
    <w:rsid w:val="00FC5F91"/>
    <w:rsid w:val="00FC68B9"/>
    <w:rsid w:val="00FC6C14"/>
    <w:rsid w:val="00FC6C75"/>
    <w:rsid w:val="00FC6CB6"/>
    <w:rsid w:val="00FC6CC5"/>
    <w:rsid w:val="00FC6D99"/>
    <w:rsid w:val="00FC6F6E"/>
    <w:rsid w:val="00FC6FA9"/>
    <w:rsid w:val="00FC71ED"/>
    <w:rsid w:val="00FC724E"/>
    <w:rsid w:val="00FC7594"/>
    <w:rsid w:val="00FD02BA"/>
    <w:rsid w:val="00FD030A"/>
    <w:rsid w:val="00FD037F"/>
    <w:rsid w:val="00FD0382"/>
    <w:rsid w:val="00FD0799"/>
    <w:rsid w:val="00FD094A"/>
    <w:rsid w:val="00FD0B7E"/>
    <w:rsid w:val="00FD0D6B"/>
    <w:rsid w:val="00FD0D75"/>
    <w:rsid w:val="00FD109E"/>
    <w:rsid w:val="00FD10DA"/>
    <w:rsid w:val="00FD19B3"/>
    <w:rsid w:val="00FD19EA"/>
    <w:rsid w:val="00FD2210"/>
    <w:rsid w:val="00FD2231"/>
    <w:rsid w:val="00FD2300"/>
    <w:rsid w:val="00FD23F4"/>
    <w:rsid w:val="00FD252C"/>
    <w:rsid w:val="00FD2731"/>
    <w:rsid w:val="00FD2A73"/>
    <w:rsid w:val="00FD2DE2"/>
    <w:rsid w:val="00FD350A"/>
    <w:rsid w:val="00FD3603"/>
    <w:rsid w:val="00FD37B3"/>
    <w:rsid w:val="00FD3965"/>
    <w:rsid w:val="00FD3B92"/>
    <w:rsid w:val="00FD416A"/>
    <w:rsid w:val="00FD476B"/>
    <w:rsid w:val="00FD483C"/>
    <w:rsid w:val="00FD4E15"/>
    <w:rsid w:val="00FD502A"/>
    <w:rsid w:val="00FD594B"/>
    <w:rsid w:val="00FD5ABB"/>
    <w:rsid w:val="00FD5BF8"/>
    <w:rsid w:val="00FD5DFF"/>
    <w:rsid w:val="00FD5E61"/>
    <w:rsid w:val="00FD6269"/>
    <w:rsid w:val="00FD6388"/>
    <w:rsid w:val="00FD643A"/>
    <w:rsid w:val="00FD651F"/>
    <w:rsid w:val="00FD65AF"/>
    <w:rsid w:val="00FD683A"/>
    <w:rsid w:val="00FD68D1"/>
    <w:rsid w:val="00FD6C6C"/>
    <w:rsid w:val="00FD71B4"/>
    <w:rsid w:val="00FD72E6"/>
    <w:rsid w:val="00FD7384"/>
    <w:rsid w:val="00FD74C2"/>
    <w:rsid w:val="00FD7694"/>
    <w:rsid w:val="00FD7ABC"/>
    <w:rsid w:val="00FE03FE"/>
    <w:rsid w:val="00FE04EF"/>
    <w:rsid w:val="00FE0B5B"/>
    <w:rsid w:val="00FE0B5F"/>
    <w:rsid w:val="00FE0C93"/>
    <w:rsid w:val="00FE0D6A"/>
    <w:rsid w:val="00FE0F5F"/>
    <w:rsid w:val="00FE0FFC"/>
    <w:rsid w:val="00FE18A6"/>
    <w:rsid w:val="00FE19AD"/>
    <w:rsid w:val="00FE1BA6"/>
    <w:rsid w:val="00FE1C03"/>
    <w:rsid w:val="00FE1E75"/>
    <w:rsid w:val="00FE214E"/>
    <w:rsid w:val="00FE2191"/>
    <w:rsid w:val="00FE24CA"/>
    <w:rsid w:val="00FE2761"/>
    <w:rsid w:val="00FE2879"/>
    <w:rsid w:val="00FE29DF"/>
    <w:rsid w:val="00FE3422"/>
    <w:rsid w:val="00FE3501"/>
    <w:rsid w:val="00FE36CC"/>
    <w:rsid w:val="00FE383E"/>
    <w:rsid w:val="00FE3928"/>
    <w:rsid w:val="00FE3D1E"/>
    <w:rsid w:val="00FE3E13"/>
    <w:rsid w:val="00FE4003"/>
    <w:rsid w:val="00FE4121"/>
    <w:rsid w:val="00FE4125"/>
    <w:rsid w:val="00FE4463"/>
    <w:rsid w:val="00FE45B9"/>
    <w:rsid w:val="00FE4957"/>
    <w:rsid w:val="00FE4B2E"/>
    <w:rsid w:val="00FE4C64"/>
    <w:rsid w:val="00FE4DF4"/>
    <w:rsid w:val="00FE4E3D"/>
    <w:rsid w:val="00FE4F2D"/>
    <w:rsid w:val="00FE53D4"/>
    <w:rsid w:val="00FE53D6"/>
    <w:rsid w:val="00FE565C"/>
    <w:rsid w:val="00FE5835"/>
    <w:rsid w:val="00FE59A9"/>
    <w:rsid w:val="00FE615A"/>
    <w:rsid w:val="00FE688D"/>
    <w:rsid w:val="00FE6B94"/>
    <w:rsid w:val="00FE6D9B"/>
    <w:rsid w:val="00FE70C2"/>
    <w:rsid w:val="00FE7218"/>
    <w:rsid w:val="00FE790F"/>
    <w:rsid w:val="00FE7941"/>
    <w:rsid w:val="00FE7B36"/>
    <w:rsid w:val="00FE7F9A"/>
    <w:rsid w:val="00FF00A7"/>
    <w:rsid w:val="00FF05A2"/>
    <w:rsid w:val="00FF0637"/>
    <w:rsid w:val="00FF0874"/>
    <w:rsid w:val="00FF13E0"/>
    <w:rsid w:val="00FF15E4"/>
    <w:rsid w:val="00FF16DD"/>
    <w:rsid w:val="00FF1A08"/>
    <w:rsid w:val="00FF1A1F"/>
    <w:rsid w:val="00FF24DE"/>
    <w:rsid w:val="00FF298B"/>
    <w:rsid w:val="00FF29F6"/>
    <w:rsid w:val="00FF2EC3"/>
    <w:rsid w:val="00FF3095"/>
    <w:rsid w:val="00FF3CE6"/>
    <w:rsid w:val="00FF3F40"/>
    <w:rsid w:val="00FF4169"/>
    <w:rsid w:val="00FF44B1"/>
    <w:rsid w:val="00FF44E6"/>
    <w:rsid w:val="00FF45DD"/>
    <w:rsid w:val="00FF460B"/>
    <w:rsid w:val="00FF4876"/>
    <w:rsid w:val="00FF4961"/>
    <w:rsid w:val="00FF4BA1"/>
    <w:rsid w:val="00FF4C05"/>
    <w:rsid w:val="00FF4C31"/>
    <w:rsid w:val="00FF4EC7"/>
    <w:rsid w:val="00FF4EF9"/>
    <w:rsid w:val="00FF51B6"/>
    <w:rsid w:val="00FF547A"/>
    <w:rsid w:val="00FF571A"/>
    <w:rsid w:val="00FF5924"/>
    <w:rsid w:val="00FF5D20"/>
    <w:rsid w:val="00FF5F97"/>
    <w:rsid w:val="00FF6395"/>
    <w:rsid w:val="00FF6B23"/>
    <w:rsid w:val="00FF6E33"/>
    <w:rsid w:val="00FF6F8F"/>
    <w:rsid w:val="00FF7237"/>
    <w:rsid w:val="00FF729C"/>
    <w:rsid w:val="00FF73D4"/>
    <w:rsid w:val="00FF7646"/>
    <w:rsid w:val="00FF76A8"/>
    <w:rsid w:val="00FF77A0"/>
    <w:rsid w:val="00FF7818"/>
    <w:rsid w:val="00FF7D9E"/>
    <w:rsid w:val="00FF7E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9F42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4" w:qFormat="1"/>
    <w:lsdException w:name="heading 5"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footer" w:uiPriority="99"/>
    <w:lsdException w:name="annotation reference" w:uiPriority="99"/>
    <w:lsdException w:name="endnote reference" w:uiPriority="99"/>
    <w:lsdException w:name="table of authorities" w:uiPriority="99"/>
    <w:lsdException w:name="toa heading" w:uiPriority="99"/>
    <w:lsdException w:name="Body Text" w:uiPriority="99"/>
    <w:lsdException w:name="Hyperlink" w:uiPriority="99"/>
    <w:lsdException w:name="Strong" w:uiPriority="22"/>
    <w:lsdException w:name="Emphasis" w:uiPriority="20"/>
    <w:lsdException w:name="Normal (Web)" w:uiPriority="99"/>
    <w:lsdException w:name="HTML Cite" w:uiPriority="99"/>
    <w:lsdException w:name="Normal Table" w:semiHidden="1" w:unhideWhenUsed="1"/>
    <w:lsdException w:name="No List" w:uiPriority="99"/>
    <w:lsdException w:name="Outline List 2"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8A1F1A"/>
    <w:pPr>
      <w:widowControl w:val="0"/>
      <w:suppressAutoHyphens/>
      <w:spacing w:line="480" w:lineRule="auto"/>
      <w:ind w:firstLine="709"/>
      <w:jc w:val="both"/>
    </w:pPr>
    <w:rPr>
      <w:rFonts w:eastAsia="Cambria" w:cs="Cambria"/>
      <w:sz w:val="24"/>
      <w:szCs w:val="24"/>
      <w:lang w:val="en-US" w:eastAsia="en-US"/>
    </w:rPr>
  </w:style>
  <w:style w:type="paragraph" w:styleId="berschrift1">
    <w:name w:val="heading 1"/>
    <w:basedOn w:val="Standard"/>
    <w:next w:val="Standard"/>
    <w:link w:val="berschrift1Zchn"/>
    <w:autoRedefine/>
    <w:uiPriority w:val="9"/>
    <w:qFormat/>
    <w:rsid w:val="005C5AE2"/>
    <w:pPr>
      <w:widowControl/>
      <w:numPr>
        <w:numId w:val="48"/>
      </w:numPr>
      <w:spacing w:before="120" w:after="120" w:line="360" w:lineRule="auto"/>
      <w:outlineLvl w:val="0"/>
    </w:pPr>
    <w:rPr>
      <w:rFonts w:eastAsia="Times New Roman" w:cs="Times New Roman"/>
      <w:b/>
      <w:bCs/>
      <w:kern w:val="32"/>
      <w:u w:val="single"/>
      <w:lang w:eastAsia="x-none"/>
    </w:rPr>
  </w:style>
  <w:style w:type="paragraph" w:styleId="berschrift2">
    <w:name w:val="heading 2"/>
    <w:basedOn w:val="Standard"/>
    <w:next w:val="Standard"/>
    <w:link w:val="berschrift2Zchn"/>
    <w:uiPriority w:val="9"/>
    <w:qFormat/>
    <w:rsid w:val="001E6A8E"/>
    <w:pPr>
      <w:keepNext/>
      <w:numPr>
        <w:numId w:val="5"/>
      </w:numPr>
      <w:spacing w:line="360" w:lineRule="auto"/>
      <w:ind w:left="754" w:hanging="357"/>
      <w:outlineLvl w:val="1"/>
    </w:pPr>
    <w:rPr>
      <w:rFonts w:cs="Times New Roman"/>
      <w:b/>
      <w:bCs/>
      <w:iCs/>
      <w:lang w:eastAsia="x-none"/>
    </w:rPr>
  </w:style>
  <w:style w:type="paragraph" w:styleId="berschrift3">
    <w:name w:val="heading 3"/>
    <w:basedOn w:val="berschrift3a"/>
    <w:next w:val="Standard"/>
    <w:link w:val="berschrift3Zchn"/>
    <w:autoRedefine/>
    <w:rsid w:val="00151E05"/>
  </w:style>
  <w:style w:type="paragraph" w:styleId="berschrift4">
    <w:name w:val="heading 4"/>
    <w:basedOn w:val="Standard"/>
    <w:next w:val="Standard"/>
    <w:link w:val="berschrift4Zchn"/>
    <w:autoRedefine/>
    <w:qFormat/>
    <w:rsid w:val="00DB069A"/>
    <w:pPr>
      <w:keepNext/>
      <w:widowControl/>
      <w:numPr>
        <w:numId w:val="4"/>
      </w:numPr>
      <w:spacing w:line="360" w:lineRule="auto"/>
      <w:outlineLvl w:val="3"/>
    </w:pPr>
    <w:rPr>
      <w:rFonts w:ascii="Times New Roman Bold" w:eastAsia="Times New Roman" w:hAnsi="Times New Roman Bold" w:cs="Times New Roman"/>
      <w:bCs/>
      <w:i/>
      <w:szCs w:val="28"/>
      <w:lang w:val="en-GB" w:eastAsia="x-none"/>
    </w:rPr>
  </w:style>
  <w:style w:type="paragraph" w:styleId="berschrift5">
    <w:name w:val="heading 5"/>
    <w:basedOn w:val="Standard"/>
    <w:next w:val="Standard"/>
    <w:link w:val="berschrift5Zchn"/>
    <w:autoRedefine/>
    <w:qFormat/>
    <w:rsid w:val="00151E05"/>
    <w:pPr>
      <w:keepNext/>
      <w:numPr>
        <w:numId w:val="17"/>
      </w:numPr>
      <w:spacing w:line="360" w:lineRule="auto"/>
      <w:ind w:left="1661" w:hanging="357"/>
      <w:jc w:val="left"/>
      <w:outlineLvl w:val="4"/>
    </w:pPr>
    <w:rPr>
      <w:rFonts w:eastAsia="Times New Roman" w:cs="Times New Roman"/>
      <w:bCs/>
      <w:i/>
      <w:iCs/>
      <w:szCs w:val="26"/>
      <w:lang w:val="x-none" w:eastAsia="x-none"/>
    </w:rPr>
  </w:style>
  <w:style w:type="paragraph" w:styleId="berschrift6">
    <w:name w:val="heading 6"/>
    <w:basedOn w:val="Standard"/>
    <w:next w:val="Standard"/>
    <w:link w:val="berschrift6Zchn"/>
    <w:rsid w:val="00151E05"/>
    <w:pPr>
      <w:numPr>
        <w:numId w:val="1"/>
      </w:numPr>
      <w:spacing w:before="60" w:after="240" w:line="360" w:lineRule="auto"/>
      <w:ind w:left="1072"/>
      <w:outlineLvl w:val="5"/>
    </w:pPr>
    <w:rPr>
      <w:rFonts w:eastAsia="Times New Roman" w:cs="Times New Roman"/>
      <w:bCs/>
      <w:szCs w:val="22"/>
      <w:lang w:val="x-none" w:eastAsia="x-none"/>
    </w:rPr>
  </w:style>
  <w:style w:type="paragraph" w:styleId="berschrift7">
    <w:name w:val="heading 7"/>
    <w:basedOn w:val="Standard"/>
    <w:next w:val="Standard"/>
    <w:link w:val="berschrift7Zchn"/>
    <w:rsid w:val="00170056"/>
    <w:pPr>
      <w:spacing w:before="240" w:after="60"/>
      <w:outlineLvl w:val="6"/>
    </w:pPr>
    <w:rPr>
      <w:rFonts w:ascii="Cambria" w:eastAsia="Times New Roman" w:hAnsi="Cambria" w:cs="Times New Roman"/>
      <w:lang w:val="x-none" w:eastAsia="x-none"/>
    </w:rPr>
  </w:style>
  <w:style w:type="paragraph" w:styleId="berschrift8">
    <w:name w:val="heading 8"/>
    <w:basedOn w:val="Standard"/>
    <w:next w:val="Standard"/>
    <w:link w:val="berschrift8Zchn"/>
    <w:rsid w:val="00170056"/>
    <w:pPr>
      <w:spacing w:before="240" w:after="60"/>
      <w:outlineLvl w:val="7"/>
    </w:pPr>
    <w:rPr>
      <w:rFonts w:ascii="Cambria" w:eastAsia="Times New Roman" w:hAnsi="Cambria" w:cs="Times New Roman"/>
      <w:i/>
      <w:iCs/>
      <w:lang w:val="x-none" w:eastAsia="x-none"/>
    </w:rPr>
  </w:style>
  <w:style w:type="paragraph" w:styleId="berschrift9">
    <w:name w:val="heading 9"/>
    <w:basedOn w:val="Standard"/>
    <w:next w:val="Standard"/>
    <w:link w:val="berschrift9Zchn"/>
    <w:rsid w:val="00170056"/>
    <w:pPr>
      <w:spacing w:before="240" w:after="60"/>
      <w:outlineLvl w:val="8"/>
    </w:pPr>
    <w:rPr>
      <w:rFonts w:ascii="Calibri" w:eastAsia="Times New Roman" w:hAnsi="Calibri" w:cs="Times New Roman"/>
      <w:sz w:val="22"/>
      <w:szCs w:val="2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Characters">
    <w:name w:val="Footnote Characters"/>
    <w:rsid w:val="00D73CBA"/>
    <w:rPr>
      <w:vertAlign w:val="superscript"/>
    </w:rPr>
  </w:style>
  <w:style w:type="paragraph" w:customStyle="1" w:styleId="berschrift3a">
    <w:name w:val="Überschrift 3a"/>
    <w:basedOn w:val="Standard"/>
    <w:next w:val="Memo"/>
    <w:autoRedefine/>
    <w:qFormat/>
    <w:rsid w:val="00DB069A"/>
    <w:pPr>
      <w:keepNext/>
      <w:widowControl/>
      <w:numPr>
        <w:numId w:val="2"/>
      </w:numPr>
      <w:spacing w:line="360" w:lineRule="auto"/>
      <w:outlineLvl w:val="2"/>
    </w:pPr>
    <w:rPr>
      <w:rFonts w:eastAsia="Times New Roman" w:cs="Times New Roman"/>
      <w:b/>
      <w:iCs/>
      <w:color w:val="0D0D0D"/>
      <w:szCs w:val="26"/>
      <w:lang w:val="en-GB" w:eastAsia="x-none"/>
    </w:rPr>
  </w:style>
  <w:style w:type="character" w:styleId="Funotenzeichen">
    <w:name w:val="footnote reference"/>
    <w:rsid w:val="00D73CBA"/>
    <w:rPr>
      <w:vertAlign w:val="superscript"/>
    </w:rPr>
  </w:style>
  <w:style w:type="character" w:customStyle="1" w:styleId="FootnoteTextChar">
    <w:name w:val="Footnote Text Char"/>
    <w:aliases w:val="Fußnotentext Char1 Char2,Fußnotentext Char Char Char2, Char Char Char Char2,Char Char Char Char1,Fußnotentext Char1 Char Char1, Char Char1 Char Char1,Char Char1 Char Char1, Char Char1 Char2,Char Char1 Char2,Fußnotentext Char2 Char1"/>
    <w:uiPriority w:val="99"/>
    <w:rsid w:val="00D73CBA"/>
    <w:rPr>
      <w:rFonts w:ascii="Cambria" w:eastAsia="Cambria" w:hAnsi="Cambria" w:cs="Cambria"/>
      <w:noProof w:val="0"/>
      <w:sz w:val="24"/>
      <w:szCs w:val="24"/>
      <w:lang w:val="en-US"/>
    </w:rPr>
  </w:style>
  <w:style w:type="character" w:customStyle="1" w:styleId="BodyTextChar">
    <w:name w:val="Body Text Char"/>
    <w:uiPriority w:val="99"/>
    <w:rsid w:val="00D73CBA"/>
    <w:rPr>
      <w:rFonts w:ascii="Cambria" w:eastAsia="Cambria" w:hAnsi="Cambria" w:cs="Cambria"/>
      <w:noProof w:val="0"/>
      <w:sz w:val="24"/>
      <w:szCs w:val="24"/>
      <w:lang w:val="en-US"/>
    </w:rPr>
  </w:style>
  <w:style w:type="character" w:styleId="Endnotenzeichen">
    <w:name w:val="endnote reference"/>
    <w:uiPriority w:val="99"/>
    <w:rsid w:val="00D73CBA"/>
    <w:rPr>
      <w:vertAlign w:val="superscript"/>
    </w:rPr>
  </w:style>
  <w:style w:type="character" w:customStyle="1" w:styleId="EndnoteCharacters">
    <w:name w:val="Endnote Characters"/>
    <w:rsid w:val="00D73CBA"/>
  </w:style>
  <w:style w:type="paragraph" w:customStyle="1" w:styleId="Heading">
    <w:name w:val="Heading"/>
    <w:basedOn w:val="Standard"/>
    <w:next w:val="Textkrper"/>
    <w:autoRedefine/>
    <w:rsid w:val="00170056"/>
    <w:pPr>
      <w:keepNext/>
      <w:spacing w:before="240" w:after="120"/>
    </w:pPr>
    <w:rPr>
      <w:rFonts w:eastAsia="MS Mincho" w:cs="Tahoma"/>
      <w:szCs w:val="28"/>
      <w:u w:val="single"/>
    </w:rPr>
  </w:style>
  <w:style w:type="paragraph" w:styleId="Textkrper">
    <w:name w:val="Body Text"/>
    <w:basedOn w:val="Standard"/>
    <w:link w:val="TextkrperZchn"/>
    <w:uiPriority w:val="99"/>
    <w:rsid w:val="00D73CBA"/>
    <w:pPr>
      <w:spacing w:after="120"/>
    </w:pPr>
    <w:rPr>
      <w:rFonts w:ascii="Cambria" w:hAnsi="Cambria" w:cs="Times New Roman"/>
      <w:lang w:val="x-none" w:eastAsia="x-none"/>
    </w:rPr>
  </w:style>
  <w:style w:type="paragraph" w:styleId="Liste">
    <w:name w:val="List"/>
    <w:basedOn w:val="Textkrper"/>
    <w:rsid w:val="00D73CBA"/>
    <w:rPr>
      <w:rFonts w:cs="Tahoma"/>
    </w:rPr>
  </w:style>
  <w:style w:type="paragraph" w:customStyle="1" w:styleId="Index">
    <w:name w:val="Index"/>
    <w:basedOn w:val="Standard"/>
    <w:rsid w:val="00D73CBA"/>
    <w:pPr>
      <w:suppressLineNumbers/>
    </w:pPr>
    <w:rPr>
      <w:rFonts w:cs="Tahoma"/>
    </w:rPr>
  </w:style>
  <w:style w:type="paragraph" w:styleId="Funotentext">
    <w:name w:val="footnote text"/>
    <w:aliases w:val="Fußnotentext Char1,Fußnotentext Char Char,Char Char Char,Fußnotentext Char1 Char,Char Char1 Char,Char Char1,Fußnotentext Char2,Fußnotentext Char Char Char,Char Char Char Char,Char Char Char Cha"/>
    <w:basedOn w:val="Standard"/>
    <w:link w:val="FunotentextZchn"/>
    <w:uiPriority w:val="99"/>
    <w:qFormat/>
    <w:rsid w:val="00A0253D"/>
    <w:pPr>
      <w:spacing w:line="240" w:lineRule="auto"/>
      <w:ind w:firstLine="0"/>
    </w:pPr>
    <w:rPr>
      <w:rFonts w:cs="Times New Roman"/>
      <w:lang w:val="x-none" w:eastAsia="x-none"/>
    </w:rPr>
  </w:style>
  <w:style w:type="paragraph" w:customStyle="1" w:styleId="ColorfulList-Accent11">
    <w:name w:val="Colorful List - Accent 11"/>
    <w:basedOn w:val="Standard"/>
    <w:rsid w:val="00D73CBA"/>
    <w:pPr>
      <w:ind w:left="720" w:firstLine="0"/>
    </w:pPr>
  </w:style>
  <w:style w:type="character" w:customStyle="1" w:styleId="berschrift1Zchn">
    <w:name w:val="Überschrift 1 Zchn"/>
    <w:link w:val="berschrift1"/>
    <w:uiPriority w:val="9"/>
    <w:rsid w:val="005C5AE2"/>
    <w:rPr>
      <w:b/>
      <w:bCs/>
      <w:kern w:val="32"/>
      <w:sz w:val="24"/>
      <w:szCs w:val="24"/>
      <w:u w:val="single"/>
      <w:lang w:val="en-US" w:eastAsia="x-none"/>
    </w:rPr>
  </w:style>
  <w:style w:type="character" w:customStyle="1" w:styleId="berschrift2Zchn">
    <w:name w:val="Überschrift 2 Zchn"/>
    <w:link w:val="berschrift2"/>
    <w:uiPriority w:val="9"/>
    <w:rsid w:val="001E6A8E"/>
    <w:rPr>
      <w:rFonts w:eastAsia="Cambria"/>
      <w:b/>
      <w:bCs/>
      <w:iCs/>
      <w:sz w:val="24"/>
      <w:szCs w:val="24"/>
      <w:lang w:val="en-US" w:eastAsia="x-none"/>
    </w:rPr>
  </w:style>
  <w:style w:type="character" w:customStyle="1" w:styleId="berschrift3Zchn">
    <w:name w:val="Überschrift 3 Zchn"/>
    <w:link w:val="berschrift3"/>
    <w:rsid w:val="00151E05"/>
    <w:rPr>
      <w:b/>
      <w:iCs/>
      <w:color w:val="0D0D0D"/>
      <w:sz w:val="24"/>
      <w:szCs w:val="26"/>
      <w:lang w:val="en-GB" w:eastAsia="x-none"/>
    </w:rPr>
  </w:style>
  <w:style w:type="character" w:customStyle="1" w:styleId="berschrift4Zchn">
    <w:name w:val="Überschrift 4 Zchn"/>
    <w:link w:val="berschrift4"/>
    <w:rsid w:val="00DB069A"/>
    <w:rPr>
      <w:rFonts w:ascii="Times New Roman Bold" w:hAnsi="Times New Roman Bold"/>
      <w:bCs/>
      <w:i/>
      <w:sz w:val="24"/>
      <w:szCs w:val="28"/>
      <w:lang w:val="en-GB" w:eastAsia="x-none"/>
    </w:rPr>
  </w:style>
  <w:style w:type="paragraph" w:styleId="Verzeichnis2">
    <w:name w:val="toc 2"/>
    <w:aliases w:val="Jessup 2"/>
    <w:basedOn w:val="Standard"/>
    <w:next w:val="Standard"/>
    <w:autoRedefine/>
    <w:uiPriority w:val="39"/>
    <w:rsid w:val="00E46AD5"/>
    <w:pPr>
      <w:tabs>
        <w:tab w:val="left" w:pos="709"/>
        <w:tab w:val="right" w:leader="dot" w:pos="9214"/>
      </w:tabs>
      <w:spacing w:before="240" w:after="120" w:line="360" w:lineRule="auto"/>
      <w:ind w:left="624" w:hanging="284"/>
    </w:pPr>
    <w:rPr>
      <w:b/>
      <w:smallCaps/>
    </w:rPr>
  </w:style>
  <w:style w:type="character" w:customStyle="1" w:styleId="TextkrperZchn">
    <w:name w:val="Textkörper Zchn"/>
    <w:link w:val="Textkrper"/>
    <w:uiPriority w:val="99"/>
    <w:rsid w:val="008F0CE3"/>
    <w:rPr>
      <w:rFonts w:ascii="Cambria" w:eastAsia="Cambria" w:hAnsi="Cambria" w:cs="Cambria"/>
      <w:sz w:val="24"/>
      <w:szCs w:val="24"/>
    </w:rPr>
  </w:style>
  <w:style w:type="paragraph" w:styleId="Verzeichnis1">
    <w:name w:val="toc 1"/>
    <w:aliases w:val="Jessup 1"/>
    <w:basedOn w:val="Standard"/>
    <w:next w:val="Standard"/>
    <w:autoRedefine/>
    <w:uiPriority w:val="39"/>
    <w:rsid w:val="00FB4350"/>
    <w:pPr>
      <w:widowControl/>
      <w:tabs>
        <w:tab w:val="left" w:pos="624"/>
        <w:tab w:val="right" w:leader="dot" w:pos="9214"/>
      </w:tabs>
      <w:spacing w:before="120" w:after="120" w:line="360" w:lineRule="auto"/>
      <w:ind w:firstLine="0"/>
    </w:pPr>
    <w:rPr>
      <w:b/>
      <w:caps/>
      <w:noProof/>
      <w:lang w:val="en-GB"/>
    </w:rPr>
  </w:style>
  <w:style w:type="paragraph" w:styleId="Verzeichnis3">
    <w:name w:val="toc 3"/>
    <w:aliases w:val="Jessup 3"/>
    <w:basedOn w:val="Standard"/>
    <w:next w:val="Standard"/>
    <w:autoRedefine/>
    <w:uiPriority w:val="39"/>
    <w:rsid w:val="00EB4C45"/>
    <w:pPr>
      <w:tabs>
        <w:tab w:val="left" w:pos="1276"/>
        <w:tab w:val="right" w:leader="dot" w:pos="9214"/>
      </w:tabs>
      <w:spacing w:before="240" w:after="120" w:line="360" w:lineRule="auto"/>
      <w:ind w:left="964" w:hanging="284"/>
    </w:pPr>
    <w:rPr>
      <w:b/>
    </w:rPr>
  </w:style>
  <w:style w:type="paragraph" w:styleId="Verzeichnis4">
    <w:name w:val="toc 4"/>
    <w:aliases w:val="Jessup 4"/>
    <w:basedOn w:val="Standard"/>
    <w:next w:val="Standard"/>
    <w:autoRedefine/>
    <w:uiPriority w:val="39"/>
    <w:rsid w:val="001D6DAF"/>
    <w:pPr>
      <w:tabs>
        <w:tab w:val="left" w:pos="1920"/>
        <w:tab w:val="right" w:leader="dot" w:pos="9214"/>
      </w:tabs>
      <w:spacing w:before="240" w:after="120" w:line="360" w:lineRule="auto"/>
      <w:ind w:left="1418" w:hanging="284"/>
    </w:pPr>
  </w:style>
  <w:style w:type="paragraph" w:styleId="Verzeichnis5">
    <w:name w:val="toc 5"/>
    <w:basedOn w:val="Standard"/>
    <w:next w:val="Standard"/>
    <w:autoRedefine/>
    <w:uiPriority w:val="39"/>
    <w:rsid w:val="00DF0006"/>
    <w:pPr>
      <w:tabs>
        <w:tab w:val="left" w:pos="2127"/>
        <w:tab w:val="right" w:leader="dot" w:pos="9214"/>
        <w:tab w:val="right" w:leader="dot" w:pos="9282"/>
      </w:tabs>
      <w:ind w:left="2127" w:right="78" w:hanging="426"/>
    </w:pPr>
  </w:style>
  <w:style w:type="paragraph" w:styleId="Verzeichnis6">
    <w:name w:val="toc 6"/>
    <w:basedOn w:val="Standard"/>
    <w:next w:val="Standard"/>
    <w:link w:val="Verzeichnis6Zchn"/>
    <w:autoRedefine/>
    <w:uiPriority w:val="39"/>
    <w:rsid w:val="008F0CE3"/>
    <w:pPr>
      <w:ind w:left="1200"/>
    </w:pPr>
  </w:style>
  <w:style w:type="paragraph" w:styleId="Verzeichnis7">
    <w:name w:val="toc 7"/>
    <w:basedOn w:val="Standard"/>
    <w:next w:val="Standard"/>
    <w:link w:val="Verzeichnis7Zchn"/>
    <w:autoRedefine/>
    <w:uiPriority w:val="39"/>
    <w:rsid w:val="008F0CE3"/>
    <w:pPr>
      <w:ind w:left="1440"/>
    </w:pPr>
  </w:style>
  <w:style w:type="paragraph" w:styleId="Verzeichnis8">
    <w:name w:val="toc 8"/>
    <w:basedOn w:val="Standard"/>
    <w:next w:val="Standard"/>
    <w:autoRedefine/>
    <w:uiPriority w:val="39"/>
    <w:rsid w:val="008F0CE3"/>
    <w:pPr>
      <w:ind w:left="1680"/>
    </w:pPr>
  </w:style>
  <w:style w:type="paragraph" w:styleId="Verzeichnis9">
    <w:name w:val="toc 9"/>
    <w:basedOn w:val="Standard"/>
    <w:next w:val="Standard"/>
    <w:autoRedefine/>
    <w:uiPriority w:val="39"/>
    <w:rsid w:val="008F0CE3"/>
    <w:pPr>
      <w:ind w:left="1920"/>
    </w:pPr>
  </w:style>
  <w:style w:type="character" w:styleId="Fett">
    <w:name w:val="Strong"/>
    <w:uiPriority w:val="22"/>
    <w:rsid w:val="00072AD7"/>
    <w:rPr>
      <w:b/>
      <w:bCs/>
    </w:rPr>
  </w:style>
  <w:style w:type="character" w:styleId="Kommentarzeichen">
    <w:name w:val="annotation reference"/>
    <w:uiPriority w:val="99"/>
    <w:rsid w:val="000E33C1"/>
    <w:rPr>
      <w:sz w:val="18"/>
      <w:szCs w:val="18"/>
    </w:rPr>
  </w:style>
  <w:style w:type="character" w:customStyle="1" w:styleId="CommentTextChar">
    <w:name w:val="Comment Text Char"/>
    <w:basedOn w:val="Absatz-Standardschriftart"/>
    <w:rsid w:val="000E33C1"/>
  </w:style>
  <w:style w:type="character" w:customStyle="1" w:styleId="CommentSubjectChar">
    <w:name w:val="Comment Subject Char"/>
    <w:rsid w:val="000E33C1"/>
    <w:rPr>
      <w:b/>
      <w:bCs/>
      <w:sz w:val="20"/>
      <w:szCs w:val="20"/>
    </w:rPr>
  </w:style>
  <w:style w:type="character" w:customStyle="1" w:styleId="NumberingSymbols">
    <w:name w:val="Numbering Symbols"/>
    <w:rsid w:val="000E33C1"/>
  </w:style>
  <w:style w:type="paragraph" w:styleId="Kommentartext">
    <w:name w:val="annotation text"/>
    <w:basedOn w:val="Standard"/>
    <w:link w:val="KommentartextZchn"/>
    <w:uiPriority w:val="99"/>
    <w:rsid w:val="000E33C1"/>
    <w:rPr>
      <w:rFonts w:ascii="Cambria" w:hAnsi="Cambria" w:cs="Times New Roman"/>
      <w:lang w:val="x-none" w:eastAsia="ar-SA"/>
    </w:rPr>
  </w:style>
  <w:style w:type="character" w:customStyle="1" w:styleId="KommentartextZchn">
    <w:name w:val="Kommentartext Zchn"/>
    <w:link w:val="Kommentartext"/>
    <w:uiPriority w:val="99"/>
    <w:rsid w:val="000E33C1"/>
    <w:rPr>
      <w:rFonts w:ascii="Cambria" w:eastAsia="Cambria" w:hAnsi="Cambria" w:cs="Cambria"/>
      <w:sz w:val="24"/>
      <w:szCs w:val="24"/>
      <w:lang w:eastAsia="ar-SA"/>
    </w:rPr>
  </w:style>
  <w:style w:type="paragraph" w:styleId="Kommentarthema">
    <w:name w:val="annotation subject"/>
    <w:basedOn w:val="Kommentartext"/>
    <w:next w:val="Kommentartext"/>
    <w:link w:val="KommentarthemaZchn"/>
    <w:rsid w:val="000E33C1"/>
    <w:rPr>
      <w:b/>
      <w:bCs/>
    </w:rPr>
  </w:style>
  <w:style w:type="character" w:customStyle="1" w:styleId="KommentarthemaZchn">
    <w:name w:val="Kommentarthema Zchn"/>
    <w:link w:val="Kommentarthema"/>
    <w:rsid w:val="000E33C1"/>
    <w:rPr>
      <w:rFonts w:ascii="Cambria" w:eastAsia="Cambria" w:hAnsi="Cambria" w:cs="Cambria"/>
      <w:b/>
      <w:bCs/>
      <w:sz w:val="24"/>
      <w:szCs w:val="24"/>
      <w:lang w:eastAsia="ar-SA"/>
    </w:rPr>
  </w:style>
  <w:style w:type="numbering" w:styleId="111111">
    <w:name w:val="Outline List 2"/>
    <w:basedOn w:val="KeineListe"/>
    <w:uiPriority w:val="99"/>
    <w:unhideWhenUsed/>
    <w:rsid w:val="000E33C1"/>
  </w:style>
  <w:style w:type="character" w:customStyle="1" w:styleId="FunotentextZchn">
    <w:name w:val="Fußnotentext Zchn"/>
    <w:aliases w:val="Fußnotentext Char1 Zchn3,Fußnotentext Char Char Zchn3,Char Char Char Zchn3,Fußnotentext Char1 Char Zchn3,Char Char1 Char Zchn3,Char Char1 Zchn3,Fußnotentext Char2 Zchn3,Fußnotentext Char Char Char Zchn,Char Char Char Char Zchn"/>
    <w:link w:val="Funotentext"/>
    <w:uiPriority w:val="99"/>
    <w:rsid w:val="00A0253D"/>
    <w:rPr>
      <w:rFonts w:eastAsia="Cambria"/>
      <w:sz w:val="24"/>
      <w:szCs w:val="24"/>
      <w:lang w:val="x-none" w:eastAsia="x-none"/>
    </w:rPr>
  </w:style>
  <w:style w:type="character" w:customStyle="1" w:styleId="berschrift5Zchn">
    <w:name w:val="Überschrift 5 Zchn"/>
    <w:link w:val="berschrift5"/>
    <w:rsid w:val="00151E05"/>
    <w:rPr>
      <w:bCs/>
      <w:i/>
      <w:iCs/>
      <w:sz w:val="24"/>
      <w:szCs w:val="26"/>
      <w:lang w:val="x-none" w:eastAsia="x-none"/>
    </w:rPr>
  </w:style>
  <w:style w:type="character" w:customStyle="1" w:styleId="berschrift6Zchn">
    <w:name w:val="Überschrift 6 Zchn"/>
    <w:link w:val="berschrift6"/>
    <w:rsid w:val="00151E05"/>
    <w:rPr>
      <w:bCs/>
      <w:sz w:val="24"/>
      <w:szCs w:val="22"/>
      <w:lang w:val="x-none" w:eastAsia="x-none"/>
    </w:rPr>
  </w:style>
  <w:style w:type="character" w:customStyle="1" w:styleId="berschrift7Zchn">
    <w:name w:val="Überschrift 7 Zchn"/>
    <w:link w:val="berschrift7"/>
    <w:rsid w:val="00170056"/>
    <w:rPr>
      <w:rFonts w:ascii="Cambria" w:eastAsia="Times New Roman" w:hAnsi="Cambria" w:cs="Times New Roman"/>
      <w:sz w:val="24"/>
      <w:szCs w:val="24"/>
    </w:rPr>
  </w:style>
  <w:style w:type="character" w:customStyle="1" w:styleId="berschrift8Zchn">
    <w:name w:val="Überschrift 8 Zchn"/>
    <w:link w:val="berschrift8"/>
    <w:rsid w:val="00170056"/>
    <w:rPr>
      <w:rFonts w:ascii="Cambria" w:eastAsia="Times New Roman" w:hAnsi="Cambria" w:cs="Times New Roman"/>
      <w:i/>
      <w:iCs/>
      <w:sz w:val="24"/>
      <w:szCs w:val="24"/>
    </w:rPr>
  </w:style>
  <w:style w:type="character" w:customStyle="1" w:styleId="berschrift9Zchn">
    <w:name w:val="Überschrift 9 Zchn"/>
    <w:link w:val="berschrift9"/>
    <w:rsid w:val="00170056"/>
    <w:rPr>
      <w:rFonts w:ascii="Calibri" w:eastAsia="Times New Roman" w:hAnsi="Calibri" w:cs="Times New Roman"/>
      <w:sz w:val="22"/>
      <w:szCs w:val="22"/>
    </w:rPr>
  </w:style>
  <w:style w:type="paragraph" w:styleId="Rechtsgrundlagenverzeichnis">
    <w:name w:val="table of authorities"/>
    <w:basedOn w:val="Standard"/>
    <w:next w:val="Standard"/>
    <w:uiPriority w:val="99"/>
    <w:rsid w:val="00D236F0"/>
    <w:pPr>
      <w:spacing w:before="240" w:line="360" w:lineRule="auto"/>
      <w:ind w:left="284" w:hanging="284"/>
    </w:pPr>
  </w:style>
  <w:style w:type="paragraph" w:styleId="RGV-berschrift">
    <w:name w:val="toa heading"/>
    <w:aliases w:val="Treaties and Conventions"/>
    <w:basedOn w:val="Standard"/>
    <w:next w:val="Standard"/>
    <w:uiPriority w:val="99"/>
    <w:rsid w:val="00304F2B"/>
    <w:pPr>
      <w:spacing w:before="480" w:line="360" w:lineRule="auto"/>
      <w:ind w:firstLine="0"/>
    </w:pPr>
    <w:rPr>
      <w:rFonts w:eastAsia="Times New Roman" w:cs="Times New Roman"/>
      <w:b/>
      <w:bCs/>
    </w:rPr>
  </w:style>
  <w:style w:type="paragraph" w:styleId="Kopfzeile">
    <w:name w:val="header"/>
    <w:basedOn w:val="Standard"/>
    <w:link w:val="KopfzeileZchn"/>
    <w:rsid w:val="00E0487A"/>
    <w:pPr>
      <w:tabs>
        <w:tab w:val="center" w:pos="4320"/>
        <w:tab w:val="right" w:pos="8640"/>
      </w:tabs>
    </w:pPr>
    <w:rPr>
      <w:rFonts w:cs="Times New Roman"/>
      <w:lang w:val="x-none" w:eastAsia="x-none"/>
    </w:rPr>
  </w:style>
  <w:style w:type="character" w:customStyle="1" w:styleId="KopfzeileZchn">
    <w:name w:val="Kopfzeile Zchn"/>
    <w:link w:val="Kopfzeile"/>
    <w:rsid w:val="00E0487A"/>
    <w:rPr>
      <w:rFonts w:eastAsia="Cambria" w:cs="Cambria"/>
      <w:sz w:val="24"/>
      <w:szCs w:val="24"/>
    </w:rPr>
  </w:style>
  <w:style w:type="paragraph" w:styleId="Fuzeile">
    <w:name w:val="footer"/>
    <w:basedOn w:val="Standard"/>
    <w:link w:val="FuzeileZchn"/>
    <w:uiPriority w:val="99"/>
    <w:rsid w:val="00E0487A"/>
    <w:pPr>
      <w:tabs>
        <w:tab w:val="center" w:pos="4320"/>
        <w:tab w:val="right" w:pos="8640"/>
      </w:tabs>
    </w:pPr>
    <w:rPr>
      <w:rFonts w:cs="Times New Roman"/>
      <w:lang w:val="x-none" w:eastAsia="x-none"/>
    </w:rPr>
  </w:style>
  <w:style w:type="character" w:customStyle="1" w:styleId="FuzeileZchn">
    <w:name w:val="Fußzeile Zchn"/>
    <w:link w:val="Fuzeile"/>
    <w:uiPriority w:val="99"/>
    <w:rsid w:val="00E0487A"/>
    <w:rPr>
      <w:rFonts w:eastAsia="Cambria" w:cs="Cambria"/>
      <w:sz w:val="24"/>
      <w:szCs w:val="24"/>
    </w:rPr>
  </w:style>
  <w:style w:type="character" w:styleId="Hyperlink">
    <w:name w:val="Hyperlink"/>
    <w:uiPriority w:val="99"/>
    <w:rsid w:val="00DB0E44"/>
    <w:rPr>
      <w:color w:val="0000FF"/>
      <w:u w:val="single"/>
    </w:rPr>
  </w:style>
  <w:style w:type="character" w:customStyle="1" w:styleId="Funotenzeichen1">
    <w:name w:val="Fußnotenzeichen1"/>
    <w:rsid w:val="000663D4"/>
    <w:rPr>
      <w:color w:val="000000"/>
      <w:sz w:val="24"/>
      <w:vertAlign w:val="superscript"/>
    </w:rPr>
  </w:style>
  <w:style w:type="paragraph" w:customStyle="1" w:styleId="Funotentext1">
    <w:name w:val="Fußnotentext1"/>
    <w:link w:val="Funotentext1Zchn"/>
    <w:rsid w:val="0078516E"/>
    <w:pPr>
      <w:widowControl w:val="0"/>
      <w:suppressAutoHyphens/>
      <w:spacing w:line="480" w:lineRule="auto"/>
      <w:ind w:firstLine="709"/>
      <w:jc w:val="both"/>
    </w:pPr>
    <w:rPr>
      <w:rFonts w:eastAsia="ヒラギノ角ゴ Pro W3"/>
      <w:color w:val="000000"/>
      <w:sz w:val="24"/>
      <w:lang w:val="en-US"/>
    </w:rPr>
  </w:style>
  <w:style w:type="character" w:customStyle="1" w:styleId="FunotentextChar1Zchn1">
    <w:name w:val="Fußnotentext Char1 Zchn1"/>
    <w:aliases w:val="Fußnotentext Char Char Zchn1, Char Char Char Zchn1,Char Char Char Zchn1,Fußnotentext Char1 Char Zchn1, Char Char1 Char Zchn1,Char Char1 Char Zchn1, Char Char1 Zchn1,Char Char1 Zchn1,Fußnotentext Char2 Zchn1"/>
    <w:rsid w:val="00217E51"/>
    <w:rPr>
      <w:rFonts w:eastAsia="Cambria" w:cs="Cambria"/>
      <w:sz w:val="24"/>
      <w:szCs w:val="24"/>
    </w:rPr>
  </w:style>
  <w:style w:type="character" w:customStyle="1" w:styleId="FunotentextChar1Zchn">
    <w:name w:val="Fußnotentext Char1 Zchn"/>
    <w:aliases w:val="Fußnotentext Char Char Zchn, Char Char Char Zchn,Char Char Char Zchn,Fußnotentext Char1 Char Zchn, Char Char1 Char Zchn,Char Char1 Char Zchn, Char Char1 Zchn,Char Char1 Zchn,Fußnotentext Char2 Zchn, Char Char Char Char Zchn"/>
    <w:rsid w:val="00072098"/>
    <w:rPr>
      <w:rFonts w:eastAsia="Cambria" w:cs="Cambria"/>
      <w:sz w:val="24"/>
      <w:szCs w:val="24"/>
    </w:rPr>
  </w:style>
  <w:style w:type="character" w:customStyle="1" w:styleId="Funotentext1Zchn">
    <w:name w:val="Fußnotentext1 Zchn"/>
    <w:link w:val="Funotentext1"/>
    <w:rsid w:val="00E46A3B"/>
    <w:rPr>
      <w:rFonts w:eastAsia="ヒラギノ角ゴ Pro W3"/>
      <w:color w:val="000000"/>
      <w:sz w:val="24"/>
      <w:lang w:val="en-US" w:bidi="ar-SA"/>
    </w:rPr>
  </w:style>
  <w:style w:type="character" w:customStyle="1" w:styleId="BesuchterHyperlink">
    <w:name w:val="BesuchterHyperlink"/>
    <w:rsid w:val="006B015B"/>
    <w:rPr>
      <w:color w:val="606420"/>
      <w:u w:val="single"/>
    </w:rPr>
  </w:style>
  <w:style w:type="character" w:customStyle="1" w:styleId="FunotentextChar1Zchn2">
    <w:name w:val="Fußnotentext Char1 Zchn2"/>
    <w:aliases w:val="Fußnotentext Char Char Zchn2, Char Char Char Zchn2,Char Char Char Zchn2,Fußnotentext Char1 Char Zchn2, Char Char1 Char Zchn2,Char Char1 Char Zchn2, Char Char1 Zchn2,Char Char1 Zchn2,Fußnotentext Char2 Zchn2"/>
    <w:rsid w:val="00795B3B"/>
    <w:rPr>
      <w:rFonts w:eastAsia="Cambria" w:cs="Cambria"/>
      <w:sz w:val="24"/>
      <w:szCs w:val="24"/>
    </w:rPr>
  </w:style>
  <w:style w:type="paragraph" w:customStyle="1" w:styleId="FreeForm">
    <w:name w:val="Free Form"/>
    <w:link w:val="FreeFormZchn"/>
    <w:rsid w:val="00FB6FBB"/>
    <w:rPr>
      <w:rFonts w:eastAsia="ヒラギノ角ゴ Pro W3"/>
      <w:color w:val="000000"/>
      <w:lang w:val="en-US" w:eastAsia="en-US"/>
    </w:rPr>
  </w:style>
  <w:style w:type="character" w:customStyle="1" w:styleId="Funotenzeichen2">
    <w:name w:val="Fußnotenzeichen2"/>
    <w:rsid w:val="00FB6FBB"/>
    <w:rPr>
      <w:color w:val="000000"/>
      <w:sz w:val="20"/>
      <w:vertAlign w:val="superscript"/>
    </w:rPr>
  </w:style>
  <w:style w:type="paragraph" w:customStyle="1" w:styleId="TextA">
    <w:name w:val="Text A"/>
    <w:rsid w:val="00622E0F"/>
    <w:rPr>
      <w:rFonts w:ascii="Helvetica" w:eastAsia="ヒラギノ角ゴ Pro W3" w:hAnsi="Helvetica"/>
      <w:color w:val="000000"/>
      <w:sz w:val="24"/>
      <w:lang w:eastAsia="en-US"/>
    </w:rPr>
  </w:style>
  <w:style w:type="paragraph" w:styleId="Textkrper-Erstzeileneinzug">
    <w:name w:val="Body Text First Indent"/>
    <w:basedOn w:val="Textkrper"/>
    <w:link w:val="Textkrper-ErstzeileneinzugZchn"/>
    <w:rsid w:val="007658D9"/>
    <w:pPr>
      <w:ind w:firstLine="210"/>
    </w:pPr>
  </w:style>
  <w:style w:type="paragraph" w:customStyle="1" w:styleId="Standard1">
    <w:name w:val="Standard1"/>
    <w:rsid w:val="007658D9"/>
    <w:pPr>
      <w:widowControl w:val="0"/>
      <w:suppressAutoHyphens/>
      <w:spacing w:line="480" w:lineRule="auto"/>
      <w:ind w:firstLine="709"/>
      <w:jc w:val="both"/>
    </w:pPr>
    <w:rPr>
      <w:rFonts w:eastAsia="ヒラギノ角ゴ Pro W3"/>
      <w:color w:val="000000"/>
      <w:sz w:val="24"/>
      <w:lang w:val="en-US" w:eastAsia="en-US"/>
    </w:rPr>
  </w:style>
  <w:style w:type="paragraph" w:customStyle="1" w:styleId="Standard2">
    <w:name w:val="Standard2"/>
    <w:rsid w:val="000C1E14"/>
    <w:pPr>
      <w:widowControl w:val="0"/>
      <w:suppressAutoHyphens/>
      <w:spacing w:line="480" w:lineRule="auto"/>
      <w:ind w:firstLine="709"/>
      <w:jc w:val="both"/>
    </w:pPr>
    <w:rPr>
      <w:rFonts w:eastAsia="ヒラギノ角ゴ Pro W3"/>
      <w:color w:val="000000"/>
      <w:sz w:val="24"/>
      <w:lang w:val="en-US" w:eastAsia="en-US"/>
    </w:rPr>
  </w:style>
  <w:style w:type="paragraph" w:styleId="Dokumentstruktur">
    <w:name w:val="Document Map"/>
    <w:basedOn w:val="Standard"/>
    <w:link w:val="DokumentstrukturZchn"/>
    <w:rsid w:val="00CC6B2B"/>
    <w:rPr>
      <w:rFonts w:ascii="Lucida Grande" w:hAnsi="Lucida Grande" w:cs="Times New Roman"/>
      <w:lang w:val="x-none" w:eastAsia="x-none"/>
    </w:rPr>
  </w:style>
  <w:style w:type="character" w:customStyle="1" w:styleId="DokumentstrukturZchn">
    <w:name w:val="Dokumentstruktur Zchn"/>
    <w:link w:val="Dokumentstruktur"/>
    <w:rsid w:val="00CC6B2B"/>
    <w:rPr>
      <w:rFonts w:ascii="Lucida Grande" w:eastAsia="Cambria" w:hAnsi="Lucida Grande" w:cs="Lucida Grande"/>
      <w:sz w:val="24"/>
      <w:szCs w:val="24"/>
    </w:rPr>
  </w:style>
  <w:style w:type="paragraph" w:customStyle="1" w:styleId="ColorfulShading-Accent31">
    <w:name w:val="Colorful Shading - Accent 31"/>
    <w:basedOn w:val="Standard"/>
    <w:uiPriority w:val="34"/>
    <w:rsid w:val="00BD56EE"/>
    <w:pPr>
      <w:widowControl/>
      <w:suppressAutoHyphens w:val="0"/>
      <w:spacing w:after="200" w:line="276" w:lineRule="auto"/>
      <w:ind w:left="720" w:firstLine="0"/>
      <w:contextualSpacing/>
      <w:jc w:val="left"/>
    </w:pPr>
    <w:rPr>
      <w:rFonts w:ascii="Calibri" w:eastAsia="Calibri" w:hAnsi="Calibri" w:cs="Times New Roman"/>
      <w:sz w:val="22"/>
      <w:szCs w:val="22"/>
    </w:rPr>
  </w:style>
  <w:style w:type="character" w:customStyle="1" w:styleId="FootnoteTextChar2">
    <w:name w:val="Footnote Text Char2"/>
    <w:aliases w:val="felix Char,Footnote Text Char1 Char,Fußnotentext Char1 Char1 Char,Fußnotentext Char Char Char1 Char,Char Char Char Char1 Char,Char Char Char Char Char,Fußnotentext Char1 Char Char Char,Char Char1 Char Char Char,Char Char1 Char1 Char"/>
    <w:uiPriority w:val="99"/>
    <w:rsid w:val="00612DE0"/>
    <w:rPr>
      <w:rFonts w:eastAsia="Cambria" w:cs="Cambria"/>
      <w:sz w:val="24"/>
      <w:szCs w:val="24"/>
      <w:lang w:val="en-US" w:bidi="ar-SA"/>
    </w:rPr>
  </w:style>
  <w:style w:type="paragraph" w:customStyle="1" w:styleId="MediumList2-Accent21">
    <w:name w:val="Medium List 2 - Accent 21"/>
    <w:hidden/>
    <w:uiPriority w:val="71"/>
    <w:rsid w:val="002752EF"/>
    <w:rPr>
      <w:rFonts w:eastAsia="Cambria" w:cs="Cambria"/>
      <w:sz w:val="24"/>
      <w:szCs w:val="24"/>
      <w:lang w:val="en-US" w:eastAsia="en-US"/>
    </w:rPr>
  </w:style>
  <w:style w:type="paragraph" w:customStyle="1" w:styleId="MediumGrid1-Accent21">
    <w:name w:val="Medium Grid 1 - Accent 21"/>
    <w:basedOn w:val="Standard"/>
    <w:uiPriority w:val="34"/>
    <w:rsid w:val="002D280C"/>
    <w:pPr>
      <w:widowControl/>
      <w:suppressAutoHyphens w:val="0"/>
      <w:spacing w:after="200" w:line="276" w:lineRule="auto"/>
      <w:ind w:left="720" w:firstLine="0"/>
      <w:contextualSpacing/>
      <w:jc w:val="left"/>
    </w:pPr>
    <w:rPr>
      <w:rFonts w:ascii="Calibri" w:eastAsia="Calibri" w:hAnsi="Calibri" w:cs="Times New Roman"/>
      <w:sz w:val="22"/>
      <w:szCs w:val="22"/>
    </w:rPr>
  </w:style>
  <w:style w:type="paragraph" w:customStyle="1" w:styleId="Ober-berschrift">
    <w:name w:val="Ober-Überschrift"/>
    <w:basedOn w:val="berschrift1"/>
    <w:qFormat/>
    <w:rsid w:val="009E1E24"/>
    <w:pPr>
      <w:numPr>
        <w:numId w:val="0"/>
      </w:numPr>
      <w:pBdr>
        <w:bottom w:val="single" w:sz="4" w:space="6" w:color="auto"/>
      </w:pBdr>
      <w:spacing w:after="480"/>
      <w:jc w:val="center"/>
    </w:pPr>
    <w:rPr>
      <w:smallCaps/>
      <w:u w:val="none"/>
    </w:rPr>
  </w:style>
  <w:style w:type="paragraph" w:customStyle="1" w:styleId="DarkList-Accent51">
    <w:name w:val="Dark List - Accent 51"/>
    <w:basedOn w:val="Standard"/>
    <w:uiPriority w:val="34"/>
    <w:rsid w:val="00946B3C"/>
    <w:pPr>
      <w:widowControl/>
      <w:suppressAutoHyphens w:val="0"/>
      <w:spacing w:after="240" w:line="360" w:lineRule="auto"/>
      <w:ind w:left="720" w:firstLine="0"/>
      <w:contextualSpacing/>
    </w:pPr>
    <w:rPr>
      <w:rFonts w:eastAsia="SimSun" w:cs="Times New Roman"/>
      <w:sz w:val="26"/>
      <w:szCs w:val="26"/>
      <w:lang w:val="en-GB" w:eastAsia="zh-CN"/>
    </w:rPr>
  </w:style>
  <w:style w:type="paragraph" w:customStyle="1" w:styleId="SchwacheHervorhebung1">
    <w:name w:val="Schwache Hervorhebung1"/>
    <w:basedOn w:val="Standard"/>
    <w:uiPriority w:val="34"/>
    <w:rsid w:val="005F31CB"/>
    <w:pPr>
      <w:widowControl/>
      <w:suppressAutoHyphens w:val="0"/>
      <w:spacing w:after="200" w:line="276" w:lineRule="auto"/>
      <w:ind w:left="720" w:firstLine="0"/>
      <w:contextualSpacing/>
      <w:jc w:val="left"/>
    </w:pPr>
    <w:rPr>
      <w:rFonts w:ascii="Calibri" w:eastAsia="Calibri" w:hAnsi="Calibri" w:cs="Times New Roman"/>
      <w:sz w:val="22"/>
      <w:szCs w:val="22"/>
    </w:rPr>
  </w:style>
  <w:style w:type="numbering" w:customStyle="1" w:styleId="Formatvorlage1">
    <w:name w:val="Formatvorlage1"/>
    <w:uiPriority w:val="99"/>
    <w:rsid w:val="00864418"/>
    <w:pPr>
      <w:numPr>
        <w:numId w:val="3"/>
      </w:numPr>
    </w:pPr>
  </w:style>
  <w:style w:type="paragraph" w:customStyle="1" w:styleId="MittlereListe1-Akzent62">
    <w:name w:val="Mittlere Liste 1 - Akzent 62"/>
    <w:basedOn w:val="Standard"/>
    <w:uiPriority w:val="34"/>
    <w:rsid w:val="00864418"/>
    <w:pPr>
      <w:widowControl/>
      <w:suppressAutoHyphens w:val="0"/>
      <w:spacing w:after="200" w:line="276" w:lineRule="auto"/>
      <w:ind w:left="720" w:firstLine="0"/>
      <w:contextualSpacing/>
      <w:jc w:val="left"/>
    </w:pPr>
    <w:rPr>
      <w:rFonts w:ascii="Calibri" w:eastAsia="Calibri" w:hAnsi="Calibri" w:cs="Times New Roman"/>
      <w:sz w:val="22"/>
      <w:szCs w:val="22"/>
    </w:rPr>
  </w:style>
  <w:style w:type="character" w:customStyle="1" w:styleId="bibitem-not-in-afw">
    <w:name w:val="bibitem-not-in-afw"/>
    <w:rsid w:val="00864418"/>
  </w:style>
  <w:style w:type="character" w:customStyle="1" w:styleId="itemtitle">
    <w:name w:val="itemtitle"/>
    <w:rsid w:val="00864418"/>
  </w:style>
  <w:style w:type="paragraph" w:customStyle="1" w:styleId="MittlereSchattierung2-Akzent61">
    <w:name w:val="Mittlere Schattierung 2 - Akzent 61"/>
    <w:hidden/>
    <w:uiPriority w:val="99"/>
    <w:semiHidden/>
    <w:rsid w:val="00864418"/>
    <w:rPr>
      <w:rFonts w:eastAsia="Cambria" w:cs="Cambria"/>
      <w:sz w:val="24"/>
      <w:szCs w:val="24"/>
      <w:lang w:val="en-US" w:eastAsia="en-US"/>
    </w:rPr>
  </w:style>
  <w:style w:type="character" w:styleId="HTMLZitat">
    <w:name w:val="HTML Cite"/>
    <w:uiPriority w:val="99"/>
    <w:unhideWhenUsed/>
    <w:rsid w:val="00507FEB"/>
    <w:rPr>
      <w:i/>
      <w:iCs/>
    </w:rPr>
  </w:style>
  <w:style w:type="paragraph" w:customStyle="1" w:styleId="Memo">
    <w:name w:val="Memo"/>
    <w:basedOn w:val="Standard"/>
    <w:qFormat/>
    <w:rsid w:val="00151E05"/>
    <w:pPr>
      <w:spacing w:line="360" w:lineRule="auto"/>
      <w:ind w:firstLine="284"/>
    </w:pPr>
  </w:style>
  <w:style w:type="paragraph" w:styleId="Titel">
    <w:name w:val="Title"/>
    <w:basedOn w:val="Standard"/>
    <w:next w:val="Standard"/>
    <w:link w:val="TitelZchn"/>
    <w:rsid w:val="0055417F"/>
    <w:pPr>
      <w:spacing w:before="240" w:after="60"/>
      <w:jc w:val="center"/>
      <w:outlineLvl w:val="0"/>
    </w:pPr>
    <w:rPr>
      <w:rFonts w:ascii="Cambria" w:eastAsia="Times New Roman" w:hAnsi="Cambria" w:cs="Times New Roman"/>
      <w:b/>
      <w:bCs/>
      <w:kern w:val="28"/>
      <w:sz w:val="32"/>
      <w:szCs w:val="32"/>
    </w:rPr>
  </w:style>
  <w:style w:type="character" w:customStyle="1" w:styleId="TitelZchn">
    <w:name w:val="Titel Zchn"/>
    <w:link w:val="Titel"/>
    <w:rsid w:val="0055417F"/>
    <w:rPr>
      <w:rFonts w:ascii="Cambria" w:eastAsia="Times New Roman" w:hAnsi="Cambria" w:cs="Times New Roman"/>
      <w:b/>
      <w:bCs/>
      <w:kern w:val="28"/>
      <w:sz w:val="32"/>
      <w:szCs w:val="32"/>
    </w:rPr>
  </w:style>
  <w:style w:type="character" w:customStyle="1" w:styleId="Textkrper-ErstzeileneinzugZchn">
    <w:name w:val="Textkörper-Erstzeileneinzug Zchn"/>
    <w:link w:val="Textkrper-Erstzeileneinzug"/>
    <w:rsid w:val="00AA0C63"/>
    <w:rPr>
      <w:rFonts w:ascii="Cambria" w:eastAsia="Cambria" w:hAnsi="Cambria"/>
      <w:sz w:val="24"/>
      <w:szCs w:val="24"/>
      <w:lang w:val="x-none" w:eastAsia="x-none"/>
    </w:rPr>
  </w:style>
  <w:style w:type="character" w:customStyle="1" w:styleId="csshit">
    <w:name w:val="csshit"/>
    <w:rsid w:val="00AA0C63"/>
  </w:style>
  <w:style w:type="character" w:customStyle="1" w:styleId="s6b621b36">
    <w:name w:val="s6b621b36"/>
    <w:rsid w:val="00AA0C63"/>
  </w:style>
  <w:style w:type="character" w:customStyle="1" w:styleId="Verzeichnis6Zchn">
    <w:name w:val="Verzeichnis 6 Zchn"/>
    <w:link w:val="Verzeichnis6"/>
    <w:uiPriority w:val="39"/>
    <w:rsid w:val="00AA0C63"/>
    <w:rPr>
      <w:rFonts w:eastAsia="Cambria" w:cs="Cambria"/>
      <w:sz w:val="24"/>
      <w:szCs w:val="24"/>
      <w:lang w:val="en-US" w:eastAsia="en-US"/>
    </w:rPr>
  </w:style>
  <w:style w:type="character" w:customStyle="1" w:styleId="Verzeichnis7Zchn">
    <w:name w:val="Verzeichnis 7 Zchn"/>
    <w:link w:val="Verzeichnis7"/>
    <w:uiPriority w:val="39"/>
    <w:rsid w:val="00AA0C63"/>
    <w:rPr>
      <w:rFonts w:eastAsia="Cambria" w:cs="Cambria"/>
      <w:sz w:val="24"/>
      <w:szCs w:val="24"/>
      <w:lang w:val="en-US" w:eastAsia="en-US"/>
    </w:rPr>
  </w:style>
  <w:style w:type="character" w:customStyle="1" w:styleId="FootnoteTextChar1Zchn">
    <w:name w:val="Footnote Text Char1 Zchn"/>
    <w:aliases w:val="Fußnotentext Char1 Char1 Zchn,Fußnotentext Char Char Char1 Zchn,Char Char Char Char1 Zchn,Char Char Char Char Zchn1,Fußnotentext Char1 Char Char Zchn,Char Char1 Char Char Zchn,Char Char1 Char1 Zchn,Fußnotentext Char2 Char Zchn"/>
    <w:locked/>
    <w:rsid w:val="00AA0C63"/>
    <w:rPr>
      <w:rFonts w:cs="Times New Roman"/>
    </w:rPr>
  </w:style>
  <w:style w:type="paragraph" w:customStyle="1" w:styleId="Default">
    <w:name w:val="Default"/>
    <w:rsid w:val="00AA0C63"/>
    <w:pPr>
      <w:autoSpaceDE w:val="0"/>
      <w:autoSpaceDN w:val="0"/>
      <w:adjustRightInd w:val="0"/>
    </w:pPr>
    <w:rPr>
      <w:rFonts w:ascii="Arial" w:hAnsi="Arial" w:cs="Arial"/>
      <w:color w:val="000000"/>
      <w:sz w:val="24"/>
      <w:szCs w:val="24"/>
      <w:lang w:val="en-US" w:eastAsia="en-US"/>
    </w:rPr>
  </w:style>
  <w:style w:type="character" w:customStyle="1" w:styleId="FreeFormZchn">
    <w:name w:val="Free Form Zchn"/>
    <w:link w:val="FreeForm"/>
    <w:rsid w:val="00AA0C63"/>
    <w:rPr>
      <w:rFonts w:eastAsia="ヒラギノ角ゴ Pro W3"/>
      <w:color w:val="000000"/>
      <w:lang w:val="en-US" w:eastAsia="en-US"/>
    </w:rPr>
  </w:style>
  <w:style w:type="character" w:styleId="Hervorhebung">
    <w:name w:val="Emphasis"/>
    <w:uiPriority w:val="20"/>
    <w:rsid w:val="00AA0C63"/>
    <w:rPr>
      <w:i/>
      <w:iCs/>
    </w:rPr>
  </w:style>
  <w:style w:type="paragraph" w:styleId="StandardWeb">
    <w:name w:val="Normal (Web)"/>
    <w:basedOn w:val="Standard"/>
    <w:uiPriority w:val="99"/>
    <w:unhideWhenUsed/>
    <w:rsid w:val="00375ECB"/>
    <w:pPr>
      <w:widowControl/>
      <w:suppressAutoHyphens w:val="0"/>
      <w:spacing w:before="100" w:beforeAutospacing="1" w:after="100" w:afterAutospacing="1" w:line="240" w:lineRule="auto"/>
      <w:ind w:firstLine="0"/>
      <w:jc w:val="left"/>
    </w:pPr>
    <w:rPr>
      <w:rFonts w:ascii="Verdana" w:eastAsia="Times New Roman" w:hAnsi="Verdana" w:cs="Times New Roman"/>
      <w:color w:val="555555"/>
      <w:sz w:val="17"/>
      <w:szCs w:val="17"/>
      <w:lang w:val="en-GB" w:eastAsia="en-GB"/>
    </w:rPr>
  </w:style>
  <w:style w:type="paragraph" w:customStyle="1" w:styleId="Exzerpte-Absatz">
    <w:name w:val="Exzerpte-Absatz"/>
    <w:basedOn w:val="Standard"/>
    <w:rsid w:val="00673344"/>
    <w:pPr>
      <w:widowControl/>
      <w:suppressAutoHyphens w:val="0"/>
      <w:spacing w:after="60" w:line="288" w:lineRule="auto"/>
      <w:ind w:firstLine="340"/>
    </w:pPr>
    <w:rPr>
      <w:rFonts w:ascii="Garamond" w:hAnsi="Garamond" w:cs="Times New Roman"/>
      <w:szCs w:val="48"/>
      <w:lang w:val="en-GB"/>
    </w:rPr>
  </w:style>
  <w:style w:type="paragraph" w:customStyle="1" w:styleId="Exzerpte-4a">
    <w:name w:val="Exzerpte-Ü4a"/>
    <w:basedOn w:val="Standard"/>
    <w:next w:val="Exzerpte-Absatz"/>
    <w:rsid w:val="009F157F"/>
    <w:pPr>
      <w:keepNext/>
      <w:widowControl/>
      <w:numPr>
        <w:numId w:val="7"/>
      </w:numPr>
      <w:tabs>
        <w:tab w:val="num" w:pos="360"/>
      </w:tabs>
      <w:suppressAutoHyphens w:val="0"/>
      <w:spacing w:before="240" w:after="120" w:line="288" w:lineRule="auto"/>
      <w:ind w:left="720" w:hanging="360"/>
      <w:jc w:val="left"/>
      <w:outlineLvl w:val="3"/>
    </w:pPr>
    <w:rPr>
      <w:rFonts w:ascii="Garamond" w:hAnsi="Garamond" w:cs="Times New Roman"/>
      <w:caps/>
      <w:sz w:val="28"/>
      <w:szCs w:val="48"/>
      <w:lang w:val="en-GB" w:eastAsia="fr-FR"/>
    </w:rPr>
  </w:style>
  <w:style w:type="paragraph" w:customStyle="1" w:styleId="Exzerpte-4">
    <w:name w:val="Exzerpte-Ü4"/>
    <w:basedOn w:val="Standard"/>
    <w:next w:val="Exzerpte-Absatz"/>
    <w:rsid w:val="009F157F"/>
    <w:pPr>
      <w:keepNext/>
      <w:widowControl/>
      <w:numPr>
        <w:numId w:val="8"/>
      </w:numPr>
      <w:suppressAutoHyphens w:val="0"/>
      <w:spacing w:before="240" w:after="120" w:line="288" w:lineRule="auto"/>
      <w:ind w:firstLine="0"/>
      <w:jc w:val="center"/>
      <w:outlineLvl w:val="3"/>
    </w:pPr>
    <w:rPr>
      <w:rFonts w:ascii="Garamond" w:hAnsi="Garamond" w:cs="Times New Roman"/>
      <w:caps/>
      <w:sz w:val="28"/>
      <w:szCs w:val="48"/>
      <w:lang w:val="en-GB" w:eastAsia="fr-FR"/>
    </w:rPr>
  </w:style>
  <w:style w:type="paragraph" w:customStyle="1" w:styleId="Exzerpte-5">
    <w:name w:val="Exzerpte-Ü5"/>
    <w:basedOn w:val="Exzerpte-4a"/>
    <w:next w:val="Exzerpte-Absatz"/>
    <w:rsid w:val="009F157F"/>
    <w:pPr>
      <w:numPr>
        <w:numId w:val="9"/>
      </w:numPr>
      <w:tabs>
        <w:tab w:val="num" w:pos="360"/>
        <w:tab w:val="num" w:pos="964"/>
      </w:tabs>
      <w:ind w:left="502" w:hanging="607"/>
      <w:outlineLvl w:val="4"/>
    </w:pPr>
    <w:rPr>
      <w:i/>
      <w:caps w:val="0"/>
      <w:smallCaps/>
    </w:rPr>
  </w:style>
  <w:style w:type="paragraph" w:customStyle="1" w:styleId="Exzerpte-6">
    <w:name w:val="Exzerpte-Ü6"/>
    <w:basedOn w:val="Exzerpte-5"/>
    <w:next w:val="Exzerpte-Absatz"/>
    <w:rsid w:val="000521BD"/>
    <w:pPr>
      <w:numPr>
        <w:numId w:val="11"/>
      </w:numPr>
      <w:tabs>
        <w:tab w:val="num" w:pos="360"/>
        <w:tab w:val="num" w:pos="964"/>
      </w:tabs>
      <w:ind w:hanging="360"/>
      <w:outlineLvl w:val="5"/>
    </w:pPr>
    <w:rPr>
      <w:smallCaps w:val="0"/>
      <w:sz w:val="24"/>
    </w:rPr>
  </w:style>
  <w:style w:type="paragraph" w:customStyle="1" w:styleId="Exzerpte-7">
    <w:name w:val="Exzerpte-Ü7"/>
    <w:basedOn w:val="Exzerpte-6"/>
    <w:next w:val="Exzerpte-Absatz"/>
    <w:rsid w:val="000521BD"/>
    <w:pPr>
      <w:numPr>
        <w:numId w:val="10"/>
      </w:numPr>
      <w:tabs>
        <w:tab w:val="num" w:pos="360"/>
        <w:tab w:val="num" w:pos="964"/>
      </w:tabs>
    </w:pPr>
    <w:rPr>
      <w:i w:val="0"/>
    </w:rPr>
  </w:style>
  <w:style w:type="paragraph" w:customStyle="1" w:styleId="HelleListe-Akzent51">
    <w:name w:val="Helle Liste - Akzent 51"/>
    <w:basedOn w:val="Standard"/>
    <w:uiPriority w:val="34"/>
    <w:rsid w:val="00E0493E"/>
    <w:pPr>
      <w:ind w:left="720"/>
    </w:pPr>
  </w:style>
  <w:style w:type="paragraph" w:customStyle="1" w:styleId="FarbigeSchattierung-Akzent31">
    <w:name w:val="Farbige Schattierung - Akzent 31"/>
    <w:basedOn w:val="Standard"/>
    <w:uiPriority w:val="34"/>
    <w:rsid w:val="0070013D"/>
    <w:pPr>
      <w:ind w:left="720"/>
    </w:pPr>
  </w:style>
  <w:style w:type="character" w:customStyle="1" w:styleId="outputecli">
    <w:name w:val="outputecli"/>
    <w:rsid w:val="001158B8"/>
  </w:style>
  <w:style w:type="table" w:styleId="Tabellenraster">
    <w:name w:val="Table Grid"/>
    <w:basedOn w:val="NormaleTabelle"/>
    <w:uiPriority w:val="59"/>
    <w:rsid w:val="00B37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teraturverzeichnis">
    <w:name w:val="Bibliography"/>
    <w:basedOn w:val="Standard"/>
    <w:next w:val="Standard"/>
    <w:uiPriority w:val="37"/>
    <w:unhideWhenUsed/>
    <w:rsid w:val="000A1401"/>
  </w:style>
  <w:style w:type="character" w:customStyle="1" w:styleId="outputecliaff">
    <w:name w:val="outputecliaff"/>
    <w:rsid w:val="00F22090"/>
  </w:style>
  <w:style w:type="character" w:customStyle="1" w:styleId="odstitle">
    <w:name w:val="odstitle"/>
    <w:rsid w:val="00F22090"/>
  </w:style>
  <w:style w:type="character" w:customStyle="1" w:styleId="Hyperlink11">
    <w:name w:val="Hyperlink.11"/>
    <w:rsid w:val="0090423C"/>
    <w:rPr>
      <w:lang w:val="en-US"/>
    </w:rPr>
  </w:style>
  <w:style w:type="numbering" w:customStyle="1" w:styleId="ImportedStyle13">
    <w:name w:val="Imported Style 13"/>
    <w:rsid w:val="00462FFF"/>
    <w:pPr>
      <w:numPr>
        <w:numId w:val="12"/>
      </w:numPr>
    </w:pPr>
  </w:style>
  <w:style w:type="paragraph" w:customStyle="1" w:styleId="FarbigeListe-Akzent11">
    <w:name w:val="Farbige Liste - Akzent 11"/>
    <w:basedOn w:val="Standard"/>
    <w:uiPriority w:val="34"/>
    <w:rsid w:val="00860E42"/>
    <w:pPr>
      <w:widowControl/>
      <w:suppressAutoHyphens w:val="0"/>
      <w:spacing w:after="200" w:line="276" w:lineRule="auto"/>
      <w:ind w:left="720" w:firstLine="0"/>
      <w:contextualSpacing/>
      <w:jc w:val="left"/>
    </w:pPr>
    <w:rPr>
      <w:rFonts w:ascii="Calibri" w:eastAsia="Calibri" w:hAnsi="Calibri" w:cs="Times New Roman"/>
      <w:sz w:val="22"/>
      <w:szCs w:val="22"/>
    </w:rPr>
  </w:style>
  <w:style w:type="character" w:customStyle="1" w:styleId="intro">
    <w:name w:val="intro"/>
    <w:rsid w:val="00E17B99"/>
  </w:style>
  <w:style w:type="table" w:customStyle="1" w:styleId="TableNormal">
    <w:name w:val="Table Normal"/>
    <w:rsid w:val="007B5ED9"/>
    <w:pPr>
      <w:pBdr>
        <w:top w:val="nil"/>
        <w:left w:val="nil"/>
        <w:bottom w:val="nil"/>
        <w:right w:val="nil"/>
        <w:between w:val="nil"/>
        <w:bar w:val="nil"/>
      </w:pBdr>
    </w:pPr>
    <w:rPr>
      <w:rFonts w:eastAsia="Arial Unicode MS"/>
      <w:bdr w:val="nil"/>
      <w:lang w:val="en-US" w:eastAsia="en-US"/>
    </w:rPr>
    <w:tblPr>
      <w:tblInd w:w="0" w:type="dxa"/>
      <w:tblCellMar>
        <w:top w:w="0" w:type="dxa"/>
        <w:left w:w="0" w:type="dxa"/>
        <w:bottom w:w="0" w:type="dxa"/>
        <w:right w:w="0" w:type="dxa"/>
      </w:tblCellMar>
    </w:tblPr>
  </w:style>
  <w:style w:type="paragraph" w:customStyle="1" w:styleId="Kopf-undFuzeilen">
    <w:name w:val="Kopf- und Fußzeilen"/>
    <w:rsid w:val="007B5ED9"/>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lang w:val="en-US" w:eastAsia="en-US"/>
    </w:rPr>
  </w:style>
  <w:style w:type="paragraph" w:customStyle="1" w:styleId="Kopf-undFuzeilenA">
    <w:name w:val="Kopf- und Fußzeilen A"/>
    <w:rsid w:val="007B5ED9"/>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u w:color="000000"/>
      <w:bdr w:val="nil"/>
      <w:lang w:val="en-US" w:eastAsia="en-US"/>
    </w:rPr>
  </w:style>
  <w:style w:type="numbering" w:customStyle="1" w:styleId="Harvard">
    <w:name w:val="Harvard"/>
    <w:rsid w:val="007B5ED9"/>
    <w:pPr>
      <w:numPr>
        <w:numId w:val="13"/>
      </w:numPr>
    </w:pPr>
  </w:style>
  <w:style w:type="paragraph" w:customStyle="1" w:styleId="Funote">
    <w:name w:val="Fußnote"/>
    <w:link w:val="FunoteZchn"/>
    <w:rsid w:val="00885B9E"/>
    <w:pPr>
      <w:pBdr>
        <w:top w:val="nil"/>
        <w:left w:val="nil"/>
        <w:bottom w:val="nil"/>
        <w:right w:val="nil"/>
        <w:between w:val="nil"/>
        <w:bar w:val="nil"/>
      </w:pBdr>
      <w:spacing w:before="120" w:after="120"/>
    </w:pPr>
    <w:rPr>
      <w:rFonts w:eastAsia="Helvetica" w:cs="Helvetica"/>
      <w:color w:val="000000"/>
      <w:sz w:val="24"/>
      <w:szCs w:val="22"/>
      <w:bdr w:val="nil"/>
      <w:lang w:val="en-US" w:eastAsia="en-US"/>
    </w:rPr>
  </w:style>
  <w:style w:type="paragraph" w:customStyle="1" w:styleId="FunoteA">
    <w:name w:val="Fußnote A"/>
    <w:rsid w:val="007B5ED9"/>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rPr>
  </w:style>
  <w:style w:type="numbering" w:customStyle="1" w:styleId="Nummeriert">
    <w:name w:val="Nummeriert"/>
    <w:rsid w:val="007B5ED9"/>
    <w:pPr>
      <w:numPr>
        <w:numId w:val="14"/>
      </w:numPr>
    </w:pPr>
  </w:style>
  <w:style w:type="numbering" w:customStyle="1" w:styleId="Nummeriert0">
    <w:name w:val="Nummeriert.0"/>
    <w:rsid w:val="007B5ED9"/>
    <w:pPr>
      <w:numPr>
        <w:numId w:val="15"/>
      </w:numPr>
    </w:pPr>
  </w:style>
  <w:style w:type="numbering" w:customStyle="1" w:styleId="Nummeriert1">
    <w:name w:val="Nummeriert.1"/>
    <w:rsid w:val="007B5ED9"/>
    <w:pPr>
      <w:numPr>
        <w:numId w:val="16"/>
      </w:numPr>
    </w:pPr>
  </w:style>
  <w:style w:type="character" w:customStyle="1" w:styleId="Hyperlink0">
    <w:name w:val="Hyperlink.0"/>
    <w:rsid w:val="007B5ED9"/>
  </w:style>
  <w:style w:type="character" w:customStyle="1" w:styleId="Hyperlink1">
    <w:name w:val="Hyperlink.1"/>
    <w:rsid w:val="007B5ED9"/>
  </w:style>
  <w:style w:type="character" w:customStyle="1" w:styleId="Hyperlink2">
    <w:name w:val="Hyperlink.2"/>
    <w:rsid w:val="007B5ED9"/>
  </w:style>
  <w:style w:type="character" w:customStyle="1" w:styleId="Hyperlink3">
    <w:name w:val="Hyperlink.3"/>
    <w:rsid w:val="007B5ED9"/>
  </w:style>
  <w:style w:type="paragraph" w:customStyle="1" w:styleId="Text">
    <w:name w:val="Text"/>
    <w:rsid w:val="007B5ED9"/>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Schwachhervorheb">
    <w:name w:val="Schwach hervorheb."/>
    <w:uiPriority w:val="19"/>
    <w:rsid w:val="00D37943"/>
    <w:rPr>
      <w:i/>
      <w:iCs/>
      <w:color w:val="808080"/>
    </w:rPr>
  </w:style>
  <w:style w:type="character" w:customStyle="1" w:styleId="notranslate">
    <w:name w:val="notranslate"/>
    <w:rsid w:val="00CE1B93"/>
  </w:style>
  <w:style w:type="character" w:customStyle="1" w:styleId="FunoteZchn">
    <w:name w:val="Fußnote Zchn"/>
    <w:link w:val="Funote"/>
    <w:rsid w:val="00885B9E"/>
    <w:rPr>
      <w:rFonts w:eastAsia="Helvetica" w:cs="Helvetica"/>
      <w:color w:val="000000"/>
      <w:sz w:val="24"/>
      <w:szCs w:val="22"/>
      <w:bdr w:val="nil"/>
    </w:rPr>
  </w:style>
  <w:style w:type="paragraph" w:styleId="Listenabsatz">
    <w:name w:val="List Paragraph"/>
    <w:basedOn w:val="Standard"/>
    <w:uiPriority w:val="34"/>
    <w:qFormat/>
    <w:rsid w:val="00BD68CD"/>
    <w:pPr>
      <w:widowControl/>
      <w:suppressAutoHyphens w:val="0"/>
      <w:spacing w:line="360" w:lineRule="auto"/>
      <w:ind w:left="720" w:firstLine="0"/>
      <w:contextualSpacing/>
      <w:jc w:val="left"/>
    </w:pPr>
    <w:rPr>
      <w:rFonts w:eastAsia="Helvetica" w:cs="Times New Roman"/>
      <w:u w:color="000000"/>
    </w:rPr>
  </w:style>
  <w:style w:type="character" w:styleId="NichtaufgelsteErwhnung">
    <w:name w:val="Unresolved Mention"/>
    <w:uiPriority w:val="99"/>
    <w:semiHidden/>
    <w:unhideWhenUsed/>
    <w:rsid w:val="00D21A5E"/>
    <w:rPr>
      <w:color w:val="605E5C"/>
      <w:shd w:val="clear" w:color="auto" w:fill="E1DFDD"/>
    </w:rPr>
  </w:style>
  <w:style w:type="paragraph" w:customStyle="1" w:styleId="MittlereListe1-Akzent61">
    <w:name w:val="Mittlere Liste 1 - Akzent 61"/>
    <w:basedOn w:val="Standard"/>
    <w:uiPriority w:val="34"/>
    <w:rsid w:val="00C12A10"/>
    <w:pPr>
      <w:widowControl/>
      <w:suppressAutoHyphens w:val="0"/>
      <w:spacing w:after="200" w:line="276" w:lineRule="auto"/>
      <w:ind w:left="720" w:firstLine="0"/>
      <w:contextualSpacing/>
      <w:jc w:val="left"/>
    </w:pPr>
    <w:rPr>
      <w:rFonts w:ascii="Calibri" w:eastAsia="Calibri" w:hAnsi="Calibri" w:cs="Times New Roman"/>
      <w:sz w:val="22"/>
      <w:szCs w:val="22"/>
    </w:rPr>
  </w:style>
  <w:style w:type="paragraph" w:customStyle="1" w:styleId="DunkleListe-Akzent51">
    <w:name w:val="Dunkle Liste - Akzent 51"/>
    <w:basedOn w:val="Standard"/>
    <w:uiPriority w:val="34"/>
    <w:rsid w:val="00C12A10"/>
    <w:pPr>
      <w:widowControl/>
      <w:suppressAutoHyphens w:val="0"/>
      <w:spacing w:after="200" w:line="276" w:lineRule="auto"/>
      <w:ind w:left="720" w:firstLine="0"/>
      <w:contextualSpacing/>
      <w:jc w:val="left"/>
    </w:pPr>
    <w:rPr>
      <w:rFonts w:ascii="Calibri" w:eastAsia="Calibri" w:hAnsi="Calibri" w:cs="Times New Roman"/>
      <w:sz w:val="22"/>
      <w:szCs w:val="22"/>
    </w:rPr>
  </w:style>
  <w:style w:type="paragraph" w:customStyle="1" w:styleId="MittleresRaster3-Akzent51">
    <w:name w:val="Mittleres Raster 3 - Akzent 51"/>
    <w:hidden/>
    <w:uiPriority w:val="99"/>
    <w:semiHidden/>
    <w:rsid w:val="00C12A10"/>
    <w:rPr>
      <w:rFonts w:eastAsia="Cambria" w:cs="Cambria"/>
      <w:sz w:val="24"/>
      <w:szCs w:val="24"/>
      <w:lang w:val="en-US" w:eastAsia="en-US"/>
    </w:rPr>
  </w:style>
  <w:style w:type="character" w:customStyle="1" w:styleId="ZchnZchn5">
    <w:name w:val="Zchn Zchn5"/>
    <w:locked/>
    <w:rsid w:val="00C12A10"/>
    <w:rPr>
      <w:rFonts w:ascii="Cambria" w:hAnsi="Cambria" w:cs="Cambria"/>
      <w:sz w:val="24"/>
      <w:szCs w:val="24"/>
      <w:lang w:val="x-none" w:eastAsia="ar-SA" w:bidi="ar-SA"/>
    </w:rPr>
  </w:style>
  <w:style w:type="paragraph" w:customStyle="1" w:styleId="MittlereListe2-Akzent41">
    <w:name w:val="Mittlere Liste 2 - Akzent 41"/>
    <w:basedOn w:val="Standard"/>
    <w:uiPriority w:val="34"/>
    <w:rsid w:val="00C12A10"/>
    <w:pPr>
      <w:ind w:left="720"/>
    </w:pPr>
  </w:style>
  <w:style w:type="paragraph" w:customStyle="1" w:styleId="HellesRaster-Akzent31">
    <w:name w:val="Helles Raster - Akzent 31"/>
    <w:basedOn w:val="Standard"/>
    <w:uiPriority w:val="34"/>
    <w:rsid w:val="00C12A10"/>
    <w:pPr>
      <w:ind w:left="720"/>
    </w:pPr>
  </w:style>
  <w:style w:type="numbering" w:customStyle="1" w:styleId="ImportedStyle131">
    <w:name w:val="Imported Style 131"/>
    <w:rsid w:val="00C12A10"/>
    <w:pPr>
      <w:numPr>
        <w:numId w:val="11"/>
      </w:numPr>
    </w:pPr>
  </w:style>
  <w:style w:type="paragraph" w:customStyle="1" w:styleId="HAText">
    <w:name w:val="HA Text"/>
    <w:basedOn w:val="Standard"/>
    <w:rsid w:val="00C12A10"/>
    <w:pPr>
      <w:widowControl/>
      <w:suppressAutoHyphens w:val="0"/>
      <w:spacing w:line="360" w:lineRule="auto"/>
      <w:ind w:firstLine="0"/>
    </w:pPr>
    <w:rPr>
      <w:rFonts w:eastAsia="Calibri" w:cs="Times New Roman"/>
      <w:lang w:val="de-DE"/>
    </w:rPr>
  </w:style>
  <w:style w:type="character" w:customStyle="1" w:styleId="None">
    <w:name w:val="None"/>
    <w:rsid w:val="00C12A10"/>
    <w:rPr>
      <w:lang w:val="en-US"/>
    </w:rPr>
  </w:style>
  <w:style w:type="paragraph" w:customStyle="1" w:styleId="HA3">
    <w:name w:val="HA Ü3"/>
    <w:basedOn w:val="Standard"/>
    <w:next w:val="HAText"/>
    <w:rsid w:val="00C12A10"/>
    <w:pPr>
      <w:widowControl/>
      <w:suppressAutoHyphens w:val="0"/>
      <w:spacing w:line="360" w:lineRule="auto"/>
      <w:ind w:firstLine="0"/>
      <w:outlineLvl w:val="2"/>
    </w:pPr>
    <w:rPr>
      <w:rFonts w:eastAsia="Calibri" w:cs="Times New Roman"/>
      <w:b/>
      <w:lang w:val="de-DE"/>
    </w:rPr>
  </w:style>
  <w:style w:type="paragraph" w:customStyle="1" w:styleId="HA4">
    <w:name w:val="HA Ü4"/>
    <w:basedOn w:val="HA3"/>
    <w:next w:val="HAText"/>
    <w:rsid w:val="00C12A10"/>
    <w:pPr>
      <w:outlineLvl w:val="3"/>
    </w:pPr>
  </w:style>
  <w:style w:type="paragraph" w:customStyle="1" w:styleId="HA2">
    <w:name w:val="HA Ü2"/>
    <w:basedOn w:val="HAText"/>
    <w:next w:val="HAText"/>
    <w:rsid w:val="00C12A10"/>
    <w:pPr>
      <w:outlineLvl w:val="1"/>
    </w:pPr>
    <w:rPr>
      <w:b/>
    </w:rPr>
  </w:style>
  <w:style w:type="character" w:styleId="Platzhaltertext">
    <w:name w:val="Placeholder Text"/>
    <w:uiPriority w:val="99"/>
    <w:semiHidden/>
    <w:rsid w:val="00C12A10"/>
    <w:rPr>
      <w:color w:val="808080"/>
    </w:rPr>
  </w:style>
  <w:style w:type="character" w:customStyle="1" w:styleId="value">
    <w:name w:val="value"/>
    <w:rsid w:val="00C12A10"/>
  </w:style>
  <w:style w:type="character" w:customStyle="1" w:styleId="eq0j8">
    <w:name w:val="eq0j8"/>
    <w:rsid w:val="00C12A10"/>
  </w:style>
  <w:style w:type="paragraph" w:styleId="Endnotentext">
    <w:name w:val="endnote text"/>
    <w:basedOn w:val="Standard"/>
    <w:link w:val="EndnotentextZchn"/>
    <w:rsid w:val="00C12A10"/>
    <w:pPr>
      <w:spacing w:line="240" w:lineRule="auto"/>
    </w:pPr>
    <w:rPr>
      <w:sz w:val="20"/>
      <w:szCs w:val="20"/>
    </w:rPr>
  </w:style>
  <w:style w:type="character" w:customStyle="1" w:styleId="EndnotentextZchn">
    <w:name w:val="Endnotentext Zchn"/>
    <w:link w:val="Endnotentext"/>
    <w:rsid w:val="00C12A10"/>
    <w:rPr>
      <w:rFonts w:eastAsia="Cambria" w:cs="Cambria"/>
      <w:lang w:val="en-US" w:eastAsia="en-US"/>
    </w:rPr>
  </w:style>
  <w:style w:type="character" w:customStyle="1" w:styleId="jlqj4b">
    <w:name w:val="jlqj4b"/>
    <w:rsid w:val="00C12A10"/>
  </w:style>
  <w:style w:type="paragraph" w:styleId="Liste2">
    <w:name w:val="List 2"/>
    <w:basedOn w:val="Standard"/>
    <w:unhideWhenUsed/>
    <w:rsid w:val="00C12A10"/>
    <w:pPr>
      <w:ind w:left="566" w:hanging="283"/>
      <w:contextualSpacing/>
    </w:pPr>
  </w:style>
  <w:style w:type="paragraph" w:styleId="berarbeitung">
    <w:name w:val="Revision"/>
    <w:hidden/>
    <w:uiPriority w:val="99"/>
    <w:rsid w:val="00C12A10"/>
    <w:rPr>
      <w:rFonts w:eastAsia="Cambria" w:cs="Cambria"/>
      <w:sz w:val="24"/>
      <w:szCs w:val="24"/>
      <w:lang w:val="en-US" w:eastAsia="en-US"/>
    </w:rPr>
  </w:style>
  <w:style w:type="paragraph" w:styleId="Inhaltsverzeichnisberschrift">
    <w:name w:val="TOC Heading"/>
    <w:basedOn w:val="berschrift1"/>
    <w:next w:val="Standard"/>
    <w:uiPriority w:val="39"/>
    <w:unhideWhenUsed/>
    <w:qFormat/>
    <w:rsid w:val="00C12A10"/>
    <w:pPr>
      <w:keepNext/>
      <w:numPr>
        <w:numId w:val="0"/>
      </w:numPr>
      <w:suppressAutoHyphens w:val="0"/>
      <w:spacing w:before="480" w:line="276" w:lineRule="auto"/>
      <w:jc w:val="left"/>
      <w:outlineLvl w:val="9"/>
    </w:pPr>
    <w:rPr>
      <w:rFonts w:ascii="Cambria" w:eastAsia="SimSun" w:hAnsi="Cambria"/>
      <w:smallCaps/>
      <w:color w:val="365F91"/>
      <w:kern w:val="0"/>
      <w:sz w:val="28"/>
      <w:szCs w:val="28"/>
      <w:u w:val="none"/>
      <w:lang w:val="de-DE" w:eastAsia="de-DE"/>
    </w:rPr>
  </w:style>
  <w:style w:type="character" w:customStyle="1" w:styleId="markedcontent">
    <w:name w:val="markedcontent"/>
    <w:rsid w:val="00C12A10"/>
  </w:style>
  <w:style w:type="character" w:customStyle="1" w:styleId="NichtaufgelsteErwhnung1">
    <w:name w:val="Nicht aufgelöste Erwähnung1"/>
    <w:uiPriority w:val="99"/>
    <w:semiHidden/>
    <w:unhideWhenUsed/>
    <w:rsid w:val="00C12A10"/>
    <w:rPr>
      <w:color w:val="605E5C"/>
      <w:shd w:val="clear" w:color="auto" w:fill="E1DFDD"/>
    </w:rPr>
  </w:style>
  <w:style w:type="character" w:customStyle="1" w:styleId="hi">
    <w:name w:val="hi"/>
    <w:rsid w:val="00C12A10"/>
  </w:style>
  <w:style w:type="paragraph" w:customStyle="1" w:styleId="LiteraturVZ">
    <w:name w:val="LiteraturVZ"/>
    <w:basedOn w:val="Standard"/>
    <w:rsid w:val="00CA18FF"/>
    <w:pPr>
      <w:tabs>
        <w:tab w:val="right" w:leader="dot" w:pos="8789"/>
      </w:tabs>
      <w:spacing w:line="360" w:lineRule="auto"/>
      <w:ind w:right="1134" w:firstLine="0"/>
      <w:contextualSpacing/>
    </w:pPr>
    <w:rPr>
      <w:rFonts w:cs="Times New Roman"/>
      <w:color w:val="000000"/>
    </w:rPr>
  </w:style>
  <w:style w:type="paragraph" w:styleId="Sprechblasentext">
    <w:name w:val="Balloon Text"/>
    <w:basedOn w:val="Standard"/>
    <w:link w:val="SprechblasentextZchn"/>
    <w:rsid w:val="009E1E2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9E1E24"/>
    <w:rPr>
      <w:rFonts w:ascii="Segoe UI" w:eastAsia="Cambria" w:hAnsi="Segoe UI" w:cs="Segoe UI"/>
      <w:sz w:val="18"/>
      <w:szCs w:val="18"/>
      <w:lang w:val="en-US" w:eastAsia="en-US"/>
    </w:rPr>
  </w:style>
  <w:style w:type="character" w:styleId="BesuchterLink">
    <w:name w:val="FollowedHyperlink"/>
    <w:basedOn w:val="Absatz-Standardschriftart"/>
    <w:rsid w:val="00F82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8990">
      <w:bodyDiv w:val="1"/>
      <w:marLeft w:val="0"/>
      <w:marRight w:val="0"/>
      <w:marTop w:val="0"/>
      <w:marBottom w:val="0"/>
      <w:divBdr>
        <w:top w:val="none" w:sz="0" w:space="0" w:color="auto"/>
        <w:left w:val="none" w:sz="0" w:space="0" w:color="auto"/>
        <w:bottom w:val="none" w:sz="0" w:space="0" w:color="auto"/>
        <w:right w:val="none" w:sz="0" w:space="0" w:color="auto"/>
      </w:divBdr>
    </w:div>
    <w:div w:id="36316762">
      <w:bodyDiv w:val="1"/>
      <w:marLeft w:val="0"/>
      <w:marRight w:val="0"/>
      <w:marTop w:val="0"/>
      <w:marBottom w:val="0"/>
      <w:divBdr>
        <w:top w:val="none" w:sz="0" w:space="0" w:color="auto"/>
        <w:left w:val="none" w:sz="0" w:space="0" w:color="auto"/>
        <w:bottom w:val="none" w:sz="0" w:space="0" w:color="auto"/>
        <w:right w:val="none" w:sz="0" w:space="0" w:color="auto"/>
      </w:divBdr>
    </w:div>
    <w:div w:id="37557576">
      <w:bodyDiv w:val="1"/>
      <w:marLeft w:val="0"/>
      <w:marRight w:val="0"/>
      <w:marTop w:val="0"/>
      <w:marBottom w:val="0"/>
      <w:divBdr>
        <w:top w:val="none" w:sz="0" w:space="0" w:color="auto"/>
        <w:left w:val="none" w:sz="0" w:space="0" w:color="auto"/>
        <w:bottom w:val="none" w:sz="0" w:space="0" w:color="auto"/>
        <w:right w:val="none" w:sz="0" w:space="0" w:color="auto"/>
      </w:divBdr>
    </w:div>
    <w:div w:id="86343131">
      <w:bodyDiv w:val="1"/>
      <w:marLeft w:val="0"/>
      <w:marRight w:val="0"/>
      <w:marTop w:val="0"/>
      <w:marBottom w:val="0"/>
      <w:divBdr>
        <w:top w:val="none" w:sz="0" w:space="0" w:color="auto"/>
        <w:left w:val="none" w:sz="0" w:space="0" w:color="auto"/>
        <w:bottom w:val="none" w:sz="0" w:space="0" w:color="auto"/>
        <w:right w:val="none" w:sz="0" w:space="0" w:color="auto"/>
      </w:divBdr>
    </w:div>
    <w:div w:id="87972034">
      <w:bodyDiv w:val="1"/>
      <w:marLeft w:val="0"/>
      <w:marRight w:val="0"/>
      <w:marTop w:val="0"/>
      <w:marBottom w:val="0"/>
      <w:divBdr>
        <w:top w:val="none" w:sz="0" w:space="0" w:color="auto"/>
        <w:left w:val="none" w:sz="0" w:space="0" w:color="auto"/>
        <w:bottom w:val="none" w:sz="0" w:space="0" w:color="auto"/>
        <w:right w:val="none" w:sz="0" w:space="0" w:color="auto"/>
      </w:divBdr>
    </w:div>
    <w:div w:id="93945038">
      <w:bodyDiv w:val="1"/>
      <w:marLeft w:val="0"/>
      <w:marRight w:val="0"/>
      <w:marTop w:val="0"/>
      <w:marBottom w:val="0"/>
      <w:divBdr>
        <w:top w:val="none" w:sz="0" w:space="0" w:color="auto"/>
        <w:left w:val="none" w:sz="0" w:space="0" w:color="auto"/>
        <w:bottom w:val="none" w:sz="0" w:space="0" w:color="auto"/>
        <w:right w:val="none" w:sz="0" w:space="0" w:color="auto"/>
      </w:divBdr>
    </w:div>
    <w:div w:id="95950923">
      <w:bodyDiv w:val="1"/>
      <w:marLeft w:val="0"/>
      <w:marRight w:val="0"/>
      <w:marTop w:val="0"/>
      <w:marBottom w:val="0"/>
      <w:divBdr>
        <w:top w:val="none" w:sz="0" w:space="0" w:color="auto"/>
        <w:left w:val="none" w:sz="0" w:space="0" w:color="auto"/>
        <w:bottom w:val="none" w:sz="0" w:space="0" w:color="auto"/>
        <w:right w:val="none" w:sz="0" w:space="0" w:color="auto"/>
      </w:divBdr>
    </w:div>
    <w:div w:id="138613805">
      <w:bodyDiv w:val="1"/>
      <w:marLeft w:val="0"/>
      <w:marRight w:val="0"/>
      <w:marTop w:val="0"/>
      <w:marBottom w:val="0"/>
      <w:divBdr>
        <w:top w:val="none" w:sz="0" w:space="0" w:color="auto"/>
        <w:left w:val="none" w:sz="0" w:space="0" w:color="auto"/>
        <w:bottom w:val="none" w:sz="0" w:space="0" w:color="auto"/>
        <w:right w:val="none" w:sz="0" w:space="0" w:color="auto"/>
      </w:divBdr>
    </w:div>
    <w:div w:id="156502686">
      <w:bodyDiv w:val="1"/>
      <w:marLeft w:val="0"/>
      <w:marRight w:val="0"/>
      <w:marTop w:val="0"/>
      <w:marBottom w:val="0"/>
      <w:divBdr>
        <w:top w:val="none" w:sz="0" w:space="0" w:color="auto"/>
        <w:left w:val="none" w:sz="0" w:space="0" w:color="auto"/>
        <w:bottom w:val="none" w:sz="0" w:space="0" w:color="auto"/>
        <w:right w:val="none" w:sz="0" w:space="0" w:color="auto"/>
      </w:divBdr>
    </w:div>
    <w:div w:id="168763114">
      <w:bodyDiv w:val="1"/>
      <w:marLeft w:val="0"/>
      <w:marRight w:val="0"/>
      <w:marTop w:val="0"/>
      <w:marBottom w:val="0"/>
      <w:divBdr>
        <w:top w:val="none" w:sz="0" w:space="0" w:color="auto"/>
        <w:left w:val="none" w:sz="0" w:space="0" w:color="auto"/>
        <w:bottom w:val="none" w:sz="0" w:space="0" w:color="auto"/>
        <w:right w:val="none" w:sz="0" w:space="0" w:color="auto"/>
      </w:divBdr>
    </w:div>
    <w:div w:id="174416889">
      <w:bodyDiv w:val="1"/>
      <w:marLeft w:val="0"/>
      <w:marRight w:val="0"/>
      <w:marTop w:val="0"/>
      <w:marBottom w:val="0"/>
      <w:divBdr>
        <w:top w:val="none" w:sz="0" w:space="0" w:color="auto"/>
        <w:left w:val="none" w:sz="0" w:space="0" w:color="auto"/>
        <w:bottom w:val="none" w:sz="0" w:space="0" w:color="auto"/>
        <w:right w:val="none" w:sz="0" w:space="0" w:color="auto"/>
      </w:divBdr>
    </w:div>
    <w:div w:id="204097765">
      <w:bodyDiv w:val="1"/>
      <w:marLeft w:val="0"/>
      <w:marRight w:val="0"/>
      <w:marTop w:val="0"/>
      <w:marBottom w:val="0"/>
      <w:divBdr>
        <w:top w:val="none" w:sz="0" w:space="0" w:color="auto"/>
        <w:left w:val="none" w:sz="0" w:space="0" w:color="auto"/>
        <w:bottom w:val="none" w:sz="0" w:space="0" w:color="auto"/>
        <w:right w:val="none" w:sz="0" w:space="0" w:color="auto"/>
      </w:divBdr>
    </w:div>
    <w:div w:id="214045401">
      <w:bodyDiv w:val="1"/>
      <w:marLeft w:val="0"/>
      <w:marRight w:val="0"/>
      <w:marTop w:val="0"/>
      <w:marBottom w:val="0"/>
      <w:divBdr>
        <w:top w:val="none" w:sz="0" w:space="0" w:color="auto"/>
        <w:left w:val="none" w:sz="0" w:space="0" w:color="auto"/>
        <w:bottom w:val="none" w:sz="0" w:space="0" w:color="auto"/>
        <w:right w:val="none" w:sz="0" w:space="0" w:color="auto"/>
      </w:divBdr>
    </w:div>
    <w:div w:id="239482145">
      <w:bodyDiv w:val="1"/>
      <w:marLeft w:val="0"/>
      <w:marRight w:val="0"/>
      <w:marTop w:val="0"/>
      <w:marBottom w:val="0"/>
      <w:divBdr>
        <w:top w:val="none" w:sz="0" w:space="0" w:color="auto"/>
        <w:left w:val="none" w:sz="0" w:space="0" w:color="auto"/>
        <w:bottom w:val="none" w:sz="0" w:space="0" w:color="auto"/>
        <w:right w:val="none" w:sz="0" w:space="0" w:color="auto"/>
      </w:divBdr>
      <w:divsChild>
        <w:div w:id="728574103">
          <w:marLeft w:val="0"/>
          <w:marRight w:val="0"/>
          <w:marTop w:val="0"/>
          <w:marBottom w:val="0"/>
          <w:divBdr>
            <w:top w:val="none" w:sz="0" w:space="0" w:color="auto"/>
            <w:left w:val="none" w:sz="0" w:space="0" w:color="auto"/>
            <w:bottom w:val="none" w:sz="0" w:space="0" w:color="auto"/>
            <w:right w:val="none" w:sz="0" w:space="0" w:color="auto"/>
          </w:divBdr>
        </w:div>
      </w:divsChild>
    </w:div>
    <w:div w:id="282079875">
      <w:bodyDiv w:val="1"/>
      <w:marLeft w:val="0"/>
      <w:marRight w:val="0"/>
      <w:marTop w:val="0"/>
      <w:marBottom w:val="0"/>
      <w:divBdr>
        <w:top w:val="none" w:sz="0" w:space="0" w:color="auto"/>
        <w:left w:val="none" w:sz="0" w:space="0" w:color="auto"/>
        <w:bottom w:val="none" w:sz="0" w:space="0" w:color="auto"/>
        <w:right w:val="none" w:sz="0" w:space="0" w:color="auto"/>
      </w:divBdr>
    </w:div>
    <w:div w:id="282930910">
      <w:bodyDiv w:val="1"/>
      <w:marLeft w:val="0"/>
      <w:marRight w:val="0"/>
      <w:marTop w:val="0"/>
      <w:marBottom w:val="0"/>
      <w:divBdr>
        <w:top w:val="none" w:sz="0" w:space="0" w:color="auto"/>
        <w:left w:val="none" w:sz="0" w:space="0" w:color="auto"/>
        <w:bottom w:val="none" w:sz="0" w:space="0" w:color="auto"/>
        <w:right w:val="none" w:sz="0" w:space="0" w:color="auto"/>
      </w:divBdr>
    </w:div>
    <w:div w:id="285241302">
      <w:bodyDiv w:val="1"/>
      <w:marLeft w:val="0"/>
      <w:marRight w:val="0"/>
      <w:marTop w:val="0"/>
      <w:marBottom w:val="0"/>
      <w:divBdr>
        <w:top w:val="none" w:sz="0" w:space="0" w:color="auto"/>
        <w:left w:val="none" w:sz="0" w:space="0" w:color="auto"/>
        <w:bottom w:val="none" w:sz="0" w:space="0" w:color="auto"/>
        <w:right w:val="none" w:sz="0" w:space="0" w:color="auto"/>
      </w:divBdr>
    </w:div>
    <w:div w:id="306595961">
      <w:bodyDiv w:val="1"/>
      <w:marLeft w:val="0"/>
      <w:marRight w:val="0"/>
      <w:marTop w:val="0"/>
      <w:marBottom w:val="0"/>
      <w:divBdr>
        <w:top w:val="none" w:sz="0" w:space="0" w:color="auto"/>
        <w:left w:val="none" w:sz="0" w:space="0" w:color="auto"/>
        <w:bottom w:val="none" w:sz="0" w:space="0" w:color="auto"/>
        <w:right w:val="none" w:sz="0" w:space="0" w:color="auto"/>
      </w:divBdr>
    </w:div>
    <w:div w:id="316686879">
      <w:bodyDiv w:val="1"/>
      <w:marLeft w:val="0"/>
      <w:marRight w:val="0"/>
      <w:marTop w:val="0"/>
      <w:marBottom w:val="0"/>
      <w:divBdr>
        <w:top w:val="none" w:sz="0" w:space="0" w:color="auto"/>
        <w:left w:val="none" w:sz="0" w:space="0" w:color="auto"/>
        <w:bottom w:val="none" w:sz="0" w:space="0" w:color="auto"/>
        <w:right w:val="none" w:sz="0" w:space="0" w:color="auto"/>
      </w:divBdr>
    </w:div>
    <w:div w:id="351876811">
      <w:bodyDiv w:val="1"/>
      <w:marLeft w:val="0"/>
      <w:marRight w:val="0"/>
      <w:marTop w:val="0"/>
      <w:marBottom w:val="0"/>
      <w:divBdr>
        <w:top w:val="none" w:sz="0" w:space="0" w:color="auto"/>
        <w:left w:val="none" w:sz="0" w:space="0" w:color="auto"/>
        <w:bottom w:val="none" w:sz="0" w:space="0" w:color="auto"/>
        <w:right w:val="none" w:sz="0" w:space="0" w:color="auto"/>
      </w:divBdr>
    </w:div>
    <w:div w:id="405494768">
      <w:bodyDiv w:val="1"/>
      <w:marLeft w:val="0"/>
      <w:marRight w:val="0"/>
      <w:marTop w:val="0"/>
      <w:marBottom w:val="0"/>
      <w:divBdr>
        <w:top w:val="none" w:sz="0" w:space="0" w:color="auto"/>
        <w:left w:val="none" w:sz="0" w:space="0" w:color="auto"/>
        <w:bottom w:val="none" w:sz="0" w:space="0" w:color="auto"/>
        <w:right w:val="none" w:sz="0" w:space="0" w:color="auto"/>
      </w:divBdr>
    </w:div>
    <w:div w:id="454756845">
      <w:bodyDiv w:val="1"/>
      <w:marLeft w:val="0"/>
      <w:marRight w:val="0"/>
      <w:marTop w:val="0"/>
      <w:marBottom w:val="0"/>
      <w:divBdr>
        <w:top w:val="none" w:sz="0" w:space="0" w:color="auto"/>
        <w:left w:val="none" w:sz="0" w:space="0" w:color="auto"/>
        <w:bottom w:val="none" w:sz="0" w:space="0" w:color="auto"/>
        <w:right w:val="none" w:sz="0" w:space="0" w:color="auto"/>
      </w:divBdr>
    </w:div>
    <w:div w:id="571086500">
      <w:bodyDiv w:val="1"/>
      <w:marLeft w:val="0"/>
      <w:marRight w:val="0"/>
      <w:marTop w:val="0"/>
      <w:marBottom w:val="0"/>
      <w:divBdr>
        <w:top w:val="none" w:sz="0" w:space="0" w:color="auto"/>
        <w:left w:val="none" w:sz="0" w:space="0" w:color="auto"/>
        <w:bottom w:val="none" w:sz="0" w:space="0" w:color="auto"/>
        <w:right w:val="none" w:sz="0" w:space="0" w:color="auto"/>
      </w:divBdr>
    </w:div>
    <w:div w:id="574167643">
      <w:bodyDiv w:val="1"/>
      <w:marLeft w:val="0"/>
      <w:marRight w:val="0"/>
      <w:marTop w:val="0"/>
      <w:marBottom w:val="0"/>
      <w:divBdr>
        <w:top w:val="none" w:sz="0" w:space="0" w:color="auto"/>
        <w:left w:val="none" w:sz="0" w:space="0" w:color="auto"/>
        <w:bottom w:val="none" w:sz="0" w:space="0" w:color="auto"/>
        <w:right w:val="none" w:sz="0" w:space="0" w:color="auto"/>
      </w:divBdr>
      <w:divsChild>
        <w:div w:id="235826935">
          <w:marLeft w:val="0"/>
          <w:marRight w:val="0"/>
          <w:marTop w:val="0"/>
          <w:marBottom w:val="0"/>
          <w:divBdr>
            <w:top w:val="none" w:sz="0" w:space="0" w:color="auto"/>
            <w:left w:val="none" w:sz="0" w:space="0" w:color="auto"/>
            <w:bottom w:val="none" w:sz="0" w:space="0" w:color="auto"/>
            <w:right w:val="none" w:sz="0" w:space="0" w:color="auto"/>
          </w:divBdr>
        </w:div>
        <w:div w:id="359474634">
          <w:marLeft w:val="0"/>
          <w:marRight w:val="0"/>
          <w:marTop w:val="0"/>
          <w:marBottom w:val="0"/>
          <w:divBdr>
            <w:top w:val="none" w:sz="0" w:space="0" w:color="auto"/>
            <w:left w:val="none" w:sz="0" w:space="0" w:color="auto"/>
            <w:bottom w:val="none" w:sz="0" w:space="0" w:color="auto"/>
            <w:right w:val="none" w:sz="0" w:space="0" w:color="auto"/>
          </w:divBdr>
        </w:div>
      </w:divsChild>
    </w:div>
    <w:div w:id="582566219">
      <w:bodyDiv w:val="1"/>
      <w:marLeft w:val="0"/>
      <w:marRight w:val="0"/>
      <w:marTop w:val="0"/>
      <w:marBottom w:val="0"/>
      <w:divBdr>
        <w:top w:val="none" w:sz="0" w:space="0" w:color="auto"/>
        <w:left w:val="none" w:sz="0" w:space="0" w:color="auto"/>
        <w:bottom w:val="none" w:sz="0" w:space="0" w:color="auto"/>
        <w:right w:val="none" w:sz="0" w:space="0" w:color="auto"/>
      </w:divBdr>
    </w:div>
    <w:div w:id="634027488">
      <w:bodyDiv w:val="1"/>
      <w:marLeft w:val="0"/>
      <w:marRight w:val="0"/>
      <w:marTop w:val="0"/>
      <w:marBottom w:val="0"/>
      <w:divBdr>
        <w:top w:val="none" w:sz="0" w:space="0" w:color="auto"/>
        <w:left w:val="none" w:sz="0" w:space="0" w:color="auto"/>
        <w:bottom w:val="none" w:sz="0" w:space="0" w:color="auto"/>
        <w:right w:val="none" w:sz="0" w:space="0" w:color="auto"/>
      </w:divBdr>
    </w:div>
    <w:div w:id="645740314">
      <w:bodyDiv w:val="1"/>
      <w:marLeft w:val="0"/>
      <w:marRight w:val="0"/>
      <w:marTop w:val="0"/>
      <w:marBottom w:val="0"/>
      <w:divBdr>
        <w:top w:val="none" w:sz="0" w:space="0" w:color="auto"/>
        <w:left w:val="none" w:sz="0" w:space="0" w:color="auto"/>
        <w:bottom w:val="none" w:sz="0" w:space="0" w:color="auto"/>
        <w:right w:val="none" w:sz="0" w:space="0" w:color="auto"/>
      </w:divBdr>
    </w:div>
    <w:div w:id="674183793">
      <w:bodyDiv w:val="1"/>
      <w:marLeft w:val="0"/>
      <w:marRight w:val="0"/>
      <w:marTop w:val="0"/>
      <w:marBottom w:val="0"/>
      <w:divBdr>
        <w:top w:val="none" w:sz="0" w:space="0" w:color="auto"/>
        <w:left w:val="none" w:sz="0" w:space="0" w:color="auto"/>
        <w:bottom w:val="none" w:sz="0" w:space="0" w:color="auto"/>
        <w:right w:val="none" w:sz="0" w:space="0" w:color="auto"/>
      </w:divBdr>
    </w:div>
    <w:div w:id="761148734">
      <w:bodyDiv w:val="1"/>
      <w:marLeft w:val="0"/>
      <w:marRight w:val="0"/>
      <w:marTop w:val="0"/>
      <w:marBottom w:val="0"/>
      <w:divBdr>
        <w:top w:val="none" w:sz="0" w:space="0" w:color="auto"/>
        <w:left w:val="none" w:sz="0" w:space="0" w:color="auto"/>
        <w:bottom w:val="none" w:sz="0" w:space="0" w:color="auto"/>
        <w:right w:val="none" w:sz="0" w:space="0" w:color="auto"/>
      </w:divBdr>
    </w:div>
    <w:div w:id="764498702">
      <w:bodyDiv w:val="1"/>
      <w:marLeft w:val="0"/>
      <w:marRight w:val="0"/>
      <w:marTop w:val="0"/>
      <w:marBottom w:val="0"/>
      <w:divBdr>
        <w:top w:val="none" w:sz="0" w:space="0" w:color="auto"/>
        <w:left w:val="none" w:sz="0" w:space="0" w:color="auto"/>
        <w:bottom w:val="none" w:sz="0" w:space="0" w:color="auto"/>
        <w:right w:val="none" w:sz="0" w:space="0" w:color="auto"/>
      </w:divBdr>
    </w:div>
    <w:div w:id="811555292">
      <w:bodyDiv w:val="1"/>
      <w:marLeft w:val="0"/>
      <w:marRight w:val="0"/>
      <w:marTop w:val="0"/>
      <w:marBottom w:val="0"/>
      <w:divBdr>
        <w:top w:val="none" w:sz="0" w:space="0" w:color="auto"/>
        <w:left w:val="none" w:sz="0" w:space="0" w:color="auto"/>
        <w:bottom w:val="none" w:sz="0" w:space="0" w:color="auto"/>
        <w:right w:val="none" w:sz="0" w:space="0" w:color="auto"/>
      </w:divBdr>
    </w:div>
    <w:div w:id="825559230">
      <w:bodyDiv w:val="1"/>
      <w:marLeft w:val="0"/>
      <w:marRight w:val="0"/>
      <w:marTop w:val="0"/>
      <w:marBottom w:val="0"/>
      <w:divBdr>
        <w:top w:val="none" w:sz="0" w:space="0" w:color="auto"/>
        <w:left w:val="none" w:sz="0" w:space="0" w:color="auto"/>
        <w:bottom w:val="none" w:sz="0" w:space="0" w:color="auto"/>
        <w:right w:val="none" w:sz="0" w:space="0" w:color="auto"/>
      </w:divBdr>
    </w:div>
    <w:div w:id="826288082">
      <w:bodyDiv w:val="1"/>
      <w:marLeft w:val="0"/>
      <w:marRight w:val="0"/>
      <w:marTop w:val="0"/>
      <w:marBottom w:val="0"/>
      <w:divBdr>
        <w:top w:val="none" w:sz="0" w:space="0" w:color="auto"/>
        <w:left w:val="none" w:sz="0" w:space="0" w:color="auto"/>
        <w:bottom w:val="none" w:sz="0" w:space="0" w:color="auto"/>
        <w:right w:val="none" w:sz="0" w:space="0" w:color="auto"/>
      </w:divBdr>
      <w:divsChild>
        <w:div w:id="42098528">
          <w:marLeft w:val="0"/>
          <w:marRight w:val="0"/>
          <w:marTop w:val="0"/>
          <w:marBottom w:val="0"/>
          <w:divBdr>
            <w:top w:val="none" w:sz="0" w:space="0" w:color="auto"/>
            <w:left w:val="none" w:sz="0" w:space="0" w:color="auto"/>
            <w:bottom w:val="none" w:sz="0" w:space="0" w:color="auto"/>
            <w:right w:val="none" w:sz="0" w:space="0" w:color="auto"/>
          </w:divBdr>
        </w:div>
        <w:div w:id="103766540">
          <w:marLeft w:val="0"/>
          <w:marRight w:val="0"/>
          <w:marTop w:val="0"/>
          <w:marBottom w:val="0"/>
          <w:divBdr>
            <w:top w:val="none" w:sz="0" w:space="0" w:color="auto"/>
            <w:left w:val="none" w:sz="0" w:space="0" w:color="auto"/>
            <w:bottom w:val="none" w:sz="0" w:space="0" w:color="auto"/>
            <w:right w:val="none" w:sz="0" w:space="0" w:color="auto"/>
          </w:divBdr>
        </w:div>
        <w:div w:id="415247597">
          <w:marLeft w:val="0"/>
          <w:marRight w:val="0"/>
          <w:marTop w:val="0"/>
          <w:marBottom w:val="0"/>
          <w:divBdr>
            <w:top w:val="none" w:sz="0" w:space="0" w:color="auto"/>
            <w:left w:val="none" w:sz="0" w:space="0" w:color="auto"/>
            <w:bottom w:val="none" w:sz="0" w:space="0" w:color="auto"/>
            <w:right w:val="none" w:sz="0" w:space="0" w:color="auto"/>
          </w:divBdr>
        </w:div>
        <w:div w:id="1309747447">
          <w:marLeft w:val="0"/>
          <w:marRight w:val="0"/>
          <w:marTop w:val="0"/>
          <w:marBottom w:val="0"/>
          <w:divBdr>
            <w:top w:val="none" w:sz="0" w:space="0" w:color="auto"/>
            <w:left w:val="none" w:sz="0" w:space="0" w:color="auto"/>
            <w:bottom w:val="none" w:sz="0" w:space="0" w:color="auto"/>
            <w:right w:val="none" w:sz="0" w:space="0" w:color="auto"/>
          </w:divBdr>
        </w:div>
      </w:divsChild>
    </w:div>
    <w:div w:id="832767107">
      <w:bodyDiv w:val="1"/>
      <w:marLeft w:val="0"/>
      <w:marRight w:val="0"/>
      <w:marTop w:val="0"/>
      <w:marBottom w:val="0"/>
      <w:divBdr>
        <w:top w:val="none" w:sz="0" w:space="0" w:color="auto"/>
        <w:left w:val="none" w:sz="0" w:space="0" w:color="auto"/>
        <w:bottom w:val="none" w:sz="0" w:space="0" w:color="auto"/>
        <w:right w:val="none" w:sz="0" w:space="0" w:color="auto"/>
      </w:divBdr>
    </w:div>
    <w:div w:id="838808201">
      <w:bodyDiv w:val="1"/>
      <w:marLeft w:val="0"/>
      <w:marRight w:val="0"/>
      <w:marTop w:val="0"/>
      <w:marBottom w:val="0"/>
      <w:divBdr>
        <w:top w:val="none" w:sz="0" w:space="0" w:color="auto"/>
        <w:left w:val="none" w:sz="0" w:space="0" w:color="auto"/>
        <w:bottom w:val="none" w:sz="0" w:space="0" w:color="auto"/>
        <w:right w:val="none" w:sz="0" w:space="0" w:color="auto"/>
      </w:divBdr>
      <w:divsChild>
        <w:div w:id="1297373989">
          <w:marLeft w:val="0"/>
          <w:marRight w:val="0"/>
          <w:marTop w:val="0"/>
          <w:marBottom w:val="0"/>
          <w:divBdr>
            <w:top w:val="none" w:sz="0" w:space="0" w:color="auto"/>
            <w:left w:val="none" w:sz="0" w:space="0" w:color="auto"/>
            <w:bottom w:val="none" w:sz="0" w:space="0" w:color="auto"/>
            <w:right w:val="none" w:sz="0" w:space="0" w:color="auto"/>
          </w:divBdr>
        </w:div>
      </w:divsChild>
    </w:div>
    <w:div w:id="845242925">
      <w:bodyDiv w:val="1"/>
      <w:marLeft w:val="0"/>
      <w:marRight w:val="0"/>
      <w:marTop w:val="0"/>
      <w:marBottom w:val="0"/>
      <w:divBdr>
        <w:top w:val="none" w:sz="0" w:space="0" w:color="auto"/>
        <w:left w:val="none" w:sz="0" w:space="0" w:color="auto"/>
        <w:bottom w:val="none" w:sz="0" w:space="0" w:color="auto"/>
        <w:right w:val="none" w:sz="0" w:space="0" w:color="auto"/>
      </w:divBdr>
    </w:div>
    <w:div w:id="985815919">
      <w:bodyDiv w:val="1"/>
      <w:marLeft w:val="0"/>
      <w:marRight w:val="0"/>
      <w:marTop w:val="0"/>
      <w:marBottom w:val="0"/>
      <w:divBdr>
        <w:top w:val="none" w:sz="0" w:space="0" w:color="auto"/>
        <w:left w:val="none" w:sz="0" w:space="0" w:color="auto"/>
        <w:bottom w:val="none" w:sz="0" w:space="0" w:color="auto"/>
        <w:right w:val="none" w:sz="0" w:space="0" w:color="auto"/>
      </w:divBdr>
    </w:div>
    <w:div w:id="996808254">
      <w:bodyDiv w:val="1"/>
      <w:marLeft w:val="0"/>
      <w:marRight w:val="0"/>
      <w:marTop w:val="0"/>
      <w:marBottom w:val="0"/>
      <w:divBdr>
        <w:top w:val="none" w:sz="0" w:space="0" w:color="auto"/>
        <w:left w:val="none" w:sz="0" w:space="0" w:color="auto"/>
        <w:bottom w:val="none" w:sz="0" w:space="0" w:color="auto"/>
        <w:right w:val="none" w:sz="0" w:space="0" w:color="auto"/>
      </w:divBdr>
    </w:div>
    <w:div w:id="1013455588">
      <w:bodyDiv w:val="1"/>
      <w:marLeft w:val="0"/>
      <w:marRight w:val="0"/>
      <w:marTop w:val="0"/>
      <w:marBottom w:val="0"/>
      <w:divBdr>
        <w:top w:val="none" w:sz="0" w:space="0" w:color="auto"/>
        <w:left w:val="none" w:sz="0" w:space="0" w:color="auto"/>
        <w:bottom w:val="none" w:sz="0" w:space="0" w:color="auto"/>
        <w:right w:val="none" w:sz="0" w:space="0" w:color="auto"/>
      </w:divBdr>
    </w:div>
    <w:div w:id="1017776617">
      <w:bodyDiv w:val="1"/>
      <w:marLeft w:val="0"/>
      <w:marRight w:val="0"/>
      <w:marTop w:val="0"/>
      <w:marBottom w:val="0"/>
      <w:divBdr>
        <w:top w:val="none" w:sz="0" w:space="0" w:color="auto"/>
        <w:left w:val="none" w:sz="0" w:space="0" w:color="auto"/>
        <w:bottom w:val="none" w:sz="0" w:space="0" w:color="auto"/>
        <w:right w:val="none" w:sz="0" w:space="0" w:color="auto"/>
      </w:divBdr>
    </w:div>
    <w:div w:id="1063063438">
      <w:bodyDiv w:val="1"/>
      <w:marLeft w:val="0"/>
      <w:marRight w:val="0"/>
      <w:marTop w:val="0"/>
      <w:marBottom w:val="0"/>
      <w:divBdr>
        <w:top w:val="none" w:sz="0" w:space="0" w:color="auto"/>
        <w:left w:val="none" w:sz="0" w:space="0" w:color="auto"/>
        <w:bottom w:val="none" w:sz="0" w:space="0" w:color="auto"/>
        <w:right w:val="none" w:sz="0" w:space="0" w:color="auto"/>
      </w:divBdr>
      <w:divsChild>
        <w:div w:id="46270621">
          <w:marLeft w:val="0"/>
          <w:marRight w:val="0"/>
          <w:marTop w:val="0"/>
          <w:marBottom w:val="0"/>
          <w:divBdr>
            <w:top w:val="none" w:sz="0" w:space="0" w:color="auto"/>
            <w:left w:val="none" w:sz="0" w:space="0" w:color="auto"/>
            <w:bottom w:val="none" w:sz="0" w:space="0" w:color="auto"/>
            <w:right w:val="none" w:sz="0" w:space="0" w:color="auto"/>
          </w:divBdr>
        </w:div>
        <w:div w:id="96952842">
          <w:marLeft w:val="0"/>
          <w:marRight w:val="0"/>
          <w:marTop w:val="0"/>
          <w:marBottom w:val="0"/>
          <w:divBdr>
            <w:top w:val="none" w:sz="0" w:space="0" w:color="auto"/>
            <w:left w:val="none" w:sz="0" w:space="0" w:color="auto"/>
            <w:bottom w:val="none" w:sz="0" w:space="0" w:color="auto"/>
            <w:right w:val="none" w:sz="0" w:space="0" w:color="auto"/>
          </w:divBdr>
        </w:div>
        <w:div w:id="294336843">
          <w:marLeft w:val="0"/>
          <w:marRight w:val="0"/>
          <w:marTop w:val="0"/>
          <w:marBottom w:val="0"/>
          <w:divBdr>
            <w:top w:val="none" w:sz="0" w:space="0" w:color="auto"/>
            <w:left w:val="none" w:sz="0" w:space="0" w:color="auto"/>
            <w:bottom w:val="none" w:sz="0" w:space="0" w:color="auto"/>
            <w:right w:val="none" w:sz="0" w:space="0" w:color="auto"/>
          </w:divBdr>
        </w:div>
        <w:div w:id="295331956">
          <w:marLeft w:val="0"/>
          <w:marRight w:val="0"/>
          <w:marTop w:val="0"/>
          <w:marBottom w:val="0"/>
          <w:divBdr>
            <w:top w:val="none" w:sz="0" w:space="0" w:color="auto"/>
            <w:left w:val="none" w:sz="0" w:space="0" w:color="auto"/>
            <w:bottom w:val="none" w:sz="0" w:space="0" w:color="auto"/>
            <w:right w:val="none" w:sz="0" w:space="0" w:color="auto"/>
          </w:divBdr>
        </w:div>
        <w:div w:id="375936970">
          <w:marLeft w:val="0"/>
          <w:marRight w:val="0"/>
          <w:marTop w:val="0"/>
          <w:marBottom w:val="0"/>
          <w:divBdr>
            <w:top w:val="none" w:sz="0" w:space="0" w:color="auto"/>
            <w:left w:val="none" w:sz="0" w:space="0" w:color="auto"/>
            <w:bottom w:val="none" w:sz="0" w:space="0" w:color="auto"/>
            <w:right w:val="none" w:sz="0" w:space="0" w:color="auto"/>
          </w:divBdr>
        </w:div>
        <w:div w:id="1077438612">
          <w:marLeft w:val="0"/>
          <w:marRight w:val="0"/>
          <w:marTop w:val="0"/>
          <w:marBottom w:val="0"/>
          <w:divBdr>
            <w:top w:val="none" w:sz="0" w:space="0" w:color="auto"/>
            <w:left w:val="none" w:sz="0" w:space="0" w:color="auto"/>
            <w:bottom w:val="none" w:sz="0" w:space="0" w:color="auto"/>
            <w:right w:val="none" w:sz="0" w:space="0" w:color="auto"/>
          </w:divBdr>
        </w:div>
        <w:div w:id="1297221484">
          <w:marLeft w:val="0"/>
          <w:marRight w:val="0"/>
          <w:marTop w:val="0"/>
          <w:marBottom w:val="0"/>
          <w:divBdr>
            <w:top w:val="none" w:sz="0" w:space="0" w:color="auto"/>
            <w:left w:val="none" w:sz="0" w:space="0" w:color="auto"/>
            <w:bottom w:val="none" w:sz="0" w:space="0" w:color="auto"/>
            <w:right w:val="none" w:sz="0" w:space="0" w:color="auto"/>
          </w:divBdr>
        </w:div>
        <w:div w:id="1358770262">
          <w:marLeft w:val="0"/>
          <w:marRight w:val="0"/>
          <w:marTop w:val="0"/>
          <w:marBottom w:val="0"/>
          <w:divBdr>
            <w:top w:val="none" w:sz="0" w:space="0" w:color="auto"/>
            <w:left w:val="none" w:sz="0" w:space="0" w:color="auto"/>
            <w:bottom w:val="none" w:sz="0" w:space="0" w:color="auto"/>
            <w:right w:val="none" w:sz="0" w:space="0" w:color="auto"/>
          </w:divBdr>
        </w:div>
        <w:div w:id="1599366156">
          <w:marLeft w:val="0"/>
          <w:marRight w:val="0"/>
          <w:marTop w:val="0"/>
          <w:marBottom w:val="0"/>
          <w:divBdr>
            <w:top w:val="none" w:sz="0" w:space="0" w:color="auto"/>
            <w:left w:val="none" w:sz="0" w:space="0" w:color="auto"/>
            <w:bottom w:val="none" w:sz="0" w:space="0" w:color="auto"/>
            <w:right w:val="none" w:sz="0" w:space="0" w:color="auto"/>
          </w:divBdr>
        </w:div>
        <w:div w:id="1816139457">
          <w:marLeft w:val="0"/>
          <w:marRight w:val="0"/>
          <w:marTop w:val="0"/>
          <w:marBottom w:val="0"/>
          <w:divBdr>
            <w:top w:val="none" w:sz="0" w:space="0" w:color="auto"/>
            <w:left w:val="none" w:sz="0" w:space="0" w:color="auto"/>
            <w:bottom w:val="none" w:sz="0" w:space="0" w:color="auto"/>
            <w:right w:val="none" w:sz="0" w:space="0" w:color="auto"/>
          </w:divBdr>
        </w:div>
        <w:div w:id="1904563750">
          <w:marLeft w:val="0"/>
          <w:marRight w:val="0"/>
          <w:marTop w:val="0"/>
          <w:marBottom w:val="0"/>
          <w:divBdr>
            <w:top w:val="none" w:sz="0" w:space="0" w:color="auto"/>
            <w:left w:val="none" w:sz="0" w:space="0" w:color="auto"/>
            <w:bottom w:val="none" w:sz="0" w:space="0" w:color="auto"/>
            <w:right w:val="none" w:sz="0" w:space="0" w:color="auto"/>
          </w:divBdr>
        </w:div>
        <w:div w:id="1983849493">
          <w:marLeft w:val="0"/>
          <w:marRight w:val="0"/>
          <w:marTop w:val="0"/>
          <w:marBottom w:val="0"/>
          <w:divBdr>
            <w:top w:val="none" w:sz="0" w:space="0" w:color="auto"/>
            <w:left w:val="none" w:sz="0" w:space="0" w:color="auto"/>
            <w:bottom w:val="none" w:sz="0" w:space="0" w:color="auto"/>
            <w:right w:val="none" w:sz="0" w:space="0" w:color="auto"/>
          </w:divBdr>
        </w:div>
        <w:div w:id="1987737362">
          <w:marLeft w:val="0"/>
          <w:marRight w:val="0"/>
          <w:marTop w:val="0"/>
          <w:marBottom w:val="0"/>
          <w:divBdr>
            <w:top w:val="none" w:sz="0" w:space="0" w:color="auto"/>
            <w:left w:val="none" w:sz="0" w:space="0" w:color="auto"/>
            <w:bottom w:val="none" w:sz="0" w:space="0" w:color="auto"/>
            <w:right w:val="none" w:sz="0" w:space="0" w:color="auto"/>
          </w:divBdr>
        </w:div>
        <w:div w:id="2065715313">
          <w:marLeft w:val="0"/>
          <w:marRight w:val="0"/>
          <w:marTop w:val="0"/>
          <w:marBottom w:val="0"/>
          <w:divBdr>
            <w:top w:val="none" w:sz="0" w:space="0" w:color="auto"/>
            <w:left w:val="none" w:sz="0" w:space="0" w:color="auto"/>
            <w:bottom w:val="none" w:sz="0" w:space="0" w:color="auto"/>
            <w:right w:val="none" w:sz="0" w:space="0" w:color="auto"/>
          </w:divBdr>
        </w:div>
      </w:divsChild>
    </w:div>
    <w:div w:id="1077435898">
      <w:bodyDiv w:val="1"/>
      <w:marLeft w:val="0"/>
      <w:marRight w:val="0"/>
      <w:marTop w:val="0"/>
      <w:marBottom w:val="0"/>
      <w:divBdr>
        <w:top w:val="none" w:sz="0" w:space="0" w:color="auto"/>
        <w:left w:val="none" w:sz="0" w:space="0" w:color="auto"/>
        <w:bottom w:val="none" w:sz="0" w:space="0" w:color="auto"/>
        <w:right w:val="none" w:sz="0" w:space="0" w:color="auto"/>
      </w:divBdr>
    </w:div>
    <w:div w:id="1080786831">
      <w:bodyDiv w:val="1"/>
      <w:marLeft w:val="0"/>
      <w:marRight w:val="0"/>
      <w:marTop w:val="0"/>
      <w:marBottom w:val="0"/>
      <w:divBdr>
        <w:top w:val="none" w:sz="0" w:space="0" w:color="auto"/>
        <w:left w:val="none" w:sz="0" w:space="0" w:color="auto"/>
        <w:bottom w:val="none" w:sz="0" w:space="0" w:color="auto"/>
        <w:right w:val="none" w:sz="0" w:space="0" w:color="auto"/>
      </w:divBdr>
      <w:divsChild>
        <w:div w:id="228732929">
          <w:marLeft w:val="0"/>
          <w:marRight w:val="0"/>
          <w:marTop w:val="0"/>
          <w:marBottom w:val="0"/>
          <w:divBdr>
            <w:top w:val="none" w:sz="0" w:space="0" w:color="auto"/>
            <w:left w:val="none" w:sz="0" w:space="0" w:color="auto"/>
            <w:bottom w:val="none" w:sz="0" w:space="0" w:color="auto"/>
            <w:right w:val="none" w:sz="0" w:space="0" w:color="auto"/>
          </w:divBdr>
        </w:div>
        <w:div w:id="435948094">
          <w:marLeft w:val="0"/>
          <w:marRight w:val="0"/>
          <w:marTop w:val="0"/>
          <w:marBottom w:val="0"/>
          <w:divBdr>
            <w:top w:val="none" w:sz="0" w:space="0" w:color="auto"/>
            <w:left w:val="none" w:sz="0" w:space="0" w:color="auto"/>
            <w:bottom w:val="none" w:sz="0" w:space="0" w:color="auto"/>
            <w:right w:val="none" w:sz="0" w:space="0" w:color="auto"/>
          </w:divBdr>
        </w:div>
      </w:divsChild>
    </w:div>
    <w:div w:id="1097672745">
      <w:bodyDiv w:val="1"/>
      <w:marLeft w:val="0"/>
      <w:marRight w:val="0"/>
      <w:marTop w:val="0"/>
      <w:marBottom w:val="0"/>
      <w:divBdr>
        <w:top w:val="none" w:sz="0" w:space="0" w:color="auto"/>
        <w:left w:val="none" w:sz="0" w:space="0" w:color="auto"/>
        <w:bottom w:val="none" w:sz="0" w:space="0" w:color="auto"/>
        <w:right w:val="none" w:sz="0" w:space="0" w:color="auto"/>
      </w:divBdr>
    </w:div>
    <w:div w:id="1140883078">
      <w:bodyDiv w:val="1"/>
      <w:marLeft w:val="0"/>
      <w:marRight w:val="0"/>
      <w:marTop w:val="0"/>
      <w:marBottom w:val="0"/>
      <w:divBdr>
        <w:top w:val="none" w:sz="0" w:space="0" w:color="auto"/>
        <w:left w:val="none" w:sz="0" w:space="0" w:color="auto"/>
        <w:bottom w:val="none" w:sz="0" w:space="0" w:color="auto"/>
        <w:right w:val="none" w:sz="0" w:space="0" w:color="auto"/>
      </w:divBdr>
    </w:div>
    <w:div w:id="1215002303">
      <w:bodyDiv w:val="1"/>
      <w:marLeft w:val="0"/>
      <w:marRight w:val="0"/>
      <w:marTop w:val="0"/>
      <w:marBottom w:val="0"/>
      <w:divBdr>
        <w:top w:val="none" w:sz="0" w:space="0" w:color="auto"/>
        <w:left w:val="none" w:sz="0" w:space="0" w:color="auto"/>
        <w:bottom w:val="none" w:sz="0" w:space="0" w:color="auto"/>
        <w:right w:val="none" w:sz="0" w:space="0" w:color="auto"/>
      </w:divBdr>
    </w:div>
    <w:div w:id="1215191595">
      <w:bodyDiv w:val="1"/>
      <w:marLeft w:val="0"/>
      <w:marRight w:val="0"/>
      <w:marTop w:val="0"/>
      <w:marBottom w:val="0"/>
      <w:divBdr>
        <w:top w:val="none" w:sz="0" w:space="0" w:color="auto"/>
        <w:left w:val="none" w:sz="0" w:space="0" w:color="auto"/>
        <w:bottom w:val="none" w:sz="0" w:space="0" w:color="auto"/>
        <w:right w:val="none" w:sz="0" w:space="0" w:color="auto"/>
      </w:divBdr>
    </w:div>
    <w:div w:id="1249581379">
      <w:bodyDiv w:val="1"/>
      <w:marLeft w:val="0"/>
      <w:marRight w:val="0"/>
      <w:marTop w:val="0"/>
      <w:marBottom w:val="0"/>
      <w:divBdr>
        <w:top w:val="none" w:sz="0" w:space="0" w:color="auto"/>
        <w:left w:val="none" w:sz="0" w:space="0" w:color="auto"/>
        <w:bottom w:val="none" w:sz="0" w:space="0" w:color="auto"/>
        <w:right w:val="none" w:sz="0" w:space="0" w:color="auto"/>
      </w:divBdr>
    </w:div>
    <w:div w:id="1365668157">
      <w:bodyDiv w:val="1"/>
      <w:marLeft w:val="0"/>
      <w:marRight w:val="0"/>
      <w:marTop w:val="0"/>
      <w:marBottom w:val="0"/>
      <w:divBdr>
        <w:top w:val="none" w:sz="0" w:space="0" w:color="auto"/>
        <w:left w:val="none" w:sz="0" w:space="0" w:color="auto"/>
        <w:bottom w:val="none" w:sz="0" w:space="0" w:color="auto"/>
        <w:right w:val="none" w:sz="0" w:space="0" w:color="auto"/>
      </w:divBdr>
      <w:divsChild>
        <w:div w:id="654140535">
          <w:marLeft w:val="0"/>
          <w:marRight w:val="0"/>
          <w:marTop w:val="0"/>
          <w:marBottom w:val="0"/>
          <w:divBdr>
            <w:top w:val="none" w:sz="0" w:space="0" w:color="auto"/>
            <w:left w:val="none" w:sz="0" w:space="0" w:color="auto"/>
            <w:bottom w:val="none" w:sz="0" w:space="0" w:color="auto"/>
            <w:right w:val="none" w:sz="0" w:space="0" w:color="auto"/>
          </w:divBdr>
          <w:divsChild>
            <w:div w:id="609822894">
              <w:marLeft w:val="0"/>
              <w:marRight w:val="0"/>
              <w:marTop w:val="0"/>
              <w:marBottom w:val="0"/>
              <w:divBdr>
                <w:top w:val="none" w:sz="0" w:space="0" w:color="auto"/>
                <w:left w:val="none" w:sz="0" w:space="0" w:color="auto"/>
                <w:bottom w:val="none" w:sz="0" w:space="0" w:color="auto"/>
                <w:right w:val="none" w:sz="0" w:space="0" w:color="auto"/>
              </w:divBdr>
              <w:divsChild>
                <w:div w:id="1081634294">
                  <w:marLeft w:val="0"/>
                  <w:marRight w:val="0"/>
                  <w:marTop w:val="0"/>
                  <w:marBottom w:val="0"/>
                  <w:divBdr>
                    <w:top w:val="none" w:sz="0" w:space="0" w:color="auto"/>
                    <w:left w:val="none" w:sz="0" w:space="0" w:color="auto"/>
                    <w:bottom w:val="none" w:sz="0" w:space="0" w:color="auto"/>
                    <w:right w:val="none" w:sz="0" w:space="0" w:color="auto"/>
                  </w:divBdr>
                  <w:divsChild>
                    <w:div w:id="1519125759">
                      <w:marLeft w:val="0"/>
                      <w:marRight w:val="0"/>
                      <w:marTop w:val="0"/>
                      <w:marBottom w:val="0"/>
                      <w:divBdr>
                        <w:top w:val="none" w:sz="0" w:space="0" w:color="auto"/>
                        <w:left w:val="none" w:sz="0" w:space="0" w:color="auto"/>
                        <w:bottom w:val="none" w:sz="0" w:space="0" w:color="auto"/>
                        <w:right w:val="none" w:sz="0" w:space="0" w:color="auto"/>
                      </w:divBdr>
                      <w:divsChild>
                        <w:div w:id="1436556199">
                          <w:marLeft w:val="0"/>
                          <w:marRight w:val="0"/>
                          <w:marTop w:val="0"/>
                          <w:marBottom w:val="0"/>
                          <w:divBdr>
                            <w:top w:val="none" w:sz="0" w:space="0" w:color="auto"/>
                            <w:left w:val="none" w:sz="0" w:space="0" w:color="auto"/>
                            <w:bottom w:val="none" w:sz="0" w:space="0" w:color="auto"/>
                            <w:right w:val="none" w:sz="0" w:space="0" w:color="auto"/>
                          </w:divBdr>
                          <w:divsChild>
                            <w:div w:id="806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61522">
      <w:bodyDiv w:val="1"/>
      <w:marLeft w:val="0"/>
      <w:marRight w:val="0"/>
      <w:marTop w:val="0"/>
      <w:marBottom w:val="0"/>
      <w:divBdr>
        <w:top w:val="none" w:sz="0" w:space="0" w:color="auto"/>
        <w:left w:val="none" w:sz="0" w:space="0" w:color="auto"/>
        <w:bottom w:val="none" w:sz="0" w:space="0" w:color="auto"/>
        <w:right w:val="none" w:sz="0" w:space="0" w:color="auto"/>
      </w:divBdr>
    </w:div>
    <w:div w:id="1392657661">
      <w:bodyDiv w:val="1"/>
      <w:marLeft w:val="0"/>
      <w:marRight w:val="0"/>
      <w:marTop w:val="0"/>
      <w:marBottom w:val="0"/>
      <w:divBdr>
        <w:top w:val="none" w:sz="0" w:space="0" w:color="auto"/>
        <w:left w:val="none" w:sz="0" w:space="0" w:color="auto"/>
        <w:bottom w:val="none" w:sz="0" w:space="0" w:color="auto"/>
        <w:right w:val="none" w:sz="0" w:space="0" w:color="auto"/>
      </w:divBdr>
    </w:div>
    <w:div w:id="1409377800">
      <w:bodyDiv w:val="1"/>
      <w:marLeft w:val="0"/>
      <w:marRight w:val="0"/>
      <w:marTop w:val="0"/>
      <w:marBottom w:val="0"/>
      <w:divBdr>
        <w:top w:val="none" w:sz="0" w:space="0" w:color="auto"/>
        <w:left w:val="none" w:sz="0" w:space="0" w:color="auto"/>
        <w:bottom w:val="none" w:sz="0" w:space="0" w:color="auto"/>
        <w:right w:val="none" w:sz="0" w:space="0" w:color="auto"/>
      </w:divBdr>
    </w:div>
    <w:div w:id="1416171304">
      <w:bodyDiv w:val="1"/>
      <w:marLeft w:val="0"/>
      <w:marRight w:val="0"/>
      <w:marTop w:val="0"/>
      <w:marBottom w:val="0"/>
      <w:divBdr>
        <w:top w:val="none" w:sz="0" w:space="0" w:color="auto"/>
        <w:left w:val="none" w:sz="0" w:space="0" w:color="auto"/>
        <w:bottom w:val="none" w:sz="0" w:space="0" w:color="auto"/>
        <w:right w:val="none" w:sz="0" w:space="0" w:color="auto"/>
      </w:divBdr>
    </w:div>
    <w:div w:id="1487358748">
      <w:bodyDiv w:val="1"/>
      <w:marLeft w:val="0"/>
      <w:marRight w:val="0"/>
      <w:marTop w:val="0"/>
      <w:marBottom w:val="0"/>
      <w:divBdr>
        <w:top w:val="none" w:sz="0" w:space="0" w:color="auto"/>
        <w:left w:val="none" w:sz="0" w:space="0" w:color="auto"/>
        <w:bottom w:val="none" w:sz="0" w:space="0" w:color="auto"/>
        <w:right w:val="none" w:sz="0" w:space="0" w:color="auto"/>
      </w:divBdr>
    </w:div>
    <w:div w:id="1496022627">
      <w:bodyDiv w:val="1"/>
      <w:marLeft w:val="0"/>
      <w:marRight w:val="0"/>
      <w:marTop w:val="0"/>
      <w:marBottom w:val="0"/>
      <w:divBdr>
        <w:top w:val="none" w:sz="0" w:space="0" w:color="auto"/>
        <w:left w:val="none" w:sz="0" w:space="0" w:color="auto"/>
        <w:bottom w:val="none" w:sz="0" w:space="0" w:color="auto"/>
        <w:right w:val="none" w:sz="0" w:space="0" w:color="auto"/>
      </w:divBdr>
    </w:div>
    <w:div w:id="1521048450">
      <w:bodyDiv w:val="1"/>
      <w:marLeft w:val="0"/>
      <w:marRight w:val="0"/>
      <w:marTop w:val="0"/>
      <w:marBottom w:val="0"/>
      <w:divBdr>
        <w:top w:val="none" w:sz="0" w:space="0" w:color="auto"/>
        <w:left w:val="none" w:sz="0" w:space="0" w:color="auto"/>
        <w:bottom w:val="none" w:sz="0" w:space="0" w:color="auto"/>
        <w:right w:val="none" w:sz="0" w:space="0" w:color="auto"/>
      </w:divBdr>
    </w:div>
    <w:div w:id="1523007009">
      <w:bodyDiv w:val="1"/>
      <w:marLeft w:val="0"/>
      <w:marRight w:val="0"/>
      <w:marTop w:val="0"/>
      <w:marBottom w:val="0"/>
      <w:divBdr>
        <w:top w:val="none" w:sz="0" w:space="0" w:color="auto"/>
        <w:left w:val="none" w:sz="0" w:space="0" w:color="auto"/>
        <w:bottom w:val="none" w:sz="0" w:space="0" w:color="auto"/>
        <w:right w:val="none" w:sz="0" w:space="0" w:color="auto"/>
      </w:divBdr>
    </w:div>
    <w:div w:id="1569999242">
      <w:bodyDiv w:val="1"/>
      <w:marLeft w:val="0"/>
      <w:marRight w:val="0"/>
      <w:marTop w:val="0"/>
      <w:marBottom w:val="0"/>
      <w:divBdr>
        <w:top w:val="none" w:sz="0" w:space="0" w:color="auto"/>
        <w:left w:val="none" w:sz="0" w:space="0" w:color="auto"/>
        <w:bottom w:val="none" w:sz="0" w:space="0" w:color="auto"/>
        <w:right w:val="none" w:sz="0" w:space="0" w:color="auto"/>
      </w:divBdr>
    </w:div>
    <w:div w:id="1590844970">
      <w:bodyDiv w:val="1"/>
      <w:marLeft w:val="0"/>
      <w:marRight w:val="0"/>
      <w:marTop w:val="0"/>
      <w:marBottom w:val="0"/>
      <w:divBdr>
        <w:top w:val="none" w:sz="0" w:space="0" w:color="auto"/>
        <w:left w:val="none" w:sz="0" w:space="0" w:color="auto"/>
        <w:bottom w:val="none" w:sz="0" w:space="0" w:color="auto"/>
        <w:right w:val="none" w:sz="0" w:space="0" w:color="auto"/>
      </w:divBdr>
      <w:divsChild>
        <w:div w:id="821700430">
          <w:marLeft w:val="0"/>
          <w:marRight w:val="0"/>
          <w:marTop w:val="0"/>
          <w:marBottom w:val="0"/>
          <w:divBdr>
            <w:top w:val="none" w:sz="0" w:space="0" w:color="auto"/>
            <w:left w:val="none" w:sz="0" w:space="0" w:color="auto"/>
            <w:bottom w:val="none" w:sz="0" w:space="0" w:color="auto"/>
            <w:right w:val="none" w:sz="0" w:space="0" w:color="auto"/>
          </w:divBdr>
          <w:divsChild>
            <w:div w:id="1525824711">
              <w:marLeft w:val="0"/>
              <w:marRight w:val="0"/>
              <w:marTop w:val="0"/>
              <w:marBottom w:val="0"/>
              <w:divBdr>
                <w:top w:val="none" w:sz="0" w:space="0" w:color="auto"/>
                <w:left w:val="none" w:sz="0" w:space="0" w:color="auto"/>
                <w:bottom w:val="none" w:sz="0" w:space="0" w:color="auto"/>
                <w:right w:val="none" w:sz="0" w:space="0" w:color="auto"/>
              </w:divBdr>
              <w:divsChild>
                <w:div w:id="427390039">
                  <w:marLeft w:val="0"/>
                  <w:marRight w:val="0"/>
                  <w:marTop w:val="0"/>
                  <w:marBottom w:val="0"/>
                  <w:divBdr>
                    <w:top w:val="none" w:sz="0" w:space="0" w:color="auto"/>
                    <w:left w:val="none" w:sz="0" w:space="0" w:color="auto"/>
                    <w:bottom w:val="none" w:sz="0" w:space="0" w:color="auto"/>
                    <w:right w:val="none" w:sz="0" w:space="0" w:color="auto"/>
                  </w:divBdr>
                  <w:divsChild>
                    <w:div w:id="1774932765">
                      <w:marLeft w:val="0"/>
                      <w:marRight w:val="0"/>
                      <w:marTop w:val="0"/>
                      <w:marBottom w:val="0"/>
                      <w:divBdr>
                        <w:top w:val="none" w:sz="0" w:space="0" w:color="auto"/>
                        <w:left w:val="none" w:sz="0" w:space="0" w:color="auto"/>
                        <w:bottom w:val="none" w:sz="0" w:space="0" w:color="auto"/>
                        <w:right w:val="none" w:sz="0" w:space="0" w:color="auto"/>
                      </w:divBdr>
                      <w:divsChild>
                        <w:div w:id="1943223336">
                          <w:marLeft w:val="0"/>
                          <w:marRight w:val="0"/>
                          <w:marTop w:val="0"/>
                          <w:marBottom w:val="0"/>
                          <w:divBdr>
                            <w:top w:val="none" w:sz="0" w:space="0" w:color="auto"/>
                            <w:left w:val="none" w:sz="0" w:space="0" w:color="auto"/>
                            <w:bottom w:val="none" w:sz="0" w:space="0" w:color="auto"/>
                            <w:right w:val="none" w:sz="0" w:space="0" w:color="auto"/>
                          </w:divBdr>
                          <w:divsChild>
                            <w:div w:id="19448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06724">
      <w:bodyDiv w:val="1"/>
      <w:marLeft w:val="0"/>
      <w:marRight w:val="0"/>
      <w:marTop w:val="0"/>
      <w:marBottom w:val="0"/>
      <w:divBdr>
        <w:top w:val="none" w:sz="0" w:space="0" w:color="auto"/>
        <w:left w:val="none" w:sz="0" w:space="0" w:color="auto"/>
        <w:bottom w:val="none" w:sz="0" w:space="0" w:color="auto"/>
        <w:right w:val="none" w:sz="0" w:space="0" w:color="auto"/>
      </w:divBdr>
      <w:divsChild>
        <w:div w:id="175387639">
          <w:marLeft w:val="0"/>
          <w:marRight w:val="0"/>
          <w:marTop w:val="0"/>
          <w:marBottom w:val="0"/>
          <w:divBdr>
            <w:top w:val="none" w:sz="0" w:space="0" w:color="auto"/>
            <w:left w:val="none" w:sz="0" w:space="0" w:color="auto"/>
            <w:bottom w:val="none" w:sz="0" w:space="0" w:color="auto"/>
            <w:right w:val="none" w:sz="0" w:space="0" w:color="auto"/>
          </w:divBdr>
        </w:div>
        <w:div w:id="406877191">
          <w:marLeft w:val="0"/>
          <w:marRight w:val="0"/>
          <w:marTop w:val="0"/>
          <w:marBottom w:val="0"/>
          <w:divBdr>
            <w:top w:val="none" w:sz="0" w:space="0" w:color="auto"/>
            <w:left w:val="none" w:sz="0" w:space="0" w:color="auto"/>
            <w:bottom w:val="none" w:sz="0" w:space="0" w:color="auto"/>
            <w:right w:val="none" w:sz="0" w:space="0" w:color="auto"/>
          </w:divBdr>
        </w:div>
        <w:div w:id="420300770">
          <w:marLeft w:val="0"/>
          <w:marRight w:val="0"/>
          <w:marTop w:val="0"/>
          <w:marBottom w:val="0"/>
          <w:divBdr>
            <w:top w:val="none" w:sz="0" w:space="0" w:color="auto"/>
            <w:left w:val="none" w:sz="0" w:space="0" w:color="auto"/>
            <w:bottom w:val="none" w:sz="0" w:space="0" w:color="auto"/>
            <w:right w:val="none" w:sz="0" w:space="0" w:color="auto"/>
          </w:divBdr>
        </w:div>
        <w:div w:id="518549252">
          <w:marLeft w:val="0"/>
          <w:marRight w:val="0"/>
          <w:marTop w:val="0"/>
          <w:marBottom w:val="0"/>
          <w:divBdr>
            <w:top w:val="none" w:sz="0" w:space="0" w:color="auto"/>
            <w:left w:val="none" w:sz="0" w:space="0" w:color="auto"/>
            <w:bottom w:val="none" w:sz="0" w:space="0" w:color="auto"/>
            <w:right w:val="none" w:sz="0" w:space="0" w:color="auto"/>
          </w:divBdr>
        </w:div>
        <w:div w:id="557398370">
          <w:marLeft w:val="0"/>
          <w:marRight w:val="0"/>
          <w:marTop w:val="0"/>
          <w:marBottom w:val="0"/>
          <w:divBdr>
            <w:top w:val="none" w:sz="0" w:space="0" w:color="auto"/>
            <w:left w:val="none" w:sz="0" w:space="0" w:color="auto"/>
            <w:bottom w:val="none" w:sz="0" w:space="0" w:color="auto"/>
            <w:right w:val="none" w:sz="0" w:space="0" w:color="auto"/>
          </w:divBdr>
        </w:div>
        <w:div w:id="646084439">
          <w:marLeft w:val="0"/>
          <w:marRight w:val="0"/>
          <w:marTop w:val="0"/>
          <w:marBottom w:val="0"/>
          <w:divBdr>
            <w:top w:val="none" w:sz="0" w:space="0" w:color="auto"/>
            <w:left w:val="none" w:sz="0" w:space="0" w:color="auto"/>
            <w:bottom w:val="none" w:sz="0" w:space="0" w:color="auto"/>
            <w:right w:val="none" w:sz="0" w:space="0" w:color="auto"/>
          </w:divBdr>
        </w:div>
        <w:div w:id="1060329349">
          <w:marLeft w:val="0"/>
          <w:marRight w:val="0"/>
          <w:marTop w:val="0"/>
          <w:marBottom w:val="0"/>
          <w:divBdr>
            <w:top w:val="none" w:sz="0" w:space="0" w:color="auto"/>
            <w:left w:val="none" w:sz="0" w:space="0" w:color="auto"/>
            <w:bottom w:val="none" w:sz="0" w:space="0" w:color="auto"/>
            <w:right w:val="none" w:sz="0" w:space="0" w:color="auto"/>
          </w:divBdr>
        </w:div>
        <w:div w:id="1283002725">
          <w:marLeft w:val="0"/>
          <w:marRight w:val="0"/>
          <w:marTop w:val="0"/>
          <w:marBottom w:val="0"/>
          <w:divBdr>
            <w:top w:val="none" w:sz="0" w:space="0" w:color="auto"/>
            <w:left w:val="none" w:sz="0" w:space="0" w:color="auto"/>
            <w:bottom w:val="none" w:sz="0" w:space="0" w:color="auto"/>
            <w:right w:val="none" w:sz="0" w:space="0" w:color="auto"/>
          </w:divBdr>
        </w:div>
        <w:div w:id="1336152646">
          <w:marLeft w:val="0"/>
          <w:marRight w:val="0"/>
          <w:marTop w:val="0"/>
          <w:marBottom w:val="0"/>
          <w:divBdr>
            <w:top w:val="none" w:sz="0" w:space="0" w:color="auto"/>
            <w:left w:val="none" w:sz="0" w:space="0" w:color="auto"/>
            <w:bottom w:val="none" w:sz="0" w:space="0" w:color="auto"/>
            <w:right w:val="none" w:sz="0" w:space="0" w:color="auto"/>
          </w:divBdr>
        </w:div>
        <w:div w:id="1388141506">
          <w:marLeft w:val="0"/>
          <w:marRight w:val="0"/>
          <w:marTop w:val="0"/>
          <w:marBottom w:val="0"/>
          <w:divBdr>
            <w:top w:val="none" w:sz="0" w:space="0" w:color="auto"/>
            <w:left w:val="none" w:sz="0" w:space="0" w:color="auto"/>
            <w:bottom w:val="none" w:sz="0" w:space="0" w:color="auto"/>
            <w:right w:val="none" w:sz="0" w:space="0" w:color="auto"/>
          </w:divBdr>
        </w:div>
        <w:div w:id="1454442132">
          <w:marLeft w:val="0"/>
          <w:marRight w:val="0"/>
          <w:marTop w:val="0"/>
          <w:marBottom w:val="0"/>
          <w:divBdr>
            <w:top w:val="none" w:sz="0" w:space="0" w:color="auto"/>
            <w:left w:val="none" w:sz="0" w:space="0" w:color="auto"/>
            <w:bottom w:val="none" w:sz="0" w:space="0" w:color="auto"/>
            <w:right w:val="none" w:sz="0" w:space="0" w:color="auto"/>
          </w:divBdr>
        </w:div>
        <w:div w:id="1515192767">
          <w:marLeft w:val="0"/>
          <w:marRight w:val="0"/>
          <w:marTop w:val="0"/>
          <w:marBottom w:val="0"/>
          <w:divBdr>
            <w:top w:val="none" w:sz="0" w:space="0" w:color="auto"/>
            <w:left w:val="none" w:sz="0" w:space="0" w:color="auto"/>
            <w:bottom w:val="none" w:sz="0" w:space="0" w:color="auto"/>
            <w:right w:val="none" w:sz="0" w:space="0" w:color="auto"/>
          </w:divBdr>
        </w:div>
        <w:div w:id="2074741224">
          <w:marLeft w:val="0"/>
          <w:marRight w:val="0"/>
          <w:marTop w:val="0"/>
          <w:marBottom w:val="0"/>
          <w:divBdr>
            <w:top w:val="none" w:sz="0" w:space="0" w:color="auto"/>
            <w:left w:val="none" w:sz="0" w:space="0" w:color="auto"/>
            <w:bottom w:val="none" w:sz="0" w:space="0" w:color="auto"/>
            <w:right w:val="none" w:sz="0" w:space="0" w:color="auto"/>
          </w:divBdr>
        </w:div>
        <w:div w:id="2104766291">
          <w:marLeft w:val="0"/>
          <w:marRight w:val="0"/>
          <w:marTop w:val="0"/>
          <w:marBottom w:val="0"/>
          <w:divBdr>
            <w:top w:val="none" w:sz="0" w:space="0" w:color="auto"/>
            <w:left w:val="none" w:sz="0" w:space="0" w:color="auto"/>
            <w:bottom w:val="none" w:sz="0" w:space="0" w:color="auto"/>
            <w:right w:val="none" w:sz="0" w:space="0" w:color="auto"/>
          </w:divBdr>
        </w:div>
      </w:divsChild>
    </w:div>
    <w:div w:id="1656913146">
      <w:bodyDiv w:val="1"/>
      <w:marLeft w:val="0"/>
      <w:marRight w:val="0"/>
      <w:marTop w:val="0"/>
      <w:marBottom w:val="0"/>
      <w:divBdr>
        <w:top w:val="none" w:sz="0" w:space="0" w:color="auto"/>
        <w:left w:val="none" w:sz="0" w:space="0" w:color="auto"/>
        <w:bottom w:val="none" w:sz="0" w:space="0" w:color="auto"/>
        <w:right w:val="none" w:sz="0" w:space="0" w:color="auto"/>
      </w:divBdr>
      <w:divsChild>
        <w:div w:id="1935699251">
          <w:marLeft w:val="0"/>
          <w:marRight w:val="0"/>
          <w:marTop w:val="0"/>
          <w:marBottom w:val="0"/>
          <w:divBdr>
            <w:top w:val="none" w:sz="0" w:space="0" w:color="auto"/>
            <w:left w:val="none" w:sz="0" w:space="0" w:color="auto"/>
            <w:bottom w:val="none" w:sz="0" w:space="0" w:color="auto"/>
            <w:right w:val="none" w:sz="0" w:space="0" w:color="auto"/>
          </w:divBdr>
          <w:divsChild>
            <w:div w:id="1710762864">
              <w:marLeft w:val="0"/>
              <w:marRight w:val="0"/>
              <w:marTop w:val="0"/>
              <w:marBottom w:val="0"/>
              <w:divBdr>
                <w:top w:val="none" w:sz="0" w:space="0" w:color="auto"/>
                <w:left w:val="none" w:sz="0" w:space="0" w:color="auto"/>
                <w:bottom w:val="none" w:sz="0" w:space="0" w:color="auto"/>
                <w:right w:val="none" w:sz="0" w:space="0" w:color="auto"/>
              </w:divBdr>
              <w:divsChild>
                <w:div w:id="176192693">
                  <w:marLeft w:val="0"/>
                  <w:marRight w:val="0"/>
                  <w:marTop w:val="0"/>
                  <w:marBottom w:val="0"/>
                  <w:divBdr>
                    <w:top w:val="none" w:sz="0" w:space="0" w:color="auto"/>
                    <w:left w:val="none" w:sz="0" w:space="0" w:color="auto"/>
                    <w:bottom w:val="none" w:sz="0" w:space="0" w:color="auto"/>
                    <w:right w:val="none" w:sz="0" w:space="0" w:color="auto"/>
                  </w:divBdr>
                  <w:divsChild>
                    <w:div w:id="1770854298">
                      <w:marLeft w:val="0"/>
                      <w:marRight w:val="0"/>
                      <w:marTop w:val="0"/>
                      <w:marBottom w:val="0"/>
                      <w:divBdr>
                        <w:top w:val="none" w:sz="0" w:space="0" w:color="auto"/>
                        <w:left w:val="none" w:sz="0" w:space="0" w:color="auto"/>
                        <w:bottom w:val="none" w:sz="0" w:space="0" w:color="auto"/>
                        <w:right w:val="none" w:sz="0" w:space="0" w:color="auto"/>
                      </w:divBdr>
                      <w:divsChild>
                        <w:div w:id="505442691">
                          <w:marLeft w:val="3000"/>
                          <w:marRight w:val="-11400"/>
                          <w:marTop w:val="0"/>
                          <w:marBottom w:val="0"/>
                          <w:divBdr>
                            <w:top w:val="none" w:sz="0" w:space="0" w:color="auto"/>
                            <w:left w:val="none" w:sz="0" w:space="0" w:color="auto"/>
                            <w:bottom w:val="none" w:sz="0" w:space="0" w:color="auto"/>
                            <w:right w:val="none" w:sz="0" w:space="0" w:color="auto"/>
                          </w:divBdr>
                          <w:divsChild>
                            <w:div w:id="37822333">
                              <w:marLeft w:val="0"/>
                              <w:marRight w:val="0"/>
                              <w:marTop w:val="0"/>
                              <w:marBottom w:val="0"/>
                              <w:divBdr>
                                <w:top w:val="none" w:sz="0" w:space="0" w:color="auto"/>
                                <w:left w:val="none" w:sz="0" w:space="0" w:color="auto"/>
                                <w:bottom w:val="none" w:sz="0" w:space="0" w:color="auto"/>
                                <w:right w:val="none" w:sz="0" w:space="0" w:color="auto"/>
                              </w:divBdr>
                              <w:divsChild>
                                <w:div w:id="2055958816">
                                  <w:marLeft w:val="4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12141">
      <w:bodyDiv w:val="1"/>
      <w:marLeft w:val="0"/>
      <w:marRight w:val="0"/>
      <w:marTop w:val="0"/>
      <w:marBottom w:val="0"/>
      <w:divBdr>
        <w:top w:val="none" w:sz="0" w:space="0" w:color="auto"/>
        <w:left w:val="none" w:sz="0" w:space="0" w:color="auto"/>
        <w:bottom w:val="none" w:sz="0" w:space="0" w:color="auto"/>
        <w:right w:val="none" w:sz="0" w:space="0" w:color="auto"/>
      </w:divBdr>
    </w:div>
    <w:div w:id="1750691164">
      <w:bodyDiv w:val="1"/>
      <w:marLeft w:val="0"/>
      <w:marRight w:val="0"/>
      <w:marTop w:val="0"/>
      <w:marBottom w:val="0"/>
      <w:divBdr>
        <w:top w:val="none" w:sz="0" w:space="0" w:color="auto"/>
        <w:left w:val="none" w:sz="0" w:space="0" w:color="auto"/>
        <w:bottom w:val="none" w:sz="0" w:space="0" w:color="auto"/>
        <w:right w:val="none" w:sz="0" w:space="0" w:color="auto"/>
      </w:divBdr>
    </w:div>
    <w:div w:id="1843349914">
      <w:bodyDiv w:val="1"/>
      <w:marLeft w:val="0"/>
      <w:marRight w:val="0"/>
      <w:marTop w:val="0"/>
      <w:marBottom w:val="0"/>
      <w:divBdr>
        <w:top w:val="none" w:sz="0" w:space="0" w:color="auto"/>
        <w:left w:val="none" w:sz="0" w:space="0" w:color="auto"/>
        <w:bottom w:val="none" w:sz="0" w:space="0" w:color="auto"/>
        <w:right w:val="none" w:sz="0" w:space="0" w:color="auto"/>
      </w:divBdr>
    </w:div>
    <w:div w:id="1846555464">
      <w:bodyDiv w:val="1"/>
      <w:marLeft w:val="0"/>
      <w:marRight w:val="0"/>
      <w:marTop w:val="0"/>
      <w:marBottom w:val="0"/>
      <w:divBdr>
        <w:top w:val="none" w:sz="0" w:space="0" w:color="auto"/>
        <w:left w:val="none" w:sz="0" w:space="0" w:color="auto"/>
        <w:bottom w:val="none" w:sz="0" w:space="0" w:color="auto"/>
        <w:right w:val="none" w:sz="0" w:space="0" w:color="auto"/>
      </w:divBdr>
    </w:div>
    <w:div w:id="1882746289">
      <w:bodyDiv w:val="1"/>
      <w:marLeft w:val="0"/>
      <w:marRight w:val="0"/>
      <w:marTop w:val="0"/>
      <w:marBottom w:val="0"/>
      <w:divBdr>
        <w:top w:val="none" w:sz="0" w:space="0" w:color="auto"/>
        <w:left w:val="none" w:sz="0" w:space="0" w:color="auto"/>
        <w:bottom w:val="none" w:sz="0" w:space="0" w:color="auto"/>
        <w:right w:val="none" w:sz="0" w:space="0" w:color="auto"/>
      </w:divBdr>
    </w:div>
    <w:div w:id="1902134034">
      <w:bodyDiv w:val="1"/>
      <w:marLeft w:val="0"/>
      <w:marRight w:val="0"/>
      <w:marTop w:val="0"/>
      <w:marBottom w:val="0"/>
      <w:divBdr>
        <w:top w:val="none" w:sz="0" w:space="0" w:color="auto"/>
        <w:left w:val="none" w:sz="0" w:space="0" w:color="auto"/>
        <w:bottom w:val="none" w:sz="0" w:space="0" w:color="auto"/>
        <w:right w:val="none" w:sz="0" w:space="0" w:color="auto"/>
      </w:divBdr>
      <w:divsChild>
        <w:div w:id="1003162661">
          <w:marLeft w:val="0"/>
          <w:marRight w:val="0"/>
          <w:marTop w:val="0"/>
          <w:marBottom w:val="0"/>
          <w:divBdr>
            <w:top w:val="none" w:sz="0" w:space="0" w:color="auto"/>
            <w:left w:val="none" w:sz="0" w:space="0" w:color="auto"/>
            <w:bottom w:val="none" w:sz="0" w:space="0" w:color="auto"/>
            <w:right w:val="none" w:sz="0" w:space="0" w:color="auto"/>
          </w:divBdr>
        </w:div>
        <w:div w:id="1109812576">
          <w:marLeft w:val="0"/>
          <w:marRight w:val="0"/>
          <w:marTop w:val="0"/>
          <w:marBottom w:val="0"/>
          <w:divBdr>
            <w:top w:val="none" w:sz="0" w:space="0" w:color="auto"/>
            <w:left w:val="none" w:sz="0" w:space="0" w:color="auto"/>
            <w:bottom w:val="none" w:sz="0" w:space="0" w:color="auto"/>
            <w:right w:val="none" w:sz="0" w:space="0" w:color="auto"/>
          </w:divBdr>
        </w:div>
      </w:divsChild>
    </w:div>
    <w:div w:id="1904952560">
      <w:bodyDiv w:val="1"/>
      <w:marLeft w:val="0"/>
      <w:marRight w:val="0"/>
      <w:marTop w:val="0"/>
      <w:marBottom w:val="0"/>
      <w:divBdr>
        <w:top w:val="none" w:sz="0" w:space="0" w:color="auto"/>
        <w:left w:val="none" w:sz="0" w:space="0" w:color="auto"/>
        <w:bottom w:val="none" w:sz="0" w:space="0" w:color="auto"/>
        <w:right w:val="none" w:sz="0" w:space="0" w:color="auto"/>
      </w:divBdr>
    </w:div>
    <w:div w:id="1935091711">
      <w:bodyDiv w:val="1"/>
      <w:marLeft w:val="0"/>
      <w:marRight w:val="0"/>
      <w:marTop w:val="0"/>
      <w:marBottom w:val="0"/>
      <w:divBdr>
        <w:top w:val="none" w:sz="0" w:space="0" w:color="auto"/>
        <w:left w:val="none" w:sz="0" w:space="0" w:color="auto"/>
        <w:bottom w:val="none" w:sz="0" w:space="0" w:color="auto"/>
        <w:right w:val="none" w:sz="0" w:space="0" w:color="auto"/>
      </w:divBdr>
    </w:div>
    <w:div w:id="1968270992">
      <w:bodyDiv w:val="1"/>
      <w:marLeft w:val="0"/>
      <w:marRight w:val="0"/>
      <w:marTop w:val="0"/>
      <w:marBottom w:val="0"/>
      <w:divBdr>
        <w:top w:val="none" w:sz="0" w:space="0" w:color="auto"/>
        <w:left w:val="none" w:sz="0" w:space="0" w:color="auto"/>
        <w:bottom w:val="none" w:sz="0" w:space="0" w:color="auto"/>
        <w:right w:val="none" w:sz="0" w:space="0" w:color="auto"/>
      </w:divBdr>
    </w:div>
    <w:div w:id="1997175277">
      <w:bodyDiv w:val="1"/>
      <w:marLeft w:val="0"/>
      <w:marRight w:val="0"/>
      <w:marTop w:val="0"/>
      <w:marBottom w:val="0"/>
      <w:divBdr>
        <w:top w:val="none" w:sz="0" w:space="0" w:color="auto"/>
        <w:left w:val="none" w:sz="0" w:space="0" w:color="auto"/>
        <w:bottom w:val="none" w:sz="0" w:space="0" w:color="auto"/>
        <w:right w:val="none" w:sz="0" w:space="0" w:color="auto"/>
      </w:divBdr>
    </w:div>
    <w:div w:id="2015453345">
      <w:bodyDiv w:val="1"/>
      <w:marLeft w:val="0"/>
      <w:marRight w:val="0"/>
      <w:marTop w:val="0"/>
      <w:marBottom w:val="0"/>
      <w:divBdr>
        <w:top w:val="none" w:sz="0" w:space="0" w:color="auto"/>
        <w:left w:val="none" w:sz="0" w:space="0" w:color="auto"/>
        <w:bottom w:val="none" w:sz="0" w:space="0" w:color="auto"/>
        <w:right w:val="none" w:sz="0" w:space="0" w:color="auto"/>
      </w:divBdr>
    </w:div>
    <w:div w:id="2066104887">
      <w:bodyDiv w:val="1"/>
      <w:marLeft w:val="0"/>
      <w:marRight w:val="0"/>
      <w:marTop w:val="0"/>
      <w:marBottom w:val="0"/>
      <w:divBdr>
        <w:top w:val="none" w:sz="0" w:space="0" w:color="auto"/>
        <w:left w:val="none" w:sz="0" w:space="0" w:color="auto"/>
        <w:bottom w:val="none" w:sz="0" w:space="0" w:color="auto"/>
        <w:right w:val="none" w:sz="0" w:space="0" w:color="auto"/>
      </w:divBdr>
      <w:divsChild>
        <w:div w:id="838694126">
          <w:marLeft w:val="0"/>
          <w:marRight w:val="0"/>
          <w:marTop w:val="0"/>
          <w:marBottom w:val="0"/>
          <w:divBdr>
            <w:top w:val="none" w:sz="0" w:space="0" w:color="auto"/>
            <w:left w:val="none" w:sz="0" w:space="0" w:color="auto"/>
            <w:bottom w:val="none" w:sz="0" w:space="0" w:color="auto"/>
            <w:right w:val="none" w:sz="0" w:space="0" w:color="auto"/>
          </w:divBdr>
        </w:div>
        <w:div w:id="1854876493">
          <w:marLeft w:val="0"/>
          <w:marRight w:val="0"/>
          <w:marTop w:val="0"/>
          <w:marBottom w:val="0"/>
          <w:divBdr>
            <w:top w:val="none" w:sz="0" w:space="0" w:color="auto"/>
            <w:left w:val="none" w:sz="0" w:space="0" w:color="auto"/>
            <w:bottom w:val="none" w:sz="0" w:space="0" w:color="auto"/>
            <w:right w:val="none" w:sz="0" w:space="0" w:color="auto"/>
          </w:divBdr>
        </w:div>
      </w:divsChild>
    </w:div>
    <w:div w:id="2081629763">
      <w:bodyDiv w:val="1"/>
      <w:marLeft w:val="0"/>
      <w:marRight w:val="0"/>
      <w:marTop w:val="0"/>
      <w:marBottom w:val="0"/>
      <w:divBdr>
        <w:top w:val="none" w:sz="0" w:space="0" w:color="auto"/>
        <w:left w:val="none" w:sz="0" w:space="0" w:color="auto"/>
        <w:bottom w:val="none" w:sz="0" w:space="0" w:color="auto"/>
        <w:right w:val="none" w:sz="0" w:space="0" w:color="auto"/>
      </w:divBdr>
    </w:div>
    <w:div w:id="2114591861">
      <w:bodyDiv w:val="1"/>
      <w:marLeft w:val="0"/>
      <w:marRight w:val="0"/>
      <w:marTop w:val="0"/>
      <w:marBottom w:val="0"/>
      <w:divBdr>
        <w:top w:val="none" w:sz="0" w:space="0" w:color="auto"/>
        <w:left w:val="none" w:sz="0" w:space="0" w:color="auto"/>
        <w:bottom w:val="none" w:sz="0" w:space="0" w:color="auto"/>
        <w:right w:val="none" w:sz="0" w:space="0" w:color="auto"/>
      </w:divBdr>
      <w:divsChild>
        <w:div w:id="8457106">
          <w:marLeft w:val="0"/>
          <w:marRight w:val="0"/>
          <w:marTop w:val="0"/>
          <w:marBottom w:val="0"/>
          <w:divBdr>
            <w:top w:val="none" w:sz="0" w:space="0" w:color="auto"/>
            <w:left w:val="none" w:sz="0" w:space="0" w:color="auto"/>
            <w:bottom w:val="none" w:sz="0" w:space="0" w:color="auto"/>
            <w:right w:val="none" w:sz="0" w:space="0" w:color="auto"/>
          </w:divBdr>
        </w:div>
        <w:div w:id="214901670">
          <w:marLeft w:val="0"/>
          <w:marRight w:val="0"/>
          <w:marTop w:val="0"/>
          <w:marBottom w:val="0"/>
          <w:divBdr>
            <w:top w:val="none" w:sz="0" w:space="0" w:color="auto"/>
            <w:left w:val="none" w:sz="0" w:space="0" w:color="auto"/>
            <w:bottom w:val="none" w:sz="0" w:space="0" w:color="auto"/>
            <w:right w:val="none" w:sz="0" w:space="0" w:color="auto"/>
          </w:divBdr>
        </w:div>
        <w:div w:id="915357777">
          <w:marLeft w:val="0"/>
          <w:marRight w:val="0"/>
          <w:marTop w:val="0"/>
          <w:marBottom w:val="0"/>
          <w:divBdr>
            <w:top w:val="none" w:sz="0" w:space="0" w:color="auto"/>
            <w:left w:val="none" w:sz="0" w:space="0" w:color="auto"/>
            <w:bottom w:val="none" w:sz="0" w:space="0" w:color="auto"/>
            <w:right w:val="none" w:sz="0" w:space="0" w:color="auto"/>
          </w:divBdr>
        </w:div>
        <w:div w:id="1499465038">
          <w:marLeft w:val="0"/>
          <w:marRight w:val="0"/>
          <w:marTop w:val="0"/>
          <w:marBottom w:val="0"/>
          <w:divBdr>
            <w:top w:val="none" w:sz="0" w:space="0" w:color="auto"/>
            <w:left w:val="none" w:sz="0" w:space="0" w:color="auto"/>
            <w:bottom w:val="none" w:sz="0" w:space="0" w:color="auto"/>
            <w:right w:val="none" w:sz="0" w:space="0" w:color="auto"/>
          </w:divBdr>
        </w:div>
      </w:divsChild>
    </w:div>
    <w:div w:id="21161727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Chu99</b:Tag>
    <b:SourceType>Book</b:SourceType>
    <b:Guid>{66BBD401-2916-49ED-BB6F-6944ECF2B9E1}</b:Guid>
    <b:LCID>en-GB</b:LCID>
    <b:Author>
      <b:Author>
        <b:NameList>
          <b:Person>
            <b:Last>Churchill</b:Last>
            <b:First>R.</b:First>
            <b:Middle>R.</b:Middle>
          </b:Person>
          <b:Person>
            <b:Last>Loöwe</b:Last>
            <b:First>A.</b:First>
            <b:Middle>V.</b:Middle>
          </b:Person>
        </b:NameList>
      </b:Author>
    </b:Author>
    <b:Title>The law of the Sea</b:Title>
    <b:Year>1999</b:Year>
    <b:City>Manchester</b:City>
    <b:Publisher>Manchester University Press</b:Publisher>
    <b:RefOrder>1</b:RefOrder>
  </b:Source>
</b:Sources>
</file>

<file path=customXml/itemProps1.xml><?xml version="1.0" encoding="utf-8"?>
<ds:datastoreItem xmlns:ds="http://schemas.openxmlformats.org/officeDocument/2006/customXml" ds:itemID="{C781BEE5-27B2-4EAF-926B-0623EF61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10890</Words>
  <Characters>68608</Characters>
  <Application>Microsoft Office Word</Application>
  <DocSecurity>0</DocSecurity>
  <Lines>571</Lines>
  <Paragraphs>158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2025-01-13T19:41:00Z</dcterms:created>
  <dcterms:modified xsi:type="dcterms:W3CDTF">2025-01-13T19:41:00Z</dcterms:modified>
</cp:coreProperties>
</file>