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851C7" w14:textId="77777777" w:rsidR="002A4673" w:rsidRPr="00140121" w:rsidRDefault="002A4673" w:rsidP="002A4673">
      <w:pPr>
        <w:spacing w:after="200" w:line="480" w:lineRule="auto"/>
        <w:ind w:firstLine="0"/>
        <w:jc w:val="right"/>
        <w:rPr>
          <w:b/>
          <w:sz w:val="32"/>
          <w:szCs w:val="32"/>
          <w:lang w:val="en-US"/>
        </w:rPr>
      </w:pPr>
      <w:r w:rsidRPr="00140121">
        <w:rPr>
          <w:b/>
          <w:sz w:val="32"/>
          <w:szCs w:val="32"/>
          <w:lang w:val="en-US"/>
        </w:rPr>
        <w:t>544R</w:t>
      </w:r>
    </w:p>
    <w:p w14:paraId="2FF63070" w14:textId="77777777" w:rsidR="002A4673" w:rsidRPr="00140121" w:rsidRDefault="002A4673" w:rsidP="002A4673">
      <w:pPr>
        <w:spacing w:after="200" w:line="480" w:lineRule="auto"/>
        <w:ind w:firstLine="0"/>
        <w:jc w:val="center"/>
        <w:rPr>
          <w:b/>
          <w:sz w:val="32"/>
          <w:szCs w:val="32"/>
          <w:lang w:val="en-US"/>
        </w:rPr>
      </w:pPr>
      <w:r w:rsidRPr="00140121">
        <w:rPr>
          <w:b/>
          <w:sz w:val="32"/>
          <w:szCs w:val="32"/>
          <w:lang w:val="en-US"/>
        </w:rPr>
        <w:t>INTERNATIONAL COURT OF JUSTICE</w:t>
      </w:r>
    </w:p>
    <w:p w14:paraId="12ACF6CE" w14:textId="77777777" w:rsidR="002A4673" w:rsidRPr="00140121" w:rsidRDefault="002A4673" w:rsidP="002A4673">
      <w:pPr>
        <w:spacing w:after="200" w:line="480" w:lineRule="auto"/>
        <w:ind w:firstLine="0"/>
        <w:jc w:val="center"/>
        <w:rPr>
          <w:lang w:val="en-US"/>
        </w:rPr>
      </w:pPr>
      <w:r w:rsidRPr="00140121">
        <w:rPr>
          <w:lang w:val="en-US"/>
        </w:rPr>
        <w:t xml:space="preserve">THE PEACE PALACE, </w:t>
      </w:r>
    </w:p>
    <w:p w14:paraId="10850692" w14:textId="77777777" w:rsidR="002A4673" w:rsidRPr="00140121" w:rsidRDefault="002A4673" w:rsidP="002A4673">
      <w:pPr>
        <w:spacing w:after="200" w:line="480" w:lineRule="auto"/>
        <w:ind w:firstLine="0"/>
        <w:jc w:val="center"/>
        <w:rPr>
          <w:b/>
          <w:sz w:val="32"/>
          <w:szCs w:val="32"/>
          <w:lang w:val="en-US"/>
        </w:rPr>
      </w:pPr>
      <w:r w:rsidRPr="00140121">
        <w:rPr>
          <w:lang w:val="en-US"/>
        </w:rPr>
        <w:t>THE HAGUE, THE NETHERLANDS</w:t>
      </w:r>
    </w:p>
    <w:p w14:paraId="5A59B853" w14:textId="77777777" w:rsidR="002A4673" w:rsidRPr="00140121" w:rsidRDefault="002A4673" w:rsidP="002A4673">
      <w:pPr>
        <w:spacing w:after="200" w:line="480" w:lineRule="auto"/>
        <w:ind w:firstLine="0"/>
        <w:jc w:val="center"/>
        <w:rPr>
          <w:b/>
          <w:sz w:val="28"/>
          <w:szCs w:val="28"/>
          <w:lang w:val="en-US"/>
        </w:rPr>
      </w:pPr>
      <w:r w:rsidRPr="00140121">
        <w:rPr>
          <w:b/>
          <w:sz w:val="28"/>
          <w:szCs w:val="28"/>
          <w:lang w:val="en-US"/>
        </w:rPr>
        <w:t>THE 2025 PHILIP C. JESSUP</w:t>
      </w:r>
    </w:p>
    <w:p w14:paraId="3F012537" w14:textId="77777777" w:rsidR="002A4673" w:rsidRPr="00140121" w:rsidRDefault="002A4673" w:rsidP="002A4673">
      <w:pPr>
        <w:spacing w:after="200" w:line="480" w:lineRule="auto"/>
        <w:ind w:firstLine="0"/>
        <w:jc w:val="center"/>
        <w:rPr>
          <w:b/>
          <w:sz w:val="28"/>
          <w:szCs w:val="28"/>
          <w:lang w:val="en-US"/>
        </w:rPr>
      </w:pPr>
      <w:r w:rsidRPr="00140121">
        <w:rPr>
          <w:b/>
          <w:sz w:val="28"/>
          <w:szCs w:val="28"/>
          <w:lang w:val="en-US"/>
        </w:rPr>
        <w:t>INTERNATIONAL LAW MOOT COURT COMPETITION</w:t>
      </w:r>
      <w:r w:rsidRPr="00140121">
        <w:rPr>
          <w:lang w:val="en-US"/>
        </w:rPr>
        <w:br/>
      </w:r>
      <w:r w:rsidRPr="00140121">
        <w:rPr>
          <w:noProof/>
          <w:lang w:val="en-US"/>
        </w:rPr>
        <w:drawing>
          <wp:inline distT="0" distB="0" distL="0" distR="0" wp14:anchorId="79A0B4A0" wp14:editId="253E5B8F">
            <wp:extent cx="1245476" cy="1245476"/>
            <wp:effectExtent l="0" t="0" r="0" b="0"/>
            <wp:docPr id="1776984322" name="Picture 9574148" descr="https://sndatun.files.wordpress.com/2015/11/icj-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74148"/>
                    <pic:cNvPicPr/>
                  </pic:nvPicPr>
                  <pic:blipFill>
                    <a:blip r:embed="rId8">
                      <a:extLst>
                        <a:ext uri="{28A0092B-C50C-407E-A947-70E740481C1C}">
                          <a14:useLocalDpi xmlns:a14="http://schemas.microsoft.com/office/drawing/2010/main" val="0"/>
                        </a:ext>
                      </a:extLst>
                    </a:blip>
                    <a:stretch>
                      <a:fillRect/>
                    </a:stretch>
                  </pic:blipFill>
                  <pic:spPr>
                    <a:xfrm>
                      <a:off x="0" y="0"/>
                      <a:ext cx="1245476" cy="1245476"/>
                    </a:xfrm>
                    <a:prstGeom prst="rect">
                      <a:avLst/>
                    </a:prstGeom>
                    <a:ln/>
                  </pic:spPr>
                </pic:pic>
              </a:graphicData>
            </a:graphic>
          </wp:inline>
        </w:drawing>
      </w:r>
    </w:p>
    <w:p w14:paraId="29FD7963" w14:textId="77777777" w:rsidR="002A4673" w:rsidRPr="00140121" w:rsidRDefault="002A4673" w:rsidP="002A4673">
      <w:pPr>
        <w:spacing w:after="200" w:line="480" w:lineRule="auto"/>
        <w:ind w:firstLine="0"/>
        <w:jc w:val="center"/>
        <w:rPr>
          <w:b/>
          <w:sz w:val="32"/>
          <w:szCs w:val="32"/>
          <w:lang w:val="en-US"/>
        </w:rPr>
      </w:pPr>
      <w:r w:rsidRPr="00140121">
        <w:rPr>
          <w:b/>
          <w:sz w:val="32"/>
          <w:szCs w:val="32"/>
          <w:lang w:val="en-US"/>
        </w:rPr>
        <w:t>THE CASE CONCERNING THE NAEGEA SEA</w:t>
      </w:r>
    </w:p>
    <w:p w14:paraId="7C268C99" w14:textId="77777777" w:rsidR="002A4673" w:rsidRPr="00140121" w:rsidRDefault="002A4673" w:rsidP="002A4673">
      <w:pPr>
        <w:spacing w:after="200" w:line="480" w:lineRule="auto"/>
        <w:ind w:firstLine="0"/>
        <w:jc w:val="center"/>
        <w:rPr>
          <w:lang w:val="en-US"/>
        </w:rPr>
      </w:pPr>
      <w:r w:rsidRPr="00140121">
        <w:rPr>
          <w:lang w:val="en-US"/>
        </w:rPr>
        <w:t xml:space="preserve">THE UNION OF AMBROSIA </w:t>
      </w:r>
    </w:p>
    <w:p w14:paraId="6DECCE47" w14:textId="77777777" w:rsidR="002A4673" w:rsidRPr="00140121" w:rsidRDefault="002A4673" w:rsidP="002A4673">
      <w:pPr>
        <w:spacing w:after="200" w:line="480" w:lineRule="auto"/>
        <w:ind w:firstLine="0"/>
        <w:jc w:val="center"/>
        <w:rPr>
          <w:lang w:val="en-US"/>
        </w:rPr>
      </w:pPr>
      <w:r w:rsidRPr="00140121">
        <w:rPr>
          <w:lang w:val="en-US"/>
        </w:rPr>
        <w:t>Applicant</w:t>
      </w:r>
    </w:p>
    <w:p w14:paraId="30B26E02" w14:textId="77777777" w:rsidR="002A4673" w:rsidRPr="00140121" w:rsidRDefault="002A4673" w:rsidP="002A4673">
      <w:pPr>
        <w:spacing w:after="200" w:line="480" w:lineRule="auto"/>
        <w:ind w:firstLine="0"/>
        <w:jc w:val="center"/>
        <w:rPr>
          <w:lang w:val="en-US"/>
        </w:rPr>
      </w:pPr>
      <w:r w:rsidRPr="00140121">
        <w:rPr>
          <w:lang w:val="en-US"/>
        </w:rPr>
        <w:t>v.</w:t>
      </w:r>
    </w:p>
    <w:p w14:paraId="48331213" w14:textId="77777777" w:rsidR="002A4673" w:rsidRPr="00140121" w:rsidRDefault="002A4673" w:rsidP="002A4673">
      <w:pPr>
        <w:spacing w:after="200" w:line="480" w:lineRule="auto"/>
        <w:ind w:firstLine="0"/>
        <w:jc w:val="center"/>
        <w:rPr>
          <w:lang w:val="en-US"/>
        </w:rPr>
      </w:pPr>
      <w:r w:rsidRPr="00140121">
        <w:rPr>
          <w:lang w:val="en-US"/>
        </w:rPr>
        <w:t xml:space="preserve">THE REPUBLIC OF ROVINIA </w:t>
      </w:r>
    </w:p>
    <w:p w14:paraId="18BA1F08" w14:textId="3649B639" w:rsidR="002A4673" w:rsidRDefault="002A4673" w:rsidP="00314196">
      <w:pPr>
        <w:pBdr>
          <w:bottom w:val="single" w:sz="6" w:space="10" w:color="auto"/>
        </w:pBdr>
        <w:spacing w:after="200" w:line="480" w:lineRule="auto"/>
        <w:ind w:firstLine="0"/>
        <w:jc w:val="center"/>
        <w:rPr>
          <w:lang w:val="en-US"/>
        </w:rPr>
      </w:pPr>
      <w:r w:rsidRPr="00140121">
        <w:rPr>
          <w:lang w:val="en-US"/>
        </w:rPr>
        <w:t>Respondent</w:t>
      </w:r>
    </w:p>
    <w:p w14:paraId="7537306A" w14:textId="0BB20948" w:rsidR="002A4673" w:rsidRPr="00314196" w:rsidRDefault="00314196" w:rsidP="00314196">
      <w:pPr>
        <w:spacing w:after="200" w:line="240" w:lineRule="auto"/>
        <w:ind w:firstLine="0"/>
        <w:jc w:val="center"/>
        <w:rPr>
          <w:b/>
          <w:bCs/>
          <w:sz w:val="32"/>
          <w:szCs w:val="32"/>
          <w:lang w:val="en-US"/>
        </w:rPr>
      </w:pPr>
      <w:r w:rsidRPr="00140121">
        <w:rPr>
          <w:b/>
          <w:bCs/>
          <w:sz w:val="32"/>
          <w:szCs w:val="32"/>
          <w:lang w:val="en-US"/>
        </w:rPr>
        <w:t>MEMORIAL FOR RESPONDENT</w:t>
      </w:r>
    </w:p>
    <w:p w14:paraId="473640B9" w14:textId="2388F722" w:rsidR="00245ABB" w:rsidRPr="00183F70" w:rsidRDefault="00245ABB" w:rsidP="00314196">
      <w:pPr>
        <w:pStyle w:val="Heading1"/>
      </w:pPr>
      <w:bookmarkStart w:id="0" w:name="_Toc187757574"/>
      <w:r w:rsidRPr="00183F70">
        <w:lastRenderedPageBreak/>
        <w:t>TABLE OF CONTENTS</w:t>
      </w:r>
      <w:bookmarkEnd w:id="0"/>
    </w:p>
    <w:p w14:paraId="474E25E6" w14:textId="63B24210" w:rsidR="00245ABB" w:rsidRPr="00183F70" w:rsidRDefault="00245ABB" w:rsidP="00245ABB">
      <w:pPr>
        <w:pStyle w:val="TOC1"/>
        <w:rPr>
          <w:rFonts w:eastAsiaTheme="minorEastAsia"/>
          <w:kern w:val="2"/>
          <w:lang w:val="en-US" w:eastAsia="zh-CN"/>
          <w14:ligatures w14:val="standardContextual"/>
        </w:rPr>
      </w:pPr>
      <w:r w:rsidRPr="00183F70">
        <w:fldChar w:fldCharType="begin"/>
      </w:r>
      <w:r w:rsidRPr="00183F70">
        <w:instrText xml:space="preserve"> TOC \o "1-5" \h \z \u </w:instrText>
      </w:r>
      <w:r w:rsidRPr="00183F70">
        <w:fldChar w:fldCharType="separate"/>
      </w:r>
      <w:hyperlink w:anchor="_Toc187757574" w:history="1">
        <w:r w:rsidRPr="00183F70">
          <w:rPr>
            <w:rStyle w:val="Hyperlink"/>
          </w:rPr>
          <w:t>TABLE OF CONTENTS</w:t>
        </w:r>
        <w:r w:rsidRPr="00183F70">
          <w:rPr>
            <w:webHidden/>
          </w:rPr>
          <w:tab/>
        </w:r>
        <w:r w:rsidRPr="00183F70">
          <w:rPr>
            <w:webHidden/>
          </w:rPr>
          <w:fldChar w:fldCharType="begin"/>
        </w:r>
        <w:r w:rsidRPr="00183F70">
          <w:rPr>
            <w:webHidden/>
          </w:rPr>
          <w:instrText xml:space="preserve"> PAGEREF _Toc187757574 \h </w:instrText>
        </w:r>
        <w:r w:rsidRPr="00183F70">
          <w:rPr>
            <w:webHidden/>
          </w:rPr>
        </w:r>
        <w:r w:rsidRPr="00183F70">
          <w:rPr>
            <w:webHidden/>
          </w:rPr>
          <w:fldChar w:fldCharType="separate"/>
        </w:r>
        <w:r w:rsidRPr="00183F70">
          <w:rPr>
            <w:webHidden/>
          </w:rPr>
          <w:t>ii</w:t>
        </w:r>
        <w:r w:rsidRPr="00183F70">
          <w:rPr>
            <w:webHidden/>
          </w:rPr>
          <w:fldChar w:fldCharType="end"/>
        </w:r>
      </w:hyperlink>
    </w:p>
    <w:p w14:paraId="1C10D20E" w14:textId="7A375752" w:rsidR="00245ABB" w:rsidRPr="00183F70" w:rsidRDefault="00245ABB" w:rsidP="00245ABB">
      <w:pPr>
        <w:pStyle w:val="TOC1"/>
        <w:rPr>
          <w:rFonts w:eastAsiaTheme="minorEastAsia"/>
          <w:kern w:val="2"/>
          <w:lang w:val="en-US" w:eastAsia="zh-CN"/>
          <w14:ligatures w14:val="standardContextual"/>
        </w:rPr>
      </w:pPr>
      <w:hyperlink w:anchor="_Toc187757575" w:history="1">
        <w:r w:rsidRPr="00183F70">
          <w:rPr>
            <w:rStyle w:val="Hyperlink"/>
          </w:rPr>
          <w:t>TABLE OF AUTHORITIES</w:t>
        </w:r>
        <w:r w:rsidRPr="00183F70">
          <w:rPr>
            <w:webHidden/>
          </w:rPr>
          <w:tab/>
        </w:r>
        <w:r w:rsidRPr="00183F70">
          <w:rPr>
            <w:webHidden/>
          </w:rPr>
          <w:fldChar w:fldCharType="begin"/>
        </w:r>
        <w:r w:rsidRPr="00183F70">
          <w:rPr>
            <w:webHidden/>
          </w:rPr>
          <w:instrText xml:space="preserve"> PAGEREF _Toc187757575 \h </w:instrText>
        </w:r>
        <w:r w:rsidRPr="00183F70">
          <w:rPr>
            <w:webHidden/>
          </w:rPr>
        </w:r>
        <w:r w:rsidRPr="00183F70">
          <w:rPr>
            <w:webHidden/>
          </w:rPr>
          <w:fldChar w:fldCharType="separate"/>
        </w:r>
        <w:r w:rsidRPr="00183F70">
          <w:rPr>
            <w:webHidden/>
          </w:rPr>
          <w:t>v</w:t>
        </w:r>
        <w:r w:rsidRPr="00183F70">
          <w:rPr>
            <w:webHidden/>
          </w:rPr>
          <w:fldChar w:fldCharType="end"/>
        </w:r>
      </w:hyperlink>
    </w:p>
    <w:p w14:paraId="4C573355" w14:textId="6423C9C6" w:rsidR="00245ABB" w:rsidRPr="00183F70" w:rsidRDefault="00245ABB" w:rsidP="00245ABB">
      <w:pPr>
        <w:pStyle w:val="TOC1"/>
        <w:rPr>
          <w:rFonts w:eastAsiaTheme="minorEastAsia"/>
          <w:kern w:val="2"/>
          <w:lang w:val="en-US" w:eastAsia="zh-CN"/>
          <w14:ligatures w14:val="standardContextual"/>
        </w:rPr>
      </w:pPr>
      <w:hyperlink w:anchor="_Toc187757576" w:history="1">
        <w:r w:rsidRPr="00183F70">
          <w:rPr>
            <w:rStyle w:val="Hyperlink"/>
            <w:lang w:val="en-US"/>
          </w:rPr>
          <w:t>STATEMENT OF JURISDICTION</w:t>
        </w:r>
        <w:r w:rsidRPr="00183F70">
          <w:rPr>
            <w:webHidden/>
          </w:rPr>
          <w:tab/>
        </w:r>
        <w:r w:rsidRPr="00183F70">
          <w:rPr>
            <w:webHidden/>
          </w:rPr>
          <w:fldChar w:fldCharType="begin"/>
        </w:r>
        <w:r w:rsidRPr="00183F70">
          <w:rPr>
            <w:webHidden/>
          </w:rPr>
          <w:instrText xml:space="preserve"> PAGEREF _Toc187757576 \h </w:instrText>
        </w:r>
        <w:r w:rsidRPr="00183F70">
          <w:rPr>
            <w:webHidden/>
          </w:rPr>
        </w:r>
        <w:r w:rsidRPr="00183F70">
          <w:rPr>
            <w:webHidden/>
          </w:rPr>
          <w:fldChar w:fldCharType="separate"/>
        </w:r>
        <w:r w:rsidRPr="00183F70">
          <w:rPr>
            <w:webHidden/>
          </w:rPr>
          <w:t>xiii</w:t>
        </w:r>
        <w:r w:rsidRPr="00183F70">
          <w:rPr>
            <w:webHidden/>
          </w:rPr>
          <w:fldChar w:fldCharType="end"/>
        </w:r>
      </w:hyperlink>
    </w:p>
    <w:p w14:paraId="48593253" w14:textId="5A63877D" w:rsidR="00245ABB" w:rsidRPr="00183F70" w:rsidRDefault="00245ABB" w:rsidP="00245ABB">
      <w:pPr>
        <w:pStyle w:val="TOC1"/>
        <w:rPr>
          <w:rFonts w:eastAsiaTheme="minorEastAsia"/>
          <w:kern w:val="2"/>
          <w:lang w:val="en-US" w:eastAsia="zh-CN"/>
          <w14:ligatures w14:val="standardContextual"/>
        </w:rPr>
      </w:pPr>
      <w:hyperlink w:anchor="_Toc187757577" w:history="1">
        <w:r w:rsidRPr="00183F70">
          <w:rPr>
            <w:rStyle w:val="Hyperlink"/>
            <w:lang w:val="en-US"/>
          </w:rPr>
          <w:t>STATEMENT OF FACTS</w:t>
        </w:r>
        <w:r w:rsidRPr="00183F70">
          <w:rPr>
            <w:webHidden/>
          </w:rPr>
          <w:tab/>
        </w:r>
        <w:r w:rsidRPr="00183F70">
          <w:rPr>
            <w:webHidden/>
          </w:rPr>
          <w:fldChar w:fldCharType="begin"/>
        </w:r>
        <w:r w:rsidRPr="00183F70">
          <w:rPr>
            <w:webHidden/>
          </w:rPr>
          <w:instrText xml:space="preserve"> PAGEREF _Toc187757577 \h </w:instrText>
        </w:r>
        <w:r w:rsidRPr="00183F70">
          <w:rPr>
            <w:webHidden/>
          </w:rPr>
        </w:r>
        <w:r w:rsidRPr="00183F70">
          <w:rPr>
            <w:webHidden/>
          </w:rPr>
          <w:fldChar w:fldCharType="separate"/>
        </w:r>
        <w:r w:rsidRPr="00183F70">
          <w:rPr>
            <w:webHidden/>
          </w:rPr>
          <w:t>xiv</w:t>
        </w:r>
        <w:r w:rsidRPr="00183F70">
          <w:rPr>
            <w:webHidden/>
          </w:rPr>
          <w:fldChar w:fldCharType="end"/>
        </w:r>
      </w:hyperlink>
    </w:p>
    <w:p w14:paraId="20EC69F4" w14:textId="61DA6AC3" w:rsidR="00245ABB" w:rsidRPr="00183F70" w:rsidRDefault="00245ABB" w:rsidP="00245ABB">
      <w:pPr>
        <w:pStyle w:val="TOC1"/>
        <w:rPr>
          <w:rFonts w:eastAsiaTheme="minorEastAsia"/>
          <w:kern w:val="2"/>
          <w:lang w:val="en-US" w:eastAsia="zh-CN"/>
          <w14:ligatures w14:val="standardContextual"/>
        </w:rPr>
      </w:pPr>
      <w:hyperlink w:anchor="_Toc187757578" w:history="1">
        <w:r w:rsidRPr="00183F70">
          <w:rPr>
            <w:rStyle w:val="Hyperlink"/>
            <w:lang w:val="en-US"/>
          </w:rPr>
          <w:t>SUMMARY OF PLEADINGS</w:t>
        </w:r>
        <w:r w:rsidRPr="00183F70">
          <w:rPr>
            <w:webHidden/>
          </w:rPr>
          <w:tab/>
        </w:r>
        <w:r w:rsidRPr="00183F70">
          <w:rPr>
            <w:webHidden/>
          </w:rPr>
          <w:fldChar w:fldCharType="begin"/>
        </w:r>
        <w:r w:rsidRPr="00183F70">
          <w:rPr>
            <w:webHidden/>
          </w:rPr>
          <w:instrText xml:space="preserve"> PAGEREF _Toc187757578 \h </w:instrText>
        </w:r>
        <w:r w:rsidRPr="00183F70">
          <w:rPr>
            <w:webHidden/>
          </w:rPr>
        </w:r>
        <w:r w:rsidRPr="00183F70">
          <w:rPr>
            <w:webHidden/>
          </w:rPr>
          <w:fldChar w:fldCharType="separate"/>
        </w:r>
        <w:r w:rsidRPr="00183F70">
          <w:rPr>
            <w:webHidden/>
          </w:rPr>
          <w:t>xviii</w:t>
        </w:r>
        <w:r w:rsidRPr="00183F70">
          <w:rPr>
            <w:webHidden/>
          </w:rPr>
          <w:fldChar w:fldCharType="end"/>
        </w:r>
      </w:hyperlink>
    </w:p>
    <w:p w14:paraId="28A97A47" w14:textId="731E64A8" w:rsidR="00245ABB" w:rsidRPr="00183F70" w:rsidRDefault="00245ABB" w:rsidP="00245ABB">
      <w:pPr>
        <w:pStyle w:val="TOC1"/>
        <w:rPr>
          <w:rFonts w:eastAsiaTheme="minorEastAsia"/>
          <w:kern w:val="2"/>
          <w:lang w:val="en-US" w:eastAsia="zh-CN"/>
          <w14:ligatures w14:val="standardContextual"/>
        </w:rPr>
      </w:pPr>
      <w:hyperlink w:anchor="_Toc187757579" w:history="1">
        <w:r w:rsidRPr="00183F70">
          <w:rPr>
            <w:rStyle w:val="Hyperlink"/>
          </w:rPr>
          <w:t>PLEADINGS</w:t>
        </w:r>
        <w:r w:rsidRPr="00183F70">
          <w:rPr>
            <w:webHidden/>
          </w:rPr>
          <w:tab/>
        </w:r>
        <w:r w:rsidRPr="00183F70">
          <w:rPr>
            <w:webHidden/>
          </w:rPr>
          <w:fldChar w:fldCharType="begin"/>
        </w:r>
        <w:r w:rsidRPr="00183F70">
          <w:rPr>
            <w:webHidden/>
          </w:rPr>
          <w:instrText xml:space="preserve"> PAGEREF _Toc187757579 \h </w:instrText>
        </w:r>
        <w:r w:rsidRPr="00183F70">
          <w:rPr>
            <w:webHidden/>
          </w:rPr>
        </w:r>
        <w:r w:rsidRPr="00183F70">
          <w:rPr>
            <w:webHidden/>
          </w:rPr>
          <w:fldChar w:fldCharType="separate"/>
        </w:r>
        <w:r w:rsidRPr="00183F70">
          <w:rPr>
            <w:webHidden/>
          </w:rPr>
          <w:t>1</w:t>
        </w:r>
        <w:r w:rsidRPr="00183F70">
          <w:rPr>
            <w:webHidden/>
          </w:rPr>
          <w:fldChar w:fldCharType="end"/>
        </w:r>
      </w:hyperlink>
    </w:p>
    <w:p w14:paraId="08C4B7F5" w14:textId="7CA56B20" w:rsidR="00245ABB" w:rsidRPr="00183F70" w:rsidRDefault="00245ABB" w:rsidP="00245ABB">
      <w:pPr>
        <w:pStyle w:val="TOC2"/>
        <w:rPr>
          <w:rFonts w:eastAsiaTheme="minorEastAsia"/>
          <w:kern w:val="2"/>
          <w:lang w:val="en-US" w:eastAsia="zh-CN"/>
          <w14:ligatures w14:val="standardContextual"/>
        </w:rPr>
      </w:pPr>
      <w:r w:rsidRPr="00183F70">
        <w:rPr>
          <w:rStyle w:val="Hyperlink"/>
          <w:color w:val="000000" w:themeColor="text1"/>
          <w:u w:val="none"/>
        </w:rPr>
        <w:t xml:space="preserve">I. </w:t>
      </w:r>
      <w:r w:rsidRPr="00183F70">
        <w:rPr>
          <w:rStyle w:val="Hyperlink"/>
          <w:color w:val="000000" w:themeColor="text1"/>
          <w:u w:val="none"/>
        </w:rPr>
        <w:tab/>
      </w:r>
      <w:hyperlink w:anchor="_Toc187757580" w:history="1">
        <w:r w:rsidRPr="00183F70">
          <w:rPr>
            <w:rStyle w:val="Hyperlink"/>
          </w:rPr>
          <w:t>The Court Lacks Jurisdiction to Entertain Ambrosia’s Submission (II) Because it is Outside the Scope of the Compromissory Clause of the OCDP Charter</w:t>
        </w:r>
        <w:r w:rsidRPr="00183F70">
          <w:rPr>
            <w:webHidden/>
          </w:rPr>
          <w:tab/>
        </w:r>
        <w:r w:rsidRPr="00183F70">
          <w:rPr>
            <w:webHidden/>
          </w:rPr>
          <w:fldChar w:fldCharType="begin"/>
        </w:r>
        <w:r w:rsidRPr="00183F70">
          <w:rPr>
            <w:webHidden/>
          </w:rPr>
          <w:instrText xml:space="preserve"> PAGEREF _Toc187757580 \h </w:instrText>
        </w:r>
        <w:r w:rsidRPr="00183F70">
          <w:rPr>
            <w:webHidden/>
          </w:rPr>
        </w:r>
        <w:r w:rsidRPr="00183F70">
          <w:rPr>
            <w:webHidden/>
          </w:rPr>
          <w:fldChar w:fldCharType="separate"/>
        </w:r>
        <w:r w:rsidRPr="00183F70">
          <w:rPr>
            <w:webHidden/>
          </w:rPr>
          <w:t>1</w:t>
        </w:r>
        <w:r w:rsidRPr="00183F70">
          <w:rPr>
            <w:webHidden/>
          </w:rPr>
          <w:fldChar w:fldCharType="end"/>
        </w:r>
      </w:hyperlink>
    </w:p>
    <w:p w14:paraId="7DD1F463" w14:textId="32F9B697" w:rsidR="00245ABB" w:rsidRPr="00183F70" w:rsidRDefault="00245ABB" w:rsidP="00245ABB">
      <w:pPr>
        <w:pStyle w:val="TOC3"/>
        <w:rPr>
          <w:rFonts w:eastAsiaTheme="minorEastAsia"/>
          <w:kern w:val="2"/>
          <w:lang w:val="en-US" w:eastAsia="zh-CN"/>
          <w14:ligatures w14:val="standardContextual"/>
        </w:rPr>
      </w:pPr>
      <w:r w:rsidRPr="00183F70">
        <w:rPr>
          <w:rStyle w:val="Hyperlink"/>
          <w:color w:val="000000" w:themeColor="text1"/>
          <w:u w:val="none"/>
        </w:rPr>
        <w:t xml:space="preserve">A. </w:t>
      </w:r>
      <w:hyperlink w:anchor="_Toc187757581" w:history="1">
        <w:r w:rsidRPr="00183F70">
          <w:rPr>
            <w:rStyle w:val="Hyperlink"/>
          </w:rPr>
          <w:t xml:space="preserve">The Court lacks jurisdiction </w:t>
        </w:r>
        <w:r w:rsidRPr="00183F70">
          <w:rPr>
            <w:rStyle w:val="Hyperlink"/>
            <w:i/>
            <w:iCs/>
          </w:rPr>
          <w:t>ratione temporis</w:t>
        </w:r>
        <w:r w:rsidRPr="00183F70">
          <w:rPr>
            <w:rStyle w:val="Hyperlink"/>
          </w:rPr>
          <w:t xml:space="preserve"> as the dispute arises out of facts or situations occurring prior to the entry into force of Article XXI</w:t>
        </w:r>
        <w:r w:rsidRPr="00183F70">
          <w:rPr>
            <w:webHidden/>
          </w:rPr>
          <w:tab/>
        </w:r>
        <w:r w:rsidRPr="00183F70">
          <w:rPr>
            <w:webHidden/>
          </w:rPr>
          <w:fldChar w:fldCharType="begin"/>
        </w:r>
        <w:r w:rsidRPr="00183F70">
          <w:rPr>
            <w:webHidden/>
          </w:rPr>
          <w:instrText xml:space="preserve"> PAGEREF _Toc187757581 \h </w:instrText>
        </w:r>
        <w:r w:rsidRPr="00183F70">
          <w:rPr>
            <w:webHidden/>
          </w:rPr>
        </w:r>
        <w:r w:rsidRPr="00183F70">
          <w:rPr>
            <w:webHidden/>
          </w:rPr>
          <w:fldChar w:fldCharType="separate"/>
        </w:r>
        <w:r w:rsidRPr="00183F70">
          <w:rPr>
            <w:webHidden/>
          </w:rPr>
          <w:t>1</w:t>
        </w:r>
        <w:r w:rsidRPr="00183F70">
          <w:rPr>
            <w:webHidden/>
          </w:rPr>
          <w:fldChar w:fldCharType="end"/>
        </w:r>
      </w:hyperlink>
    </w:p>
    <w:p w14:paraId="7A99779E" w14:textId="4CDB1BF3" w:rsidR="00245ABB" w:rsidRPr="00183F70" w:rsidRDefault="00245ABB" w:rsidP="001924EE">
      <w:pPr>
        <w:pStyle w:val="TOC4"/>
        <w:rPr>
          <w:rFonts w:eastAsiaTheme="minorEastAsia"/>
          <w:kern w:val="2"/>
          <w:u w:val="single"/>
          <w:lang w:val="en-US" w:eastAsia="zh-CN"/>
          <w14:ligatures w14:val="standardContextual"/>
        </w:rPr>
      </w:pPr>
      <w:hyperlink w:anchor="_Toc187757582" w:history="1">
        <w:r w:rsidRPr="00183F70">
          <w:rPr>
            <w:rStyle w:val="Hyperlink"/>
          </w:rPr>
          <w:t>1.</w:t>
        </w:r>
        <w:r w:rsidRPr="00183F70">
          <w:rPr>
            <w:rFonts w:eastAsiaTheme="minorEastAsia"/>
            <w:kern w:val="2"/>
            <w:lang w:val="en-US" w:eastAsia="zh-CN"/>
            <w14:ligatures w14:val="standardContextual"/>
          </w:rPr>
          <w:tab/>
        </w:r>
        <w:r w:rsidRPr="00183F70">
          <w:rPr>
            <w:rStyle w:val="Hyperlink"/>
          </w:rPr>
          <w:t>In determining what “facts or situations” give rise to a dispute, the “real cause” must be ascertaine</w:t>
        </w:r>
        <w:r w:rsidRPr="00183F70">
          <w:rPr>
            <w:rStyle w:val="Hyperlink"/>
            <w:u w:val="none"/>
          </w:rPr>
          <w:t>d</w:t>
        </w:r>
        <w:r w:rsidRPr="00183F70">
          <w:rPr>
            <w:webHidden/>
          </w:rPr>
          <w:tab/>
        </w:r>
        <w:r w:rsidRPr="00183F70">
          <w:rPr>
            <w:webHidden/>
          </w:rPr>
          <w:fldChar w:fldCharType="begin"/>
        </w:r>
        <w:r w:rsidRPr="00183F70">
          <w:rPr>
            <w:webHidden/>
          </w:rPr>
          <w:instrText xml:space="preserve"> PAGEREF _Toc187757582 \h </w:instrText>
        </w:r>
        <w:r w:rsidRPr="00183F70">
          <w:rPr>
            <w:webHidden/>
          </w:rPr>
        </w:r>
        <w:r w:rsidRPr="00183F70">
          <w:rPr>
            <w:webHidden/>
          </w:rPr>
          <w:fldChar w:fldCharType="separate"/>
        </w:r>
        <w:r w:rsidRPr="00183F70">
          <w:rPr>
            <w:webHidden/>
          </w:rPr>
          <w:t>2</w:t>
        </w:r>
        <w:r w:rsidRPr="00183F70">
          <w:rPr>
            <w:webHidden/>
          </w:rPr>
          <w:fldChar w:fldCharType="end"/>
        </w:r>
      </w:hyperlink>
    </w:p>
    <w:p w14:paraId="6C8ED9C3" w14:textId="1AEC58EF" w:rsidR="00245ABB" w:rsidRPr="00183F70" w:rsidRDefault="00245ABB" w:rsidP="001924EE">
      <w:pPr>
        <w:pStyle w:val="TOC4"/>
        <w:rPr>
          <w:rFonts w:eastAsiaTheme="minorEastAsia"/>
          <w:kern w:val="2"/>
          <w:lang w:val="en-US" w:eastAsia="zh-CN"/>
          <w14:ligatures w14:val="standardContextual"/>
        </w:rPr>
      </w:pPr>
      <w:hyperlink w:anchor="_Toc187757583" w:history="1">
        <w:r w:rsidRPr="00183F70">
          <w:rPr>
            <w:rStyle w:val="Hyperlink"/>
          </w:rPr>
          <w:t>2.</w:t>
        </w:r>
        <w:r w:rsidRPr="00183F70">
          <w:rPr>
            <w:rFonts w:eastAsiaTheme="minorEastAsia"/>
            <w:kern w:val="2"/>
            <w:lang w:val="en-US" w:eastAsia="zh-CN"/>
            <w14:ligatures w14:val="standardContextual"/>
          </w:rPr>
          <w:tab/>
        </w:r>
        <w:r w:rsidRPr="00183F70">
          <w:rPr>
            <w:rStyle w:val="Hyperlink"/>
          </w:rPr>
          <w:t>The Court must determine whether the dispute can be adjudicated separately from facts or situations that occur before the acceptance of the Court’s jurisdiction</w:t>
        </w:r>
        <w:r w:rsidRPr="00183F70">
          <w:rPr>
            <w:webHidden/>
          </w:rPr>
          <w:tab/>
        </w:r>
        <w:r w:rsidRPr="00183F70">
          <w:rPr>
            <w:webHidden/>
          </w:rPr>
          <w:fldChar w:fldCharType="begin"/>
        </w:r>
        <w:r w:rsidRPr="00183F70">
          <w:rPr>
            <w:webHidden/>
          </w:rPr>
          <w:instrText xml:space="preserve"> PAGEREF _Toc187757583 \h </w:instrText>
        </w:r>
        <w:r w:rsidRPr="00183F70">
          <w:rPr>
            <w:webHidden/>
          </w:rPr>
        </w:r>
        <w:r w:rsidRPr="00183F70">
          <w:rPr>
            <w:webHidden/>
          </w:rPr>
          <w:fldChar w:fldCharType="separate"/>
        </w:r>
        <w:r w:rsidRPr="00183F70">
          <w:rPr>
            <w:webHidden/>
          </w:rPr>
          <w:t>2</w:t>
        </w:r>
        <w:r w:rsidRPr="00183F70">
          <w:rPr>
            <w:webHidden/>
          </w:rPr>
          <w:fldChar w:fldCharType="end"/>
        </w:r>
      </w:hyperlink>
    </w:p>
    <w:p w14:paraId="3F45074D" w14:textId="3F1D07CB" w:rsidR="00245ABB" w:rsidRPr="00183F70" w:rsidRDefault="00245ABB" w:rsidP="001924EE">
      <w:pPr>
        <w:pStyle w:val="TOC4"/>
        <w:rPr>
          <w:rFonts w:eastAsiaTheme="minorEastAsia"/>
          <w:kern w:val="2"/>
          <w:lang w:val="en-US" w:eastAsia="zh-CN"/>
          <w14:ligatures w14:val="standardContextual"/>
        </w:rPr>
      </w:pPr>
      <w:hyperlink w:anchor="_Toc187757584" w:history="1">
        <w:r w:rsidRPr="00183F70">
          <w:rPr>
            <w:rStyle w:val="Hyperlink"/>
          </w:rPr>
          <w:t>3.</w:t>
        </w:r>
        <w:r w:rsidRPr="00183F70">
          <w:rPr>
            <w:rFonts w:eastAsiaTheme="minorEastAsia"/>
            <w:kern w:val="2"/>
            <w:lang w:val="en-US" w:eastAsia="zh-CN"/>
            <w14:ligatures w14:val="standardContextual"/>
          </w:rPr>
          <w:tab/>
        </w:r>
        <w:r w:rsidRPr="00183F70">
          <w:rPr>
            <w:rStyle w:val="Hyperlink"/>
          </w:rPr>
          <w:t xml:space="preserve">In the present case, the Court lacks jurisdiction </w:t>
        </w:r>
        <w:r w:rsidRPr="00183F70">
          <w:rPr>
            <w:rStyle w:val="Hyperlink"/>
            <w:i/>
          </w:rPr>
          <w:t>ratione temporis</w:t>
        </w:r>
        <w:r w:rsidRPr="00183F70">
          <w:rPr>
            <w:rStyle w:val="Hyperlink"/>
          </w:rPr>
          <w:t xml:space="preserve"> because it cannot adjudicate the dispute separately from such facts</w:t>
        </w:r>
        <w:r w:rsidRPr="00183F70">
          <w:rPr>
            <w:webHidden/>
          </w:rPr>
          <w:tab/>
        </w:r>
        <w:r w:rsidRPr="00183F70">
          <w:rPr>
            <w:webHidden/>
          </w:rPr>
          <w:fldChar w:fldCharType="begin"/>
        </w:r>
        <w:r w:rsidRPr="00183F70">
          <w:rPr>
            <w:webHidden/>
          </w:rPr>
          <w:instrText xml:space="preserve"> PAGEREF _Toc187757584 \h </w:instrText>
        </w:r>
        <w:r w:rsidRPr="00183F70">
          <w:rPr>
            <w:webHidden/>
          </w:rPr>
        </w:r>
        <w:r w:rsidRPr="00183F70">
          <w:rPr>
            <w:webHidden/>
          </w:rPr>
          <w:fldChar w:fldCharType="separate"/>
        </w:r>
        <w:r w:rsidRPr="00183F70">
          <w:rPr>
            <w:webHidden/>
          </w:rPr>
          <w:t>3</w:t>
        </w:r>
        <w:r w:rsidRPr="00183F70">
          <w:rPr>
            <w:webHidden/>
          </w:rPr>
          <w:fldChar w:fldCharType="end"/>
        </w:r>
      </w:hyperlink>
    </w:p>
    <w:p w14:paraId="5635D962" w14:textId="146D7BB6"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585" w:history="1">
        <w:r w:rsidRPr="00183F70">
          <w:rPr>
            <w:rStyle w:val="Hyperlink"/>
            <w:rFonts w:ascii="Times New Roman" w:hAnsi="Times New Roman" w:cs="Times New Roman"/>
            <w:noProof/>
            <w:sz w:val="24"/>
            <w:szCs w:val="24"/>
          </w:rPr>
          <w:t>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The scope of Rovinia’s criminal jurisdiction depends on facts before 17 March 2021.</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_Toc187757585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3</w:t>
        </w:r>
        <w:r w:rsidRPr="00183F70">
          <w:rPr>
            <w:rFonts w:ascii="Times New Roman" w:hAnsi="Times New Roman" w:cs="Times New Roman"/>
            <w:noProof/>
            <w:webHidden/>
            <w:sz w:val="24"/>
            <w:szCs w:val="24"/>
          </w:rPr>
          <w:fldChar w:fldCharType="end"/>
        </w:r>
      </w:hyperlink>
    </w:p>
    <w:p w14:paraId="6AE15838" w14:textId="24CFE67E"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586" w:history="1">
        <w:r w:rsidRPr="00183F70">
          <w:rPr>
            <w:rStyle w:val="Hyperlink"/>
            <w:rFonts w:ascii="Times New Roman" w:hAnsi="Times New Roman" w:cs="Times New Roman"/>
            <w:noProof/>
            <w:sz w:val="24"/>
            <w:szCs w:val="24"/>
          </w:rPr>
          <w:t>ii.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The scope of immunities that Ms. Cross may enjoy depends on facts before 17 March 2021</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_Toc187757586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4</w:t>
        </w:r>
        <w:r w:rsidRPr="00183F70">
          <w:rPr>
            <w:rFonts w:ascii="Times New Roman" w:hAnsi="Times New Roman" w:cs="Times New Roman"/>
            <w:noProof/>
            <w:webHidden/>
            <w:sz w:val="24"/>
            <w:szCs w:val="24"/>
          </w:rPr>
          <w:fldChar w:fldCharType="end"/>
        </w:r>
      </w:hyperlink>
    </w:p>
    <w:p w14:paraId="62025174" w14:textId="5249606C" w:rsidR="00245ABB" w:rsidRPr="00183F70" w:rsidRDefault="00245ABB" w:rsidP="00245ABB">
      <w:pPr>
        <w:pStyle w:val="TOC3"/>
        <w:rPr>
          <w:rFonts w:eastAsiaTheme="minorEastAsia"/>
          <w:kern w:val="2"/>
          <w:lang w:val="en-US" w:eastAsia="zh-CN"/>
          <w14:ligatures w14:val="standardContextual"/>
        </w:rPr>
      </w:pPr>
      <w:hyperlink w:anchor="_Toc187757587" w:history="1">
        <w:r w:rsidRPr="00183F70">
          <w:rPr>
            <w:rStyle w:val="Hyperlink"/>
          </w:rPr>
          <w:t>B.</w:t>
        </w:r>
        <w:r w:rsidRPr="00183F70">
          <w:rPr>
            <w:rFonts w:eastAsiaTheme="minorEastAsia"/>
            <w:kern w:val="2"/>
            <w:lang w:val="en-US" w:eastAsia="zh-CN"/>
            <w14:ligatures w14:val="standardContextual"/>
          </w:rPr>
          <w:tab/>
        </w:r>
        <w:r w:rsidRPr="00183F70">
          <w:rPr>
            <w:rStyle w:val="Hyperlink"/>
          </w:rPr>
          <w:t xml:space="preserve">The Court lacks jurisdiction </w:t>
        </w:r>
        <w:r w:rsidRPr="00183F70">
          <w:rPr>
            <w:rStyle w:val="Hyperlink"/>
            <w:i/>
          </w:rPr>
          <w:t>ratione materiae</w:t>
        </w:r>
        <w:r w:rsidRPr="00183F70">
          <w:rPr>
            <w:rStyle w:val="Hyperlink"/>
          </w:rPr>
          <w:t xml:space="preserve"> as the dispute relates to judicial proceedings on a “matter” essentially within a Member State’s domestic jurisdiction</w:t>
        </w:r>
        <w:r w:rsidRPr="00183F70">
          <w:rPr>
            <w:webHidden/>
          </w:rPr>
          <w:tab/>
        </w:r>
        <w:r w:rsidRPr="00183F70">
          <w:rPr>
            <w:webHidden/>
          </w:rPr>
          <w:fldChar w:fldCharType="begin"/>
        </w:r>
        <w:r w:rsidRPr="00183F70">
          <w:rPr>
            <w:webHidden/>
          </w:rPr>
          <w:instrText xml:space="preserve"> PAGEREF _Toc187757587 \h </w:instrText>
        </w:r>
        <w:r w:rsidRPr="00183F70">
          <w:rPr>
            <w:webHidden/>
          </w:rPr>
        </w:r>
        <w:r w:rsidRPr="00183F70">
          <w:rPr>
            <w:webHidden/>
          </w:rPr>
          <w:fldChar w:fldCharType="separate"/>
        </w:r>
        <w:r w:rsidRPr="00183F70">
          <w:rPr>
            <w:webHidden/>
          </w:rPr>
          <w:t>5</w:t>
        </w:r>
        <w:r w:rsidRPr="00183F70">
          <w:rPr>
            <w:webHidden/>
          </w:rPr>
          <w:fldChar w:fldCharType="end"/>
        </w:r>
      </w:hyperlink>
    </w:p>
    <w:p w14:paraId="0DFBCBC0" w14:textId="14DAD626" w:rsidR="00245ABB" w:rsidRPr="00183F70" w:rsidRDefault="00245ABB" w:rsidP="001924EE">
      <w:pPr>
        <w:pStyle w:val="TOC4"/>
        <w:rPr>
          <w:rFonts w:eastAsiaTheme="minorEastAsia"/>
          <w:kern w:val="2"/>
          <w:lang w:val="en-US" w:eastAsia="zh-CN"/>
          <w14:ligatures w14:val="standardContextual"/>
        </w:rPr>
      </w:pPr>
      <w:hyperlink w:anchor="_Toc187757588" w:history="1">
        <w:r w:rsidRPr="00183F70">
          <w:rPr>
            <w:rStyle w:val="Hyperlink"/>
          </w:rPr>
          <w:t>1.</w:t>
        </w:r>
        <w:r w:rsidRPr="00183F70">
          <w:rPr>
            <w:rFonts w:eastAsiaTheme="minorEastAsia"/>
            <w:kern w:val="2"/>
            <w:lang w:val="en-US" w:eastAsia="zh-CN"/>
            <w14:ligatures w14:val="standardContextual"/>
          </w:rPr>
          <w:tab/>
        </w:r>
        <w:r w:rsidRPr="00183F70">
          <w:rPr>
            <w:rStyle w:val="Hyperlink"/>
          </w:rPr>
          <w:t>In drafting Article XXI, Member States specifically intended to exclude the prosecution of domestic crimes from the jurisdiction of the Court</w:t>
        </w:r>
        <w:r w:rsidRPr="00183F70">
          <w:rPr>
            <w:webHidden/>
          </w:rPr>
          <w:tab/>
        </w:r>
        <w:r w:rsidRPr="00183F70">
          <w:rPr>
            <w:webHidden/>
          </w:rPr>
          <w:fldChar w:fldCharType="begin"/>
        </w:r>
        <w:r w:rsidRPr="00183F70">
          <w:rPr>
            <w:webHidden/>
          </w:rPr>
          <w:instrText xml:space="preserve"> PAGEREF _Toc187757588 \h </w:instrText>
        </w:r>
        <w:r w:rsidRPr="00183F70">
          <w:rPr>
            <w:webHidden/>
          </w:rPr>
        </w:r>
        <w:r w:rsidRPr="00183F70">
          <w:rPr>
            <w:webHidden/>
          </w:rPr>
          <w:fldChar w:fldCharType="separate"/>
        </w:r>
        <w:r w:rsidRPr="00183F70">
          <w:rPr>
            <w:webHidden/>
          </w:rPr>
          <w:t>5</w:t>
        </w:r>
        <w:r w:rsidRPr="00183F70">
          <w:rPr>
            <w:webHidden/>
          </w:rPr>
          <w:fldChar w:fldCharType="end"/>
        </w:r>
      </w:hyperlink>
    </w:p>
    <w:p w14:paraId="0FC43ADA" w14:textId="59D8272A"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589" w:history="1">
        <w:r w:rsidRPr="00183F70">
          <w:rPr>
            <w:rStyle w:val="Hyperlink"/>
            <w:rFonts w:ascii="Times New Roman" w:hAnsi="Times New Roman" w:cs="Times New Roman"/>
            <w:noProof/>
            <w:sz w:val="24"/>
            <w:szCs w:val="24"/>
          </w:rPr>
          <w:t>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Applying the general rules of treaty interpretation, the States Parties intended that the prosecution of domestic crimes should not be subject to the Court’s jurisdiction</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_Toc187757589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5</w:t>
        </w:r>
        <w:r w:rsidRPr="00183F70">
          <w:rPr>
            <w:rFonts w:ascii="Times New Roman" w:hAnsi="Times New Roman" w:cs="Times New Roman"/>
            <w:noProof/>
            <w:webHidden/>
            <w:sz w:val="24"/>
            <w:szCs w:val="24"/>
          </w:rPr>
          <w:fldChar w:fldCharType="end"/>
        </w:r>
      </w:hyperlink>
    </w:p>
    <w:p w14:paraId="76127636" w14:textId="0D62F239"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590" w:history="1">
        <w:r w:rsidRPr="00183F70">
          <w:rPr>
            <w:rStyle w:val="Hyperlink"/>
            <w:rFonts w:ascii="Times New Roman" w:hAnsi="Times New Roman" w:cs="Times New Roman"/>
            <w:noProof/>
            <w:sz w:val="24"/>
            <w:szCs w:val="24"/>
          </w:rPr>
          <w:t>ii.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Applying supplementary means of interpretation, this conclusion is supported by the travaux préparatoires to Article XXI.</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_Toc187757590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6</w:t>
        </w:r>
        <w:r w:rsidRPr="00183F70">
          <w:rPr>
            <w:rFonts w:ascii="Times New Roman" w:hAnsi="Times New Roman" w:cs="Times New Roman"/>
            <w:noProof/>
            <w:webHidden/>
            <w:sz w:val="24"/>
            <w:szCs w:val="24"/>
          </w:rPr>
          <w:fldChar w:fldCharType="end"/>
        </w:r>
      </w:hyperlink>
    </w:p>
    <w:p w14:paraId="3D4DFE96" w14:textId="2654973F" w:rsidR="00245ABB" w:rsidRPr="00183F70" w:rsidRDefault="00245ABB" w:rsidP="001924EE">
      <w:pPr>
        <w:pStyle w:val="TOC4"/>
        <w:rPr>
          <w:rFonts w:eastAsiaTheme="minorEastAsia"/>
          <w:kern w:val="2"/>
          <w:lang w:val="en-US" w:eastAsia="zh-CN"/>
          <w14:ligatures w14:val="standardContextual"/>
        </w:rPr>
      </w:pPr>
      <w:hyperlink w:anchor="_Toc187757591" w:history="1">
        <w:r w:rsidRPr="00183F70">
          <w:rPr>
            <w:rStyle w:val="Hyperlink"/>
          </w:rPr>
          <w:t>2.</w:t>
        </w:r>
        <w:r w:rsidRPr="00183F70">
          <w:rPr>
            <w:rFonts w:eastAsiaTheme="minorEastAsia"/>
            <w:kern w:val="2"/>
            <w:lang w:val="en-US" w:eastAsia="zh-CN"/>
            <w14:ligatures w14:val="standardContextual"/>
          </w:rPr>
          <w:tab/>
        </w:r>
        <w:r w:rsidRPr="00183F70">
          <w:rPr>
            <w:rStyle w:val="Hyperlink"/>
          </w:rPr>
          <w:t>The prosecution of domestic crimes is, objectively speaking, a “matter” essentially within a Member State’s domestic jurisdiction</w:t>
        </w:r>
        <w:r w:rsidRPr="00183F70">
          <w:rPr>
            <w:webHidden/>
          </w:rPr>
          <w:tab/>
        </w:r>
        <w:r w:rsidRPr="00183F70">
          <w:rPr>
            <w:webHidden/>
          </w:rPr>
          <w:fldChar w:fldCharType="begin"/>
        </w:r>
        <w:r w:rsidRPr="00183F70">
          <w:rPr>
            <w:webHidden/>
          </w:rPr>
          <w:instrText xml:space="preserve"> PAGEREF _Toc187757591 \h </w:instrText>
        </w:r>
        <w:r w:rsidRPr="00183F70">
          <w:rPr>
            <w:webHidden/>
          </w:rPr>
        </w:r>
        <w:r w:rsidRPr="00183F70">
          <w:rPr>
            <w:webHidden/>
          </w:rPr>
          <w:fldChar w:fldCharType="separate"/>
        </w:r>
        <w:r w:rsidRPr="00183F70">
          <w:rPr>
            <w:webHidden/>
          </w:rPr>
          <w:t>7</w:t>
        </w:r>
        <w:r w:rsidRPr="00183F70">
          <w:rPr>
            <w:webHidden/>
          </w:rPr>
          <w:fldChar w:fldCharType="end"/>
        </w:r>
      </w:hyperlink>
    </w:p>
    <w:p w14:paraId="742C9BD4" w14:textId="1F845535"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592" w:history="1">
        <w:r w:rsidRPr="00183F70">
          <w:rPr>
            <w:rStyle w:val="Hyperlink"/>
            <w:rFonts w:ascii="Times New Roman" w:hAnsi="Times New Roman" w:cs="Times New Roman"/>
            <w:noProof/>
            <w:sz w:val="24"/>
            <w:szCs w:val="24"/>
          </w:rPr>
          <w:t>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The “matter” within judicial proceedings must be essentially within Rovinia’s domestic jurisdiction</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_Toc187757592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7</w:t>
        </w:r>
        <w:r w:rsidRPr="00183F70">
          <w:rPr>
            <w:rFonts w:ascii="Times New Roman" w:hAnsi="Times New Roman" w:cs="Times New Roman"/>
            <w:noProof/>
            <w:webHidden/>
            <w:sz w:val="24"/>
            <w:szCs w:val="24"/>
          </w:rPr>
          <w:fldChar w:fldCharType="end"/>
        </w:r>
      </w:hyperlink>
    </w:p>
    <w:p w14:paraId="6E62FDF6" w14:textId="364A4327"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593" w:history="1">
        <w:r w:rsidRPr="00183F70">
          <w:rPr>
            <w:rStyle w:val="Hyperlink"/>
            <w:rFonts w:ascii="Times New Roman" w:hAnsi="Times New Roman" w:cs="Times New Roman"/>
            <w:noProof/>
            <w:sz w:val="24"/>
            <w:szCs w:val="24"/>
          </w:rPr>
          <w:t>ii.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The prosecution of domestic crimes, objectively assessed, is a “matter” essentially within domestic jurisdiction</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_Toc187757593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7</w:t>
        </w:r>
        <w:r w:rsidRPr="00183F70">
          <w:rPr>
            <w:rFonts w:ascii="Times New Roman" w:hAnsi="Times New Roman" w:cs="Times New Roman"/>
            <w:noProof/>
            <w:webHidden/>
            <w:sz w:val="24"/>
            <w:szCs w:val="24"/>
          </w:rPr>
          <w:fldChar w:fldCharType="end"/>
        </w:r>
      </w:hyperlink>
    </w:p>
    <w:p w14:paraId="66B5C093" w14:textId="5DE42195"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594" w:history="1">
        <w:r w:rsidRPr="00183F70">
          <w:rPr>
            <w:rStyle w:val="Hyperlink"/>
            <w:rFonts w:ascii="Times New Roman" w:hAnsi="Times New Roman" w:cs="Times New Roman"/>
            <w:noProof/>
            <w:sz w:val="24"/>
            <w:szCs w:val="24"/>
          </w:rPr>
          <w:t>iii.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The determination of matters “essentially” within domestic jurisdiction possesses an inherently subjective element.</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_Toc187757594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8</w:t>
        </w:r>
        <w:r w:rsidRPr="00183F70">
          <w:rPr>
            <w:rFonts w:ascii="Times New Roman" w:hAnsi="Times New Roman" w:cs="Times New Roman"/>
            <w:noProof/>
            <w:webHidden/>
            <w:sz w:val="24"/>
            <w:szCs w:val="24"/>
          </w:rPr>
          <w:fldChar w:fldCharType="end"/>
        </w:r>
      </w:hyperlink>
    </w:p>
    <w:p w14:paraId="65A9AB21" w14:textId="693B3543" w:rsidR="00245ABB" w:rsidRPr="00183F70" w:rsidRDefault="00245ABB" w:rsidP="00245ABB">
      <w:pPr>
        <w:pStyle w:val="TOC2"/>
        <w:rPr>
          <w:rFonts w:eastAsiaTheme="minorEastAsia"/>
          <w:kern w:val="2"/>
          <w:lang w:val="en-US" w:eastAsia="zh-CN"/>
          <w14:ligatures w14:val="standardContextual"/>
        </w:rPr>
      </w:pPr>
      <w:hyperlink w:anchor="_Toc187757595" w:history="1">
        <w:r w:rsidRPr="00183F70">
          <w:rPr>
            <w:rStyle w:val="Hyperlink"/>
          </w:rPr>
          <w:t>II.</w:t>
        </w:r>
        <w:r w:rsidRPr="00183F70">
          <w:rPr>
            <w:rFonts w:eastAsiaTheme="minorEastAsia"/>
            <w:kern w:val="2"/>
            <w:lang w:val="en-US" w:eastAsia="zh-CN"/>
            <w14:ligatures w14:val="standardContextual"/>
          </w:rPr>
          <w:tab/>
        </w:r>
        <w:r w:rsidRPr="00183F70">
          <w:rPr>
            <w:rStyle w:val="Hyperlink"/>
          </w:rPr>
          <w:t>Rovinia’s Assertion of Criminal Jurisdiction Over Ms. Cross, and Her Arrest and Prosecution, Are Consistent with International Law</w:t>
        </w:r>
        <w:r w:rsidRPr="00183F70">
          <w:rPr>
            <w:webHidden/>
          </w:rPr>
          <w:tab/>
        </w:r>
        <w:r w:rsidRPr="00183F70">
          <w:rPr>
            <w:webHidden/>
          </w:rPr>
          <w:fldChar w:fldCharType="begin"/>
        </w:r>
        <w:r w:rsidRPr="00183F70">
          <w:rPr>
            <w:webHidden/>
          </w:rPr>
          <w:instrText xml:space="preserve"> PAGEREF _Toc187757595 \h </w:instrText>
        </w:r>
        <w:r w:rsidRPr="00183F70">
          <w:rPr>
            <w:webHidden/>
          </w:rPr>
        </w:r>
        <w:r w:rsidRPr="00183F70">
          <w:rPr>
            <w:webHidden/>
          </w:rPr>
          <w:fldChar w:fldCharType="separate"/>
        </w:r>
        <w:r w:rsidRPr="00183F70">
          <w:rPr>
            <w:webHidden/>
          </w:rPr>
          <w:t>8</w:t>
        </w:r>
        <w:r w:rsidRPr="00183F70">
          <w:rPr>
            <w:webHidden/>
          </w:rPr>
          <w:fldChar w:fldCharType="end"/>
        </w:r>
      </w:hyperlink>
    </w:p>
    <w:p w14:paraId="39170820" w14:textId="232CCB23" w:rsidR="00245ABB" w:rsidRPr="00183F70" w:rsidRDefault="00245ABB" w:rsidP="00245ABB">
      <w:pPr>
        <w:pStyle w:val="TOC3"/>
        <w:rPr>
          <w:rFonts w:eastAsiaTheme="minorEastAsia"/>
          <w:kern w:val="2"/>
          <w:lang w:val="en-US" w:eastAsia="zh-CN"/>
          <w14:ligatures w14:val="standardContextual"/>
        </w:rPr>
      </w:pPr>
      <w:hyperlink w:anchor="_Toc187757596" w:history="1">
        <w:r w:rsidRPr="00183F70">
          <w:rPr>
            <w:rStyle w:val="Hyperlink"/>
          </w:rPr>
          <w:t>A.</w:t>
        </w:r>
        <w:r w:rsidRPr="00183F70">
          <w:rPr>
            <w:rFonts w:eastAsiaTheme="minorEastAsia"/>
            <w:kern w:val="2"/>
            <w:lang w:val="en-US" w:eastAsia="zh-CN"/>
            <w14:ligatures w14:val="standardContextual"/>
          </w:rPr>
          <w:tab/>
        </w:r>
        <w:r w:rsidRPr="00183F70">
          <w:rPr>
            <w:rStyle w:val="Hyperlink"/>
          </w:rPr>
          <w:t>Rovinia validly asserted criminal jurisdiction over Ms. Cross</w:t>
        </w:r>
        <w:r w:rsidRPr="00183F70">
          <w:rPr>
            <w:webHidden/>
          </w:rPr>
          <w:tab/>
        </w:r>
        <w:r w:rsidRPr="00183F70">
          <w:rPr>
            <w:webHidden/>
          </w:rPr>
          <w:fldChar w:fldCharType="begin"/>
        </w:r>
        <w:r w:rsidRPr="00183F70">
          <w:rPr>
            <w:webHidden/>
          </w:rPr>
          <w:instrText xml:space="preserve"> PAGEREF _Toc187757596 \h </w:instrText>
        </w:r>
        <w:r w:rsidRPr="00183F70">
          <w:rPr>
            <w:webHidden/>
          </w:rPr>
        </w:r>
        <w:r w:rsidRPr="00183F70">
          <w:rPr>
            <w:webHidden/>
          </w:rPr>
          <w:fldChar w:fldCharType="separate"/>
        </w:r>
        <w:r w:rsidRPr="00183F70">
          <w:rPr>
            <w:webHidden/>
          </w:rPr>
          <w:t>9</w:t>
        </w:r>
        <w:r w:rsidRPr="00183F70">
          <w:rPr>
            <w:webHidden/>
          </w:rPr>
          <w:fldChar w:fldCharType="end"/>
        </w:r>
      </w:hyperlink>
    </w:p>
    <w:p w14:paraId="439F861F" w14:textId="00F30FF2" w:rsidR="00245ABB" w:rsidRPr="00183F70" w:rsidRDefault="00245ABB" w:rsidP="001924EE">
      <w:pPr>
        <w:pStyle w:val="TOC4"/>
        <w:rPr>
          <w:rFonts w:eastAsiaTheme="minorEastAsia"/>
          <w:kern w:val="2"/>
          <w:lang w:val="en-US" w:eastAsia="zh-CN"/>
          <w14:ligatures w14:val="standardContextual"/>
        </w:rPr>
      </w:pPr>
      <w:hyperlink w:anchor="_Toc187757597" w:history="1">
        <w:r w:rsidRPr="00183F70">
          <w:rPr>
            <w:rStyle w:val="Hyperlink"/>
          </w:rPr>
          <w:t>1.</w:t>
        </w:r>
        <w:r w:rsidRPr="00183F70">
          <w:rPr>
            <w:rFonts w:eastAsiaTheme="minorEastAsia"/>
            <w:kern w:val="2"/>
            <w:lang w:val="en-US" w:eastAsia="zh-CN"/>
            <w14:ligatures w14:val="standardContextual"/>
          </w:rPr>
          <w:tab/>
        </w:r>
        <w:r w:rsidRPr="00183F70">
          <w:rPr>
            <w:rStyle w:val="Hyperlink"/>
          </w:rPr>
          <w:t>The ICPPED obligates Rovinia to exercise jurisdiction over Ms. Cross</w:t>
        </w:r>
        <w:r w:rsidRPr="00183F70">
          <w:rPr>
            <w:webHidden/>
          </w:rPr>
          <w:tab/>
        </w:r>
        <w:r w:rsidRPr="00183F70">
          <w:rPr>
            <w:webHidden/>
          </w:rPr>
          <w:fldChar w:fldCharType="begin"/>
        </w:r>
        <w:r w:rsidRPr="00183F70">
          <w:rPr>
            <w:webHidden/>
          </w:rPr>
          <w:instrText xml:space="preserve"> PAGEREF _Toc187757597 \h </w:instrText>
        </w:r>
        <w:r w:rsidRPr="00183F70">
          <w:rPr>
            <w:webHidden/>
          </w:rPr>
        </w:r>
        <w:r w:rsidRPr="00183F70">
          <w:rPr>
            <w:webHidden/>
          </w:rPr>
          <w:fldChar w:fldCharType="separate"/>
        </w:r>
        <w:r w:rsidRPr="00183F70">
          <w:rPr>
            <w:webHidden/>
          </w:rPr>
          <w:t>9</w:t>
        </w:r>
        <w:r w:rsidRPr="00183F70">
          <w:rPr>
            <w:webHidden/>
          </w:rPr>
          <w:fldChar w:fldCharType="end"/>
        </w:r>
      </w:hyperlink>
    </w:p>
    <w:p w14:paraId="59E92C93" w14:textId="3B08C8BA"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598" w:history="1">
        <w:r w:rsidRPr="00183F70">
          <w:rPr>
            <w:rStyle w:val="Hyperlink"/>
            <w:rFonts w:ascii="Times New Roman" w:hAnsi="Times New Roman" w:cs="Times New Roman"/>
            <w:noProof/>
            <w:sz w:val="24"/>
            <w:szCs w:val="24"/>
          </w:rPr>
          <w:t>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Rovinia is obligated to prosecute or extradite individuals accused of enforced disappearance</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_Toc187757598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9</w:t>
        </w:r>
        <w:r w:rsidRPr="00183F70">
          <w:rPr>
            <w:rFonts w:ascii="Times New Roman" w:hAnsi="Times New Roman" w:cs="Times New Roman"/>
            <w:noProof/>
            <w:webHidden/>
            <w:sz w:val="24"/>
            <w:szCs w:val="24"/>
          </w:rPr>
          <w:fldChar w:fldCharType="end"/>
        </w:r>
      </w:hyperlink>
    </w:p>
    <w:p w14:paraId="615FF105" w14:textId="7B6E912A"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599" w:history="1">
        <w:r w:rsidRPr="00183F70">
          <w:rPr>
            <w:rStyle w:val="Hyperlink"/>
            <w:rFonts w:ascii="Times New Roman" w:hAnsi="Times New Roman" w:cs="Times New Roman"/>
            <w:noProof/>
            <w:sz w:val="24"/>
            <w:szCs w:val="24"/>
          </w:rPr>
          <w:t>ii.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Rovinia may elect between prosecution and extradition, as there is no rule of priority between the two</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_Toc187757599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10</w:t>
        </w:r>
        <w:r w:rsidRPr="00183F70">
          <w:rPr>
            <w:rFonts w:ascii="Times New Roman" w:hAnsi="Times New Roman" w:cs="Times New Roman"/>
            <w:noProof/>
            <w:webHidden/>
            <w:sz w:val="24"/>
            <w:szCs w:val="24"/>
          </w:rPr>
          <w:fldChar w:fldCharType="end"/>
        </w:r>
      </w:hyperlink>
    </w:p>
    <w:p w14:paraId="38AE430E" w14:textId="2D72296A"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600" w:history="1">
        <w:r w:rsidRPr="00183F70">
          <w:rPr>
            <w:rStyle w:val="Hyperlink"/>
            <w:rFonts w:ascii="Times New Roman" w:hAnsi="Times New Roman" w:cs="Times New Roman"/>
            <w:noProof/>
            <w:sz w:val="24"/>
            <w:szCs w:val="24"/>
          </w:rPr>
          <w:t>iii.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The fact that Ambrosia is unlikely to prosecute Ms. Cross is an additional reason not to extradite, being contrary to the “object and purpose” of the ICPPED</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_Toc187757600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11</w:t>
        </w:r>
        <w:r w:rsidRPr="00183F70">
          <w:rPr>
            <w:rFonts w:ascii="Times New Roman" w:hAnsi="Times New Roman" w:cs="Times New Roman"/>
            <w:noProof/>
            <w:webHidden/>
            <w:sz w:val="24"/>
            <w:szCs w:val="24"/>
          </w:rPr>
          <w:fldChar w:fldCharType="end"/>
        </w:r>
      </w:hyperlink>
    </w:p>
    <w:p w14:paraId="104F3BB1" w14:textId="5AD9E527"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601" w:history="1">
        <w:r w:rsidRPr="00183F70">
          <w:rPr>
            <w:rStyle w:val="Hyperlink"/>
            <w:rFonts w:ascii="Times New Roman" w:hAnsi="Times New Roman" w:cs="Times New Roman"/>
            <w:noProof/>
            <w:sz w:val="24"/>
            <w:szCs w:val="24"/>
          </w:rPr>
          <w:t>iv.</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The fact that Rovinia and Ambrosia have signed an extradition treaty does not change the nature of the obligation aut dedere aut judicare</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_Toc187757601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11</w:t>
        </w:r>
        <w:r w:rsidRPr="00183F70">
          <w:rPr>
            <w:rFonts w:ascii="Times New Roman" w:hAnsi="Times New Roman" w:cs="Times New Roman"/>
            <w:noProof/>
            <w:webHidden/>
            <w:sz w:val="24"/>
            <w:szCs w:val="24"/>
          </w:rPr>
          <w:fldChar w:fldCharType="end"/>
        </w:r>
      </w:hyperlink>
    </w:p>
    <w:p w14:paraId="4AB1B357" w14:textId="41507C82" w:rsidR="00245ABB" w:rsidRPr="00183F70" w:rsidRDefault="00245ABB" w:rsidP="001924EE">
      <w:pPr>
        <w:pStyle w:val="TOC4"/>
        <w:rPr>
          <w:rFonts w:eastAsiaTheme="minorEastAsia"/>
          <w:kern w:val="2"/>
          <w:lang w:val="en-US" w:eastAsia="zh-CN"/>
          <w14:ligatures w14:val="standardContextual"/>
        </w:rPr>
      </w:pPr>
      <w:hyperlink w:anchor="_Toc187757602" w:history="1">
        <w:r w:rsidRPr="00183F70">
          <w:rPr>
            <w:rStyle w:val="Hyperlink"/>
          </w:rPr>
          <w:t>2.</w:t>
        </w:r>
        <w:r w:rsidRPr="00183F70">
          <w:rPr>
            <w:rFonts w:eastAsiaTheme="minorEastAsia"/>
            <w:kern w:val="2"/>
            <w:lang w:val="en-US" w:eastAsia="zh-CN"/>
            <w14:ligatures w14:val="standardContextual"/>
          </w:rPr>
          <w:tab/>
        </w:r>
        <w:r w:rsidRPr="00183F70">
          <w:rPr>
            <w:rStyle w:val="Hyperlink"/>
          </w:rPr>
          <w:t>Under customary international law, Rovinia is entitled to exercise universal jurisdiction over Ms. Cross in respect of her alleged crimes</w:t>
        </w:r>
        <w:r w:rsidRPr="00183F70">
          <w:rPr>
            <w:webHidden/>
          </w:rPr>
          <w:tab/>
        </w:r>
        <w:r w:rsidRPr="00183F70">
          <w:rPr>
            <w:webHidden/>
          </w:rPr>
          <w:fldChar w:fldCharType="begin"/>
        </w:r>
        <w:r w:rsidRPr="00183F70">
          <w:rPr>
            <w:webHidden/>
          </w:rPr>
          <w:instrText xml:space="preserve"> PAGEREF _Toc187757602 \h </w:instrText>
        </w:r>
        <w:r w:rsidRPr="00183F70">
          <w:rPr>
            <w:webHidden/>
          </w:rPr>
        </w:r>
        <w:r w:rsidRPr="00183F70">
          <w:rPr>
            <w:webHidden/>
          </w:rPr>
          <w:fldChar w:fldCharType="separate"/>
        </w:r>
        <w:r w:rsidRPr="00183F70">
          <w:rPr>
            <w:webHidden/>
          </w:rPr>
          <w:t>12</w:t>
        </w:r>
        <w:r w:rsidRPr="00183F70">
          <w:rPr>
            <w:webHidden/>
          </w:rPr>
          <w:fldChar w:fldCharType="end"/>
        </w:r>
      </w:hyperlink>
    </w:p>
    <w:p w14:paraId="1E39F9BB" w14:textId="34ECFFED" w:rsidR="00245ABB" w:rsidRPr="00183F70" w:rsidRDefault="00245ABB" w:rsidP="00245ABB">
      <w:pPr>
        <w:pStyle w:val="TOC3"/>
        <w:rPr>
          <w:rFonts w:eastAsiaTheme="minorEastAsia"/>
          <w:kern w:val="2"/>
          <w:lang w:val="en-US" w:eastAsia="zh-CN"/>
          <w14:ligatures w14:val="standardContextual"/>
        </w:rPr>
      </w:pPr>
      <w:hyperlink w:anchor="_Toc187757603" w:history="1">
        <w:r w:rsidRPr="00183F70">
          <w:rPr>
            <w:rStyle w:val="Hyperlink"/>
          </w:rPr>
          <w:t>B.</w:t>
        </w:r>
        <w:r w:rsidRPr="00183F70">
          <w:rPr>
            <w:rFonts w:eastAsiaTheme="minorEastAsia"/>
            <w:kern w:val="2"/>
            <w:lang w:val="en-US" w:eastAsia="zh-CN"/>
            <w14:ligatures w14:val="standardContextual"/>
          </w:rPr>
          <w:tab/>
        </w:r>
        <w:r w:rsidRPr="00183F70">
          <w:rPr>
            <w:rStyle w:val="Hyperlink"/>
          </w:rPr>
          <w:t>Ms. Cross is not immune from Rovinia’s exercise of criminal jurisdiction</w:t>
        </w:r>
        <w:r w:rsidRPr="00183F70">
          <w:rPr>
            <w:webHidden/>
          </w:rPr>
          <w:tab/>
        </w:r>
        <w:r w:rsidRPr="00183F70">
          <w:rPr>
            <w:webHidden/>
          </w:rPr>
          <w:fldChar w:fldCharType="begin"/>
        </w:r>
        <w:r w:rsidRPr="00183F70">
          <w:rPr>
            <w:webHidden/>
          </w:rPr>
          <w:instrText xml:space="preserve"> PAGEREF _Toc187757603 \h </w:instrText>
        </w:r>
        <w:r w:rsidRPr="00183F70">
          <w:rPr>
            <w:webHidden/>
          </w:rPr>
        </w:r>
        <w:r w:rsidRPr="00183F70">
          <w:rPr>
            <w:webHidden/>
          </w:rPr>
          <w:fldChar w:fldCharType="separate"/>
        </w:r>
        <w:r w:rsidRPr="00183F70">
          <w:rPr>
            <w:webHidden/>
          </w:rPr>
          <w:t>13</w:t>
        </w:r>
        <w:r w:rsidRPr="00183F70">
          <w:rPr>
            <w:webHidden/>
          </w:rPr>
          <w:fldChar w:fldCharType="end"/>
        </w:r>
      </w:hyperlink>
    </w:p>
    <w:p w14:paraId="312E4EB4" w14:textId="59DD9E90" w:rsidR="00245ABB" w:rsidRPr="00183F70" w:rsidRDefault="00245ABB" w:rsidP="001924EE">
      <w:pPr>
        <w:pStyle w:val="TOC4"/>
        <w:rPr>
          <w:rFonts w:eastAsiaTheme="minorEastAsia"/>
          <w:kern w:val="2"/>
          <w:lang w:val="en-US" w:eastAsia="zh-CN"/>
          <w14:ligatures w14:val="standardContextual"/>
        </w:rPr>
      </w:pPr>
      <w:hyperlink w:anchor="_Toc187757604" w:history="1">
        <w:r w:rsidRPr="00183F70">
          <w:rPr>
            <w:rStyle w:val="Hyperlink"/>
          </w:rPr>
          <w:t>1.</w:t>
        </w:r>
        <w:r w:rsidRPr="00183F70">
          <w:rPr>
            <w:rFonts w:eastAsiaTheme="minorEastAsia"/>
            <w:kern w:val="2"/>
            <w:lang w:val="en-US" w:eastAsia="zh-CN"/>
            <w14:ligatures w14:val="standardContextual"/>
          </w:rPr>
          <w:tab/>
        </w:r>
        <w:r w:rsidRPr="00183F70">
          <w:rPr>
            <w:rStyle w:val="Hyperlink"/>
          </w:rPr>
          <w:t xml:space="preserve">Ms. Cross is not entitled to immunity </w:t>
        </w:r>
        <w:r w:rsidRPr="00183F70">
          <w:rPr>
            <w:rStyle w:val="Hyperlink"/>
            <w:i/>
            <w:iCs/>
          </w:rPr>
          <w:t>ratione personae</w:t>
        </w:r>
        <w:r w:rsidRPr="00183F70">
          <w:rPr>
            <w:webHidden/>
          </w:rPr>
          <w:tab/>
        </w:r>
        <w:r w:rsidRPr="00183F70">
          <w:rPr>
            <w:webHidden/>
          </w:rPr>
          <w:fldChar w:fldCharType="begin"/>
        </w:r>
        <w:r w:rsidRPr="00183F70">
          <w:rPr>
            <w:webHidden/>
          </w:rPr>
          <w:instrText xml:space="preserve"> PAGEREF _Toc187757604 \h </w:instrText>
        </w:r>
        <w:r w:rsidRPr="00183F70">
          <w:rPr>
            <w:webHidden/>
          </w:rPr>
        </w:r>
        <w:r w:rsidRPr="00183F70">
          <w:rPr>
            <w:webHidden/>
          </w:rPr>
          <w:fldChar w:fldCharType="separate"/>
        </w:r>
        <w:r w:rsidRPr="00183F70">
          <w:rPr>
            <w:webHidden/>
          </w:rPr>
          <w:t>14</w:t>
        </w:r>
        <w:r w:rsidRPr="00183F70">
          <w:rPr>
            <w:webHidden/>
          </w:rPr>
          <w:fldChar w:fldCharType="end"/>
        </w:r>
      </w:hyperlink>
    </w:p>
    <w:p w14:paraId="588E2C13" w14:textId="37D8841E" w:rsidR="00245ABB" w:rsidRPr="00183F70" w:rsidRDefault="00245ABB" w:rsidP="001924EE">
      <w:pPr>
        <w:pStyle w:val="TOC4"/>
        <w:rPr>
          <w:rFonts w:eastAsiaTheme="minorEastAsia"/>
          <w:kern w:val="2"/>
          <w:lang w:val="en-US" w:eastAsia="zh-CN"/>
          <w14:ligatures w14:val="standardContextual"/>
        </w:rPr>
      </w:pPr>
      <w:hyperlink w:anchor="_Toc187757605" w:history="1">
        <w:r w:rsidRPr="00183F70">
          <w:rPr>
            <w:rStyle w:val="Hyperlink"/>
          </w:rPr>
          <w:t>2.</w:t>
        </w:r>
        <w:r w:rsidRPr="00183F70">
          <w:rPr>
            <w:rFonts w:eastAsiaTheme="minorEastAsia"/>
            <w:kern w:val="2"/>
            <w:lang w:val="en-US" w:eastAsia="zh-CN"/>
            <w14:ligatures w14:val="standardContextual"/>
          </w:rPr>
          <w:tab/>
        </w:r>
        <w:r w:rsidRPr="00183F70">
          <w:rPr>
            <w:rStyle w:val="Hyperlink"/>
          </w:rPr>
          <w:t xml:space="preserve">Ms. Cross is not entitled to immunity </w:t>
        </w:r>
        <w:r w:rsidRPr="00183F70">
          <w:rPr>
            <w:rStyle w:val="Hyperlink"/>
            <w:i/>
            <w:iCs/>
          </w:rPr>
          <w:t>ratione materiae</w:t>
        </w:r>
        <w:r w:rsidRPr="00183F70">
          <w:rPr>
            <w:webHidden/>
          </w:rPr>
          <w:tab/>
        </w:r>
        <w:r w:rsidRPr="00183F70">
          <w:rPr>
            <w:webHidden/>
          </w:rPr>
          <w:fldChar w:fldCharType="begin"/>
        </w:r>
        <w:r w:rsidRPr="00183F70">
          <w:rPr>
            <w:webHidden/>
          </w:rPr>
          <w:instrText xml:space="preserve"> PAGEREF _Toc187757605 \h </w:instrText>
        </w:r>
        <w:r w:rsidRPr="00183F70">
          <w:rPr>
            <w:webHidden/>
          </w:rPr>
        </w:r>
        <w:r w:rsidRPr="00183F70">
          <w:rPr>
            <w:webHidden/>
          </w:rPr>
          <w:fldChar w:fldCharType="separate"/>
        </w:r>
        <w:r w:rsidRPr="00183F70">
          <w:rPr>
            <w:webHidden/>
          </w:rPr>
          <w:t>15</w:t>
        </w:r>
        <w:r w:rsidRPr="00183F70">
          <w:rPr>
            <w:webHidden/>
          </w:rPr>
          <w:fldChar w:fldCharType="end"/>
        </w:r>
      </w:hyperlink>
    </w:p>
    <w:p w14:paraId="613DC930" w14:textId="14800159"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606" w:history="1">
        <w:r w:rsidRPr="00183F70">
          <w:rPr>
            <w:rStyle w:val="Hyperlink"/>
            <w:rFonts w:ascii="Times New Roman" w:hAnsi="Times New Roman" w:cs="Times New Roman"/>
            <w:noProof/>
            <w:sz w:val="24"/>
            <w:szCs w:val="24"/>
          </w:rPr>
          <w:t>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The acts complained of were not conducted within an “official capacity”</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_Toc187757606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15</w:t>
        </w:r>
        <w:r w:rsidRPr="00183F70">
          <w:rPr>
            <w:rFonts w:ascii="Times New Roman" w:hAnsi="Times New Roman" w:cs="Times New Roman"/>
            <w:noProof/>
            <w:webHidden/>
            <w:sz w:val="24"/>
            <w:szCs w:val="24"/>
          </w:rPr>
          <w:fldChar w:fldCharType="end"/>
        </w:r>
      </w:hyperlink>
    </w:p>
    <w:p w14:paraId="1A5C330C" w14:textId="71491ABD"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607" w:history="1">
        <w:r w:rsidRPr="00183F70">
          <w:rPr>
            <w:rStyle w:val="Hyperlink"/>
            <w:rFonts w:ascii="Times New Roman" w:hAnsi="Times New Roman" w:cs="Times New Roman"/>
            <w:noProof/>
            <w:sz w:val="24"/>
            <w:szCs w:val="24"/>
          </w:rPr>
          <w:t>ii.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Even if Ms. Cross were acting in an “official capacity,” immunity ratione materiae does not apply to the present offenses</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_Toc187757607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16</w:t>
        </w:r>
        <w:r w:rsidRPr="00183F70">
          <w:rPr>
            <w:rFonts w:ascii="Times New Roman" w:hAnsi="Times New Roman" w:cs="Times New Roman"/>
            <w:noProof/>
            <w:webHidden/>
            <w:sz w:val="24"/>
            <w:szCs w:val="24"/>
          </w:rPr>
          <w:fldChar w:fldCharType="end"/>
        </w:r>
      </w:hyperlink>
    </w:p>
    <w:p w14:paraId="5E1F0975" w14:textId="6C87BDCF" w:rsidR="00245ABB" w:rsidRPr="00183F70" w:rsidRDefault="00245ABB" w:rsidP="00245ABB">
      <w:pPr>
        <w:pStyle w:val="TOC2"/>
        <w:rPr>
          <w:rFonts w:eastAsiaTheme="minorEastAsia"/>
          <w:kern w:val="2"/>
          <w:lang w:val="en-US" w:eastAsia="zh-CN"/>
          <w14:ligatures w14:val="standardContextual"/>
        </w:rPr>
      </w:pPr>
      <w:hyperlink w:anchor="_Toc187757608" w:history="1">
        <w:r w:rsidRPr="00183F70">
          <w:rPr>
            <w:rStyle w:val="Hyperlink"/>
          </w:rPr>
          <w:t>III.</w:t>
        </w:r>
        <w:r w:rsidRPr="00183F70">
          <w:rPr>
            <w:rFonts w:eastAsiaTheme="minorEastAsia"/>
            <w:kern w:val="2"/>
            <w:lang w:val="en-US" w:eastAsia="zh-CN"/>
            <w14:ligatures w14:val="standardContextual"/>
          </w:rPr>
          <w:tab/>
        </w:r>
        <w:r w:rsidRPr="00183F70">
          <w:rPr>
            <w:rStyle w:val="Hyperlink"/>
          </w:rPr>
          <w:t>Rovinia’s Issuance of Licenses to Fish in the Entirety of the Triton Shoal, Which is Located on the High Seas, is In Conformity With International Law</w:t>
        </w:r>
        <w:r w:rsidRPr="00183F70">
          <w:rPr>
            <w:webHidden/>
          </w:rPr>
          <w:tab/>
        </w:r>
        <w:r w:rsidRPr="00183F70">
          <w:rPr>
            <w:webHidden/>
          </w:rPr>
          <w:fldChar w:fldCharType="begin"/>
        </w:r>
        <w:r w:rsidRPr="00183F70">
          <w:rPr>
            <w:webHidden/>
          </w:rPr>
          <w:instrText xml:space="preserve"> PAGEREF _Toc187757608 \h </w:instrText>
        </w:r>
        <w:r w:rsidRPr="00183F70">
          <w:rPr>
            <w:webHidden/>
          </w:rPr>
        </w:r>
        <w:r w:rsidRPr="00183F70">
          <w:rPr>
            <w:webHidden/>
          </w:rPr>
          <w:fldChar w:fldCharType="separate"/>
        </w:r>
        <w:r w:rsidRPr="00183F70">
          <w:rPr>
            <w:webHidden/>
          </w:rPr>
          <w:t>17</w:t>
        </w:r>
        <w:r w:rsidRPr="00183F70">
          <w:rPr>
            <w:webHidden/>
          </w:rPr>
          <w:fldChar w:fldCharType="end"/>
        </w:r>
      </w:hyperlink>
    </w:p>
    <w:p w14:paraId="67BAACE3" w14:textId="1E8666BA" w:rsidR="00245ABB" w:rsidRPr="00183F70" w:rsidRDefault="00245ABB" w:rsidP="00245ABB">
      <w:pPr>
        <w:pStyle w:val="TOC3"/>
        <w:rPr>
          <w:rFonts w:eastAsiaTheme="minorEastAsia"/>
          <w:kern w:val="2"/>
          <w:lang w:val="en-US" w:eastAsia="zh-CN"/>
          <w14:ligatures w14:val="standardContextual"/>
        </w:rPr>
      </w:pPr>
      <w:hyperlink w:anchor="_Toc187757609" w:history="1">
        <w:r w:rsidRPr="00183F70">
          <w:rPr>
            <w:rStyle w:val="Hyperlink"/>
          </w:rPr>
          <w:t>A.</w:t>
        </w:r>
        <w:r w:rsidRPr="00183F70">
          <w:rPr>
            <w:rFonts w:eastAsiaTheme="minorEastAsia"/>
            <w:kern w:val="2"/>
            <w:lang w:val="en-US" w:eastAsia="zh-CN"/>
            <w14:ligatures w14:val="standardContextual"/>
          </w:rPr>
          <w:tab/>
        </w:r>
        <w:r w:rsidRPr="00183F70">
          <w:rPr>
            <w:rStyle w:val="Hyperlink"/>
          </w:rPr>
          <w:t>Rovinia is not bound by Ambrosia’s Freezing Law as it violates UNCLOS</w:t>
        </w:r>
        <w:r w:rsidRPr="00183F70">
          <w:rPr>
            <w:webHidden/>
          </w:rPr>
          <w:tab/>
        </w:r>
        <w:r w:rsidRPr="00183F70">
          <w:rPr>
            <w:webHidden/>
          </w:rPr>
          <w:fldChar w:fldCharType="begin"/>
        </w:r>
        <w:r w:rsidRPr="00183F70">
          <w:rPr>
            <w:webHidden/>
          </w:rPr>
          <w:instrText xml:space="preserve"> PAGEREF _Toc187757609 \h </w:instrText>
        </w:r>
        <w:r w:rsidRPr="00183F70">
          <w:rPr>
            <w:webHidden/>
          </w:rPr>
        </w:r>
        <w:r w:rsidRPr="00183F70">
          <w:rPr>
            <w:webHidden/>
          </w:rPr>
          <w:fldChar w:fldCharType="separate"/>
        </w:r>
        <w:r w:rsidRPr="00183F70">
          <w:rPr>
            <w:webHidden/>
          </w:rPr>
          <w:t>18</w:t>
        </w:r>
        <w:r w:rsidRPr="00183F70">
          <w:rPr>
            <w:webHidden/>
          </w:rPr>
          <w:fldChar w:fldCharType="end"/>
        </w:r>
      </w:hyperlink>
    </w:p>
    <w:p w14:paraId="7F876311" w14:textId="3352BAAD" w:rsidR="00245ABB" w:rsidRPr="00183F70" w:rsidRDefault="00245ABB" w:rsidP="001924EE">
      <w:pPr>
        <w:pStyle w:val="TOC4"/>
        <w:rPr>
          <w:rFonts w:eastAsiaTheme="minorEastAsia"/>
          <w:kern w:val="2"/>
          <w:lang w:val="en-US" w:eastAsia="zh-CN"/>
          <w14:ligatures w14:val="standardContextual"/>
        </w:rPr>
      </w:pPr>
      <w:hyperlink w:anchor="_Toc187757610" w:history="1">
        <w:r w:rsidRPr="00183F70">
          <w:rPr>
            <w:rStyle w:val="Hyperlink"/>
          </w:rPr>
          <w:t>1.</w:t>
        </w:r>
        <w:r w:rsidRPr="00183F70">
          <w:rPr>
            <w:rFonts w:eastAsiaTheme="minorEastAsia"/>
            <w:kern w:val="2"/>
            <w:lang w:val="en-US" w:eastAsia="zh-CN"/>
            <w14:ligatures w14:val="standardContextual"/>
          </w:rPr>
          <w:tab/>
        </w:r>
        <w:r w:rsidRPr="00183F70">
          <w:rPr>
            <w:rStyle w:val="Hyperlink"/>
          </w:rPr>
          <w:t>Ambrosia’s baselines and EEZ must shift landward with changes to its low-water line</w:t>
        </w:r>
        <w:r w:rsidRPr="00183F70">
          <w:rPr>
            <w:webHidden/>
          </w:rPr>
          <w:tab/>
        </w:r>
        <w:r w:rsidRPr="00183F70">
          <w:rPr>
            <w:webHidden/>
          </w:rPr>
          <w:fldChar w:fldCharType="begin"/>
        </w:r>
        <w:r w:rsidRPr="00183F70">
          <w:rPr>
            <w:webHidden/>
          </w:rPr>
          <w:instrText xml:space="preserve"> PAGEREF _Toc187757610 \h </w:instrText>
        </w:r>
        <w:r w:rsidRPr="00183F70">
          <w:rPr>
            <w:webHidden/>
          </w:rPr>
        </w:r>
        <w:r w:rsidRPr="00183F70">
          <w:rPr>
            <w:webHidden/>
          </w:rPr>
          <w:fldChar w:fldCharType="separate"/>
        </w:r>
        <w:r w:rsidRPr="00183F70">
          <w:rPr>
            <w:webHidden/>
          </w:rPr>
          <w:t>18</w:t>
        </w:r>
        <w:r w:rsidRPr="00183F70">
          <w:rPr>
            <w:webHidden/>
          </w:rPr>
          <w:fldChar w:fldCharType="end"/>
        </w:r>
      </w:hyperlink>
    </w:p>
    <w:p w14:paraId="07F084E1" w14:textId="74C896E4"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611" w:history="1">
        <w:r w:rsidRPr="00183F70">
          <w:rPr>
            <w:rStyle w:val="Hyperlink"/>
            <w:rFonts w:ascii="Times New Roman" w:hAnsi="Times New Roman" w:cs="Times New Roman"/>
            <w:noProof/>
            <w:sz w:val="24"/>
            <w:szCs w:val="24"/>
          </w:rPr>
          <w:t>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Under UNCLOS, the baseline is the actual, not the charted, low-water line</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_Toc187757611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19</w:t>
        </w:r>
        <w:r w:rsidRPr="00183F70">
          <w:rPr>
            <w:rFonts w:ascii="Times New Roman" w:hAnsi="Times New Roman" w:cs="Times New Roman"/>
            <w:noProof/>
            <w:webHidden/>
            <w:sz w:val="24"/>
            <w:szCs w:val="24"/>
          </w:rPr>
          <w:fldChar w:fldCharType="end"/>
        </w:r>
      </w:hyperlink>
    </w:p>
    <w:p w14:paraId="31266F66" w14:textId="5F287E1C"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612" w:history="1">
        <w:r w:rsidRPr="00183F70">
          <w:rPr>
            <w:rStyle w:val="Hyperlink"/>
            <w:rFonts w:ascii="Times New Roman" w:hAnsi="Times New Roman" w:cs="Times New Roman"/>
            <w:noProof/>
            <w:sz w:val="24"/>
            <w:szCs w:val="24"/>
          </w:rPr>
          <w:t>ii.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Coastal recession does not fall within the limited exceptions in UNCLOS to ambulatory baselines</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_Toc187757612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19</w:t>
        </w:r>
        <w:r w:rsidRPr="00183F70">
          <w:rPr>
            <w:rFonts w:ascii="Times New Roman" w:hAnsi="Times New Roman" w:cs="Times New Roman"/>
            <w:noProof/>
            <w:webHidden/>
            <w:sz w:val="24"/>
            <w:szCs w:val="24"/>
          </w:rPr>
          <w:fldChar w:fldCharType="end"/>
        </w:r>
      </w:hyperlink>
    </w:p>
    <w:p w14:paraId="2A8C76B8" w14:textId="28775DAE" w:rsidR="00245ABB" w:rsidRPr="00183F70" w:rsidRDefault="00245ABB" w:rsidP="001924EE">
      <w:pPr>
        <w:pStyle w:val="TOC4"/>
        <w:rPr>
          <w:rFonts w:eastAsiaTheme="minorEastAsia"/>
          <w:kern w:val="2"/>
          <w:lang w:val="en-US" w:eastAsia="zh-CN"/>
          <w14:ligatures w14:val="standardContextual"/>
        </w:rPr>
      </w:pPr>
      <w:hyperlink w:anchor="_Toc187757613" w:history="1">
        <w:r w:rsidRPr="00183F70">
          <w:rPr>
            <w:rStyle w:val="Hyperlink"/>
          </w:rPr>
          <w:t>2.</w:t>
        </w:r>
        <w:r w:rsidRPr="00183F70">
          <w:rPr>
            <w:rFonts w:eastAsiaTheme="minorEastAsia"/>
            <w:kern w:val="2"/>
            <w:lang w:val="en-US" w:eastAsia="zh-CN"/>
            <w14:ligatures w14:val="standardContextual"/>
          </w:rPr>
          <w:tab/>
        </w:r>
        <w:r w:rsidRPr="00183F70">
          <w:rPr>
            <w:rStyle w:val="Hyperlink"/>
          </w:rPr>
          <w:t>This Court should reject Ambrosia’s base lines as they do not accord with physical realities</w:t>
        </w:r>
        <w:r w:rsidRPr="00183F70">
          <w:rPr>
            <w:webHidden/>
          </w:rPr>
          <w:tab/>
        </w:r>
        <w:r w:rsidRPr="00183F70">
          <w:rPr>
            <w:webHidden/>
          </w:rPr>
          <w:fldChar w:fldCharType="begin"/>
        </w:r>
        <w:r w:rsidRPr="00183F70">
          <w:rPr>
            <w:webHidden/>
          </w:rPr>
          <w:instrText xml:space="preserve"> PAGEREF _Toc187757613 \h </w:instrText>
        </w:r>
        <w:r w:rsidRPr="00183F70">
          <w:rPr>
            <w:webHidden/>
          </w:rPr>
        </w:r>
        <w:r w:rsidRPr="00183F70">
          <w:rPr>
            <w:webHidden/>
          </w:rPr>
          <w:fldChar w:fldCharType="separate"/>
        </w:r>
        <w:r w:rsidRPr="00183F70">
          <w:rPr>
            <w:webHidden/>
          </w:rPr>
          <w:t>20</w:t>
        </w:r>
        <w:r w:rsidRPr="00183F70">
          <w:rPr>
            <w:webHidden/>
          </w:rPr>
          <w:fldChar w:fldCharType="end"/>
        </w:r>
      </w:hyperlink>
    </w:p>
    <w:p w14:paraId="69B34270" w14:textId="638F2C37" w:rsidR="00245ABB" w:rsidRPr="00183F70" w:rsidRDefault="00245ABB" w:rsidP="00245ABB">
      <w:pPr>
        <w:pStyle w:val="TOC3"/>
        <w:rPr>
          <w:rFonts w:eastAsiaTheme="minorEastAsia"/>
          <w:kern w:val="2"/>
          <w:lang w:val="en-US" w:eastAsia="zh-CN"/>
          <w14:ligatures w14:val="standardContextual"/>
        </w:rPr>
      </w:pPr>
      <w:hyperlink w:anchor="_Toc187757614" w:history="1">
        <w:r w:rsidRPr="00183F70">
          <w:rPr>
            <w:rStyle w:val="Hyperlink"/>
          </w:rPr>
          <w:t>B.</w:t>
        </w:r>
        <w:r w:rsidRPr="00183F70">
          <w:rPr>
            <w:rFonts w:eastAsiaTheme="minorEastAsia"/>
            <w:kern w:val="2"/>
            <w:lang w:val="en-US" w:eastAsia="zh-CN"/>
            <w14:ligatures w14:val="standardContextual"/>
          </w:rPr>
          <w:tab/>
        </w:r>
        <w:r w:rsidRPr="00183F70">
          <w:rPr>
            <w:rStyle w:val="Hyperlink"/>
          </w:rPr>
          <w:t>Customary international law supports an ambulatory baseline approach</w:t>
        </w:r>
        <w:r w:rsidRPr="00183F70">
          <w:rPr>
            <w:webHidden/>
          </w:rPr>
          <w:tab/>
        </w:r>
        <w:r w:rsidRPr="00183F70">
          <w:rPr>
            <w:webHidden/>
          </w:rPr>
          <w:fldChar w:fldCharType="begin"/>
        </w:r>
        <w:r w:rsidRPr="00183F70">
          <w:rPr>
            <w:webHidden/>
          </w:rPr>
          <w:instrText xml:space="preserve"> PAGEREF _Toc187757614 \h </w:instrText>
        </w:r>
        <w:r w:rsidRPr="00183F70">
          <w:rPr>
            <w:webHidden/>
          </w:rPr>
        </w:r>
        <w:r w:rsidRPr="00183F70">
          <w:rPr>
            <w:webHidden/>
          </w:rPr>
          <w:fldChar w:fldCharType="separate"/>
        </w:r>
        <w:r w:rsidRPr="00183F70">
          <w:rPr>
            <w:webHidden/>
          </w:rPr>
          <w:t>21</w:t>
        </w:r>
        <w:r w:rsidRPr="00183F70">
          <w:rPr>
            <w:webHidden/>
          </w:rPr>
          <w:fldChar w:fldCharType="end"/>
        </w:r>
      </w:hyperlink>
    </w:p>
    <w:p w14:paraId="1D08BB79" w14:textId="5E32086C" w:rsidR="00245ABB" w:rsidRPr="00183F70" w:rsidRDefault="00245ABB" w:rsidP="001924EE">
      <w:pPr>
        <w:pStyle w:val="TOC4"/>
        <w:rPr>
          <w:rFonts w:eastAsiaTheme="minorEastAsia"/>
          <w:kern w:val="2"/>
          <w:lang w:val="en-US" w:eastAsia="zh-CN"/>
          <w14:ligatures w14:val="standardContextual"/>
        </w:rPr>
      </w:pPr>
      <w:hyperlink w:anchor="_Toc187757615" w:history="1">
        <w:r w:rsidRPr="00183F70">
          <w:rPr>
            <w:rStyle w:val="Hyperlink"/>
          </w:rPr>
          <w:t>1.</w:t>
        </w:r>
        <w:r w:rsidRPr="00183F70">
          <w:rPr>
            <w:rFonts w:eastAsiaTheme="minorEastAsia"/>
            <w:kern w:val="2"/>
            <w:lang w:val="en-US" w:eastAsia="zh-CN"/>
            <w14:ligatures w14:val="standardContextual"/>
          </w:rPr>
          <w:tab/>
        </w:r>
        <w:r w:rsidRPr="00183F70">
          <w:rPr>
            <w:rStyle w:val="Hyperlink"/>
          </w:rPr>
          <w:t>Baselines are ambulatory under customary international law</w:t>
        </w:r>
        <w:r w:rsidRPr="00183F70">
          <w:rPr>
            <w:webHidden/>
          </w:rPr>
          <w:tab/>
        </w:r>
        <w:r w:rsidRPr="00183F70">
          <w:rPr>
            <w:webHidden/>
          </w:rPr>
          <w:fldChar w:fldCharType="begin"/>
        </w:r>
        <w:r w:rsidRPr="00183F70">
          <w:rPr>
            <w:webHidden/>
          </w:rPr>
          <w:instrText xml:space="preserve"> PAGEREF _Toc187757615 \h </w:instrText>
        </w:r>
        <w:r w:rsidRPr="00183F70">
          <w:rPr>
            <w:webHidden/>
          </w:rPr>
        </w:r>
        <w:r w:rsidRPr="00183F70">
          <w:rPr>
            <w:webHidden/>
          </w:rPr>
          <w:fldChar w:fldCharType="separate"/>
        </w:r>
        <w:r w:rsidRPr="00183F70">
          <w:rPr>
            <w:webHidden/>
          </w:rPr>
          <w:t>21</w:t>
        </w:r>
        <w:r w:rsidRPr="00183F70">
          <w:rPr>
            <w:webHidden/>
          </w:rPr>
          <w:fldChar w:fldCharType="end"/>
        </w:r>
      </w:hyperlink>
    </w:p>
    <w:p w14:paraId="730CE34D" w14:textId="2646970B" w:rsidR="00245ABB" w:rsidRPr="00183F70" w:rsidRDefault="00245ABB" w:rsidP="001924EE">
      <w:pPr>
        <w:pStyle w:val="TOC4"/>
        <w:rPr>
          <w:rFonts w:eastAsiaTheme="minorEastAsia"/>
          <w:kern w:val="2"/>
          <w:lang w:val="en-US" w:eastAsia="zh-CN"/>
          <w14:ligatures w14:val="standardContextual"/>
        </w:rPr>
      </w:pPr>
      <w:hyperlink w:anchor="_Toc187757616" w:history="1">
        <w:r w:rsidRPr="00183F70">
          <w:rPr>
            <w:rStyle w:val="Hyperlink"/>
          </w:rPr>
          <w:t>2.</w:t>
        </w:r>
        <w:r w:rsidRPr="00183F70">
          <w:rPr>
            <w:rFonts w:eastAsiaTheme="minorEastAsia"/>
            <w:kern w:val="2"/>
            <w:lang w:val="en-US" w:eastAsia="zh-CN"/>
            <w14:ligatures w14:val="standardContextual"/>
          </w:rPr>
          <w:tab/>
        </w:r>
        <w:r w:rsidRPr="00183F70">
          <w:rPr>
            <w:rStyle w:val="Hyperlink"/>
          </w:rPr>
          <w:t>No international or regional custom supports fixed baselines</w:t>
        </w:r>
        <w:r w:rsidRPr="00183F70">
          <w:rPr>
            <w:webHidden/>
          </w:rPr>
          <w:tab/>
        </w:r>
        <w:r w:rsidRPr="00183F70">
          <w:rPr>
            <w:webHidden/>
          </w:rPr>
          <w:fldChar w:fldCharType="begin"/>
        </w:r>
        <w:r w:rsidRPr="00183F70">
          <w:rPr>
            <w:webHidden/>
          </w:rPr>
          <w:instrText xml:space="preserve"> PAGEREF _Toc187757616 \h </w:instrText>
        </w:r>
        <w:r w:rsidRPr="00183F70">
          <w:rPr>
            <w:webHidden/>
          </w:rPr>
        </w:r>
        <w:r w:rsidRPr="00183F70">
          <w:rPr>
            <w:webHidden/>
          </w:rPr>
          <w:fldChar w:fldCharType="separate"/>
        </w:r>
        <w:r w:rsidRPr="00183F70">
          <w:rPr>
            <w:webHidden/>
          </w:rPr>
          <w:t>22</w:t>
        </w:r>
        <w:r w:rsidRPr="00183F70">
          <w:rPr>
            <w:webHidden/>
          </w:rPr>
          <w:fldChar w:fldCharType="end"/>
        </w:r>
      </w:hyperlink>
    </w:p>
    <w:p w14:paraId="5078F2B7" w14:textId="5D644829" w:rsidR="00245ABB" w:rsidRPr="00183F70" w:rsidRDefault="00245ABB" w:rsidP="001924EE">
      <w:pPr>
        <w:pStyle w:val="TOC4"/>
        <w:rPr>
          <w:rFonts w:eastAsiaTheme="minorEastAsia"/>
          <w:kern w:val="2"/>
          <w:lang w:val="en-US" w:eastAsia="zh-CN"/>
          <w14:ligatures w14:val="standardContextual"/>
        </w:rPr>
      </w:pPr>
      <w:hyperlink w:anchor="_Toc187757617" w:history="1">
        <w:r w:rsidRPr="00183F70">
          <w:rPr>
            <w:rStyle w:val="Hyperlink"/>
          </w:rPr>
          <w:t>3.</w:t>
        </w:r>
        <w:r w:rsidRPr="00183F70">
          <w:rPr>
            <w:rFonts w:eastAsiaTheme="minorEastAsia"/>
            <w:kern w:val="2"/>
            <w:lang w:val="en-US" w:eastAsia="zh-CN"/>
            <w14:ligatures w14:val="standardContextual"/>
          </w:rPr>
          <w:tab/>
        </w:r>
        <w:r w:rsidRPr="00183F70">
          <w:rPr>
            <w:rStyle w:val="Hyperlink"/>
          </w:rPr>
          <w:t>Even if the freezing laws are reflective of custom, Rovinia is a persistent objector and is not bound by the rule</w:t>
        </w:r>
        <w:r w:rsidRPr="00183F70">
          <w:rPr>
            <w:webHidden/>
          </w:rPr>
          <w:tab/>
        </w:r>
        <w:r w:rsidRPr="00183F70">
          <w:rPr>
            <w:webHidden/>
          </w:rPr>
          <w:fldChar w:fldCharType="begin"/>
        </w:r>
        <w:r w:rsidRPr="00183F70">
          <w:rPr>
            <w:webHidden/>
          </w:rPr>
          <w:instrText xml:space="preserve"> PAGEREF _Toc187757617 \h </w:instrText>
        </w:r>
        <w:r w:rsidRPr="00183F70">
          <w:rPr>
            <w:webHidden/>
          </w:rPr>
        </w:r>
        <w:r w:rsidRPr="00183F70">
          <w:rPr>
            <w:webHidden/>
          </w:rPr>
          <w:fldChar w:fldCharType="separate"/>
        </w:r>
        <w:r w:rsidRPr="00183F70">
          <w:rPr>
            <w:webHidden/>
          </w:rPr>
          <w:t>23</w:t>
        </w:r>
        <w:r w:rsidRPr="00183F70">
          <w:rPr>
            <w:webHidden/>
          </w:rPr>
          <w:fldChar w:fldCharType="end"/>
        </w:r>
      </w:hyperlink>
    </w:p>
    <w:p w14:paraId="4B042621" w14:textId="373A04CE" w:rsidR="00245ABB" w:rsidRPr="00183F70" w:rsidRDefault="00245ABB" w:rsidP="00245ABB">
      <w:pPr>
        <w:pStyle w:val="TOC3"/>
        <w:rPr>
          <w:rFonts w:eastAsiaTheme="minorEastAsia"/>
          <w:kern w:val="2"/>
          <w:lang w:val="en-US" w:eastAsia="zh-CN"/>
          <w14:ligatures w14:val="standardContextual"/>
        </w:rPr>
      </w:pPr>
      <w:hyperlink w:anchor="_Toc187757618" w:history="1">
        <w:r w:rsidRPr="00183F70">
          <w:rPr>
            <w:rStyle w:val="Hyperlink"/>
          </w:rPr>
          <w:t>C.</w:t>
        </w:r>
        <w:r w:rsidRPr="00183F70">
          <w:rPr>
            <w:rFonts w:eastAsiaTheme="minorEastAsia"/>
            <w:kern w:val="2"/>
            <w:lang w:val="en-US" w:eastAsia="zh-CN"/>
            <w14:ligatures w14:val="standardContextual"/>
          </w:rPr>
          <w:tab/>
        </w:r>
        <w:r w:rsidRPr="00183F70">
          <w:rPr>
            <w:rStyle w:val="Hyperlink"/>
          </w:rPr>
          <w:t>Rovinia lawfully exercised its high seas freedoms</w:t>
        </w:r>
        <w:r w:rsidRPr="00183F70">
          <w:rPr>
            <w:webHidden/>
          </w:rPr>
          <w:tab/>
        </w:r>
        <w:r w:rsidRPr="00183F70">
          <w:rPr>
            <w:webHidden/>
          </w:rPr>
          <w:fldChar w:fldCharType="begin"/>
        </w:r>
        <w:r w:rsidRPr="00183F70">
          <w:rPr>
            <w:webHidden/>
          </w:rPr>
          <w:instrText xml:space="preserve"> PAGEREF _Toc187757618 \h </w:instrText>
        </w:r>
        <w:r w:rsidRPr="00183F70">
          <w:rPr>
            <w:webHidden/>
          </w:rPr>
        </w:r>
        <w:r w:rsidRPr="00183F70">
          <w:rPr>
            <w:webHidden/>
          </w:rPr>
          <w:fldChar w:fldCharType="separate"/>
        </w:r>
        <w:r w:rsidRPr="00183F70">
          <w:rPr>
            <w:webHidden/>
          </w:rPr>
          <w:t>24</w:t>
        </w:r>
        <w:r w:rsidRPr="00183F70">
          <w:rPr>
            <w:webHidden/>
          </w:rPr>
          <w:fldChar w:fldCharType="end"/>
        </w:r>
      </w:hyperlink>
    </w:p>
    <w:p w14:paraId="79379D0C" w14:textId="4002A7A9" w:rsidR="00245ABB" w:rsidRPr="00183F70" w:rsidRDefault="00245ABB" w:rsidP="00245ABB">
      <w:pPr>
        <w:pStyle w:val="TOC2"/>
        <w:rPr>
          <w:rFonts w:eastAsiaTheme="minorEastAsia"/>
          <w:kern w:val="2"/>
          <w:lang w:val="en-US" w:eastAsia="zh-CN"/>
          <w14:ligatures w14:val="standardContextual"/>
        </w:rPr>
      </w:pPr>
      <w:hyperlink w:anchor="_Toc187757619" w:history="1">
        <w:r w:rsidRPr="00183F70">
          <w:rPr>
            <w:rStyle w:val="Hyperlink"/>
          </w:rPr>
          <w:t>IV.</w:t>
        </w:r>
        <w:r w:rsidRPr="00183F70">
          <w:rPr>
            <w:rFonts w:eastAsiaTheme="minorEastAsia"/>
            <w:kern w:val="2"/>
            <w:lang w:val="en-US" w:eastAsia="zh-CN"/>
            <w14:ligatures w14:val="standardContextual"/>
          </w:rPr>
          <w:tab/>
        </w:r>
        <w:r w:rsidRPr="00183F70">
          <w:rPr>
            <w:rStyle w:val="Hyperlink"/>
          </w:rPr>
          <w:t>Rovinia’s Judicial Seizure and Sale of The Falcon on the Basis of Ambrosia’s Waiver of Immunity Were in Accordance with International Law</w:t>
        </w:r>
        <w:r w:rsidRPr="00183F70">
          <w:rPr>
            <w:webHidden/>
          </w:rPr>
          <w:tab/>
        </w:r>
        <w:r w:rsidRPr="00183F70">
          <w:rPr>
            <w:webHidden/>
          </w:rPr>
          <w:fldChar w:fldCharType="begin"/>
        </w:r>
        <w:r w:rsidRPr="00183F70">
          <w:rPr>
            <w:webHidden/>
          </w:rPr>
          <w:instrText xml:space="preserve"> PAGEREF _Toc187757619 \h </w:instrText>
        </w:r>
        <w:r w:rsidRPr="00183F70">
          <w:rPr>
            <w:webHidden/>
          </w:rPr>
        </w:r>
        <w:r w:rsidRPr="00183F70">
          <w:rPr>
            <w:webHidden/>
          </w:rPr>
          <w:fldChar w:fldCharType="separate"/>
        </w:r>
        <w:r w:rsidRPr="00183F70">
          <w:rPr>
            <w:webHidden/>
          </w:rPr>
          <w:t>25</w:t>
        </w:r>
        <w:r w:rsidRPr="00183F70">
          <w:rPr>
            <w:webHidden/>
          </w:rPr>
          <w:fldChar w:fldCharType="end"/>
        </w:r>
      </w:hyperlink>
    </w:p>
    <w:p w14:paraId="6590C620" w14:textId="25BD08B4" w:rsidR="00245ABB" w:rsidRPr="00183F70" w:rsidRDefault="00245ABB" w:rsidP="00245ABB">
      <w:pPr>
        <w:pStyle w:val="TOC3"/>
        <w:rPr>
          <w:rFonts w:eastAsiaTheme="minorEastAsia"/>
          <w:kern w:val="2"/>
          <w:lang w:val="en-US" w:eastAsia="zh-CN"/>
          <w14:ligatures w14:val="standardContextual"/>
        </w:rPr>
      </w:pPr>
      <w:hyperlink w:anchor="_Toc187757620" w:history="1">
        <w:r w:rsidRPr="00183F70">
          <w:rPr>
            <w:rStyle w:val="Hyperlink"/>
            <w:lang w:val="en-US"/>
          </w:rPr>
          <w:t>A.</w:t>
        </w:r>
        <w:r w:rsidRPr="00183F70">
          <w:rPr>
            <w:rFonts w:eastAsiaTheme="minorEastAsia"/>
            <w:kern w:val="2"/>
            <w:lang w:val="en-US" w:eastAsia="zh-CN"/>
            <w14:ligatures w14:val="standardContextual"/>
          </w:rPr>
          <w:tab/>
        </w:r>
        <w:r w:rsidRPr="00183F70">
          <w:rPr>
            <w:rStyle w:val="Hyperlink"/>
            <w:lang w:val="en-US"/>
          </w:rPr>
          <w:t>The Council was competent to make binding commitments on behalf of the State on account of its effective control of Ambrosia</w:t>
        </w:r>
        <w:r w:rsidRPr="00183F70">
          <w:rPr>
            <w:webHidden/>
          </w:rPr>
          <w:tab/>
        </w:r>
        <w:r w:rsidRPr="00183F70">
          <w:rPr>
            <w:webHidden/>
          </w:rPr>
          <w:fldChar w:fldCharType="begin"/>
        </w:r>
        <w:r w:rsidRPr="00183F70">
          <w:rPr>
            <w:webHidden/>
          </w:rPr>
          <w:instrText xml:space="preserve"> PAGEREF _Toc187757620 \h </w:instrText>
        </w:r>
        <w:r w:rsidRPr="00183F70">
          <w:rPr>
            <w:webHidden/>
          </w:rPr>
        </w:r>
        <w:r w:rsidRPr="00183F70">
          <w:rPr>
            <w:webHidden/>
          </w:rPr>
          <w:fldChar w:fldCharType="separate"/>
        </w:r>
        <w:r w:rsidRPr="00183F70">
          <w:rPr>
            <w:webHidden/>
          </w:rPr>
          <w:t>25</w:t>
        </w:r>
        <w:r w:rsidRPr="00183F70">
          <w:rPr>
            <w:webHidden/>
          </w:rPr>
          <w:fldChar w:fldCharType="end"/>
        </w:r>
      </w:hyperlink>
    </w:p>
    <w:p w14:paraId="7E0DA1B2" w14:textId="18E875A3" w:rsidR="00245ABB" w:rsidRPr="00183F70" w:rsidRDefault="00245ABB" w:rsidP="001924EE">
      <w:pPr>
        <w:pStyle w:val="TOC4"/>
        <w:rPr>
          <w:rFonts w:eastAsiaTheme="minorEastAsia"/>
          <w:kern w:val="2"/>
          <w:lang w:val="en-US" w:eastAsia="zh-CN"/>
          <w14:ligatures w14:val="standardContextual"/>
        </w:rPr>
      </w:pPr>
      <w:hyperlink w:anchor="_Toc187757621" w:history="1">
        <w:r w:rsidRPr="00183F70">
          <w:rPr>
            <w:rStyle w:val="Hyperlink"/>
            <w:lang w:val="en-US"/>
          </w:rPr>
          <w:t>1.</w:t>
        </w:r>
        <w:r w:rsidRPr="00183F70">
          <w:rPr>
            <w:rFonts w:eastAsiaTheme="minorEastAsia"/>
            <w:kern w:val="2"/>
            <w:lang w:val="en-US" w:eastAsia="zh-CN"/>
            <w14:ligatures w14:val="standardContextual"/>
          </w:rPr>
          <w:tab/>
        </w:r>
        <w:r w:rsidRPr="00183F70">
          <w:rPr>
            <w:rStyle w:val="Hyperlink"/>
            <w:lang w:val="en-US"/>
          </w:rPr>
          <w:t>A government exercising effective control can make binding commitments on behalf of a State</w:t>
        </w:r>
        <w:r w:rsidRPr="00183F70">
          <w:rPr>
            <w:webHidden/>
          </w:rPr>
          <w:tab/>
        </w:r>
        <w:r w:rsidRPr="00183F70">
          <w:rPr>
            <w:webHidden/>
          </w:rPr>
          <w:fldChar w:fldCharType="begin"/>
        </w:r>
        <w:r w:rsidRPr="00183F70">
          <w:rPr>
            <w:webHidden/>
          </w:rPr>
          <w:instrText xml:space="preserve"> PAGEREF _Toc187757621 \h </w:instrText>
        </w:r>
        <w:r w:rsidRPr="00183F70">
          <w:rPr>
            <w:webHidden/>
          </w:rPr>
        </w:r>
        <w:r w:rsidRPr="00183F70">
          <w:rPr>
            <w:webHidden/>
          </w:rPr>
          <w:fldChar w:fldCharType="separate"/>
        </w:r>
        <w:r w:rsidRPr="00183F70">
          <w:rPr>
            <w:webHidden/>
          </w:rPr>
          <w:t>26</w:t>
        </w:r>
        <w:r w:rsidRPr="00183F70">
          <w:rPr>
            <w:webHidden/>
          </w:rPr>
          <w:fldChar w:fldCharType="end"/>
        </w:r>
      </w:hyperlink>
    </w:p>
    <w:p w14:paraId="6C013554" w14:textId="19D09301" w:rsidR="00245ABB" w:rsidRPr="00183F70" w:rsidRDefault="00245ABB" w:rsidP="001924EE">
      <w:pPr>
        <w:pStyle w:val="TOC4"/>
        <w:rPr>
          <w:rFonts w:eastAsiaTheme="minorEastAsia"/>
          <w:kern w:val="2"/>
          <w:lang w:val="en-US" w:eastAsia="zh-CN"/>
          <w14:ligatures w14:val="standardContextual"/>
        </w:rPr>
      </w:pPr>
      <w:hyperlink w:anchor="_Toc187757622" w:history="1">
        <w:r w:rsidRPr="00183F70">
          <w:rPr>
            <w:rStyle w:val="Hyperlink"/>
          </w:rPr>
          <w:t>2.</w:t>
        </w:r>
        <w:r w:rsidRPr="00183F70">
          <w:rPr>
            <w:rFonts w:eastAsiaTheme="minorEastAsia"/>
            <w:kern w:val="2"/>
            <w:lang w:val="en-US" w:eastAsia="zh-CN"/>
            <w14:ligatures w14:val="standardContextual"/>
          </w:rPr>
          <w:tab/>
        </w:r>
        <w:r w:rsidRPr="00183F70">
          <w:rPr>
            <w:rStyle w:val="Hyperlink"/>
          </w:rPr>
          <w:t>The Council exercised effective control over Ambrosia</w:t>
        </w:r>
        <w:r w:rsidRPr="00183F70">
          <w:rPr>
            <w:webHidden/>
          </w:rPr>
          <w:tab/>
        </w:r>
        <w:r w:rsidRPr="00183F70">
          <w:rPr>
            <w:webHidden/>
          </w:rPr>
          <w:fldChar w:fldCharType="begin"/>
        </w:r>
        <w:r w:rsidRPr="00183F70">
          <w:rPr>
            <w:webHidden/>
          </w:rPr>
          <w:instrText xml:space="preserve"> PAGEREF _Toc187757622 \h </w:instrText>
        </w:r>
        <w:r w:rsidRPr="00183F70">
          <w:rPr>
            <w:webHidden/>
          </w:rPr>
        </w:r>
        <w:r w:rsidRPr="00183F70">
          <w:rPr>
            <w:webHidden/>
          </w:rPr>
          <w:fldChar w:fldCharType="separate"/>
        </w:r>
        <w:r w:rsidRPr="00183F70">
          <w:rPr>
            <w:webHidden/>
          </w:rPr>
          <w:t>27</w:t>
        </w:r>
        <w:r w:rsidRPr="00183F70">
          <w:rPr>
            <w:webHidden/>
          </w:rPr>
          <w:fldChar w:fldCharType="end"/>
        </w:r>
      </w:hyperlink>
    </w:p>
    <w:p w14:paraId="0567C78A" w14:textId="2DF98945"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623" w:history="1">
        <w:r w:rsidRPr="00183F70">
          <w:rPr>
            <w:rStyle w:val="Hyperlink"/>
            <w:rFonts w:ascii="Times New Roman" w:hAnsi="Times New Roman" w:cs="Times New Roman"/>
            <w:noProof/>
            <w:sz w:val="24"/>
            <w:szCs w:val="24"/>
          </w:rPr>
          <w:t>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The Council controlled Ambrosian territory</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_Toc187757623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27</w:t>
        </w:r>
        <w:r w:rsidRPr="00183F70">
          <w:rPr>
            <w:rFonts w:ascii="Times New Roman" w:hAnsi="Times New Roman" w:cs="Times New Roman"/>
            <w:noProof/>
            <w:webHidden/>
            <w:sz w:val="24"/>
            <w:szCs w:val="24"/>
          </w:rPr>
          <w:fldChar w:fldCharType="end"/>
        </w:r>
      </w:hyperlink>
    </w:p>
    <w:p w14:paraId="795E9B86" w14:textId="402B74D4"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624" w:history="1">
        <w:r w:rsidRPr="00183F70">
          <w:rPr>
            <w:rStyle w:val="Hyperlink"/>
            <w:rFonts w:ascii="Times New Roman" w:hAnsi="Times New Roman" w:cs="Times New Roman"/>
            <w:noProof/>
            <w:sz w:val="24"/>
            <w:szCs w:val="24"/>
          </w:rPr>
          <w:t>ii.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The Council enjoyed the habitual obedience of the bulk of the population</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_Toc187757624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28</w:t>
        </w:r>
        <w:r w:rsidRPr="00183F70">
          <w:rPr>
            <w:rFonts w:ascii="Times New Roman" w:hAnsi="Times New Roman" w:cs="Times New Roman"/>
            <w:noProof/>
            <w:webHidden/>
            <w:sz w:val="24"/>
            <w:szCs w:val="24"/>
          </w:rPr>
          <w:fldChar w:fldCharType="end"/>
        </w:r>
      </w:hyperlink>
    </w:p>
    <w:p w14:paraId="3D814BD5" w14:textId="2581DCC2"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625" w:history="1">
        <w:r w:rsidRPr="00183F70">
          <w:rPr>
            <w:rStyle w:val="Hyperlink"/>
            <w:rFonts w:ascii="Times New Roman" w:hAnsi="Times New Roman" w:cs="Times New Roman"/>
            <w:noProof/>
            <w:sz w:val="24"/>
            <w:szCs w:val="24"/>
          </w:rPr>
          <w:t>iii.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The Council had a reasonable expectation of permanence</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_Toc187757625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28</w:t>
        </w:r>
        <w:r w:rsidRPr="00183F70">
          <w:rPr>
            <w:rFonts w:ascii="Times New Roman" w:hAnsi="Times New Roman" w:cs="Times New Roman"/>
            <w:noProof/>
            <w:webHidden/>
            <w:sz w:val="24"/>
            <w:szCs w:val="24"/>
          </w:rPr>
          <w:fldChar w:fldCharType="end"/>
        </w:r>
      </w:hyperlink>
    </w:p>
    <w:p w14:paraId="2446F070" w14:textId="6CBA0B1B" w:rsidR="00245ABB" w:rsidRPr="00183F70" w:rsidRDefault="00245ABB" w:rsidP="001924EE">
      <w:pPr>
        <w:pStyle w:val="TOC4"/>
        <w:rPr>
          <w:rFonts w:eastAsiaTheme="minorEastAsia"/>
          <w:kern w:val="2"/>
          <w:lang w:val="en-US" w:eastAsia="zh-CN"/>
          <w14:ligatures w14:val="standardContextual"/>
        </w:rPr>
      </w:pPr>
      <w:hyperlink w:anchor="_Toc187757626" w:history="1">
        <w:r w:rsidRPr="00183F70">
          <w:rPr>
            <w:rStyle w:val="Hyperlink"/>
            <w:rFonts w:eastAsia="Arial"/>
          </w:rPr>
          <w:t>3.</w:t>
        </w:r>
        <w:r w:rsidRPr="00183F70">
          <w:rPr>
            <w:rFonts w:eastAsiaTheme="minorEastAsia"/>
            <w:kern w:val="2"/>
            <w:lang w:val="en-US" w:eastAsia="zh-CN"/>
            <w14:ligatures w14:val="standardContextual"/>
          </w:rPr>
          <w:tab/>
        </w:r>
        <w:r w:rsidRPr="00183F70">
          <w:rPr>
            <w:rStyle w:val="Hyperlink"/>
          </w:rPr>
          <w:t>The binding nature of the Council’s conduct is not dependent on its constitutionality</w:t>
        </w:r>
        <w:r w:rsidRPr="00183F70">
          <w:rPr>
            <w:webHidden/>
          </w:rPr>
          <w:tab/>
        </w:r>
        <w:r w:rsidRPr="00183F70">
          <w:rPr>
            <w:webHidden/>
          </w:rPr>
          <w:fldChar w:fldCharType="begin"/>
        </w:r>
        <w:r w:rsidRPr="00183F70">
          <w:rPr>
            <w:webHidden/>
          </w:rPr>
          <w:instrText xml:space="preserve"> PAGEREF _Toc187757626 \h </w:instrText>
        </w:r>
        <w:r w:rsidRPr="00183F70">
          <w:rPr>
            <w:webHidden/>
          </w:rPr>
        </w:r>
        <w:r w:rsidRPr="00183F70">
          <w:rPr>
            <w:webHidden/>
          </w:rPr>
          <w:fldChar w:fldCharType="separate"/>
        </w:r>
        <w:r w:rsidRPr="00183F70">
          <w:rPr>
            <w:webHidden/>
          </w:rPr>
          <w:t>29</w:t>
        </w:r>
        <w:r w:rsidRPr="00183F70">
          <w:rPr>
            <w:webHidden/>
          </w:rPr>
          <w:fldChar w:fldCharType="end"/>
        </w:r>
      </w:hyperlink>
    </w:p>
    <w:p w14:paraId="5082CC28" w14:textId="428550CE" w:rsidR="00245ABB" w:rsidRPr="00183F70" w:rsidRDefault="00245ABB" w:rsidP="001924EE">
      <w:pPr>
        <w:pStyle w:val="TOC4"/>
        <w:rPr>
          <w:rFonts w:eastAsiaTheme="minorEastAsia"/>
          <w:kern w:val="2"/>
          <w:lang w:val="en-US" w:eastAsia="zh-CN"/>
          <w14:ligatures w14:val="standardContextual"/>
        </w:rPr>
      </w:pPr>
      <w:hyperlink w:anchor="_Toc187757627" w:history="1">
        <w:r w:rsidRPr="00183F70">
          <w:rPr>
            <w:rStyle w:val="Hyperlink"/>
          </w:rPr>
          <w:t>4.</w:t>
        </w:r>
        <w:r w:rsidRPr="00183F70">
          <w:rPr>
            <w:rFonts w:eastAsiaTheme="minorEastAsia"/>
            <w:kern w:val="2"/>
            <w:lang w:val="en-US" w:eastAsia="zh-CN"/>
            <w14:ligatures w14:val="standardContextual"/>
          </w:rPr>
          <w:tab/>
        </w:r>
        <w:r w:rsidRPr="00183F70">
          <w:rPr>
            <w:rStyle w:val="Hyperlink"/>
          </w:rPr>
          <w:t>The Transitional Council has not committed any acts sufficient to deny it a right of representation</w:t>
        </w:r>
        <w:r w:rsidRPr="00183F70">
          <w:rPr>
            <w:webHidden/>
          </w:rPr>
          <w:tab/>
        </w:r>
        <w:r w:rsidRPr="00183F70">
          <w:rPr>
            <w:webHidden/>
          </w:rPr>
          <w:fldChar w:fldCharType="begin"/>
        </w:r>
        <w:r w:rsidRPr="00183F70">
          <w:rPr>
            <w:webHidden/>
          </w:rPr>
          <w:instrText xml:space="preserve"> PAGEREF _Toc187757627 \h </w:instrText>
        </w:r>
        <w:r w:rsidRPr="00183F70">
          <w:rPr>
            <w:webHidden/>
          </w:rPr>
        </w:r>
        <w:r w:rsidRPr="00183F70">
          <w:rPr>
            <w:webHidden/>
          </w:rPr>
          <w:fldChar w:fldCharType="separate"/>
        </w:r>
        <w:r w:rsidRPr="00183F70">
          <w:rPr>
            <w:webHidden/>
          </w:rPr>
          <w:t>29</w:t>
        </w:r>
        <w:r w:rsidRPr="00183F70">
          <w:rPr>
            <w:webHidden/>
          </w:rPr>
          <w:fldChar w:fldCharType="end"/>
        </w:r>
      </w:hyperlink>
    </w:p>
    <w:p w14:paraId="44DF01B5" w14:textId="6FBC068D"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628" w:history="1">
        <w:r w:rsidRPr="00183F70">
          <w:rPr>
            <w:rStyle w:val="Hyperlink"/>
            <w:rFonts w:ascii="Times New Roman" w:hAnsi="Times New Roman" w:cs="Times New Roman"/>
            <w:noProof/>
            <w:sz w:val="24"/>
            <w:szCs w:val="24"/>
          </w:rPr>
          <w:t>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The Council did not seize power in violation of a peremptory norm of international law</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_Toc187757628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30</w:t>
        </w:r>
        <w:r w:rsidRPr="00183F70">
          <w:rPr>
            <w:rFonts w:ascii="Times New Roman" w:hAnsi="Times New Roman" w:cs="Times New Roman"/>
            <w:noProof/>
            <w:webHidden/>
            <w:sz w:val="24"/>
            <w:szCs w:val="24"/>
          </w:rPr>
          <w:fldChar w:fldCharType="end"/>
        </w:r>
      </w:hyperlink>
    </w:p>
    <w:p w14:paraId="3A515B2A" w14:textId="4BD4315D" w:rsidR="00245ABB" w:rsidRPr="00183F70" w:rsidRDefault="00245ABB" w:rsidP="001924EE">
      <w:pPr>
        <w:pStyle w:val="TOC5"/>
        <w:rPr>
          <w:rFonts w:ascii="Times New Roman" w:eastAsiaTheme="minorEastAsia" w:hAnsi="Times New Roman" w:cs="Times New Roman"/>
          <w:noProof/>
          <w:kern w:val="2"/>
          <w:sz w:val="24"/>
          <w:szCs w:val="24"/>
          <w:lang w:val="en-US" w:eastAsia="zh-CN"/>
          <w14:ligatures w14:val="standardContextual"/>
        </w:rPr>
      </w:pPr>
      <w:hyperlink w:anchor="_Toc187757629" w:history="1">
        <w:r w:rsidRPr="00183F70">
          <w:rPr>
            <w:rStyle w:val="Hyperlink"/>
            <w:rFonts w:ascii="Times New Roman" w:hAnsi="Times New Roman" w:cs="Times New Roman"/>
            <w:noProof/>
            <w:sz w:val="24"/>
            <w:szCs w:val="24"/>
          </w:rPr>
          <w:t>ii.</w:t>
        </w:r>
        <w:r w:rsidRPr="00183F70">
          <w:rPr>
            <w:rFonts w:ascii="Times New Roman" w:eastAsiaTheme="minorEastAsia" w:hAnsi="Times New Roman" w:cs="Times New Roman"/>
            <w:noProof/>
            <w:kern w:val="2"/>
            <w:sz w:val="24"/>
            <w:szCs w:val="24"/>
            <w:lang w:val="en-US" w:eastAsia="zh-CN"/>
            <w14:ligatures w14:val="standardContextual"/>
          </w:rPr>
          <w:tab/>
        </w:r>
        <w:r w:rsidRPr="00183F70">
          <w:rPr>
            <w:rStyle w:val="Hyperlink"/>
            <w:rFonts w:ascii="Times New Roman" w:hAnsi="Times New Roman" w:cs="Times New Roman"/>
            <w:noProof/>
            <w:sz w:val="24"/>
            <w:szCs w:val="24"/>
          </w:rPr>
          <w:t>The Council was willing and able to undertake international obligations</w:t>
        </w:r>
        <w:r w:rsidRPr="00183F70">
          <w:rPr>
            <w:rFonts w:ascii="Times New Roman" w:hAnsi="Times New Roman" w:cs="Times New Roman"/>
            <w:noProof/>
            <w:webHidden/>
            <w:sz w:val="24"/>
            <w:szCs w:val="24"/>
          </w:rPr>
          <w:tab/>
        </w:r>
        <w:r w:rsidRPr="00183F70">
          <w:rPr>
            <w:rFonts w:ascii="Times New Roman" w:hAnsi="Times New Roman" w:cs="Times New Roman"/>
            <w:noProof/>
            <w:webHidden/>
            <w:sz w:val="24"/>
            <w:szCs w:val="24"/>
          </w:rPr>
          <w:fldChar w:fldCharType="begin"/>
        </w:r>
        <w:r w:rsidRPr="00183F70">
          <w:rPr>
            <w:rFonts w:ascii="Times New Roman" w:hAnsi="Times New Roman" w:cs="Times New Roman"/>
            <w:noProof/>
            <w:webHidden/>
            <w:sz w:val="24"/>
            <w:szCs w:val="24"/>
          </w:rPr>
          <w:instrText xml:space="preserve"> PAGEREF _Toc187757629 \h </w:instrText>
        </w:r>
        <w:r w:rsidRPr="00183F70">
          <w:rPr>
            <w:rFonts w:ascii="Times New Roman" w:hAnsi="Times New Roman" w:cs="Times New Roman"/>
            <w:noProof/>
            <w:webHidden/>
            <w:sz w:val="24"/>
            <w:szCs w:val="24"/>
          </w:rPr>
        </w:r>
        <w:r w:rsidRPr="00183F70">
          <w:rPr>
            <w:rFonts w:ascii="Times New Roman" w:hAnsi="Times New Roman" w:cs="Times New Roman"/>
            <w:noProof/>
            <w:webHidden/>
            <w:sz w:val="24"/>
            <w:szCs w:val="24"/>
          </w:rPr>
          <w:fldChar w:fldCharType="separate"/>
        </w:r>
        <w:r w:rsidRPr="00183F70">
          <w:rPr>
            <w:rFonts w:ascii="Times New Roman" w:hAnsi="Times New Roman" w:cs="Times New Roman"/>
            <w:noProof/>
            <w:webHidden/>
            <w:sz w:val="24"/>
            <w:szCs w:val="24"/>
          </w:rPr>
          <w:t>30</w:t>
        </w:r>
        <w:r w:rsidRPr="00183F70">
          <w:rPr>
            <w:rFonts w:ascii="Times New Roman" w:hAnsi="Times New Roman" w:cs="Times New Roman"/>
            <w:noProof/>
            <w:webHidden/>
            <w:sz w:val="24"/>
            <w:szCs w:val="24"/>
          </w:rPr>
          <w:fldChar w:fldCharType="end"/>
        </w:r>
      </w:hyperlink>
    </w:p>
    <w:p w14:paraId="5E232F00" w14:textId="645E2F57" w:rsidR="00245ABB" w:rsidRPr="00183F70" w:rsidRDefault="00245ABB" w:rsidP="00245ABB">
      <w:pPr>
        <w:pStyle w:val="TOC3"/>
        <w:rPr>
          <w:rFonts w:eastAsiaTheme="minorEastAsia"/>
          <w:kern w:val="2"/>
          <w:lang w:val="en-US" w:eastAsia="zh-CN"/>
          <w14:ligatures w14:val="standardContextual"/>
        </w:rPr>
      </w:pPr>
      <w:hyperlink w:anchor="_Toc187757630" w:history="1">
        <w:r w:rsidRPr="00183F70">
          <w:rPr>
            <w:rStyle w:val="Hyperlink"/>
          </w:rPr>
          <w:t>B.</w:t>
        </w:r>
        <w:r w:rsidRPr="00183F70">
          <w:rPr>
            <w:rFonts w:eastAsiaTheme="minorEastAsia"/>
            <w:kern w:val="2"/>
            <w:lang w:val="en-US" w:eastAsia="zh-CN"/>
            <w14:ligatures w14:val="standardContextual"/>
          </w:rPr>
          <w:tab/>
        </w:r>
        <w:r w:rsidRPr="00183F70">
          <w:rPr>
            <w:rStyle w:val="Hyperlink"/>
          </w:rPr>
          <w:t>The Council’s waiver is attributable to the State regardless of its governmental status</w:t>
        </w:r>
        <w:r w:rsidRPr="00183F70">
          <w:rPr>
            <w:webHidden/>
          </w:rPr>
          <w:tab/>
        </w:r>
        <w:r w:rsidRPr="00183F70">
          <w:rPr>
            <w:webHidden/>
          </w:rPr>
          <w:fldChar w:fldCharType="begin"/>
        </w:r>
        <w:r w:rsidRPr="00183F70">
          <w:rPr>
            <w:webHidden/>
          </w:rPr>
          <w:instrText xml:space="preserve"> PAGEREF _Toc187757630 \h </w:instrText>
        </w:r>
        <w:r w:rsidRPr="00183F70">
          <w:rPr>
            <w:webHidden/>
          </w:rPr>
        </w:r>
        <w:r w:rsidRPr="00183F70">
          <w:rPr>
            <w:webHidden/>
          </w:rPr>
          <w:fldChar w:fldCharType="separate"/>
        </w:r>
        <w:r w:rsidRPr="00183F70">
          <w:rPr>
            <w:webHidden/>
          </w:rPr>
          <w:t>31</w:t>
        </w:r>
        <w:r w:rsidRPr="00183F70">
          <w:rPr>
            <w:webHidden/>
          </w:rPr>
          <w:fldChar w:fldCharType="end"/>
        </w:r>
      </w:hyperlink>
    </w:p>
    <w:p w14:paraId="06CEFD8D" w14:textId="36201B90" w:rsidR="00245ABB" w:rsidRPr="00183F70" w:rsidRDefault="00245ABB" w:rsidP="00245ABB">
      <w:pPr>
        <w:pStyle w:val="TOC1"/>
        <w:rPr>
          <w:rFonts w:eastAsiaTheme="minorEastAsia"/>
          <w:kern w:val="2"/>
          <w:lang w:val="en-US" w:eastAsia="zh-CN"/>
          <w14:ligatures w14:val="standardContextual"/>
        </w:rPr>
      </w:pPr>
      <w:hyperlink w:anchor="_Toc187757631" w:history="1">
        <w:r w:rsidRPr="00183F70">
          <w:rPr>
            <w:rStyle w:val="Hyperlink"/>
          </w:rPr>
          <w:t>PRAYER FOR RELIEF</w:t>
        </w:r>
        <w:r w:rsidRPr="00183F70">
          <w:rPr>
            <w:webHidden/>
          </w:rPr>
          <w:tab/>
        </w:r>
        <w:r w:rsidRPr="00183F70">
          <w:rPr>
            <w:webHidden/>
          </w:rPr>
          <w:fldChar w:fldCharType="begin"/>
        </w:r>
        <w:r w:rsidRPr="00183F70">
          <w:rPr>
            <w:webHidden/>
          </w:rPr>
          <w:instrText xml:space="preserve"> PAGEREF _Toc187757631 \h </w:instrText>
        </w:r>
        <w:r w:rsidRPr="00183F70">
          <w:rPr>
            <w:webHidden/>
          </w:rPr>
        </w:r>
        <w:r w:rsidRPr="00183F70">
          <w:rPr>
            <w:webHidden/>
          </w:rPr>
          <w:fldChar w:fldCharType="separate"/>
        </w:r>
        <w:r w:rsidRPr="00183F70">
          <w:rPr>
            <w:webHidden/>
          </w:rPr>
          <w:t>33</w:t>
        </w:r>
        <w:r w:rsidRPr="00183F70">
          <w:rPr>
            <w:webHidden/>
          </w:rPr>
          <w:fldChar w:fldCharType="end"/>
        </w:r>
      </w:hyperlink>
    </w:p>
    <w:p w14:paraId="67087261" w14:textId="4DE1C8F0" w:rsidR="00245ABB" w:rsidRPr="00245ABB" w:rsidRDefault="00245ABB" w:rsidP="00245ABB">
      <w:pPr>
        <w:ind w:firstLine="0"/>
      </w:pPr>
      <w:r w:rsidRPr="00183F70">
        <w:fldChar w:fldCharType="end"/>
      </w:r>
    </w:p>
    <w:p w14:paraId="35A85C9E" w14:textId="77777777" w:rsidR="00245ABB" w:rsidRDefault="00245ABB">
      <w:pPr>
        <w:spacing w:after="0" w:line="240" w:lineRule="auto"/>
        <w:ind w:firstLine="360"/>
        <w:jc w:val="left"/>
        <w:rPr>
          <w:rFonts w:eastAsiaTheme="majorEastAsia"/>
          <w:b/>
          <w:bCs/>
          <w:color w:val="000000" w:themeColor="text1"/>
        </w:rPr>
      </w:pPr>
      <w:r>
        <w:br w:type="page"/>
      </w:r>
    </w:p>
    <w:p w14:paraId="3CD71884" w14:textId="4A18D4CB" w:rsidR="002A4673" w:rsidRDefault="002A4673" w:rsidP="00314196">
      <w:pPr>
        <w:pStyle w:val="Heading1"/>
      </w:pPr>
      <w:bookmarkStart w:id="1" w:name="_Toc187757575"/>
      <w:r>
        <w:lastRenderedPageBreak/>
        <w:t>TABLE OF AUTHORITIES</w:t>
      </w:r>
      <w:bookmarkEnd w:id="1"/>
    </w:p>
    <w:p w14:paraId="56858FC5" w14:textId="77777777" w:rsidR="00962927" w:rsidRPr="00962927" w:rsidRDefault="00A52D20" w:rsidP="00962927">
      <w:pPr>
        <w:pStyle w:val="TOAHeading"/>
        <w:tabs>
          <w:tab w:val="right" w:leader="dot" w:pos="9350"/>
        </w:tabs>
        <w:ind w:firstLine="0"/>
        <w:rPr>
          <w:rFonts w:ascii="Times New Roman" w:eastAsiaTheme="minorEastAsia" w:hAnsi="Times New Roman" w:cs="Times New Roman"/>
          <w:b w:val="0"/>
          <w:bCs w:val="0"/>
          <w:smallCaps/>
          <w:noProof/>
        </w:rPr>
      </w:pPr>
      <w:r w:rsidRPr="00740656">
        <w:rPr>
          <w:rFonts w:ascii="Times New Roman" w:hAnsi="Times New Roman" w:cs="Times New Roman"/>
          <w:lang w:val="en-US"/>
        </w:rPr>
        <w:fldChar w:fldCharType="begin"/>
      </w:r>
      <w:r w:rsidRPr="00740656">
        <w:rPr>
          <w:rFonts w:ascii="Times New Roman" w:hAnsi="Times New Roman" w:cs="Times New Roman"/>
          <w:lang w:val="en-US"/>
        </w:rPr>
        <w:instrText xml:space="preserve"> TOA \h \c "1" </w:instrText>
      </w:r>
      <w:r w:rsidRPr="00740656">
        <w:rPr>
          <w:rFonts w:ascii="Times New Roman" w:hAnsi="Times New Roman" w:cs="Times New Roman"/>
          <w:lang w:val="en-US"/>
        </w:rPr>
        <w:fldChar w:fldCharType="separate"/>
      </w:r>
      <w:r w:rsidR="00962927" w:rsidRPr="00962927">
        <w:rPr>
          <w:rFonts w:ascii="Times New Roman" w:hAnsi="Times New Roman" w:cs="Times New Roman"/>
          <w:smallCaps/>
          <w:noProof/>
        </w:rPr>
        <w:t>Treaties</w:t>
      </w:r>
    </w:p>
    <w:p w14:paraId="5CE96882" w14:textId="77777777" w:rsidR="00962927" w:rsidRDefault="00962927">
      <w:pPr>
        <w:pStyle w:val="TableofAuthorities"/>
        <w:tabs>
          <w:tab w:val="right" w:leader="dot" w:pos="9350"/>
        </w:tabs>
        <w:rPr>
          <w:noProof/>
        </w:rPr>
      </w:pPr>
      <w:r>
        <w:rPr>
          <w:noProof/>
        </w:rPr>
        <w:t>International Convention for the Protection of All Persons from Enforced Disappearance, Dec. 23, 2010, 2716 U.N.T.S 3</w:t>
      </w:r>
      <w:r>
        <w:rPr>
          <w:noProof/>
        </w:rPr>
        <w:tab/>
        <w:t>4, 11, 12, 13, 16, 20</w:t>
      </w:r>
    </w:p>
    <w:p w14:paraId="015B2B4E" w14:textId="77777777" w:rsidR="00962927" w:rsidRDefault="00962927">
      <w:pPr>
        <w:pStyle w:val="TableofAuthorities"/>
        <w:tabs>
          <w:tab w:val="right" w:leader="dot" w:pos="9350"/>
        </w:tabs>
        <w:rPr>
          <w:noProof/>
        </w:rPr>
      </w:pPr>
      <w:r>
        <w:rPr>
          <w:noProof/>
        </w:rPr>
        <w:t>Rome Statute of the International Criminal Court, July 17, 1998, 2187 U.N.T.S. 90</w:t>
      </w:r>
      <w:r>
        <w:rPr>
          <w:noProof/>
        </w:rPr>
        <w:tab/>
        <w:t>16</w:t>
      </w:r>
    </w:p>
    <w:p w14:paraId="21990E47" w14:textId="77777777" w:rsidR="00962927" w:rsidRDefault="00962927">
      <w:pPr>
        <w:pStyle w:val="TableofAuthorities"/>
        <w:tabs>
          <w:tab w:val="right" w:leader="dot" w:pos="9350"/>
        </w:tabs>
        <w:rPr>
          <w:noProof/>
        </w:rPr>
      </w:pPr>
      <w:r w:rsidRPr="00F2523D">
        <w:rPr>
          <w:noProof/>
          <w:color w:val="000000"/>
        </w:rPr>
        <w:t>Statute of the International Court of Justice,</w:t>
      </w:r>
      <w:r w:rsidRPr="00F2523D">
        <w:rPr>
          <w:noProof/>
          <w:color w:val="000000" w:themeColor="text1"/>
        </w:rPr>
        <w:t xml:space="preserve"> Oct. 24, 1945, 59 </w:t>
      </w:r>
      <w:r w:rsidRPr="00F2523D">
        <w:rPr>
          <w:smallCaps/>
          <w:noProof/>
        </w:rPr>
        <w:t>Stat</w:t>
      </w:r>
      <w:r w:rsidRPr="00F2523D">
        <w:rPr>
          <w:noProof/>
          <w:color w:val="000000" w:themeColor="text1"/>
        </w:rPr>
        <w:t>. 1055.</w:t>
      </w:r>
      <w:r>
        <w:rPr>
          <w:noProof/>
        </w:rPr>
        <w:tab/>
        <w:t>33</w:t>
      </w:r>
    </w:p>
    <w:p w14:paraId="07C58374" w14:textId="77777777" w:rsidR="00962927" w:rsidRDefault="00962927">
      <w:pPr>
        <w:pStyle w:val="TableofAuthorities"/>
        <w:tabs>
          <w:tab w:val="right" w:leader="dot" w:pos="9350"/>
        </w:tabs>
        <w:rPr>
          <w:noProof/>
        </w:rPr>
      </w:pPr>
      <w:r>
        <w:rPr>
          <w:noProof/>
        </w:rPr>
        <w:t>U.N. Convention on the Law of the Sea, Nov. 16, 1994, 1833 U.N.T.S. 397</w:t>
      </w:r>
      <w:r>
        <w:rPr>
          <w:noProof/>
        </w:rPr>
        <w:tab/>
        <w:t>21, 22, 23, 24, 28</w:t>
      </w:r>
    </w:p>
    <w:p w14:paraId="3F50A6F6" w14:textId="77777777" w:rsidR="00962927" w:rsidRDefault="00962927">
      <w:pPr>
        <w:pStyle w:val="TableofAuthorities"/>
        <w:tabs>
          <w:tab w:val="right" w:leader="dot" w:pos="9350"/>
        </w:tabs>
        <w:rPr>
          <w:noProof/>
        </w:rPr>
      </w:pPr>
      <w:r>
        <w:rPr>
          <w:noProof/>
        </w:rPr>
        <w:t>Vienna Convention on the Law of Treaties, Jan. 27, 1980, 1155 U.N.T.S. 331</w:t>
      </w:r>
      <w:r>
        <w:rPr>
          <w:noProof/>
        </w:rPr>
        <w:tab/>
        <w:t>6, 8, 32</w:t>
      </w:r>
    </w:p>
    <w:p w14:paraId="6C737C7C" w14:textId="1421F4D6" w:rsidR="00962927" w:rsidRPr="00962927" w:rsidRDefault="00A52D20" w:rsidP="00962927">
      <w:pPr>
        <w:pStyle w:val="TOAHeading"/>
        <w:tabs>
          <w:tab w:val="right" w:leader="dot" w:pos="9350"/>
        </w:tabs>
        <w:ind w:firstLine="0"/>
        <w:rPr>
          <w:rFonts w:ascii="Times New Roman" w:eastAsiaTheme="minorEastAsia" w:hAnsi="Times New Roman" w:cs="Times New Roman"/>
          <w:b w:val="0"/>
          <w:bCs w:val="0"/>
          <w:noProof/>
        </w:rPr>
      </w:pPr>
      <w:r w:rsidRPr="00740656">
        <w:rPr>
          <w:rFonts w:ascii="Times New Roman" w:hAnsi="Times New Roman" w:cs="Times New Roman"/>
          <w:lang w:val="en-US"/>
        </w:rPr>
        <w:fldChar w:fldCharType="end"/>
      </w:r>
      <w:r w:rsidRPr="00740656">
        <w:rPr>
          <w:rFonts w:ascii="Times New Roman" w:hAnsi="Times New Roman" w:cs="Times New Roman"/>
          <w:lang w:val="en-US"/>
        </w:rPr>
        <w:fldChar w:fldCharType="begin"/>
      </w:r>
      <w:r w:rsidRPr="00740656">
        <w:rPr>
          <w:rFonts w:ascii="Times New Roman" w:hAnsi="Times New Roman" w:cs="Times New Roman"/>
          <w:lang w:val="en-US"/>
        </w:rPr>
        <w:instrText xml:space="preserve"> TOA \h \c "2" </w:instrText>
      </w:r>
      <w:r w:rsidRPr="00740656">
        <w:rPr>
          <w:rFonts w:ascii="Times New Roman" w:hAnsi="Times New Roman" w:cs="Times New Roman"/>
          <w:lang w:val="en-US"/>
        </w:rPr>
        <w:fldChar w:fldCharType="separate"/>
      </w:r>
      <w:r w:rsidR="00962927" w:rsidRPr="00962927">
        <w:rPr>
          <w:rFonts w:ascii="Times New Roman" w:hAnsi="Times New Roman" w:cs="Times New Roman"/>
          <w:noProof/>
        </w:rPr>
        <w:t>ICJ &amp; PCIJ Cases</w:t>
      </w:r>
    </w:p>
    <w:p w14:paraId="257B7F9C" w14:textId="77777777" w:rsidR="00962927" w:rsidRDefault="00962927">
      <w:pPr>
        <w:pStyle w:val="TableofAuthorities"/>
        <w:tabs>
          <w:tab w:val="right" w:leader="dot" w:pos="9350"/>
        </w:tabs>
        <w:rPr>
          <w:noProof/>
        </w:rPr>
      </w:pPr>
      <w:r w:rsidRPr="00127F8E">
        <w:rPr>
          <w:i/>
          <w:noProof/>
        </w:rPr>
        <w:t>Armed Activities on the Territory of the Congo</w:t>
      </w:r>
      <w:r>
        <w:rPr>
          <w:noProof/>
        </w:rPr>
        <w:t xml:space="preserve"> </w:t>
      </w:r>
      <w:r w:rsidRPr="00127F8E">
        <w:rPr>
          <w:i/>
          <w:noProof/>
        </w:rPr>
        <w:t>(</w:t>
      </w:r>
      <w:r w:rsidRPr="00127F8E">
        <w:rPr>
          <w:i/>
          <w:iCs/>
          <w:noProof/>
        </w:rPr>
        <w:t xml:space="preserve">New Application: 2002) </w:t>
      </w:r>
      <w:r>
        <w:rPr>
          <w:noProof/>
        </w:rPr>
        <w:t>(Dem. Rep. Congo v. Rwanda), Judgment, 2006 I.C.J. 39 (Feb. 3)</w:t>
      </w:r>
      <w:r>
        <w:rPr>
          <w:noProof/>
        </w:rPr>
        <w:tab/>
        <w:t>1</w:t>
      </w:r>
    </w:p>
    <w:p w14:paraId="0DDB4024" w14:textId="77777777" w:rsidR="00962927" w:rsidRDefault="00962927">
      <w:pPr>
        <w:pStyle w:val="TableofAuthorities"/>
        <w:tabs>
          <w:tab w:val="right" w:leader="dot" w:pos="9350"/>
        </w:tabs>
        <w:rPr>
          <w:noProof/>
        </w:rPr>
      </w:pPr>
      <w:r w:rsidRPr="00127F8E">
        <w:rPr>
          <w:i/>
          <w:noProof/>
        </w:rPr>
        <w:t xml:space="preserve">Arrest Warrant of 11 April 2000 </w:t>
      </w:r>
      <w:r>
        <w:rPr>
          <w:noProof/>
        </w:rPr>
        <w:t>(Dem. Rep. Congo v. Belg.), Judgment, 2002 I.C.J. 3 (Feb. 14)</w:t>
      </w:r>
      <w:r>
        <w:rPr>
          <w:noProof/>
        </w:rPr>
        <w:tab/>
        <w:t>18</w:t>
      </w:r>
    </w:p>
    <w:p w14:paraId="2F386EF5" w14:textId="77777777" w:rsidR="00962927" w:rsidRDefault="00962927">
      <w:pPr>
        <w:pStyle w:val="TableofAuthorities"/>
        <w:tabs>
          <w:tab w:val="right" w:leader="dot" w:pos="9350"/>
        </w:tabs>
        <w:rPr>
          <w:noProof/>
        </w:rPr>
      </w:pPr>
      <w:r w:rsidRPr="00127F8E">
        <w:rPr>
          <w:i/>
          <w:noProof/>
        </w:rPr>
        <w:t xml:space="preserve">Arrest Warrant of 11 April 2000 </w:t>
      </w:r>
      <w:r>
        <w:rPr>
          <w:noProof/>
        </w:rPr>
        <w:t>(Dem. Rep. Congo v. Belg.), Judgment, 2002 I.C.J. 63 (Feb. 14) (separate opinion by Higgins, J. et al.)</w:t>
      </w:r>
      <w:r>
        <w:rPr>
          <w:noProof/>
        </w:rPr>
        <w:tab/>
        <w:t>15, 16, 20</w:t>
      </w:r>
    </w:p>
    <w:p w14:paraId="23058A97" w14:textId="77777777" w:rsidR="00962927" w:rsidRDefault="00962927">
      <w:pPr>
        <w:pStyle w:val="TableofAuthorities"/>
        <w:tabs>
          <w:tab w:val="right" w:leader="dot" w:pos="9350"/>
        </w:tabs>
        <w:rPr>
          <w:noProof/>
        </w:rPr>
      </w:pPr>
      <w:r w:rsidRPr="00127F8E">
        <w:rPr>
          <w:i/>
          <w:noProof/>
        </w:rPr>
        <w:t xml:space="preserve">Arrest Warrant of 11 April 2000 </w:t>
      </w:r>
      <w:r>
        <w:rPr>
          <w:noProof/>
        </w:rPr>
        <w:t>(Dem. Rep. Congo v. Belg.), Judgment, 2002 I.C.J. 95 (Feb. 14) (dissenting opinion by Al-Khasawneh, J.)</w:t>
      </w:r>
      <w:r>
        <w:rPr>
          <w:noProof/>
        </w:rPr>
        <w:tab/>
        <w:t>21</w:t>
      </w:r>
    </w:p>
    <w:p w14:paraId="26A297AD" w14:textId="77777777" w:rsidR="00962927" w:rsidRDefault="00962927">
      <w:pPr>
        <w:pStyle w:val="TableofAuthorities"/>
        <w:tabs>
          <w:tab w:val="right" w:leader="dot" w:pos="9350"/>
        </w:tabs>
        <w:rPr>
          <w:noProof/>
        </w:rPr>
      </w:pPr>
      <w:r w:rsidRPr="00127F8E">
        <w:rPr>
          <w:i/>
          <w:noProof/>
          <w:color w:val="000000"/>
        </w:rPr>
        <w:t xml:space="preserve">Asylum </w:t>
      </w:r>
      <w:r w:rsidRPr="00127F8E">
        <w:rPr>
          <w:noProof/>
          <w:color w:val="000000"/>
        </w:rPr>
        <w:t>(Colom. v. Peru), Judgment, 1950 I.C.J. 194 (Nov. 20)</w:t>
      </w:r>
      <w:r>
        <w:rPr>
          <w:noProof/>
        </w:rPr>
        <w:tab/>
        <w:t>29</w:t>
      </w:r>
    </w:p>
    <w:p w14:paraId="46A19300" w14:textId="77777777" w:rsidR="00962927" w:rsidRDefault="00962927">
      <w:pPr>
        <w:pStyle w:val="TableofAuthorities"/>
        <w:tabs>
          <w:tab w:val="right" w:leader="dot" w:pos="9350"/>
        </w:tabs>
        <w:rPr>
          <w:noProof/>
        </w:rPr>
      </w:pPr>
      <w:r w:rsidRPr="00127F8E">
        <w:rPr>
          <w:i/>
          <w:iCs/>
          <w:noProof/>
        </w:rPr>
        <w:t>Certain Property</w:t>
      </w:r>
      <w:r>
        <w:rPr>
          <w:noProof/>
        </w:rPr>
        <w:t xml:space="preserve"> (Liech. v. Ger.), Judgment, 2005 I.C.J. 6 (Feb. 10)</w:t>
      </w:r>
      <w:r>
        <w:rPr>
          <w:noProof/>
        </w:rPr>
        <w:tab/>
        <w:t>2, 3</w:t>
      </w:r>
    </w:p>
    <w:p w14:paraId="3F9147F5" w14:textId="77777777" w:rsidR="00962927" w:rsidRDefault="00962927">
      <w:pPr>
        <w:pStyle w:val="TableofAuthorities"/>
        <w:tabs>
          <w:tab w:val="right" w:leader="dot" w:pos="9350"/>
        </w:tabs>
        <w:rPr>
          <w:noProof/>
        </w:rPr>
      </w:pPr>
      <w:r w:rsidRPr="00127F8E">
        <w:rPr>
          <w:i/>
          <w:noProof/>
        </w:rPr>
        <w:t>Certain Questions of Mutual Assistance in Criminal Matters</w:t>
      </w:r>
      <w:r>
        <w:rPr>
          <w:noProof/>
        </w:rPr>
        <w:t xml:space="preserve"> (Djib. v. Fr.), Judgment, 2008 I.C.J. 177</w:t>
      </w:r>
      <w:r>
        <w:rPr>
          <w:noProof/>
        </w:rPr>
        <w:tab/>
        <w:t>18</w:t>
      </w:r>
    </w:p>
    <w:p w14:paraId="43825D7E" w14:textId="77777777" w:rsidR="00962927" w:rsidRDefault="00962927">
      <w:pPr>
        <w:pStyle w:val="TableofAuthorities"/>
        <w:tabs>
          <w:tab w:val="right" w:leader="dot" w:pos="9350"/>
        </w:tabs>
        <w:rPr>
          <w:noProof/>
        </w:rPr>
      </w:pPr>
      <w:r w:rsidRPr="00127F8E">
        <w:rPr>
          <w:i/>
          <w:noProof/>
        </w:rPr>
        <w:t xml:space="preserve">Competence of Assembly regarding admission to the United Nations, </w:t>
      </w:r>
      <w:r>
        <w:rPr>
          <w:noProof/>
        </w:rPr>
        <w:t>Advisory Opinion, 1950 I.C.J. 4 (Mar. 3)</w:t>
      </w:r>
      <w:r>
        <w:rPr>
          <w:noProof/>
        </w:rPr>
        <w:tab/>
        <w:t>7</w:t>
      </w:r>
    </w:p>
    <w:p w14:paraId="7B497C4B" w14:textId="77777777" w:rsidR="00962927" w:rsidRDefault="00962927">
      <w:pPr>
        <w:pStyle w:val="TableofAuthorities"/>
        <w:tabs>
          <w:tab w:val="right" w:leader="dot" w:pos="9350"/>
        </w:tabs>
        <w:rPr>
          <w:noProof/>
        </w:rPr>
      </w:pPr>
      <w:r w:rsidRPr="00127F8E">
        <w:rPr>
          <w:i/>
          <w:iCs/>
          <w:noProof/>
        </w:rPr>
        <w:t>Continental Shelf</w:t>
      </w:r>
      <w:r>
        <w:rPr>
          <w:noProof/>
        </w:rPr>
        <w:t xml:space="preserve"> (Libyan Arab Jamahiriya v. Malta), Judgment, 1985 ICJ 13 (June 3)</w:t>
      </w:r>
      <w:r>
        <w:rPr>
          <w:noProof/>
        </w:rPr>
        <w:tab/>
        <w:t>23</w:t>
      </w:r>
    </w:p>
    <w:p w14:paraId="4D323B10" w14:textId="77777777" w:rsidR="00962927" w:rsidRDefault="00962927">
      <w:pPr>
        <w:pStyle w:val="TableofAuthorities"/>
        <w:tabs>
          <w:tab w:val="right" w:leader="dot" w:pos="9350"/>
        </w:tabs>
        <w:rPr>
          <w:noProof/>
        </w:rPr>
      </w:pPr>
      <w:r>
        <w:rPr>
          <w:noProof/>
        </w:rPr>
        <w:t xml:space="preserve">Correspondence, </w:t>
      </w:r>
      <w:r w:rsidRPr="00127F8E">
        <w:rPr>
          <w:i/>
          <w:iCs/>
          <w:noProof/>
        </w:rPr>
        <w:t>Legal Consequences for States of the Continued Presence of South Africa in Namibia (South West Africa) notwithstanding Security Council Resolution 276 (1970)</w:t>
      </w:r>
      <w:r>
        <w:rPr>
          <w:noProof/>
        </w:rPr>
        <w:t>, Advisory Opinion, 1970 I.C.J. Correspondence (Nov. 6), https://www.icj-cij.org/sites/default/files/case-related/53/11825.pdf</w:t>
      </w:r>
      <w:r>
        <w:rPr>
          <w:noProof/>
        </w:rPr>
        <w:tab/>
        <w:t>24</w:t>
      </w:r>
    </w:p>
    <w:p w14:paraId="1B10AB5B" w14:textId="77777777" w:rsidR="00962927" w:rsidRDefault="00962927">
      <w:pPr>
        <w:pStyle w:val="TableofAuthorities"/>
        <w:tabs>
          <w:tab w:val="right" w:leader="dot" w:pos="9350"/>
        </w:tabs>
        <w:rPr>
          <w:noProof/>
        </w:rPr>
      </w:pPr>
      <w:r w:rsidRPr="00127F8E">
        <w:rPr>
          <w:i/>
          <w:noProof/>
        </w:rPr>
        <w:t>Electricity Company of Sofia and Bulgaria</w:t>
      </w:r>
      <w:r>
        <w:rPr>
          <w:noProof/>
        </w:rPr>
        <w:t xml:space="preserve"> (Belg. v. Bulg.), Judgment, 1939 P.C.I.J. (ser. A/B) No. 77 (Apr. 4)</w:t>
      </w:r>
      <w:r>
        <w:rPr>
          <w:noProof/>
        </w:rPr>
        <w:tab/>
        <w:t>2, 4</w:t>
      </w:r>
    </w:p>
    <w:p w14:paraId="698A9407" w14:textId="77777777" w:rsidR="00962927" w:rsidRDefault="00962927">
      <w:pPr>
        <w:pStyle w:val="TableofAuthorities"/>
        <w:tabs>
          <w:tab w:val="right" w:leader="dot" w:pos="9350"/>
        </w:tabs>
        <w:rPr>
          <w:noProof/>
        </w:rPr>
      </w:pPr>
      <w:r w:rsidRPr="00127F8E">
        <w:rPr>
          <w:i/>
          <w:iCs/>
          <w:noProof/>
          <w:color w:val="000000"/>
        </w:rPr>
        <w:lastRenderedPageBreak/>
        <w:t>Fisheries</w:t>
      </w:r>
      <w:r w:rsidRPr="00127F8E">
        <w:rPr>
          <w:noProof/>
          <w:color w:val="000000"/>
        </w:rPr>
        <w:t xml:space="preserve"> (U.K. v. Nor.), Judgment, 1951 I.C.J. 116 (Dec. 18)</w:t>
      </w:r>
      <w:r>
        <w:rPr>
          <w:noProof/>
        </w:rPr>
        <w:tab/>
        <w:t>22, 24, 26, 29</w:t>
      </w:r>
    </w:p>
    <w:p w14:paraId="045DC5CF" w14:textId="77777777" w:rsidR="00962927" w:rsidRDefault="00962927">
      <w:pPr>
        <w:pStyle w:val="TableofAuthorities"/>
        <w:tabs>
          <w:tab w:val="right" w:leader="dot" w:pos="9350"/>
        </w:tabs>
        <w:rPr>
          <w:noProof/>
        </w:rPr>
      </w:pPr>
      <w:r w:rsidRPr="00127F8E">
        <w:rPr>
          <w:i/>
          <w:noProof/>
          <w:color w:val="000000" w:themeColor="text1"/>
        </w:rPr>
        <w:t xml:space="preserve">Fisheries Jurisdiction </w:t>
      </w:r>
      <w:r w:rsidRPr="00127F8E">
        <w:rPr>
          <w:noProof/>
          <w:color w:val="000000"/>
        </w:rPr>
        <w:t>(U.K. v. Ice.), Judgment, 1974 I.C.J. 175 (July 25)</w:t>
      </w:r>
      <w:r>
        <w:rPr>
          <w:noProof/>
        </w:rPr>
        <w:tab/>
        <w:t>30</w:t>
      </w:r>
    </w:p>
    <w:p w14:paraId="1C7A53F1" w14:textId="77777777" w:rsidR="00962927" w:rsidRDefault="00962927">
      <w:pPr>
        <w:pStyle w:val="TableofAuthorities"/>
        <w:tabs>
          <w:tab w:val="right" w:leader="dot" w:pos="9350"/>
        </w:tabs>
        <w:rPr>
          <w:noProof/>
        </w:rPr>
      </w:pPr>
      <w:r w:rsidRPr="00127F8E">
        <w:rPr>
          <w:i/>
          <w:noProof/>
        </w:rPr>
        <w:t>Jurisdictional Immunities of the State</w:t>
      </w:r>
      <w:r>
        <w:rPr>
          <w:noProof/>
        </w:rPr>
        <w:t xml:space="preserve"> (Ger. v. It.: Greece intervening), Judgment, 2012 I.C.J. 99 (Feb. 3)</w:t>
      </w:r>
      <w:r>
        <w:rPr>
          <w:noProof/>
        </w:rPr>
        <w:tab/>
        <w:t>2, 5, 30</w:t>
      </w:r>
    </w:p>
    <w:p w14:paraId="1BF311CE" w14:textId="77777777" w:rsidR="00962927" w:rsidRDefault="00962927">
      <w:pPr>
        <w:pStyle w:val="TableofAuthorities"/>
        <w:tabs>
          <w:tab w:val="right" w:leader="dot" w:pos="9350"/>
        </w:tabs>
        <w:rPr>
          <w:noProof/>
        </w:rPr>
      </w:pPr>
      <w:r w:rsidRPr="00127F8E">
        <w:rPr>
          <w:i/>
          <w:iCs/>
          <w:noProof/>
        </w:rPr>
        <w:t>Maritime Delimitation and Territorial Questions</w:t>
      </w:r>
      <w:r>
        <w:rPr>
          <w:noProof/>
        </w:rPr>
        <w:t xml:space="preserve"> (Qatar v. Bahr.), Judgment, 2001 I.C.J. 40 (Mar. 16)</w:t>
      </w:r>
      <w:r>
        <w:rPr>
          <w:noProof/>
        </w:rPr>
        <w:tab/>
        <w:t>23, 26</w:t>
      </w:r>
    </w:p>
    <w:p w14:paraId="56FEC9BA" w14:textId="77777777" w:rsidR="00962927" w:rsidRDefault="00962927">
      <w:pPr>
        <w:pStyle w:val="TableofAuthorities"/>
        <w:tabs>
          <w:tab w:val="right" w:leader="dot" w:pos="9350"/>
        </w:tabs>
        <w:rPr>
          <w:noProof/>
        </w:rPr>
      </w:pPr>
      <w:r w:rsidRPr="00127F8E">
        <w:rPr>
          <w:i/>
          <w:iCs/>
          <w:noProof/>
        </w:rPr>
        <w:t>Maritime Delimitation in the Black Sea</w:t>
      </w:r>
      <w:r>
        <w:rPr>
          <w:noProof/>
        </w:rPr>
        <w:t xml:space="preserve"> (Rom. v. Ukr.), Judgment, 2009 I.C.J. 61 (Feb. 3)</w:t>
      </w:r>
      <w:r>
        <w:rPr>
          <w:noProof/>
        </w:rPr>
        <w:tab/>
        <w:t>26</w:t>
      </w:r>
    </w:p>
    <w:p w14:paraId="078DBFC3" w14:textId="77777777" w:rsidR="00962927" w:rsidRDefault="00962927">
      <w:pPr>
        <w:pStyle w:val="TableofAuthorities"/>
        <w:tabs>
          <w:tab w:val="right" w:leader="dot" w:pos="9350"/>
        </w:tabs>
        <w:rPr>
          <w:noProof/>
        </w:rPr>
      </w:pPr>
      <w:r w:rsidRPr="00127F8E">
        <w:rPr>
          <w:i/>
          <w:iCs/>
          <w:noProof/>
          <w:color w:val="000000" w:themeColor="text1"/>
        </w:rPr>
        <w:t>Nationality Decrees Issued in Tunis and Morocco</w:t>
      </w:r>
      <w:r w:rsidRPr="00127F8E">
        <w:rPr>
          <w:noProof/>
          <w:color w:val="000000" w:themeColor="text1"/>
        </w:rPr>
        <w:t>, Advisory Opinion, 1923 P.C.I.J. (ser. B) No. 4 (Feb. 7)</w:t>
      </w:r>
      <w:r>
        <w:rPr>
          <w:noProof/>
        </w:rPr>
        <w:tab/>
        <w:t>10</w:t>
      </w:r>
    </w:p>
    <w:p w14:paraId="6402517D" w14:textId="77777777" w:rsidR="00962927" w:rsidRDefault="00962927">
      <w:pPr>
        <w:pStyle w:val="TableofAuthorities"/>
        <w:tabs>
          <w:tab w:val="right" w:leader="dot" w:pos="9350"/>
        </w:tabs>
        <w:rPr>
          <w:noProof/>
        </w:rPr>
      </w:pPr>
      <w:r w:rsidRPr="00127F8E">
        <w:rPr>
          <w:i/>
          <w:iCs/>
          <w:noProof/>
          <w:color w:val="000000"/>
        </w:rPr>
        <w:t>North Sea Continental Shelf</w:t>
      </w:r>
      <w:r w:rsidRPr="00127F8E">
        <w:rPr>
          <w:noProof/>
          <w:color w:val="000000"/>
        </w:rPr>
        <w:t xml:space="preserve"> (Ger. v. Den.), Judgment, 1969 I.C.J. 3 (Feb. 20)</w:t>
      </w:r>
      <w:r>
        <w:rPr>
          <w:noProof/>
        </w:rPr>
        <w:tab/>
        <w:t>22, 26, 28, 29</w:t>
      </w:r>
    </w:p>
    <w:p w14:paraId="47FD0459" w14:textId="77777777" w:rsidR="00962927" w:rsidRDefault="00962927">
      <w:pPr>
        <w:pStyle w:val="TableofAuthorities"/>
        <w:tabs>
          <w:tab w:val="right" w:leader="dot" w:pos="9350"/>
        </w:tabs>
        <w:rPr>
          <w:noProof/>
        </w:rPr>
      </w:pPr>
      <w:r w:rsidRPr="00127F8E">
        <w:rPr>
          <w:i/>
          <w:noProof/>
        </w:rPr>
        <w:t xml:space="preserve">Phosphates in Morocco </w:t>
      </w:r>
      <w:r>
        <w:rPr>
          <w:noProof/>
        </w:rPr>
        <w:t>(It. v. Fr.), Judgment, 1938 P.C.I.J. (ser. A/B) No. 74 (June 14)</w:t>
      </w:r>
      <w:r>
        <w:rPr>
          <w:noProof/>
        </w:rPr>
        <w:tab/>
        <w:t>2, 3</w:t>
      </w:r>
    </w:p>
    <w:p w14:paraId="509C9F4D" w14:textId="77777777" w:rsidR="00962927" w:rsidRDefault="00962927">
      <w:pPr>
        <w:pStyle w:val="TableofAuthorities"/>
        <w:tabs>
          <w:tab w:val="right" w:leader="dot" w:pos="9350"/>
        </w:tabs>
        <w:rPr>
          <w:noProof/>
        </w:rPr>
      </w:pPr>
      <w:r w:rsidRPr="00127F8E">
        <w:rPr>
          <w:i/>
          <w:iCs/>
          <w:noProof/>
        </w:rPr>
        <w:t xml:space="preserve">Questions relating to the </w:t>
      </w:r>
      <w:r w:rsidRPr="00127F8E">
        <w:rPr>
          <w:i/>
          <w:noProof/>
        </w:rPr>
        <w:t>Obligation to Prosecute</w:t>
      </w:r>
      <w:r w:rsidRPr="00127F8E">
        <w:rPr>
          <w:i/>
          <w:iCs/>
          <w:noProof/>
        </w:rPr>
        <w:t xml:space="preserve"> or Extradite</w:t>
      </w:r>
      <w:r>
        <w:rPr>
          <w:noProof/>
        </w:rPr>
        <w:t xml:space="preserve"> (Belg. v. Sen.), Judgment, 2012 I.C.J. 422 (July 20)</w:t>
      </w:r>
      <w:r>
        <w:rPr>
          <w:noProof/>
        </w:rPr>
        <w:tab/>
        <w:t>12, 13</w:t>
      </w:r>
    </w:p>
    <w:p w14:paraId="23982611" w14:textId="77777777" w:rsidR="00962927" w:rsidRDefault="00962927">
      <w:pPr>
        <w:pStyle w:val="TableofAuthorities"/>
        <w:tabs>
          <w:tab w:val="right" w:leader="dot" w:pos="9350"/>
        </w:tabs>
        <w:rPr>
          <w:noProof/>
        </w:rPr>
      </w:pPr>
      <w:r w:rsidRPr="00127F8E">
        <w:rPr>
          <w:i/>
          <w:iCs/>
          <w:noProof/>
        </w:rPr>
        <w:t xml:space="preserve">Questions relating to the </w:t>
      </w:r>
      <w:r w:rsidRPr="00127F8E">
        <w:rPr>
          <w:i/>
          <w:noProof/>
        </w:rPr>
        <w:t>Obligation to Prosecute</w:t>
      </w:r>
      <w:r w:rsidRPr="00127F8E">
        <w:rPr>
          <w:i/>
          <w:iCs/>
          <w:noProof/>
        </w:rPr>
        <w:t xml:space="preserve"> or Extradite</w:t>
      </w:r>
      <w:r>
        <w:rPr>
          <w:noProof/>
        </w:rPr>
        <w:t xml:space="preserve"> (Belg. v. Sen.), Judgment, 2012 I.C.J. 584 (July 20) (declaration by Donoghue, J.)</w:t>
      </w:r>
      <w:r>
        <w:rPr>
          <w:noProof/>
        </w:rPr>
        <w:tab/>
        <w:t>12</w:t>
      </w:r>
    </w:p>
    <w:p w14:paraId="1EF90C88" w14:textId="77777777" w:rsidR="00962927" w:rsidRDefault="00962927">
      <w:pPr>
        <w:pStyle w:val="TableofAuthorities"/>
        <w:tabs>
          <w:tab w:val="right" w:leader="dot" w:pos="9350"/>
        </w:tabs>
        <w:rPr>
          <w:noProof/>
        </w:rPr>
      </w:pPr>
      <w:r w:rsidRPr="00127F8E">
        <w:rPr>
          <w:i/>
          <w:iCs/>
          <w:noProof/>
        </w:rPr>
        <w:t>Right of Passage over Indian Territory</w:t>
      </w:r>
      <w:r>
        <w:rPr>
          <w:noProof/>
        </w:rPr>
        <w:t xml:space="preserve"> (Port. v. India), Judgment, 1960 I.C.J. 6 (Apr. 12)</w:t>
      </w:r>
      <w:r>
        <w:rPr>
          <w:noProof/>
        </w:rPr>
        <w:tab/>
        <w:t>2, 3, 8, 28</w:t>
      </w:r>
    </w:p>
    <w:p w14:paraId="06799248" w14:textId="53627347" w:rsidR="00962927" w:rsidRPr="00962927" w:rsidRDefault="00A52D20" w:rsidP="00962927">
      <w:pPr>
        <w:pStyle w:val="TOAHeading"/>
        <w:tabs>
          <w:tab w:val="right" w:leader="dot" w:pos="9350"/>
        </w:tabs>
        <w:ind w:firstLine="0"/>
        <w:rPr>
          <w:rFonts w:ascii="Times New Roman" w:eastAsiaTheme="minorEastAsia" w:hAnsi="Times New Roman" w:cs="Times New Roman"/>
          <w:b w:val="0"/>
          <w:bCs w:val="0"/>
          <w:smallCaps/>
          <w:noProof/>
        </w:rPr>
      </w:pPr>
      <w:r w:rsidRPr="00740656">
        <w:rPr>
          <w:rFonts w:ascii="Times New Roman" w:hAnsi="Times New Roman" w:cs="Times New Roman"/>
          <w:lang w:val="en-US"/>
        </w:rPr>
        <w:fldChar w:fldCharType="end"/>
      </w:r>
      <w:r w:rsidRPr="00740656">
        <w:rPr>
          <w:rFonts w:ascii="Times New Roman" w:hAnsi="Times New Roman" w:cs="Times New Roman"/>
          <w:lang w:val="en-US"/>
        </w:rPr>
        <w:fldChar w:fldCharType="begin"/>
      </w:r>
      <w:r w:rsidRPr="00740656">
        <w:rPr>
          <w:rFonts w:ascii="Times New Roman" w:hAnsi="Times New Roman" w:cs="Times New Roman"/>
          <w:lang w:val="en-US"/>
        </w:rPr>
        <w:instrText xml:space="preserve"> TOA \h \c "3" </w:instrText>
      </w:r>
      <w:r w:rsidRPr="00740656">
        <w:rPr>
          <w:rFonts w:ascii="Times New Roman" w:hAnsi="Times New Roman" w:cs="Times New Roman"/>
          <w:lang w:val="en-US"/>
        </w:rPr>
        <w:fldChar w:fldCharType="separate"/>
      </w:r>
      <w:r w:rsidR="00962927" w:rsidRPr="00962927">
        <w:rPr>
          <w:rFonts w:ascii="Times New Roman" w:hAnsi="Times New Roman" w:cs="Times New Roman"/>
          <w:smallCaps/>
          <w:noProof/>
        </w:rPr>
        <w:t>Other International Courts &amp; Tribunals</w:t>
      </w:r>
    </w:p>
    <w:p w14:paraId="00ED75BA" w14:textId="77777777" w:rsidR="00962927" w:rsidRDefault="00962927">
      <w:pPr>
        <w:pStyle w:val="TableofAuthorities"/>
        <w:tabs>
          <w:tab w:val="right" w:leader="dot" w:pos="9350"/>
        </w:tabs>
        <w:rPr>
          <w:noProof/>
        </w:rPr>
      </w:pPr>
      <w:r w:rsidRPr="00C7017D">
        <w:rPr>
          <w:i/>
          <w:noProof/>
        </w:rPr>
        <w:t>Aguilar-Amory and Royal Bank of Can. Claims</w:t>
      </w:r>
      <w:r>
        <w:rPr>
          <w:noProof/>
        </w:rPr>
        <w:t xml:space="preserve"> (Gr. Brit. v. Costa Rica), 1 R.I.A.A. 369 (1923)</w:t>
      </w:r>
      <w:r>
        <w:rPr>
          <w:noProof/>
        </w:rPr>
        <w:tab/>
        <w:t>32, 33, 34</w:t>
      </w:r>
    </w:p>
    <w:p w14:paraId="30CA226F" w14:textId="77777777" w:rsidR="00962927" w:rsidRDefault="00962927">
      <w:pPr>
        <w:pStyle w:val="TableofAuthorities"/>
        <w:tabs>
          <w:tab w:val="right" w:leader="dot" w:pos="9350"/>
        </w:tabs>
        <w:rPr>
          <w:noProof/>
        </w:rPr>
      </w:pPr>
      <w:r w:rsidRPr="00C7017D">
        <w:rPr>
          <w:i/>
          <w:noProof/>
          <w:color w:val="000000"/>
        </w:rPr>
        <w:t>ConocoPhillips Petrozuata B.V., ConocoPhillips Hamaca B.V. and ConocoPhillips Gulf of Paria B.V. v. Bolivarian Republic of Venezuela</w:t>
      </w:r>
      <w:r w:rsidRPr="00C7017D">
        <w:rPr>
          <w:noProof/>
          <w:color w:val="000000"/>
        </w:rPr>
        <w:t>, ICSID Case No. ARB/07/30, Recommendation of Lord Phillips (2020)</w:t>
      </w:r>
      <w:r>
        <w:rPr>
          <w:noProof/>
        </w:rPr>
        <w:tab/>
        <w:t>34</w:t>
      </w:r>
    </w:p>
    <w:p w14:paraId="5597C933" w14:textId="77777777" w:rsidR="00962927" w:rsidRDefault="00962927">
      <w:pPr>
        <w:pStyle w:val="TableofAuthorities"/>
        <w:tabs>
          <w:tab w:val="right" w:leader="dot" w:pos="9350"/>
        </w:tabs>
        <w:rPr>
          <w:noProof/>
        </w:rPr>
      </w:pPr>
      <w:r w:rsidRPr="00C7017D">
        <w:rPr>
          <w:i/>
          <w:iCs/>
          <w:noProof/>
          <w:color w:val="000000" w:themeColor="text1"/>
        </w:rPr>
        <w:t>Dispute Concerning Delimitation of the Maritime Boundary between Bangladesh and Myanmar in the Bay of Bengal</w:t>
      </w:r>
      <w:r w:rsidRPr="00C7017D">
        <w:rPr>
          <w:noProof/>
          <w:color w:val="000000"/>
        </w:rPr>
        <w:t xml:space="preserve"> (Bangl. v. Myan.), Case No. 16, Judgment of Mar. 14, 2012, </w:t>
      </w:r>
      <w:r w:rsidRPr="00C7017D">
        <w:rPr>
          <w:noProof/>
          <w:color w:val="000000" w:themeColor="text1"/>
        </w:rPr>
        <w:t>https://www.itlos.org/fileadmin/itlos/documents/cases/case_no_16/published/C16-J-14_mar_12.pdf</w:t>
      </w:r>
      <w:r>
        <w:rPr>
          <w:noProof/>
        </w:rPr>
        <w:tab/>
        <w:t>26</w:t>
      </w:r>
    </w:p>
    <w:p w14:paraId="3B0E9CCE" w14:textId="77777777" w:rsidR="00962927" w:rsidRDefault="00962927">
      <w:pPr>
        <w:pStyle w:val="TableofAuthorities"/>
        <w:tabs>
          <w:tab w:val="right" w:leader="dot" w:pos="9350"/>
        </w:tabs>
        <w:rPr>
          <w:noProof/>
        </w:rPr>
      </w:pPr>
      <w:r w:rsidRPr="00C7017D">
        <w:rPr>
          <w:i/>
          <w:noProof/>
        </w:rPr>
        <w:t>Kenneth P. Yeager v. Islamic Republic of Iran</w:t>
      </w:r>
      <w:r>
        <w:rPr>
          <w:noProof/>
        </w:rPr>
        <w:t>, Iran-U.S. Claims Tribunal Case No. 10199, Award No. 324-10199-1 (1987)</w:t>
      </w:r>
      <w:r>
        <w:rPr>
          <w:noProof/>
        </w:rPr>
        <w:tab/>
        <w:t>36</w:t>
      </w:r>
    </w:p>
    <w:p w14:paraId="3AA262F4" w14:textId="77777777" w:rsidR="00962927" w:rsidRDefault="00962927">
      <w:pPr>
        <w:pStyle w:val="TableofAuthorities"/>
        <w:tabs>
          <w:tab w:val="right" w:leader="dot" w:pos="9350"/>
        </w:tabs>
        <w:rPr>
          <w:noProof/>
        </w:rPr>
      </w:pPr>
      <w:r>
        <w:rPr>
          <w:noProof/>
        </w:rPr>
        <w:lastRenderedPageBreak/>
        <w:t>Press Release, Int’l Crim. Ct., The Determination of the Office of the Prosecutor on the communication received in relation to Egypt, Doc. ICC-OTP-20130508-PR1003 (May 8, 2014)</w:t>
      </w:r>
      <w:r>
        <w:rPr>
          <w:noProof/>
        </w:rPr>
        <w:tab/>
        <w:t>32</w:t>
      </w:r>
    </w:p>
    <w:p w14:paraId="02BAF580" w14:textId="77777777" w:rsidR="00962927" w:rsidRDefault="00962927">
      <w:pPr>
        <w:pStyle w:val="TableofAuthorities"/>
        <w:tabs>
          <w:tab w:val="right" w:leader="dot" w:pos="9350"/>
        </w:tabs>
        <w:rPr>
          <w:noProof/>
        </w:rPr>
      </w:pPr>
      <w:r w:rsidRPr="00C7017D">
        <w:rPr>
          <w:i/>
          <w:noProof/>
        </w:rPr>
        <w:t>Prosecutor v. Bemba</w:t>
      </w:r>
      <w:r>
        <w:rPr>
          <w:noProof/>
        </w:rPr>
        <w:t>, ICC-01/05-01/08-424, Decision on Charges (June 15, 2009).</w:t>
      </w:r>
      <w:r>
        <w:rPr>
          <w:noProof/>
        </w:rPr>
        <w:tab/>
        <w:t>17</w:t>
      </w:r>
    </w:p>
    <w:p w14:paraId="5968CE38" w14:textId="77777777" w:rsidR="00962927" w:rsidRDefault="00962927">
      <w:pPr>
        <w:pStyle w:val="TableofAuthorities"/>
        <w:tabs>
          <w:tab w:val="right" w:leader="dot" w:pos="9350"/>
        </w:tabs>
        <w:rPr>
          <w:noProof/>
        </w:rPr>
      </w:pPr>
      <w:r w:rsidRPr="00C7017D">
        <w:rPr>
          <w:i/>
          <w:iCs/>
          <w:noProof/>
        </w:rPr>
        <w:t>Prosecutor v. Furundžija</w:t>
      </w:r>
      <w:r>
        <w:rPr>
          <w:noProof/>
        </w:rPr>
        <w:t>, Case No. IT-95-17/1-T, Judgment (ICTY Dec. 10, 1998)</w:t>
      </w:r>
      <w:r>
        <w:rPr>
          <w:noProof/>
        </w:rPr>
        <w:tab/>
        <w:t>15</w:t>
      </w:r>
    </w:p>
    <w:p w14:paraId="24BC2652" w14:textId="77777777" w:rsidR="00962927" w:rsidRDefault="00962927">
      <w:pPr>
        <w:pStyle w:val="TableofAuthorities"/>
        <w:tabs>
          <w:tab w:val="right" w:leader="dot" w:pos="9350"/>
        </w:tabs>
        <w:rPr>
          <w:noProof/>
        </w:rPr>
      </w:pPr>
      <w:r w:rsidRPr="00C7017D">
        <w:rPr>
          <w:i/>
          <w:iCs/>
          <w:noProof/>
        </w:rPr>
        <w:t>Prosecutor v. Tadić</w:t>
      </w:r>
      <w:r>
        <w:rPr>
          <w:noProof/>
        </w:rPr>
        <w:t>, Case No. IT-94-1-I, Decision on the Defence Motion for Interlocutory Appeal on Jurisdiction (ICTY Oct. 2, 1995)</w:t>
      </w:r>
      <w:r>
        <w:rPr>
          <w:noProof/>
        </w:rPr>
        <w:tab/>
        <w:t>15</w:t>
      </w:r>
    </w:p>
    <w:p w14:paraId="6116D873" w14:textId="77777777" w:rsidR="00962927" w:rsidRDefault="00962927">
      <w:pPr>
        <w:pStyle w:val="TableofAuthorities"/>
        <w:tabs>
          <w:tab w:val="right" w:leader="dot" w:pos="9350"/>
        </w:tabs>
        <w:rPr>
          <w:noProof/>
        </w:rPr>
      </w:pPr>
      <w:r w:rsidRPr="00C7017D">
        <w:rPr>
          <w:i/>
          <w:noProof/>
          <w:color w:val="000000"/>
        </w:rPr>
        <w:t>The Chagos Marine Protected Area Arbitration</w:t>
      </w:r>
      <w:r w:rsidRPr="00C7017D">
        <w:rPr>
          <w:i/>
          <w:iCs/>
          <w:noProof/>
          <w:color w:val="000000"/>
        </w:rPr>
        <w:t xml:space="preserve"> </w:t>
      </w:r>
      <w:r w:rsidRPr="00C7017D">
        <w:rPr>
          <w:noProof/>
          <w:color w:val="000000"/>
        </w:rPr>
        <w:t>(Mauritius v. U.K.), No. 2011-03, Award (Perm. Ct. of Arb</w:t>
      </w:r>
      <w:r w:rsidRPr="00C7017D">
        <w:rPr>
          <w:i/>
          <w:iCs/>
          <w:noProof/>
          <w:color w:val="000000"/>
        </w:rPr>
        <w:t>.</w:t>
      </w:r>
      <w:r w:rsidRPr="00C7017D">
        <w:rPr>
          <w:noProof/>
          <w:color w:val="000000"/>
        </w:rPr>
        <w:t xml:space="preserve"> 2015)</w:t>
      </w:r>
      <w:r>
        <w:rPr>
          <w:noProof/>
        </w:rPr>
        <w:tab/>
        <w:t>30</w:t>
      </w:r>
    </w:p>
    <w:p w14:paraId="447AAA9D" w14:textId="77777777" w:rsidR="00962927" w:rsidRDefault="00962927">
      <w:pPr>
        <w:pStyle w:val="TableofAuthorities"/>
        <w:tabs>
          <w:tab w:val="right" w:leader="dot" w:pos="9350"/>
        </w:tabs>
        <w:rPr>
          <w:noProof/>
        </w:rPr>
      </w:pPr>
      <w:r w:rsidRPr="00C7017D">
        <w:rPr>
          <w:i/>
          <w:noProof/>
        </w:rPr>
        <w:t>Toto Costruzioni Generali S.P.A. v. The Republic of Lebanon</w:t>
      </w:r>
      <w:r>
        <w:rPr>
          <w:noProof/>
        </w:rPr>
        <w:t>, ICSID Case No. ARB/07/12, Decision on Jurisdiction (Sep. 11, 2009)</w:t>
      </w:r>
      <w:r>
        <w:rPr>
          <w:noProof/>
        </w:rPr>
        <w:tab/>
        <w:t>36</w:t>
      </w:r>
    </w:p>
    <w:p w14:paraId="30F02606" w14:textId="77777777" w:rsidR="00962927" w:rsidRDefault="00962927">
      <w:pPr>
        <w:pStyle w:val="TableofAuthorities"/>
        <w:tabs>
          <w:tab w:val="right" w:leader="dot" w:pos="9350"/>
        </w:tabs>
        <w:rPr>
          <w:noProof/>
        </w:rPr>
      </w:pPr>
      <w:r w:rsidRPr="00C7017D">
        <w:rPr>
          <w:i/>
          <w:noProof/>
          <w:lang w:val="es-ES"/>
        </w:rPr>
        <w:t>Valores Mundiales and Consorcio Andino v. Venez</w:t>
      </w:r>
      <w:r w:rsidRPr="00C7017D">
        <w:rPr>
          <w:i/>
          <w:iCs/>
          <w:noProof/>
          <w:lang w:val="es-ES"/>
        </w:rPr>
        <w:t>.</w:t>
      </w:r>
      <w:r w:rsidRPr="00C7017D">
        <w:rPr>
          <w:noProof/>
          <w:lang w:val="es-ES"/>
        </w:rPr>
        <w:t>, ICSID Case No. ARB/13/11, Procedural Resolution No. 2 (Aug. 29, 2019)</w:t>
      </w:r>
      <w:r>
        <w:rPr>
          <w:noProof/>
        </w:rPr>
        <w:tab/>
        <w:t>31, 34</w:t>
      </w:r>
    </w:p>
    <w:p w14:paraId="03F43310" w14:textId="07EF779E" w:rsidR="00962927" w:rsidRPr="00962927" w:rsidRDefault="00A52D20" w:rsidP="00962927">
      <w:pPr>
        <w:pStyle w:val="TOAHeading"/>
        <w:tabs>
          <w:tab w:val="right" w:leader="dot" w:pos="9350"/>
        </w:tabs>
        <w:ind w:firstLine="0"/>
        <w:rPr>
          <w:rFonts w:ascii="Times New Roman" w:eastAsiaTheme="minorEastAsia" w:hAnsi="Times New Roman" w:cs="Times New Roman"/>
          <w:b w:val="0"/>
          <w:bCs w:val="0"/>
          <w:smallCaps/>
          <w:noProof/>
        </w:rPr>
      </w:pPr>
      <w:r w:rsidRPr="00740656">
        <w:rPr>
          <w:rFonts w:ascii="Times New Roman" w:hAnsi="Times New Roman" w:cs="Times New Roman"/>
          <w:lang w:val="en-US"/>
        </w:rPr>
        <w:fldChar w:fldCharType="end"/>
      </w:r>
      <w:r w:rsidRPr="00740656">
        <w:rPr>
          <w:rFonts w:ascii="Times New Roman" w:hAnsi="Times New Roman" w:cs="Times New Roman"/>
          <w:lang w:val="en-US"/>
        </w:rPr>
        <w:fldChar w:fldCharType="begin"/>
      </w:r>
      <w:r w:rsidRPr="00740656">
        <w:rPr>
          <w:rFonts w:ascii="Times New Roman" w:hAnsi="Times New Roman" w:cs="Times New Roman"/>
          <w:lang w:val="en-US"/>
        </w:rPr>
        <w:instrText xml:space="preserve"> TOA \h \c "4" </w:instrText>
      </w:r>
      <w:r w:rsidRPr="00740656">
        <w:rPr>
          <w:rFonts w:ascii="Times New Roman" w:hAnsi="Times New Roman" w:cs="Times New Roman"/>
          <w:lang w:val="en-US"/>
        </w:rPr>
        <w:fldChar w:fldCharType="separate"/>
      </w:r>
      <w:r w:rsidR="00962927" w:rsidRPr="00962927">
        <w:rPr>
          <w:rFonts w:ascii="Times New Roman" w:hAnsi="Times New Roman" w:cs="Times New Roman"/>
          <w:smallCaps/>
          <w:noProof/>
        </w:rPr>
        <w:t>Treatises</w:t>
      </w:r>
    </w:p>
    <w:p w14:paraId="4A57A4A2" w14:textId="77777777" w:rsidR="00962927" w:rsidRDefault="00962927">
      <w:pPr>
        <w:pStyle w:val="TableofAuthorities"/>
        <w:tabs>
          <w:tab w:val="right" w:leader="dot" w:pos="9350"/>
        </w:tabs>
        <w:rPr>
          <w:noProof/>
        </w:rPr>
      </w:pPr>
      <w:r>
        <w:rPr>
          <w:noProof/>
        </w:rPr>
        <w:t xml:space="preserve">Claudio Grossman Guiloff (Special Rapporteur), </w:t>
      </w:r>
      <w:r w:rsidRPr="00D54961">
        <w:rPr>
          <w:i/>
          <w:noProof/>
        </w:rPr>
        <w:t xml:space="preserve">First </w:t>
      </w:r>
      <w:r w:rsidRPr="00D54961">
        <w:rPr>
          <w:i/>
          <w:iCs/>
          <w:noProof/>
        </w:rPr>
        <w:t>Rep.</w:t>
      </w:r>
      <w:r w:rsidRPr="00D54961">
        <w:rPr>
          <w:i/>
          <w:noProof/>
        </w:rPr>
        <w:t xml:space="preserve"> on immunity of State officials from foreign criminal jurisdiction</w:t>
      </w:r>
      <w:r>
        <w:rPr>
          <w:noProof/>
        </w:rPr>
        <w:t>, U.N. Doc. A/CN.4/775 (May 3, 2024)</w:t>
      </w:r>
      <w:r>
        <w:rPr>
          <w:noProof/>
        </w:rPr>
        <w:tab/>
        <w:t>17, 18</w:t>
      </w:r>
    </w:p>
    <w:p w14:paraId="1F53C10E" w14:textId="77777777" w:rsidR="00962927" w:rsidRDefault="00962927">
      <w:pPr>
        <w:pStyle w:val="TableofAuthorities"/>
        <w:tabs>
          <w:tab w:val="right" w:leader="dot" w:pos="9350"/>
        </w:tabs>
        <w:rPr>
          <w:noProof/>
        </w:rPr>
      </w:pPr>
      <w:r>
        <w:rPr>
          <w:noProof/>
        </w:rPr>
        <w:t xml:space="preserve">Int’l Law Comm’n, </w:t>
      </w:r>
      <w:r w:rsidRPr="00D54961">
        <w:rPr>
          <w:i/>
          <w:noProof/>
        </w:rPr>
        <w:t>Articles on Responsibility of States for Internationally Wrongful Acts</w:t>
      </w:r>
      <w:r>
        <w:rPr>
          <w:noProof/>
        </w:rPr>
        <w:t>, with commentaries, U.N. Doc. A/56/10 (2001)</w:t>
      </w:r>
      <w:r>
        <w:rPr>
          <w:noProof/>
        </w:rPr>
        <w:tab/>
        <w:t>28, 33, 34, 35</w:t>
      </w:r>
    </w:p>
    <w:p w14:paraId="6B2206A2" w14:textId="77777777" w:rsidR="00962927" w:rsidRDefault="00962927">
      <w:pPr>
        <w:pStyle w:val="TableofAuthorities"/>
        <w:tabs>
          <w:tab w:val="right" w:leader="dot" w:pos="9350"/>
        </w:tabs>
        <w:rPr>
          <w:noProof/>
        </w:rPr>
      </w:pPr>
      <w:r>
        <w:rPr>
          <w:noProof/>
        </w:rPr>
        <w:t>Int’l Law Comm’n</w:t>
      </w:r>
      <w:r w:rsidRPr="00D54961">
        <w:rPr>
          <w:noProof/>
          <w:color w:val="000000"/>
        </w:rPr>
        <w:t>, Rep. on the Work of Its Eighth Session, U.N. Doc. A/3159 (1956)</w:t>
      </w:r>
      <w:r>
        <w:rPr>
          <w:noProof/>
        </w:rPr>
        <w:tab/>
        <w:t>27</w:t>
      </w:r>
    </w:p>
    <w:p w14:paraId="136558CF" w14:textId="77777777" w:rsidR="00962927" w:rsidRDefault="00962927">
      <w:pPr>
        <w:pStyle w:val="TableofAuthorities"/>
        <w:tabs>
          <w:tab w:val="right" w:leader="dot" w:pos="9350"/>
        </w:tabs>
        <w:rPr>
          <w:noProof/>
        </w:rPr>
      </w:pPr>
      <w:r>
        <w:rPr>
          <w:noProof/>
        </w:rPr>
        <w:t>Int’l Law Comm’n, Rep. on the Work of Its Seventy-First Session, U.N. Doc. A/74/10 (2019)</w:t>
      </w:r>
      <w:r>
        <w:rPr>
          <w:noProof/>
        </w:rPr>
        <w:tab/>
        <w:t>20</w:t>
      </w:r>
    </w:p>
    <w:p w14:paraId="320CBCAA" w14:textId="77777777" w:rsidR="00962927" w:rsidRDefault="00962927">
      <w:pPr>
        <w:pStyle w:val="TableofAuthorities"/>
        <w:tabs>
          <w:tab w:val="right" w:leader="dot" w:pos="9350"/>
        </w:tabs>
        <w:rPr>
          <w:noProof/>
        </w:rPr>
      </w:pPr>
      <w:r>
        <w:rPr>
          <w:noProof/>
        </w:rPr>
        <w:t>Int’l Law Comm’n, Rep. on the Work of Its Seventy-Third Session, U.N. Doc. A/77/10 (2022)</w:t>
      </w:r>
      <w:r>
        <w:rPr>
          <w:noProof/>
        </w:rPr>
        <w:tab/>
        <w:t>16, 17, 18, 19, 20, 33</w:t>
      </w:r>
    </w:p>
    <w:p w14:paraId="2DAE99D4" w14:textId="77777777" w:rsidR="00962927" w:rsidRDefault="00962927">
      <w:pPr>
        <w:pStyle w:val="TableofAuthorities"/>
        <w:tabs>
          <w:tab w:val="right" w:leader="dot" w:pos="9350"/>
        </w:tabs>
        <w:rPr>
          <w:noProof/>
        </w:rPr>
      </w:pPr>
      <w:r>
        <w:rPr>
          <w:noProof/>
        </w:rPr>
        <w:t>Int’l Law Comm’n, Rep. on the Work of Its Sixty-Sixth Session, U.N. Doc. A/69/10 (2014)</w:t>
      </w:r>
      <w:r>
        <w:rPr>
          <w:noProof/>
        </w:rPr>
        <w:tab/>
        <w:t>12, 13</w:t>
      </w:r>
    </w:p>
    <w:p w14:paraId="1E502C37" w14:textId="77777777" w:rsidR="00962927" w:rsidRDefault="00962927">
      <w:pPr>
        <w:pStyle w:val="TableofAuthorities"/>
        <w:tabs>
          <w:tab w:val="right" w:leader="dot" w:pos="9350"/>
        </w:tabs>
        <w:rPr>
          <w:noProof/>
        </w:rPr>
      </w:pPr>
      <w:r>
        <w:rPr>
          <w:noProof/>
        </w:rPr>
        <w:t>Int’l Law Comm’n, Sea-level rise in relation to international law, U.N. Doc. A/CN.4/740</w:t>
      </w:r>
      <w:r>
        <w:rPr>
          <w:noProof/>
        </w:rPr>
        <w:tab/>
        <w:t>22, 25</w:t>
      </w:r>
    </w:p>
    <w:p w14:paraId="04BCF76D" w14:textId="77777777" w:rsidR="00962927" w:rsidRDefault="00962927">
      <w:pPr>
        <w:pStyle w:val="TableofAuthorities"/>
        <w:tabs>
          <w:tab w:val="right" w:leader="dot" w:pos="9350"/>
        </w:tabs>
        <w:rPr>
          <w:noProof/>
        </w:rPr>
      </w:pPr>
      <w:r w:rsidRPr="00D54961">
        <w:rPr>
          <w:noProof/>
          <w:color w:val="000000"/>
        </w:rPr>
        <w:t xml:space="preserve">Michael Wood (Special Rapporteur on the Formation and Evidence of Customary International Law), </w:t>
      </w:r>
      <w:r w:rsidRPr="00D54961">
        <w:rPr>
          <w:i/>
          <w:noProof/>
          <w:color w:val="000000"/>
        </w:rPr>
        <w:t>Third report on identification of customary international law</w:t>
      </w:r>
      <w:r w:rsidRPr="00D54961">
        <w:rPr>
          <w:noProof/>
          <w:color w:val="000000"/>
        </w:rPr>
        <w:t>, UN Doc. A/CN.4/682 (Mar. 27, 2015)</w:t>
      </w:r>
      <w:r>
        <w:rPr>
          <w:noProof/>
        </w:rPr>
        <w:tab/>
        <w:t>26</w:t>
      </w:r>
    </w:p>
    <w:p w14:paraId="606CC1F9" w14:textId="77777777" w:rsidR="00962927" w:rsidRDefault="00962927">
      <w:pPr>
        <w:pStyle w:val="TableofAuthorities"/>
        <w:tabs>
          <w:tab w:val="right" w:leader="dot" w:pos="9350"/>
        </w:tabs>
        <w:rPr>
          <w:noProof/>
        </w:rPr>
      </w:pPr>
      <w:r w:rsidRPr="00D54961">
        <w:rPr>
          <w:i/>
          <w:iCs/>
          <w:noProof/>
        </w:rPr>
        <w:t>Summary</w:t>
      </w:r>
      <w:r w:rsidRPr="00D54961">
        <w:rPr>
          <w:i/>
          <w:noProof/>
        </w:rPr>
        <w:t xml:space="preserve"> of </w:t>
      </w:r>
      <w:r w:rsidRPr="00D54961">
        <w:rPr>
          <w:i/>
          <w:iCs/>
          <w:noProof/>
        </w:rPr>
        <w:t>Records</w:t>
      </w:r>
      <w:r w:rsidRPr="00D54961">
        <w:rPr>
          <w:i/>
          <w:noProof/>
        </w:rPr>
        <w:t xml:space="preserve"> of the 3148th </w:t>
      </w:r>
      <w:r w:rsidRPr="00D54961">
        <w:rPr>
          <w:i/>
          <w:iCs/>
          <w:noProof/>
        </w:rPr>
        <w:t>Meeting</w:t>
      </w:r>
      <w:r>
        <w:rPr>
          <w:noProof/>
        </w:rPr>
        <w:t>, [2012] 1 Y.B. Int’l Law Comm’n 135, U.N. Doc. A/CN.4/SR.3148 (ICJ President Tomka)</w:t>
      </w:r>
      <w:r>
        <w:rPr>
          <w:noProof/>
        </w:rPr>
        <w:tab/>
        <w:t>12</w:t>
      </w:r>
    </w:p>
    <w:p w14:paraId="0814ABDB" w14:textId="475A6232" w:rsidR="00962927" w:rsidRPr="00962927" w:rsidRDefault="00A52D20" w:rsidP="00962927">
      <w:pPr>
        <w:pStyle w:val="TOAHeading"/>
        <w:tabs>
          <w:tab w:val="right" w:leader="dot" w:pos="9350"/>
        </w:tabs>
        <w:ind w:firstLine="0"/>
        <w:rPr>
          <w:rFonts w:ascii="Times New Roman" w:eastAsiaTheme="minorEastAsia" w:hAnsi="Times New Roman" w:cs="Times New Roman"/>
          <w:b w:val="0"/>
          <w:bCs w:val="0"/>
          <w:smallCaps/>
          <w:noProof/>
        </w:rPr>
      </w:pPr>
      <w:r w:rsidRPr="00740656">
        <w:rPr>
          <w:rFonts w:ascii="Times New Roman" w:hAnsi="Times New Roman" w:cs="Times New Roman"/>
          <w:lang w:val="en-US"/>
        </w:rPr>
        <w:lastRenderedPageBreak/>
        <w:fldChar w:fldCharType="end"/>
      </w:r>
      <w:r w:rsidRPr="00740656">
        <w:rPr>
          <w:rFonts w:ascii="Times New Roman" w:hAnsi="Times New Roman" w:cs="Times New Roman"/>
          <w:lang w:val="en-US"/>
        </w:rPr>
        <w:fldChar w:fldCharType="begin"/>
      </w:r>
      <w:r w:rsidRPr="00740656">
        <w:rPr>
          <w:rFonts w:ascii="Times New Roman" w:hAnsi="Times New Roman" w:cs="Times New Roman"/>
          <w:lang w:val="en-US"/>
        </w:rPr>
        <w:instrText xml:space="preserve"> TOA \h \c "5" </w:instrText>
      </w:r>
      <w:r w:rsidRPr="00740656">
        <w:rPr>
          <w:rFonts w:ascii="Times New Roman" w:hAnsi="Times New Roman" w:cs="Times New Roman"/>
          <w:lang w:val="en-US"/>
        </w:rPr>
        <w:fldChar w:fldCharType="separate"/>
      </w:r>
      <w:r w:rsidR="00962927" w:rsidRPr="00962927">
        <w:rPr>
          <w:rFonts w:ascii="Times New Roman" w:hAnsi="Times New Roman" w:cs="Times New Roman"/>
          <w:smallCaps/>
          <w:noProof/>
        </w:rPr>
        <w:t>UN Resolutions &amp; Documents</w:t>
      </w:r>
    </w:p>
    <w:p w14:paraId="1C119EB8" w14:textId="77777777" w:rsidR="00962927" w:rsidRDefault="00962927">
      <w:pPr>
        <w:pStyle w:val="TableofAuthorities"/>
        <w:tabs>
          <w:tab w:val="right" w:leader="dot" w:pos="9350"/>
        </w:tabs>
        <w:rPr>
          <w:noProof/>
        </w:rPr>
      </w:pPr>
      <w:r w:rsidRPr="002B0952">
        <w:rPr>
          <w:noProof/>
          <w:color w:val="000000"/>
        </w:rPr>
        <w:t xml:space="preserve">Bogdan Aurescu &amp; Nilüfer Oral (Co-Chairs of Study Group on sea-level rise in relation to international law), </w:t>
      </w:r>
      <w:r w:rsidRPr="002B0952">
        <w:rPr>
          <w:i/>
          <w:iCs/>
          <w:noProof/>
          <w:color w:val="000000"/>
        </w:rPr>
        <w:t>Sea-level rise in relation to international law</w:t>
      </w:r>
      <w:r w:rsidRPr="002B0952">
        <w:rPr>
          <w:noProof/>
          <w:color w:val="000000"/>
        </w:rPr>
        <w:t>, U.N. Doc. A/CN.4/740 (Feb. 28, 2020)</w:t>
      </w:r>
      <w:r>
        <w:rPr>
          <w:noProof/>
        </w:rPr>
        <w:tab/>
        <w:t>27</w:t>
      </w:r>
    </w:p>
    <w:p w14:paraId="6B02A81F" w14:textId="77777777" w:rsidR="00962927" w:rsidRDefault="00962927">
      <w:pPr>
        <w:pStyle w:val="TableofAuthorities"/>
        <w:tabs>
          <w:tab w:val="right" w:leader="dot" w:pos="9350"/>
        </w:tabs>
        <w:rPr>
          <w:noProof/>
        </w:rPr>
      </w:pPr>
      <w:r>
        <w:rPr>
          <w:noProof/>
        </w:rPr>
        <w:t>Comm. Against Torture Dec. 181/2001, U.N. Doc. CAT/C/36/D/181/2001 (May, 19 2006)</w:t>
      </w:r>
      <w:r>
        <w:rPr>
          <w:noProof/>
        </w:rPr>
        <w:tab/>
        <w:t>12</w:t>
      </w:r>
    </w:p>
    <w:p w14:paraId="5FF89EB4" w14:textId="77777777" w:rsidR="00962927" w:rsidRDefault="00962927">
      <w:pPr>
        <w:pStyle w:val="TableofAuthorities"/>
        <w:tabs>
          <w:tab w:val="right" w:leader="dot" w:pos="9350"/>
        </w:tabs>
        <w:rPr>
          <w:noProof/>
        </w:rPr>
      </w:pPr>
      <w:r>
        <w:rPr>
          <w:noProof/>
        </w:rPr>
        <w:t>G.A. Res. 59/38, annex, United Nations Convention on Jurisdictional Immunities of States and Their Property (Dec. 2, 2004)</w:t>
      </w:r>
      <w:r>
        <w:rPr>
          <w:noProof/>
        </w:rPr>
        <w:tab/>
        <w:t>31</w:t>
      </w:r>
    </w:p>
    <w:p w14:paraId="5FED3987" w14:textId="77777777" w:rsidR="00962927" w:rsidRDefault="00962927">
      <w:pPr>
        <w:pStyle w:val="TableofAuthorities"/>
        <w:tabs>
          <w:tab w:val="right" w:leader="dot" w:pos="9350"/>
        </w:tabs>
        <w:rPr>
          <w:noProof/>
        </w:rPr>
      </w:pPr>
      <w:r w:rsidRPr="002B0952">
        <w:rPr>
          <w:noProof/>
          <w:color w:val="000000" w:themeColor="text1"/>
        </w:rPr>
        <w:t xml:space="preserve">U.N. Division for </w:t>
      </w:r>
      <w:r>
        <w:rPr>
          <w:noProof/>
        </w:rPr>
        <w:t xml:space="preserve">Ocean Affairs and the Law of the Sea, </w:t>
      </w:r>
      <w:r w:rsidRPr="002B0952">
        <w:rPr>
          <w:i/>
          <w:iCs/>
          <w:noProof/>
          <w:color w:val="000000" w:themeColor="text1"/>
        </w:rPr>
        <w:t>Deposit of Charts</w:t>
      </w:r>
      <w:r>
        <w:rPr>
          <w:noProof/>
        </w:rPr>
        <w:t xml:space="preserve">, https://www.un.org/depts/los/LEGISLATIONANDTREATIES/depositpublicity.htm (last </w:t>
      </w:r>
      <w:r w:rsidRPr="002B0952">
        <w:rPr>
          <w:noProof/>
          <w:color w:val="000000" w:themeColor="text1"/>
        </w:rPr>
        <w:t>updated May 12, 2024)</w:t>
      </w:r>
      <w:r>
        <w:rPr>
          <w:noProof/>
        </w:rPr>
        <w:tab/>
        <w:t>27</w:t>
      </w:r>
    </w:p>
    <w:p w14:paraId="2AC4DD97" w14:textId="77777777" w:rsidR="00962927" w:rsidRDefault="00962927">
      <w:pPr>
        <w:pStyle w:val="TableofAuthorities"/>
        <w:tabs>
          <w:tab w:val="right" w:leader="dot" w:pos="9350"/>
        </w:tabs>
        <w:rPr>
          <w:noProof/>
        </w:rPr>
      </w:pPr>
      <w:r>
        <w:rPr>
          <w:noProof/>
        </w:rPr>
        <w:t>U.N. Secretary-General, Letter dated Mar. 8, 1950 from the Secretary-General to the President of the Security Council, U.N. Doc. S/1466 (Mar. 9, 1950)</w:t>
      </w:r>
      <w:r>
        <w:rPr>
          <w:noProof/>
        </w:rPr>
        <w:tab/>
        <w:t>33</w:t>
      </w:r>
    </w:p>
    <w:p w14:paraId="5D75B2C2" w14:textId="77777777" w:rsidR="00962927" w:rsidRDefault="00962927">
      <w:pPr>
        <w:pStyle w:val="TableofAuthorities"/>
        <w:tabs>
          <w:tab w:val="right" w:leader="dot" w:pos="9350"/>
        </w:tabs>
        <w:rPr>
          <w:noProof/>
        </w:rPr>
      </w:pPr>
      <w:r>
        <w:rPr>
          <w:noProof/>
        </w:rPr>
        <w:t xml:space="preserve">U.N. Secretary-General, </w:t>
      </w:r>
      <w:r w:rsidRPr="002B0952">
        <w:rPr>
          <w:i/>
          <w:noProof/>
        </w:rPr>
        <w:t xml:space="preserve">The Scope and Application of the Principle of Universal </w:t>
      </w:r>
      <w:r w:rsidRPr="002B0952">
        <w:rPr>
          <w:i/>
          <w:iCs/>
          <w:noProof/>
        </w:rPr>
        <w:t>Jurisdiction</w:t>
      </w:r>
      <w:r>
        <w:rPr>
          <w:noProof/>
        </w:rPr>
        <w:t>, U.N. Doc. A/79/269 (Aug. 1, 2024)</w:t>
      </w:r>
      <w:r>
        <w:rPr>
          <w:noProof/>
        </w:rPr>
        <w:tab/>
        <w:t>15, 16, 17</w:t>
      </w:r>
    </w:p>
    <w:p w14:paraId="79BE9C85" w14:textId="0757B291" w:rsidR="00962927" w:rsidRPr="00962927" w:rsidRDefault="00A52D20" w:rsidP="00962927">
      <w:pPr>
        <w:pStyle w:val="TOAHeading"/>
        <w:tabs>
          <w:tab w:val="right" w:leader="dot" w:pos="9350"/>
        </w:tabs>
        <w:ind w:firstLine="0"/>
        <w:rPr>
          <w:rFonts w:ascii="Times New Roman" w:eastAsiaTheme="minorEastAsia" w:hAnsi="Times New Roman" w:cs="Times New Roman"/>
          <w:b w:val="0"/>
          <w:bCs w:val="0"/>
          <w:smallCaps/>
          <w:noProof/>
        </w:rPr>
      </w:pPr>
      <w:r w:rsidRPr="00740656">
        <w:rPr>
          <w:rFonts w:ascii="Times New Roman" w:hAnsi="Times New Roman" w:cs="Times New Roman"/>
          <w:lang w:val="en-US"/>
        </w:rPr>
        <w:fldChar w:fldCharType="end"/>
      </w:r>
      <w:r w:rsidRPr="00740656">
        <w:rPr>
          <w:rFonts w:ascii="Times New Roman" w:hAnsi="Times New Roman" w:cs="Times New Roman"/>
          <w:lang w:val="en-US"/>
        </w:rPr>
        <w:fldChar w:fldCharType="begin"/>
      </w:r>
      <w:r w:rsidRPr="00740656">
        <w:rPr>
          <w:rFonts w:ascii="Times New Roman" w:hAnsi="Times New Roman" w:cs="Times New Roman"/>
          <w:lang w:val="en-US"/>
        </w:rPr>
        <w:instrText xml:space="preserve"> TOA \h \c "6" </w:instrText>
      </w:r>
      <w:r w:rsidRPr="00740656">
        <w:rPr>
          <w:rFonts w:ascii="Times New Roman" w:hAnsi="Times New Roman" w:cs="Times New Roman"/>
          <w:lang w:val="en-US"/>
        </w:rPr>
        <w:fldChar w:fldCharType="separate"/>
      </w:r>
      <w:r w:rsidR="00962927" w:rsidRPr="00962927">
        <w:rPr>
          <w:rFonts w:ascii="Times New Roman" w:hAnsi="Times New Roman" w:cs="Times New Roman"/>
          <w:smallCaps/>
          <w:noProof/>
        </w:rPr>
        <w:t>Articles, Digests, &amp; Books</w:t>
      </w:r>
    </w:p>
    <w:p w14:paraId="20879A12" w14:textId="77777777" w:rsidR="00962927" w:rsidRDefault="00962927">
      <w:pPr>
        <w:pStyle w:val="TableofAuthorities"/>
        <w:tabs>
          <w:tab w:val="right" w:leader="dot" w:pos="9350"/>
        </w:tabs>
        <w:rPr>
          <w:noProof/>
        </w:rPr>
      </w:pPr>
      <w:r>
        <w:rPr>
          <w:noProof/>
        </w:rPr>
        <w:t xml:space="preserve">Andrea Bianchi, </w:t>
      </w:r>
      <w:r w:rsidRPr="00FB29F6">
        <w:rPr>
          <w:i/>
          <w:iCs/>
          <w:noProof/>
        </w:rPr>
        <w:t>Denying State Immunity to Violators of Human</w:t>
      </w:r>
      <w:r>
        <w:rPr>
          <w:noProof/>
        </w:rPr>
        <w:t xml:space="preserve"> </w:t>
      </w:r>
      <w:r w:rsidRPr="00FB29F6">
        <w:rPr>
          <w:i/>
          <w:iCs/>
          <w:noProof/>
        </w:rPr>
        <w:t>Rights</w:t>
      </w:r>
      <w:r>
        <w:rPr>
          <w:noProof/>
        </w:rPr>
        <w:t>, 46 A</w:t>
      </w:r>
      <w:r w:rsidRPr="00FB29F6">
        <w:rPr>
          <w:smallCaps/>
          <w:noProof/>
        </w:rPr>
        <w:t xml:space="preserve">ustrian J. Pub. Int’l L. </w:t>
      </w:r>
      <w:r>
        <w:rPr>
          <w:noProof/>
        </w:rPr>
        <w:t>195 (1994)</w:t>
      </w:r>
      <w:r>
        <w:rPr>
          <w:noProof/>
        </w:rPr>
        <w:tab/>
        <w:t>19</w:t>
      </w:r>
    </w:p>
    <w:p w14:paraId="0D2E72D8" w14:textId="77777777" w:rsidR="00962927" w:rsidRDefault="00962927">
      <w:pPr>
        <w:pStyle w:val="TableofAuthorities"/>
        <w:tabs>
          <w:tab w:val="right" w:leader="dot" w:pos="9350"/>
        </w:tabs>
        <w:rPr>
          <w:noProof/>
        </w:rPr>
      </w:pPr>
      <w:r>
        <w:rPr>
          <w:noProof/>
        </w:rPr>
        <w:t xml:space="preserve">Anne Lagerwall &amp; Marie-Laurence Hébert-Dolbec, </w:t>
      </w:r>
      <w:r w:rsidRPr="00FB29F6">
        <w:rPr>
          <w:i/>
          <w:iCs/>
          <w:noProof/>
        </w:rPr>
        <w:t>Universal</w:t>
      </w:r>
      <w:r>
        <w:rPr>
          <w:noProof/>
        </w:rPr>
        <w:t xml:space="preserve"> </w:t>
      </w:r>
      <w:r w:rsidRPr="00FB29F6">
        <w:rPr>
          <w:i/>
          <w:iCs/>
          <w:noProof/>
        </w:rPr>
        <w:t>Jurisdiction</w:t>
      </w:r>
      <w:r>
        <w:rPr>
          <w:noProof/>
        </w:rPr>
        <w:t xml:space="preserve">, </w:t>
      </w:r>
      <w:r w:rsidRPr="00FB29F6">
        <w:rPr>
          <w:i/>
          <w:noProof/>
        </w:rPr>
        <w:t>in</w:t>
      </w:r>
      <w:r>
        <w:rPr>
          <w:noProof/>
        </w:rPr>
        <w:t xml:space="preserve"> </w:t>
      </w:r>
      <w:r w:rsidRPr="00FB29F6">
        <w:rPr>
          <w:smallCaps/>
          <w:noProof/>
        </w:rPr>
        <w:t>Max Planck Encyclopedia of International Law</w:t>
      </w:r>
      <w:r>
        <w:rPr>
          <w:noProof/>
        </w:rPr>
        <w:t xml:space="preserve"> (July 2022)</w:t>
      </w:r>
      <w:r>
        <w:rPr>
          <w:noProof/>
        </w:rPr>
        <w:tab/>
        <w:t>15</w:t>
      </w:r>
    </w:p>
    <w:p w14:paraId="49F874D3" w14:textId="77777777" w:rsidR="00962927" w:rsidRDefault="00962927">
      <w:pPr>
        <w:pStyle w:val="TableofAuthorities"/>
        <w:tabs>
          <w:tab w:val="right" w:leader="dot" w:pos="9350"/>
        </w:tabs>
        <w:rPr>
          <w:noProof/>
        </w:rPr>
      </w:pPr>
      <w:r>
        <w:rPr>
          <w:noProof/>
        </w:rPr>
        <w:t>Christian Tomuschat,</w:t>
      </w:r>
      <w:r w:rsidRPr="00FB29F6">
        <w:rPr>
          <w:i/>
          <w:noProof/>
        </w:rPr>
        <w:t xml:space="preserve"> Article 36</w:t>
      </w:r>
      <w:r>
        <w:rPr>
          <w:noProof/>
        </w:rPr>
        <w:t xml:space="preserve">, </w:t>
      </w:r>
      <w:r w:rsidRPr="00FB29F6">
        <w:rPr>
          <w:i/>
          <w:noProof/>
        </w:rPr>
        <w:t xml:space="preserve">in </w:t>
      </w:r>
      <w:r w:rsidRPr="00FB29F6">
        <w:rPr>
          <w:smallCaps/>
          <w:noProof/>
        </w:rPr>
        <w:t>The Statute of the International Court of Justice: A Commentary</w:t>
      </w:r>
      <w:r>
        <w:rPr>
          <w:noProof/>
        </w:rPr>
        <w:t xml:space="preserve"> 712 (Andreas Zimmermann et al. eds., 3d ed. 2019)</w:t>
      </w:r>
      <w:r>
        <w:rPr>
          <w:noProof/>
        </w:rPr>
        <w:tab/>
        <w:t>3</w:t>
      </w:r>
    </w:p>
    <w:p w14:paraId="5BA6B0DF" w14:textId="77777777" w:rsidR="00962927" w:rsidRDefault="00962927">
      <w:pPr>
        <w:pStyle w:val="TableofAuthorities"/>
        <w:tabs>
          <w:tab w:val="right" w:leader="dot" w:pos="9350"/>
        </w:tabs>
        <w:rPr>
          <w:noProof/>
        </w:rPr>
      </w:pPr>
      <w:r>
        <w:rPr>
          <w:noProof/>
        </w:rPr>
        <w:t xml:space="preserve">Coalter G. Lathrop, J. Ashley Roach &amp; Donald R. Rothwell, </w:t>
      </w:r>
      <w:r w:rsidRPr="00FB29F6">
        <w:rPr>
          <w:i/>
          <w:iCs/>
          <w:noProof/>
        </w:rPr>
        <w:t>Baselines under the International Law of the Sea: Reports of the International Law Association Committee on Baselines Under the International Law of the Sea</w:t>
      </w:r>
      <w:r>
        <w:rPr>
          <w:noProof/>
        </w:rPr>
        <w:t xml:space="preserve">, 2 </w:t>
      </w:r>
      <w:r w:rsidRPr="00FB29F6">
        <w:rPr>
          <w:smallCaps/>
          <w:noProof/>
        </w:rPr>
        <w:t>Brill Rsch. Persps. L. Sea 1</w:t>
      </w:r>
      <w:r>
        <w:rPr>
          <w:noProof/>
        </w:rPr>
        <w:t xml:space="preserve"> (2019)</w:t>
      </w:r>
      <w:r>
        <w:rPr>
          <w:noProof/>
        </w:rPr>
        <w:tab/>
        <w:t>22</w:t>
      </w:r>
    </w:p>
    <w:p w14:paraId="24DC3C45" w14:textId="77777777" w:rsidR="00962927" w:rsidRDefault="00962927">
      <w:pPr>
        <w:pStyle w:val="TableofAuthorities"/>
        <w:tabs>
          <w:tab w:val="right" w:leader="dot" w:pos="9350"/>
        </w:tabs>
        <w:rPr>
          <w:noProof/>
        </w:rPr>
      </w:pPr>
      <w:r>
        <w:rPr>
          <w:noProof/>
        </w:rPr>
        <w:t xml:space="preserve">D.D. Ntanda Nsereko, </w:t>
      </w:r>
      <w:r w:rsidRPr="00FB29F6">
        <w:rPr>
          <w:i/>
          <w:iCs/>
          <w:noProof/>
        </w:rPr>
        <w:t>The International Criminal Court: Jurisdictional and Related Issues</w:t>
      </w:r>
      <w:r>
        <w:rPr>
          <w:noProof/>
        </w:rPr>
        <w:t xml:space="preserve">, 10 </w:t>
      </w:r>
      <w:r w:rsidRPr="00FB29F6">
        <w:rPr>
          <w:smallCaps/>
          <w:noProof/>
        </w:rPr>
        <w:t>Crim. L. F.</w:t>
      </w:r>
      <w:r>
        <w:rPr>
          <w:noProof/>
        </w:rPr>
        <w:t xml:space="preserve"> 87 (1999)</w:t>
      </w:r>
      <w:r>
        <w:rPr>
          <w:noProof/>
        </w:rPr>
        <w:tab/>
        <w:t>7</w:t>
      </w:r>
    </w:p>
    <w:p w14:paraId="3000F411" w14:textId="77777777" w:rsidR="00962927" w:rsidRDefault="00962927">
      <w:pPr>
        <w:pStyle w:val="TableofAuthorities"/>
        <w:tabs>
          <w:tab w:val="right" w:leader="dot" w:pos="9350"/>
        </w:tabs>
        <w:rPr>
          <w:noProof/>
        </w:rPr>
      </w:pPr>
      <w:r w:rsidRPr="00FB29F6">
        <w:rPr>
          <w:noProof/>
          <w:color w:val="000000"/>
        </w:rPr>
        <w:t xml:space="preserve">David Caron, </w:t>
      </w:r>
      <w:r w:rsidRPr="00FB29F6">
        <w:rPr>
          <w:i/>
          <w:iCs/>
          <w:noProof/>
          <w:color w:val="000000"/>
        </w:rPr>
        <w:t>When Law Makes Climate Change Worse: Rethinking the Law of Baselines in Light of a Rising Sea Level</w:t>
      </w:r>
      <w:r w:rsidRPr="00FB29F6">
        <w:rPr>
          <w:noProof/>
          <w:color w:val="000000"/>
        </w:rPr>
        <w:t xml:space="preserve">, 17 </w:t>
      </w:r>
      <w:r w:rsidRPr="00FB29F6">
        <w:rPr>
          <w:smallCaps/>
          <w:noProof/>
          <w:color w:val="000000"/>
        </w:rPr>
        <w:t>Ecology L. Q.</w:t>
      </w:r>
      <w:r w:rsidRPr="00FB29F6">
        <w:rPr>
          <w:noProof/>
          <w:color w:val="000000"/>
        </w:rPr>
        <w:t xml:space="preserve"> 621 (1990).</w:t>
      </w:r>
      <w:r>
        <w:rPr>
          <w:noProof/>
        </w:rPr>
        <w:tab/>
        <w:t>23</w:t>
      </w:r>
    </w:p>
    <w:p w14:paraId="2F9FF137" w14:textId="77777777" w:rsidR="00962927" w:rsidRDefault="00962927">
      <w:pPr>
        <w:pStyle w:val="TableofAuthorities"/>
        <w:tabs>
          <w:tab w:val="right" w:leader="dot" w:pos="9350"/>
        </w:tabs>
        <w:rPr>
          <w:noProof/>
        </w:rPr>
      </w:pPr>
      <w:r w:rsidRPr="00FB29F6">
        <w:rPr>
          <w:smallCaps/>
          <w:noProof/>
        </w:rPr>
        <w:t>Dinah Shelton</w:t>
      </w:r>
      <w:r>
        <w:rPr>
          <w:noProof/>
        </w:rPr>
        <w:t xml:space="preserve">, </w:t>
      </w:r>
      <w:r w:rsidRPr="00FB29F6">
        <w:rPr>
          <w:i/>
          <w:noProof/>
        </w:rPr>
        <w:t>Jus Cogens in Recent Legal Scholarship</w:t>
      </w:r>
      <w:r>
        <w:rPr>
          <w:noProof/>
        </w:rPr>
        <w:t xml:space="preserve">, in </w:t>
      </w:r>
      <w:r w:rsidRPr="00FB29F6">
        <w:rPr>
          <w:smallCaps/>
          <w:noProof/>
        </w:rPr>
        <w:t xml:space="preserve">Jus Cogens </w:t>
      </w:r>
      <w:r>
        <w:rPr>
          <w:noProof/>
        </w:rPr>
        <w:t>86 (2021)</w:t>
      </w:r>
      <w:r>
        <w:rPr>
          <w:noProof/>
        </w:rPr>
        <w:tab/>
        <w:t>20</w:t>
      </w:r>
    </w:p>
    <w:p w14:paraId="25F597EF" w14:textId="77777777" w:rsidR="00962927" w:rsidRDefault="00962927">
      <w:pPr>
        <w:pStyle w:val="TableofAuthorities"/>
        <w:tabs>
          <w:tab w:val="right" w:leader="dot" w:pos="9350"/>
        </w:tabs>
        <w:rPr>
          <w:noProof/>
        </w:rPr>
      </w:pPr>
      <w:r>
        <w:rPr>
          <w:noProof/>
        </w:rPr>
        <w:lastRenderedPageBreak/>
        <w:t xml:space="preserve">Djamchid Momtaz, </w:t>
      </w:r>
      <w:r w:rsidRPr="00FB29F6">
        <w:rPr>
          <w:i/>
          <w:noProof/>
        </w:rPr>
        <w:t>Attribution of Conduct to the State: State Organs and Entities Empowered to Exercise Elements of Governmental Authority</w:t>
      </w:r>
      <w:r>
        <w:rPr>
          <w:noProof/>
        </w:rPr>
        <w:t xml:space="preserve">, </w:t>
      </w:r>
      <w:r w:rsidRPr="00FB29F6">
        <w:rPr>
          <w:i/>
          <w:noProof/>
        </w:rPr>
        <w:t xml:space="preserve">in </w:t>
      </w:r>
      <w:r w:rsidRPr="00FB29F6">
        <w:rPr>
          <w:smallCaps/>
          <w:noProof/>
        </w:rPr>
        <w:t>The Law of International Responsibility</w:t>
      </w:r>
      <w:r>
        <w:rPr>
          <w:noProof/>
        </w:rPr>
        <w:t xml:space="preserve"> 237 (James Crawford et al. eds., 2010)</w:t>
      </w:r>
      <w:r>
        <w:rPr>
          <w:noProof/>
        </w:rPr>
        <w:tab/>
        <w:t>35</w:t>
      </w:r>
    </w:p>
    <w:p w14:paraId="59D27434" w14:textId="77777777" w:rsidR="00962927" w:rsidRDefault="00962927">
      <w:pPr>
        <w:pStyle w:val="TableofAuthorities"/>
        <w:tabs>
          <w:tab w:val="right" w:leader="dot" w:pos="9350"/>
        </w:tabs>
        <w:rPr>
          <w:noProof/>
        </w:rPr>
      </w:pPr>
      <w:r>
        <w:rPr>
          <w:noProof/>
        </w:rPr>
        <w:t xml:space="preserve">Georg Nolte, </w:t>
      </w:r>
      <w:r w:rsidRPr="00FB29F6">
        <w:rPr>
          <w:i/>
          <w:noProof/>
        </w:rPr>
        <w:t>Article 2(7)</w:t>
      </w:r>
      <w:r>
        <w:rPr>
          <w:noProof/>
        </w:rPr>
        <w:t xml:space="preserve">, </w:t>
      </w:r>
      <w:r w:rsidRPr="00FB29F6">
        <w:rPr>
          <w:i/>
          <w:noProof/>
        </w:rPr>
        <w:t xml:space="preserve">in </w:t>
      </w:r>
      <w:r w:rsidRPr="00FB29F6">
        <w:rPr>
          <w:smallCaps/>
          <w:noProof/>
        </w:rPr>
        <w:t>The Charter of the United Nations: A Commentary</w:t>
      </w:r>
      <w:r>
        <w:rPr>
          <w:noProof/>
        </w:rPr>
        <w:t xml:space="preserve"> 241 (Bruno Simma et al. eds., 4th ed. 2024)</w:t>
      </w:r>
      <w:r>
        <w:rPr>
          <w:noProof/>
        </w:rPr>
        <w:tab/>
        <w:t>10</w:t>
      </w:r>
    </w:p>
    <w:p w14:paraId="79C0DA8F" w14:textId="77777777" w:rsidR="00962927" w:rsidRDefault="00962927">
      <w:pPr>
        <w:pStyle w:val="TableofAuthorities"/>
        <w:tabs>
          <w:tab w:val="right" w:leader="dot" w:pos="9350"/>
        </w:tabs>
        <w:rPr>
          <w:noProof/>
        </w:rPr>
      </w:pPr>
      <w:r w:rsidRPr="00FB29F6">
        <w:rPr>
          <w:smallCaps/>
          <w:noProof/>
        </w:rPr>
        <w:t>Goronwy Jones, The United Nations and the Domestic Jurisdiction of States: Interpretations and Applications of the Non-Intervention Principle</w:t>
      </w:r>
      <w:r>
        <w:rPr>
          <w:noProof/>
        </w:rPr>
        <w:t xml:space="preserve"> (1979).</w:t>
      </w:r>
      <w:r>
        <w:rPr>
          <w:noProof/>
        </w:rPr>
        <w:tab/>
        <w:t>10</w:t>
      </w:r>
    </w:p>
    <w:p w14:paraId="768DA0D3" w14:textId="77777777" w:rsidR="00962927" w:rsidRDefault="00962927">
      <w:pPr>
        <w:pStyle w:val="TableofAuthorities"/>
        <w:tabs>
          <w:tab w:val="right" w:leader="dot" w:pos="9350"/>
        </w:tabs>
        <w:rPr>
          <w:noProof/>
        </w:rPr>
      </w:pPr>
      <w:r w:rsidRPr="00FB29F6">
        <w:rPr>
          <w:smallCaps/>
          <w:noProof/>
        </w:rPr>
        <w:t xml:space="preserve">Guénaël Mettraux, </w:t>
      </w:r>
      <w:r w:rsidRPr="00FB29F6">
        <w:rPr>
          <w:i/>
          <w:iCs/>
          <w:noProof/>
        </w:rPr>
        <w:t>Chapeau or Contextual Elements</w:t>
      </w:r>
      <w:r>
        <w:rPr>
          <w:noProof/>
        </w:rPr>
        <w:t xml:space="preserve">, </w:t>
      </w:r>
      <w:r w:rsidRPr="00FB29F6">
        <w:rPr>
          <w:i/>
          <w:iCs/>
          <w:noProof/>
        </w:rPr>
        <w:t>in</w:t>
      </w:r>
      <w:r w:rsidRPr="00FB29F6">
        <w:rPr>
          <w:smallCaps/>
          <w:noProof/>
        </w:rPr>
        <w:t xml:space="preserve"> International Crimes: Law and Practice; Vol. II: Crimes Against Humanity</w:t>
      </w:r>
      <w:r>
        <w:rPr>
          <w:noProof/>
        </w:rPr>
        <w:t xml:space="preserve"> 194 (2020)</w:t>
      </w:r>
      <w:r>
        <w:rPr>
          <w:noProof/>
        </w:rPr>
        <w:tab/>
        <w:t>15</w:t>
      </w:r>
    </w:p>
    <w:p w14:paraId="325FA8AD" w14:textId="77777777" w:rsidR="00962927" w:rsidRDefault="00962927">
      <w:pPr>
        <w:pStyle w:val="TableofAuthorities"/>
        <w:tabs>
          <w:tab w:val="right" w:leader="dot" w:pos="9350"/>
        </w:tabs>
        <w:rPr>
          <w:noProof/>
        </w:rPr>
      </w:pPr>
      <w:r>
        <w:rPr>
          <w:noProof/>
        </w:rPr>
        <w:t xml:space="preserve">Hans Martin Blix, </w:t>
      </w:r>
      <w:r w:rsidRPr="00FB29F6">
        <w:rPr>
          <w:i/>
          <w:noProof/>
        </w:rPr>
        <w:t>Contemporary Aspects of Recognition</w:t>
      </w:r>
      <w:r>
        <w:rPr>
          <w:noProof/>
        </w:rPr>
        <w:t xml:space="preserve">, 642 </w:t>
      </w:r>
      <w:r w:rsidRPr="00FB29F6">
        <w:rPr>
          <w:smallCaps/>
          <w:noProof/>
        </w:rPr>
        <w:t>Recueil Des Cours</w:t>
      </w:r>
      <w:r>
        <w:rPr>
          <w:noProof/>
        </w:rPr>
        <w:t xml:space="preserve"> 586 (1970)</w:t>
      </w:r>
      <w:r>
        <w:rPr>
          <w:noProof/>
        </w:rPr>
        <w:tab/>
        <w:t>30</w:t>
      </w:r>
    </w:p>
    <w:p w14:paraId="1AD6CF97" w14:textId="77777777" w:rsidR="00962927" w:rsidRDefault="00962927">
      <w:pPr>
        <w:pStyle w:val="TableofAuthorities"/>
        <w:tabs>
          <w:tab w:val="right" w:leader="dot" w:pos="9350"/>
        </w:tabs>
        <w:rPr>
          <w:noProof/>
        </w:rPr>
      </w:pPr>
      <w:r w:rsidRPr="00FB29F6">
        <w:rPr>
          <w:smallCaps/>
          <w:noProof/>
        </w:rPr>
        <w:t>Hersch</w:t>
      </w:r>
      <w:r>
        <w:rPr>
          <w:noProof/>
        </w:rPr>
        <w:t xml:space="preserve"> </w:t>
      </w:r>
      <w:r w:rsidRPr="00FB29F6">
        <w:rPr>
          <w:smallCaps/>
          <w:noProof/>
        </w:rPr>
        <w:t>Lauterpacht</w:t>
      </w:r>
      <w:r>
        <w:rPr>
          <w:noProof/>
        </w:rPr>
        <w:t xml:space="preserve">, </w:t>
      </w:r>
      <w:r w:rsidRPr="00FB29F6">
        <w:rPr>
          <w:smallCaps/>
          <w:noProof/>
        </w:rPr>
        <w:t>Recognition in International Law</w:t>
      </w:r>
      <w:r>
        <w:rPr>
          <w:noProof/>
        </w:rPr>
        <w:t xml:space="preserve"> (1947)</w:t>
      </w:r>
      <w:r>
        <w:rPr>
          <w:noProof/>
        </w:rPr>
        <w:tab/>
        <w:t>29</w:t>
      </w:r>
    </w:p>
    <w:p w14:paraId="3DE6860F" w14:textId="77777777" w:rsidR="00962927" w:rsidRDefault="00962927">
      <w:pPr>
        <w:pStyle w:val="TableofAuthorities"/>
        <w:tabs>
          <w:tab w:val="right" w:leader="dot" w:pos="9350"/>
        </w:tabs>
        <w:rPr>
          <w:noProof/>
        </w:rPr>
      </w:pPr>
      <w:r>
        <w:rPr>
          <w:noProof/>
        </w:rPr>
        <w:t xml:space="preserve">Jack McNally, </w:t>
      </w:r>
      <w:r w:rsidRPr="00FB29F6">
        <w:rPr>
          <w:i/>
          <w:iCs/>
          <w:noProof/>
        </w:rPr>
        <w:t>Representation, Recognition, Resistance: Rival Governments Before the International Court of Justice</w:t>
      </w:r>
      <w:r>
        <w:rPr>
          <w:noProof/>
        </w:rPr>
        <w:t>,</w:t>
      </w:r>
      <w:r w:rsidRPr="00FB29F6">
        <w:rPr>
          <w:i/>
          <w:iCs/>
          <w:noProof/>
        </w:rPr>
        <w:t xml:space="preserve"> </w:t>
      </w:r>
      <w:r>
        <w:rPr>
          <w:noProof/>
        </w:rPr>
        <w:t xml:space="preserve">61 </w:t>
      </w:r>
      <w:r w:rsidRPr="00FB29F6">
        <w:rPr>
          <w:smallCaps/>
          <w:noProof/>
        </w:rPr>
        <w:t xml:space="preserve">Columbia J. Transnat’l L. </w:t>
      </w:r>
      <w:r>
        <w:rPr>
          <w:noProof/>
        </w:rPr>
        <w:t>2 (2023)</w:t>
      </w:r>
      <w:r>
        <w:rPr>
          <w:noProof/>
        </w:rPr>
        <w:tab/>
        <w:t>32</w:t>
      </w:r>
    </w:p>
    <w:p w14:paraId="4FB1BBC0" w14:textId="77777777" w:rsidR="00962927" w:rsidRDefault="00962927">
      <w:pPr>
        <w:pStyle w:val="TableofAuthorities"/>
        <w:tabs>
          <w:tab w:val="right" w:leader="dot" w:pos="9350"/>
        </w:tabs>
        <w:rPr>
          <w:noProof/>
        </w:rPr>
      </w:pPr>
      <w:r w:rsidRPr="00FB29F6">
        <w:rPr>
          <w:smallCaps/>
          <w:noProof/>
        </w:rPr>
        <w:t>James Crawford</w:t>
      </w:r>
      <w:r>
        <w:rPr>
          <w:noProof/>
        </w:rPr>
        <w:t xml:space="preserve">, </w:t>
      </w:r>
      <w:r w:rsidRPr="00FB29F6">
        <w:rPr>
          <w:i/>
          <w:iCs/>
          <w:noProof/>
        </w:rPr>
        <w:t>Jurisdictional Competence</w:t>
      </w:r>
      <w:r>
        <w:rPr>
          <w:noProof/>
        </w:rPr>
        <w:t xml:space="preserve">, </w:t>
      </w:r>
      <w:r w:rsidRPr="00FB29F6">
        <w:rPr>
          <w:i/>
          <w:iCs/>
          <w:noProof/>
        </w:rPr>
        <w:t>in</w:t>
      </w:r>
      <w:r>
        <w:rPr>
          <w:noProof/>
        </w:rPr>
        <w:t xml:space="preserve"> </w:t>
      </w:r>
      <w:r w:rsidRPr="00FB29F6">
        <w:rPr>
          <w:smallCaps/>
          <w:noProof/>
        </w:rPr>
        <w:t>Brownlie’s Principles of Public International Law</w:t>
      </w:r>
      <w:r>
        <w:rPr>
          <w:noProof/>
        </w:rPr>
        <w:t xml:space="preserve"> 440 (9th ed. 2019)</w:t>
      </w:r>
      <w:r>
        <w:rPr>
          <w:noProof/>
        </w:rPr>
        <w:tab/>
        <w:t>9, 14</w:t>
      </w:r>
    </w:p>
    <w:p w14:paraId="707C8778" w14:textId="77777777" w:rsidR="00962927" w:rsidRDefault="00962927">
      <w:pPr>
        <w:pStyle w:val="TableofAuthorities"/>
        <w:tabs>
          <w:tab w:val="right" w:leader="dot" w:pos="9350"/>
        </w:tabs>
        <w:rPr>
          <w:noProof/>
        </w:rPr>
      </w:pPr>
      <w:r>
        <w:rPr>
          <w:noProof/>
        </w:rPr>
        <w:t>J</w:t>
      </w:r>
      <w:r w:rsidRPr="00FB29F6">
        <w:rPr>
          <w:smallCaps/>
          <w:noProof/>
        </w:rPr>
        <w:t>ames</w:t>
      </w:r>
      <w:r>
        <w:rPr>
          <w:noProof/>
        </w:rPr>
        <w:t xml:space="preserve"> C</w:t>
      </w:r>
      <w:r w:rsidRPr="00FB29F6">
        <w:rPr>
          <w:smallCaps/>
          <w:noProof/>
        </w:rPr>
        <w:t>rawford</w:t>
      </w:r>
      <w:r>
        <w:rPr>
          <w:noProof/>
        </w:rPr>
        <w:t xml:space="preserve">, </w:t>
      </w:r>
      <w:r w:rsidRPr="00FB29F6">
        <w:rPr>
          <w:i/>
          <w:iCs/>
          <w:noProof/>
        </w:rPr>
        <w:t>Privileges and Immunities of Foreign States</w:t>
      </w:r>
      <w:r w:rsidRPr="00FB29F6">
        <w:rPr>
          <w:smallCaps/>
          <w:noProof/>
        </w:rPr>
        <w:t xml:space="preserve">, </w:t>
      </w:r>
      <w:r w:rsidRPr="00FB29F6">
        <w:rPr>
          <w:i/>
          <w:iCs/>
          <w:noProof/>
        </w:rPr>
        <w:t>in</w:t>
      </w:r>
      <w:r w:rsidRPr="00FB29F6">
        <w:rPr>
          <w:i/>
          <w:iCs/>
          <w:smallCaps/>
          <w:noProof/>
        </w:rPr>
        <w:t xml:space="preserve"> </w:t>
      </w:r>
      <w:r w:rsidRPr="00FB29F6">
        <w:rPr>
          <w:smallCaps/>
          <w:noProof/>
        </w:rPr>
        <w:t xml:space="preserve">Brownlie’s Principles of Public International Law 470 </w:t>
      </w:r>
      <w:r>
        <w:rPr>
          <w:noProof/>
        </w:rPr>
        <w:t>(9th ed. 2019)</w:t>
      </w:r>
      <w:r>
        <w:rPr>
          <w:noProof/>
        </w:rPr>
        <w:tab/>
        <w:t>16, 17</w:t>
      </w:r>
    </w:p>
    <w:p w14:paraId="7465F4CF" w14:textId="77777777" w:rsidR="00962927" w:rsidRDefault="00962927">
      <w:pPr>
        <w:pStyle w:val="TableofAuthorities"/>
        <w:tabs>
          <w:tab w:val="right" w:leader="dot" w:pos="9350"/>
        </w:tabs>
        <w:rPr>
          <w:noProof/>
        </w:rPr>
      </w:pPr>
      <w:r>
        <w:rPr>
          <w:noProof/>
        </w:rPr>
        <w:t>J</w:t>
      </w:r>
      <w:r w:rsidRPr="00FB29F6">
        <w:rPr>
          <w:smallCaps/>
          <w:noProof/>
        </w:rPr>
        <w:t>ames</w:t>
      </w:r>
      <w:r>
        <w:rPr>
          <w:noProof/>
        </w:rPr>
        <w:t xml:space="preserve"> C</w:t>
      </w:r>
      <w:r w:rsidRPr="00FB29F6">
        <w:rPr>
          <w:smallCaps/>
          <w:noProof/>
        </w:rPr>
        <w:t>rawford</w:t>
      </w:r>
      <w:r>
        <w:rPr>
          <w:noProof/>
        </w:rPr>
        <w:t xml:space="preserve">, </w:t>
      </w:r>
      <w:r w:rsidRPr="00FB29F6">
        <w:rPr>
          <w:i/>
          <w:iCs/>
          <w:noProof/>
        </w:rPr>
        <w:t>Sovereignty and Equality of States</w:t>
      </w:r>
      <w:r w:rsidRPr="00FB29F6">
        <w:rPr>
          <w:smallCaps/>
          <w:noProof/>
        </w:rPr>
        <w:t xml:space="preserve">, </w:t>
      </w:r>
      <w:r w:rsidRPr="00FB29F6">
        <w:rPr>
          <w:i/>
          <w:iCs/>
          <w:noProof/>
        </w:rPr>
        <w:t>in</w:t>
      </w:r>
      <w:r w:rsidRPr="00FB29F6">
        <w:rPr>
          <w:i/>
          <w:iCs/>
          <w:smallCaps/>
          <w:noProof/>
        </w:rPr>
        <w:t xml:space="preserve"> </w:t>
      </w:r>
      <w:r w:rsidRPr="00FB29F6">
        <w:rPr>
          <w:smallCaps/>
          <w:noProof/>
        </w:rPr>
        <w:t xml:space="preserve">Brownlie’s Principles of Public International Law 431 </w:t>
      </w:r>
      <w:r>
        <w:rPr>
          <w:noProof/>
        </w:rPr>
        <w:t>(9th ed. 2019)</w:t>
      </w:r>
      <w:r>
        <w:rPr>
          <w:noProof/>
        </w:rPr>
        <w:tab/>
        <w:t>1</w:t>
      </w:r>
    </w:p>
    <w:p w14:paraId="066DB0E6" w14:textId="77777777" w:rsidR="00962927" w:rsidRDefault="00962927">
      <w:pPr>
        <w:pStyle w:val="TableofAuthorities"/>
        <w:tabs>
          <w:tab w:val="right" w:leader="dot" w:pos="9350"/>
        </w:tabs>
        <w:rPr>
          <w:noProof/>
        </w:rPr>
      </w:pPr>
      <w:r w:rsidRPr="00FB29F6">
        <w:rPr>
          <w:smallCaps/>
          <w:noProof/>
        </w:rPr>
        <w:t>Joanne Foakes</w:t>
      </w:r>
      <w:r>
        <w:rPr>
          <w:noProof/>
        </w:rPr>
        <w:t xml:space="preserve">, </w:t>
      </w:r>
      <w:r w:rsidRPr="00FB29F6">
        <w:rPr>
          <w:smallCaps/>
          <w:noProof/>
        </w:rPr>
        <w:t xml:space="preserve">The Position of Heads of State and Senior Officials in International Law </w:t>
      </w:r>
      <w:r>
        <w:rPr>
          <w:noProof/>
        </w:rPr>
        <w:t>7</w:t>
      </w:r>
      <w:r w:rsidRPr="00FB29F6">
        <w:rPr>
          <w:smallCaps/>
          <w:noProof/>
        </w:rPr>
        <w:t xml:space="preserve"> </w:t>
      </w:r>
      <w:r>
        <w:rPr>
          <w:noProof/>
        </w:rPr>
        <w:t>(2014)</w:t>
      </w:r>
      <w:r>
        <w:rPr>
          <w:noProof/>
        </w:rPr>
        <w:tab/>
        <w:t>16, 17</w:t>
      </w:r>
    </w:p>
    <w:p w14:paraId="3928193C" w14:textId="77777777" w:rsidR="00962927" w:rsidRDefault="00962927">
      <w:pPr>
        <w:pStyle w:val="TableofAuthorities"/>
        <w:tabs>
          <w:tab w:val="right" w:leader="dot" w:pos="9350"/>
        </w:tabs>
        <w:rPr>
          <w:noProof/>
        </w:rPr>
      </w:pPr>
      <w:r>
        <w:rPr>
          <w:noProof/>
        </w:rPr>
        <w:t>J</w:t>
      </w:r>
      <w:r w:rsidRPr="00FB29F6">
        <w:rPr>
          <w:smallCaps/>
          <w:noProof/>
        </w:rPr>
        <w:t>ohn Bassett Moore, 1 Dig. Int’l L.</w:t>
      </w:r>
      <w:r>
        <w:rPr>
          <w:noProof/>
        </w:rPr>
        <w:t xml:space="preserve"> (1906)</w:t>
      </w:r>
      <w:r>
        <w:rPr>
          <w:noProof/>
        </w:rPr>
        <w:tab/>
        <w:t>30</w:t>
      </w:r>
    </w:p>
    <w:p w14:paraId="525CD6AE" w14:textId="77777777" w:rsidR="00962927" w:rsidRDefault="00962927">
      <w:pPr>
        <w:pStyle w:val="TableofAuthorities"/>
        <w:tabs>
          <w:tab w:val="right" w:leader="dot" w:pos="9350"/>
        </w:tabs>
        <w:rPr>
          <w:noProof/>
        </w:rPr>
      </w:pPr>
      <w:r>
        <w:rPr>
          <w:noProof/>
        </w:rPr>
        <w:t xml:space="preserve">K. Parlett, </w:t>
      </w:r>
      <w:r w:rsidRPr="00FB29F6">
        <w:rPr>
          <w:i/>
          <w:iCs/>
          <w:noProof/>
        </w:rPr>
        <w:t>Immunity in civil proceedings for torture: the emerging exception</w:t>
      </w:r>
      <w:r>
        <w:rPr>
          <w:noProof/>
        </w:rPr>
        <w:t xml:space="preserve">, </w:t>
      </w:r>
      <w:r w:rsidRPr="00FB29F6">
        <w:rPr>
          <w:smallCaps/>
          <w:noProof/>
        </w:rPr>
        <w:t>Eur. Hum. Rts. L. Rev. 49 (2006)</w:t>
      </w:r>
      <w:r>
        <w:rPr>
          <w:noProof/>
        </w:rPr>
        <w:tab/>
        <w:t>20</w:t>
      </w:r>
    </w:p>
    <w:p w14:paraId="4EA4C0C7" w14:textId="77777777" w:rsidR="00962927" w:rsidRDefault="00962927">
      <w:pPr>
        <w:pStyle w:val="TableofAuthorities"/>
        <w:tabs>
          <w:tab w:val="right" w:leader="dot" w:pos="9350"/>
        </w:tabs>
        <w:rPr>
          <w:noProof/>
        </w:rPr>
      </w:pPr>
      <w:r>
        <w:rPr>
          <w:noProof/>
        </w:rPr>
        <w:t xml:space="preserve">Katharine Fortin, </w:t>
      </w:r>
      <w:r w:rsidRPr="00FB29F6">
        <w:rPr>
          <w:i/>
          <w:noProof/>
        </w:rPr>
        <w:t xml:space="preserve">The Relevance of Article 9 of the Articles on State Responsibility for the Internationally Wrongful Acts of Armed </w:t>
      </w:r>
      <w:r w:rsidRPr="00FB29F6">
        <w:rPr>
          <w:i/>
          <w:iCs/>
          <w:noProof/>
        </w:rPr>
        <w:t>Groups</w:t>
      </w:r>
      <w:r>
        <w:rPr>
          <w:noProof/>
        </w:rPr>
        <w:t xml:space="preserve">, </w:t>
      </w:r>
      <w:r w:rsidRPr="00FB29F6">
        <w:rPr>
          <w:i/>
          <w:noProof/>
        </w:rPr>
        <w:t xml:space="preserve">in </w:t>
      </w:r>
      <w:r w:rsidRPr="00FB29F6">
        <w:rPr>
          <w:smallCaps/>
          <w:noProof/>
        </w:rPr>
        <w:t>Non-State Actors and International Obligations</w:t>
      </w:r>
      <w:r>
        <w:rPr>
          <w:noProof/>
        </w:rPr>
        <w:t xml:space="preserve"> 371 (J. Summers and A. Gough eds., 2018)</w:t>
      </w:r>
      <w:r>
        <w:rPr>
          <w:noProof/>
        </w:rPr>
        <w:tab/>
        <w:t>34</w:t>
      </w:r>
    </w:p>
    <w:p w14:paraId="21847DE4" w14:textId="77777777" w:rsidR="00962927" w:rsidRDefault="00962927">
      <w:pPr>
        <w:pStyle w:val="TableofAuthorities"/>
        <w:tabs>
          <w:tab w:val="right" w:leader="dot" w:pos="9350"/>
        </w:tabs>
        <w:rPr>
          <w:noProof/>
        </w:rPr>
      </w:pPr>
      <w:r>
        <w:rPr>
          <w:noProof/>
        </w:rPr>
        <w:t>K</w:t>
      </w:r>
      <w:r w:rsidRPr="00FB29F6">
        <w:rPr>
          <w:smallCaps/>
          <w:noProof/>
        </w:rPr>
        <w:t xml:space="preserve">riangsak </w:t>
      </w:r>
      <w:r>
        <w:rPr>
          <w:noProof/>
        </w:rPr>
        <w:t>K</w:t>
      </w:r>
      <w:r w:rsidRPr="00FB29F6">
        <w:rPr>
          <w:smallCaps/>
          <w:noProof/>
        </w:rPr>
        <w:t>ittichaisaree</w:t>
      </w:r>
      <w:r>
        <w:rPr>
          <w:noProof/>
        </w:rPr>
        <w:t xml:space="preserve">, </w:t>
      </w:r>
      <w:r w:rsidRPr="00FB29F6">
        <w:rPr>
          <w:smallCaps/>
          <w:noProof/>
        </w:rPr>
        <w:t>The Obligation to Extradite or Prosecute</w:t>
      </w:r>
      <w:r>
        <w:rPr>
          <w:noProof/>
        </w:rPr>
        <w:t xml:space="preserve"> (2018)</w:t>
      </w:r>
      <w:r>
        <w:rPr>
          <w:noProof/>
        </w:rPr>
        <w:tab/>
        <w:t>12, 13, 14</w:t>
      </w:r>
    </w:p>
    <w:p w14:paraId="72DE675F" w14:textId="77777777" w:rsidR="00962927" w:rsidRDefault="00962927">
      <w:pPr>
        <w:pStyle w:val="TableofAuthorities"/>
        <w:tabs>
          <w:tab w:val="right" w:leader="dot" w:pos="9350"/>
        </w:tabs>
        <w:rPr>
          <w:noProof/>
        </w:rPr>
      </w:pPr>
      <w:r>
        <w:rPr>
          <w:noProof/>
        </w:rPr>
        <w:t xml:space="preserve">Lawrence Preuss, </w:t>
      </w:r>
      <w:r w:rsidRPr="00FB29F6">
        <w:rPr>
          <w:i/>
          <w:noProof/>
        </w:rPr>
        <w:t xml:space="preserve">Article 2(7) of the Charter of the United Nations and Matters of Domestic </w:t>
      </w:r>
      <w:r w:rsidRPr="00FB29F6">
        <w:rPr>
          <w:i/>
          <w:iCs/>
          <w:noProof/>
        </w:rPr>
        <w:t>Jurisdiction</w:t>
      </w:r>
      <w:r>
        <w:rPr>
          <w:noProof/>
        </w:rPr>
        <w:t xml:space="preserve">, 74 </w:t>
      </w:r>
      <w:r w:rsidRPr="00FB29F6">
        <w:rPr>
          <w:smallCaps/>
          <w:noProof/>
        </w:rPr>
        <w:t>Recueil Des Cours</w:t>
      </w:r>
      <w:r>
        <w:rPr>
          <w:noProof/>
        </w:rPr>
        <w:t xml:space="preserve"> 547 (1949).</w:t>
      </w:r>
      <w:r>
        <w:rPr>
          <w:noProof/>
        </w:rPr>
        <w:tab/>
        <w:t>10</w:t>
      </w:r>
    </w:p>
    <w:p w14:paraId="593095A8" w14:textId="77777777" w:rsidR="00962927" w:rsidRDefault="00962927">
      <w:pPr>
        <w:pStyle w:val="TableofAuthorities"/>
        <w:tabs>
          <w:tab w:val="right" w:leader="dot" w:pos="9350"/>
        </w:tabs>
        <w:rPr>
          <w:noProof/>
        </w:rPr>
      </w:pPr>
      <w:r>
        <w:rPr>
          <w:noProof/>
        </w:rPr>
        <w:lastRenderedPageBreak/>
        <w:t>M</w:t>
      </w:r>
      <w:r w:rsidRPr="00FB29F6">
        <w:rPr>
          <w:smallCaps/>
          <w:noProof/>
        </w:rPr>
        <w:t>alcolm Shaw</w:t>
      </w:r>
      <w:r>
        <w:rPr>
          <w:noProof/>
        </w:rPr>
        <w:t xml:space="preserve">, </w:t>
      </w:r>
      <w:r w:rsidRPr="00FB29F6">
        <w:rPr>
          <w:i/>
          <w:iCs/>
          <w:noProof/>
        </w:rPr>
        <w:t>The International Court of Justice</w:t>
      </w:r>
      <w:r>
        <w:rPr>
          <w:noProof/>
        </w:rPr>
        <w:t xml:space="preserve">, </w:t>
      </w:r>
      <w:r w:rsidRPr="00FB29F6">
        <w:rPr>
          <w:i/>
          <w:noProof/>
        </w:rPr>
        <w:t xml:space="preserve">in </w:t>
      </w:r>
      <w:r w:rsidRPr="00FB29F6">
        <w:rPr>
          <w:smallCaps/>
          <w:noProof/>
        </w:rPr>
        <w:t>International Law</w:t>
      </w:r>
      <w:r>
        <w:rPr>
          <w:noProof/>
        </w:rPr>
        <w:t xml:space="preserve"> 924 (9th ed. 2021)</w:t>
      </w:r>
      <w:r>
        <w:rPr>
          <w:noProof/>
        </w:rPr>
        <w:tab/>
        <w:t>1</w:t>
      </w:r>
    </w:p>
    <w:p w14:paraId="37EA2878" w14:textId="77777777" w:rsidR="00962927" w:rsidRDefault="00962927">
      <w:pPr>
        <w:pStyle w:val="TableofAuthorities"/>
        <w:tabs>
          <w:tab w:val="right" w:leader="dot" w:pos="9350"/>
        </w:tabs>
        <w:rPr>
          <w:noProof/>
        </w:rPr>
      </w:pPr>
      <w:r>
        <w:rPr>
          <w:noProof/>
        </w:rPr>
        <w:t xml:space="preserve">Markus Benzing, </w:t>
      </w:r>
      <w:r w:rsidRPr="00FB29F6">
        <w:rPr>
          <w:i/>
          <w:iCs/>
          <w:noProof/>
        </w:rPr>
        <w:t>The Complementarity Regime of the International Criminal Court: International Criminal Justice between State Sovereignty and the Fight Against Impunity</w:t>
      </w:r>
      <w:r>
        <w:rPr>
          <w:noProof/>
        </w:rPr>
        <w:t xml:space="preserve">, </w:t>
      </w:r>
      <w:r w:rsidRPr="00FB29F6">
        <w:rPr>
          <w:i/>
          <w:iCs/>
          <w:noProof/>
        </w:rPr>
        <w:t xml:space="preserve">in </w:t>
      </w:r>
      <w:r w:rsidRPr="00FB29F6">
        <w:rPr>
          <w:smallCaps/>
          <w:noProof/>
        </w:rPr>
        <w:t xml:space="preserve">Max Planck Yearbook of United Nations Law </w:t>
      </w:r>
      <w:r>
        <w:rPr>
          <w:noProof/>
        </w:rPr>
        <w:t>591 (7th ed. 2003)</w:t>
      </w:r>
      <w:r>
        <w:rPr>
          <w:noProof/>
        </w:rPr>
        <w:tab/>
        <w:t>7</w:t>
      </w:r>
    </w:p>
    <w:p w14:paraId="2D1F66A7" w14:textId="77777777" w:rsidR="00962927" w:rsidRDefault="00962927">
      <w:pPr>
        <w:pStyle w:val="TableofAuthorities"/>
        <w:tabs>
          <w:tab w:val="right" w:leader="dot" w:pos="9350"/>
        </w:tabs>
        <w:rPr>
          <w:noProof/>
        </w:rPr>
      </w:pPr>
      <w:r>
        <w:rPr>
          <w:noProof/>
        </w:rPr>
        <w:t xml:space="preserve">Martin Dawidowicz, </w:t>
      </w:r>
      <w:r w:rsidRPr="00FB29F6">
        <w:rPr>
          <w:i/>
          <w:noProof/>
        </w:rPr>
        <w:t>The Obligation of Non-Recognition of an Unlawful Situation</w:t>
      </w:r>
      <w:r>
        <w:rPr>
          <w:noProof/>
        </w:rPr>
        <w:t xml:space="preserve">, </w:t>
      </w:r>
      <w:r w:rsidRPr="00FB29F6">
        <w:rPr>
          <w:i/>
          <w:iCs/>
          <w:noProof/>
        </w:rPr>
        <w:t>in</w:t>
      </w:r>
      <w:r>
        <w:rPr>
          <w:noProof/>
        </w:rPr>
        <w:t xml:space="preserve"> </w:t>
      </w:r>
      <w:r w:rsidRPr="00FB29F6">
        <w:rPr>
          <w:smallCaps/>
          <w:noProof/>
        </w:rPr>
        <w:t>The Law of International Responsibility</w:t>
      </w:r>
      <w:r>
        <w:rPr>
          <w:noProof/>
        </w:rPr>
        <w:t xml:space="preserve"> 677</w:t>
      </w:r>
      <w:r>
        <w:rPr>
          <w:noProof/>
        </w:rPr>
        <w:tab/>
        <w:t>33</w:t>
      </w:r>
    </w:p>
    <w:p w14:paraId="28B1CD17" w14:textId="77777777" w:rsidR="00962927" w:rsidRDefault="00962927">
      <w:pPr>
        <w:pStyle w:val="TableofAuthorities"/>
        <w:tabs>
          <w:tab w:val="right" w:leader="dot" w:pos="9350"/>
        </w:tabs>
        <w:rPr>
          <w:noProof/>
        </w:rPr>
      </w:pPr>
      <w:r>
        <w:rPr>
          <w:noProof/>
        </w:rPr>
        <w:t xml:space="preserve">Máximo Langer &amp; Mackenzie Eason, </w:t>
      </w:r>
      <w:r w:rsidRPr="00FB29F6">
        <w:rPr>
          <w:i/>
          <w:noProof/>
        </w:rPr>
        <w:t xml:space="preserve">The Quiet Expansion of Universal </w:t>
      </w:r>
      <w:r w:rsidRPr="00FB29F6">
        <w:rPr>
          <w:i/>
          <w:iCs/>
          <w:noProof/>
        </w:rPr>
        <w:t>Jurisdiction</w:t>
      </w:r>
      <w:r>
        <w:rPr>
          <w:noProof/>
        </w:rPr>
        <w:t xml:space="preserve">, 30 </w:t>
      </w:r>
      <w:r w:rsidRPr="00FB29F6">
        <w:rPr>
          <w:smallCaps/>
          <w:noProof/>
        </w:rPr>
        <w:t>Eur. J. Int’l L.</w:t>
      </w:r>
      <w:r>
        <w:rPr>
          <w:noProof/>
        </w:rPr>
        <w:t xml:space="preserve"> 779 (2019)</w:t>
      </w:r>
      <w:r>
        <w:rPr>
          <w:noProof/>
        </w:rPr>
        <w:tab/>
        <w:t>14</w:t>
      </w:r>
    </w:p>
    <w:p w14:paraId="4815BC94" w14:textId="77777777" w:rsidR="00962927" w:rsidRDefault="00962927">
      <w:pPr>
        <w:pStyle w:val="TableofAuthorities"/>
        <w:tabs>
          <w:tab w:val="right" w:leader="dot" w:pos="9350"/>
        </w:tabs>
        <w:rPr>
          <w:noProof/>
        </w:rPr>
      </w:pPr>
      <w:r>
        <w:rPr>
          <w:noProof/>
        </w:rPr>
        <w:t xml:space="preserve">Michael Newton, </w:t>
      </w:r>
      <w:r w:rsidRPr="00FB29F6">
        <w:rPr>
          <w:i/>
          <w:noProof/>
        </w:rPr>
        <w:t xml:space="preserve">Comparative Complementarity: Domestic Jurisdiction Consistent with the Rome Statute of the International Criminal </w:t>
      </w:r>
      <w:r w:rsidRPr="00FB29F6">
        <w:rPr>
          <w:i/>
          <w:iCs/>
          <w:noProof/>
        </w:rPr>
        <w:t>Court</w:t>
      </w:r>
      <w:r>
        <w:rPr>
          <w:noProof/>
        </w:rPr>
        <w:t xml:space="preserve">, 167 </w:t>
      </w:r>
      <w:r w:rsidRPr="00FB29F6">
        <w:rPr>
          <w:smallCaps/>
          <w:noProof/>
        </w:rPr>
        <w:t>Mil. L. Rev.</w:t>
      </w:r>
      <w:r>
        <w:rPr>
          <w:noProof/>
        </w:rPr>
        <w:t xml:space="preserve"> 20 (2001)</w:t>
      </w:r>
      <w:r>
        <w:rPr>
          <w:noProof/>
        </w:rPr>
        <w:tab/>
        <w:t>9</w:t>
      </w:r>
    </w:p>
    <w:p w14:paraId="04F04FB6" w14:textId="77777777" w:rsidR="00962927" w:rsidRDefault="00962927">
      <w:pPr>
        <w:pStyle w:val="TableofAuthorities"/>
        <w:tabs>
          <w:tab w:val="right" w:leader="dot" w:pos="9350"/>
        </w:tabs>
        <w:rPr>
          <w:noProof/>
        </w:rPr>
      </w:pPr>
      <w:r w:rsidRPr="00FB29F6">
        <w:rPr>
          <w:smallCaps/>
          <w:noProof/>
        </w:rPr>
        <w:t>Niko Pavlopoulos</w:t>
      </w:r>
      <w:r>
        <w:rPr>
          <w:noProof/>
        </w:rPr>
        <w:t xml:space="preserve">, </w:t>
      </w:r>
      <w:r w:rsidRPr="00FB29F6">
        <w:rPr>
          <w:iCs/>
          <w:smallCaps/>
          <w:noProof/>
        </w:rPr>
        <w:t>The Identity of Governments in International Law</w:t>
      </w:r>
      <w:r>
        <w:rPr>
          <w:noProof/>
        </w:rPr>
        <w:t xml:space="preserve"> (2024)</w:t>
      </w:r>
      <w:r>
        <w:rPr>
          <w:noProof/>
        </w:rPr>
        <w:tab/>
        <w:t>32, 33</w:t>
      </w:r>
    </w:p>
    <w:p w14:paraId="122EB9B5" w14:textId="77777777" w:rsidR="00962927" w:rsidRDefault="00962927">
      <w:pPr>
        <w:pStyle w:val="TableofAuthorities"/>
        <w:tabs>
          <w:tab w:val="right" w:leader="dot" w:pos="9350"/>
        </w:tabs>
        <w:rPr>
          <w:noProof/>
        </w:rPr>
      </w:pPr>
      <w:r>
        <w:rPr>
          <w:noProof/>
        </w:rPr>
        <w:t xml:space="preserve">Olivier de Frouville, </w:t>
      </w:r>
      <w:r w:rsidRPr="00FB29F6">
        <w:rPr>
          <w:i/>
          <w:noProof/>
        </w:rPr>
        <w:t>Attribution of Conduct to the State: Private Individuals</w:t>
      </w:r>
      <w:r>
        <w:rPr>
          <w:noProof/>
        </w:rPr>
        <w:t xml:space="preserve">, </w:t>
      </w:r>
      <w:r w:rsidRPr="00FB29F6">
        <w:rPr>
          <w:i/>
          <w:noProof/>
        </w:rPr>
        <w:t>in</w:t>
      </w:r>
      <w:r>
        <w:rPr>
          <w:noProof/>
        </w:rPr>
        <w:t xml:space="preserve"> </w:t>
      </w:r>
      <w:r w:rsidRPr="00FB29F6">
        <w:rPr>
          <w:smallCaps/>
          <w:noProof/>
        </w:rPr>
        <w:t xml:space="preserve">The Law of International Responsibility 258 </w:t>
      </w:r>
      <w:r>
        <w:rPr>
          <w:noProof/>
        </w:rPr>
        <w:t>(James Crawford et al. eds., 2010)</w:t>
      </w:r>
      <w:r>
        <w:rPr>
          <w:noProof/>
        </w:rPr>
        <w:tab/>
        <w:t>35</w:t>
      </w:r>
    </w:p>
    <w:p w14:paraId="25971E43" w14:textId="77777777" w:rsidR="00962927" w:rsidRDefault="00962927">
      <w:pPr>
        <w:pStyle w:val="TableofAuthorities"/>
        <w:tabs>
          <w:tab w:val="right" w:leader="dot" w:pos="9350"/>
        </w:tabs>
        <w:rPr>
          <w:noProof/>
        </w:rPr>
      </w:pPr>
      <w:r>
        <w:rPr>
          <w:noProof/>
        </w:rPr>
        <w:t xml:space="preserve">Philip C. Jessup, </w:t>
      </w:r>
      <w:r w:rsidRPr="00FB29F6">
        <w:rPr>
          <w:i/>
          <w:noProof/>
        </w:rPr>
        <w:t>The Estrada Doctrine</w:t>
      </w:r>
      <w:r w:rsidRPr="00FB29F6">
        <w:rPr>
          <w:iCs/>
          <w:noProof/>
        </w:rPr>
        <w:t>,</w:t>
      </w:r>
      <w:r w:rsidRPr="00FB29F6">
        <w:rPr>
          <w:i/>
          <w:noProof/>
        </w:rPr>
        <w:t xml:space="preserve"> </w:t>
      </w:r>
      <w:r>
        <w:rPr>
          <w:noProof/>
        </w:rPr>
        <w:t>25</w:t>
      </w:r>
      <w:r w:rsidRPr="00FB29F6">
        <w:rPr>
          <w:i/>
          <w:noProof/>
        </w:rPr>
        <w:t xml:space="preserve"> </w:t>
      </w:r>
      <w:r w:rsidRPr="00FB29F6">
        <w:rPr>
          <w:smallCaps/>
          <w:noProof/>
        </w:rPr>
        <w:t>Am. J. Int’l L., 719 (1931).</w:t>
      </w:r>
      <w:r>
        <w:rPr>
          <w:noProof/>
        </w:rPr>
        <w:tab/>
        <w:t>29</w:t>
      </w:r>
    </w:p>
    <w:p w14:paraId="3170AB16" w14:textId="77777777" w:rsidR="00962927" w:rsidRDefault="00962927">
      <w:pPr>
        <w:pStyle w:val="TableofAuthorities"/>
        <w:tabs>
          <w:tab w:val="right" w:leader="dot" w:pos="9350"/>
        </w:tabs>
        <w:rPr>
          <w:noProof/>
        </w:rPr>
      </w:pPr>
      <w:r>
        <w:rPr>
          <w:noProof/>
        </w:rPr>
        <w:t xml:space="preserve">Poeliu Dai, </w:t>
      </w:r>
      <w:r w:rsidRPr="00FB29F6">
        <w:rPr>
          <w:i/>
          <w:noProof/>
        </w:rPr>
        <w:t>Recognition of States and Governments under International Law with Special Reference to Canadian Postwar Practice and the Legal Status of Taiwan (Formosa)</w:t>
      </w:r>
      <w:r>
        <w:rPr>
          <w:noProof/>
        </w:rPr>
        <w:t xml:space="preserve">, 3 </w:t>
      </w:r>
      <w:r w:rsidRPr="00FB29F6">
        <w:rPr>
          <w:smallCaps/>
          <w:noProof/>
        </w:rPr>
        <w:t xml:space="preserve">Can. Y.B. Int’l L. </w:t>
      </w:r>
      <w:r>
        <w:rPr>
          <w:noProof/>
        </w:rPr>
        <w:t>290 (1965)</w:t>
      </w:r>
      <w:r>
        <w:rPr>
          <w:noProof/>
        </w:rPr>
        <w:tab/>
        <w:t>33</w:t>
      </w:r>
    </w:p>
    <w:p w14:paraId="4A602E0D" w14:textId="77777777" w:rsidR="00962927" w:rsidRDefault="00962927">
      <w:pPr>
        <w:pStyle w:val="TableofAuthorities"/>
        <w:tabs>
          <w:tab w:val="right" w:leader="dot" w:pos="9350"/>
        </w:tabs>
        <w:rPr>
          <w:noProof/>
        </w:rPr>
      </w:pPr>
      <w:r>
        <w:rPr>
          <w:noProof/>
        </w:rPr>
        <w:t>R</w:t>
      </w:r>
      <w:r w:rsidRPr="00FB29F6">
        <w:rPr>
          <w:smallCaps/>
          <w:noProof/>
        </w:rPr>
        <w:t>enate</w:t>
      </w:r>
      <w:r>
        <w:rPr>
          <w:noProof/>
        </w:rPr>
        <w:t xml:space="preserve"> P</w:t>
      </w:r>
      <w:r w:rsidRPr="00FB29F6">
        <w:rPr>
          <w:smallCaps/>
          <w:noProof/>
        </w:rPr>
        <w:t>latzöder</w:t>
      </w:r>
      <w:r>
        <w:rPr>
          <w:noProof/>
        </w:rPr>
        <w:t>, 4 T</w:t>
      </w:r>
      <w:r w:rsidRPr="00FB29F6">
        <w:rPr>
          <w:smallCaps/>
          <w:noProof/>
        </w:rPr>
        <w:t>hird</w:t>
      </w:r>
      <w:r>
        <w:rPr>
          <w:noProof/>
        </w:rPr>
        <w:t xml:space="preserve"> U</w:t>
      </w:r>
      <w:r w:rsidRPr="00FB29F6">
        <w:rPr>
          <w:smallCaps/>
          <w:noProof/>
        </w:rPr>
        <w:t>nited</w:t>
      </w:r>
      <w:r>
        <w:rPr>
          <w:noProof/>
        </w:rPr>
        <w:t xml:space="preserve"> N</w:t>
      </w:r>
      <w:r w:rsidRPr="00FB29F6">
        <w:rPr>
          <w:smallCaps/>
          <w:noProof/>
        </w:rPr>
        <w:t xml:space="preserve">ations </w:t>
      </w:r>
      <w:r>
        <w:rPr>
          <w:noProof/>
        </w:rPr>
        <w:t>C</w:t>
      </w:r>
      <w:r w:rsidRPr="00FB29F6">
        <w:rPr>
          <w:smallCaps/>
          <w:noProof/>
        </w:rPr>
        <w:t>onference on The</w:t>
      </w:r>
      <w:r>
        <w:rPr>
          <w:noProof/>
        </w:rPr>
        <w:t xml:space="preserve"> L</w:t>
      </w:r>
      <w:r w:rsidRPr="00FB29F6">
        <w:rPr>
          <w:smallCaps/>
          <w:noProof/>
        </w:rPr>
        <w:t>aw of</w:t>
      </w:r>
      <w:r>
        <w:rPr>
          <w:noProof/>
        </w:rPr>
        <w:t xml:space="preserve"> </w:t>
      </w:r>
      <w:r w:rsidRPr="00FB29F6">
        <w:rPr>
          <w:smallCaps/>
          <w:noProof/>
        </w:rPr>
        <w:t>The</w:t>
      </w:r>
      <w:r>
        <w:rPr>
          <w:noProof/>
        </w:rPr>
        <w:t xml:space="preserve"> S</w:t>
      </w:r>
      <w:r w:rsidRPr="00FB29F6">
        <w:rPr>
          <w:smallCaps/>
          <w:noProof/>
        </w:rPr>
        <w:t>ea</w:t>
      </w:r>
      <w:r>
        <w:rPr>
          <w:noProof/>
        </w:rPr>
        <w:t>: D</w:t>
      </w:r>
      <w:r w:rsidRPr="00FB29F6">
        <w:rPr>
          <w:smallCaps/>
          <w:noProof/>
        </w:rPr>
        <w:t>ocuments</w:t>
      </w:r>
      <w:r>
        <w:rPr>
          <w:noProof/>
        </w:rPr>
        <w:t xml:space="preserve"> (1983).</w:t>
      </w:r>
      <w:r>
        <w:rPr>
          <w:noProof/>
        </w:rPr>
        <w:tab/>
        <w:t>23</w:t>
      </w:r>
    </w:p>
    <w:p w14:paraId="66D3985D" w14:textId="77777777" w:rsidR="00962927" w:rsidRDefault="00962927">
      <w:pPr>
        <w:pStyle w:val="TableofAuthorities"/>
        <w:tabs>
          <w:tab w:val="right" w:leader="dot" w:pos="9350"/>
        </w:tabs>
        <w:rPr>
          <w:noProof/>
        </w:rPr>
      </w:pPr>
      <w:r>
        <w:rPr>
          <w:noProof/>
        </w:rPr>
        <w:t xml:space="preserve">Roger O’Keefe, </w:t>
      </w:r>
      <w:r w:rsidRPr="00FB29F6">
        <w:rPr>
          <w:i/>
          <w:noProof/>
        </w:rPr>
        <w:t xml:space="preserve">Universal Jurisdiction: Clarifying the Basic </w:t>
      </w:r>
      <w:r w:rsidRPr="00FB29F6">
        <w:rPr>
          <w:i/>
          <w:iCs/>
          <w:noProof/>
        </w:rPr>
        <w:t>Concept</w:t>
      </w:r>
      <w:r>
        <w:rPr>
          <w:noProof/>
        </w:rPr>
        <w:t xml:space="preserve">, 2 </w:t>
      </w:r>
      <w:r w:rsidRPr="00FB29F6">
        <w:rPr>
          <w:smallCaps/>
          <w:noProof/>
        </w:rPr>
        <w:t>J. Int’l Crim. Just.</w:t>
      </w:r>
      <w:r>
        <w:rPr>
          <w:noProof/>
        </w:rPr>
        <w:t xml:space="preserve"> 735 (2004)</w:t>
      </w:r>
      <w:r>
        <w:rPr>
          <w:noProof/>
        </w:rPr>
        <w:tab/>
        <w:t>14</w:t>
      </w:r>
    </w:p>
    <w:p w14:paraId="5E891A59" w14:textId="77777777" w:rsidR="00962927" w:rsidRDefault="00962927">
      <w:pPr>
        <w:pStyle w:val="TableofAuthorities"/>
        <w:tabs>
          <w:tab w:val="right" w:leader="dot" w:pos="9350"/>
        </w:tabs>
        <w:rPr>
          <w:noProof/>
        </w:rPr>
      </w:pPr>
      <w:r>
        <w:rPr>
          <w:noProof/>
        </w:rPr>
        <w:t>R</w:t>
      </w:r>
      <w:r w:rsidRPr="00FB29F6">
        <w:rPr>
          <w:smallCaps/>
          <w:noProof/>
        </w:rPr>
        <w:t>osalind</w:t>
      </w:r>
      <w:r>
        <w:rPr>
          <w:noProof/>
        </w:rPr>
        <w:t xml:space="preserve"> H</w:t>
      </w:r>
      <w:r w:rsidRPr="00FB29F6">
        <w:rPr>
          <w:smallCaps/>
          <w:noProof/>
        </w:rPr>
        <w:t xml:space="preserve">iggins, </w:t>
      </w:r>
      <w:r w:rsidRPr="00FB29F6">
        <w:rPr>
          <w:i/>
          <w:iCs/>
          <w:noProof/>
        </w:rPr>
        <w:t>Time and the Law: International Perspectives on an Old Problem</w:t>
      </w:r>
      <w:r w:rsidRPr="00FB29F6">
        <w:rPr>
          <w:smallCaps/>
          <w:noProof/>
        </w:rPr>
        <w:t xml:space="preserve">, </w:t>
      </w:r>
      <w:r w:rsidRPr="00FB29F6">
        <w:rPr>
          <w:i/>
          <w:iCs/>
          <w:noProof/>
        </w:rPr>
        <w:t xml:space="preserve">in </w:t>
      </w:r>
      <w:r w:rsidRPr="00FB29F6">
        <w:rPr>
          <w:smallCaps/>
          <w:noProof/>
        </w:rPr>
        <w:t xml:space="preserve">Themes and Theories: Selected Essays, Speeches, and Writings in International Law </w:t>
      </w:r>
      <w:r>
        <w:rPr>
          <w:noProof/>
        </w:rPr>
        <w:t>875 (2009)</w:t>
      </w:r>
      <w:r>
        <w:rPr>
          <w:noProof/>
        </w:rPr>
        <w:tab/>
        <w:t>3</w:t>
      </w:r>
    </w:p>
    <w:p w14:paraId="4CC4BE1E" w14:textId="77777777" w:rsidR="00962927" w:rsidRDefault="00962927">
      <w:pPr>
        <w:pStyle w:val="TableofAuthorities"/>
        <w:tabs>
          <w:tab w:val="right" w:leader="dot" w:pos="9350"/>
        </w:tabs>
        <w:rPr>
          <w:noProof/>
        </w:rPr>
      </w:pPr>
      <w:r w:rsidRPr="00FB29F6">
        <w:rPr>
          <w:smallCaps/>
          <w:noProof/>
        </w:rPr>
        <w:t xml:space="preserve">Rosanne van Alebeek, The Immunity of States and Their Officials in International Criminal Law and International Human Rights Law </w:t>
      </w:r>
      <w:r>
        <w:rPr>
          <w:noProof/>
        </w:rPr>
        <w:t>(2008)</w:t>
      </w:r>
      <w:r>
        <w:rPr>
          <w:noProof/>
        </w:rPr>
        <w:tab/>
        <w:t>16, 17</w:t>
      </w:r>
    </w:p>
    <w:p w14:paraId="32BE736B" w14:textId="77777777" w:rsidR="00962927" w:rsidRDefault="00962927">
      <w:pPr>
        <w:pStyle w:val="TableofAuthorities"/>
        <w:tabs>
          <w:tab w:val="right" w:leader="dot" w:pos="9350"/>
        </w:tabs>
        <w:rPr>
          <w:noProof/>
        </w:rPr>
      </w:pPr>
      <w:r w:rsidRPr="00FB29F6">
        <w:rPr>
          <w:smallCaps/>
          <w:noProof/>
        </w:rPr>
        <w:t>Stefan Talmon</w:t>
      </w:r>
      <w:r>
        <w:rPr>
          <w:noProof/>
        </w:rPr>
        <w:t xml:space="preserve">, </w:t>
      </w:r>
      <w:r w:rsidRPr="00FB29F6">
        <w:rPr>
          <w:smallCaps/>
          <w:noProof/>
        </w:rPr>
        <w:t>Recognition of Governments in International Law: With Particular Reference to Governments in Exile</w:t>
      </w:r>
      <w:r>
        <w:rPr>
          <w:noProof/>
        </w:rPr>
        <w:t xml:space="preserve"> (2010)</w:t>
      </w:r>
      <w:r>
        <w:rPr>
          <w:noProof/>
        </w:rPr>
        <w:tab/>
        <w:t>29</w:t>
      </w:r>
    </w:p>
    <w:p w14:paraId="4F5EA6A3" w14:textId="77777777" w:rsidR="00962927" w:rsidRDefault="00962927">
      <w:pPr>
        <w:pStyle w:val="TableofAuthorities"/>
        <w:tabs>
          <w:tab w:val="right" w:leader="dot" w:pos="9350"/>
        </w:tabs>
        <w:rPr>
          <w:noProof/>
        </w:rPr>
      </w:pPr>
      <w:r>
        <w:rPr>
          <w:noProof/>
        </w:rPr>
        <w:t xml:space="preserve">Stefan Talmon, </w:t>
      </w:r>
      <w:r w:rsidRPr="00FB29F6">
        <w:rPr>
          <w:i/>
          <w:iCs/>
          <w:noProof/>
        </w:rPr>
        <w:t>Who is a Legitimate Government in Exile? Towards Normative Criteria for Governmental Legitimacy in International Law</w:t>
      </w:r>
      <w:r>
        <w:rPr>
          <w:noProof/>
        </w:rPr>
        <w:t xml:space="preserve">, </w:t>
      </w:r>
      <w:r w:rsidRPr="00FB29F6">
        <w:rPr>
          <w:i/>
          <w:iCs/>
          <w:noProof/>
        </w:rPr>
        <w:t>in</w:t>
      </w:r>
      <w:r>
        <w:rPr>
          <w:noProof/>
        </w:rPr>
        <w:t xml:space="preserve"> </w:t>
      </w:r>
      <w:r w:rsidRPr="00FB29F6">
        <w:rPr>
          <w:smallCaps/>
          <w:noProof/>
        </w:rPr>
        <w:t xml:space="preserve">The Reality of International Law: </w:t>
      </w:r>
      <w:r w:rsidRPr="00FB29F6">
        <w:rPr>
          <w:smallCaps/>
          <w:noProof/>
        </w:rPr>
        <w:lastRenderedPageBreak/>
        <w:t>Essays in Honour of Ian Brownlie</w:t>
      </w:r>
      <w:r>
        <w:rPr>
          <w:noProof/>
        </w:rPr>
        <w:t xml:space="preserve"> 499 (Guy S. Goodwin-Gill &amp; Stefan Talmon eds., 1999).</w:t>
      </w:r>
      <w:r>
        <w:rPr>
          <w:noProof/>
        </w:rPr>
        <w:tab/>
        <w:t>32</w:t>
      </w:r>
    </w:p>
    <w:p w14:paraId="7D2BA217" w14:textId="77777777" w:rsidR="00962927" w:rsidRDefault="00962927">
      <w:pPr>
        <w:pStyle w:val="TableofAuthorities"/>
        <w:tabs>
          <w:tab w:val="right" w:leader="dot" w:pos="9350"/>
        </w:tabs>
        <w:rPr>
          <w:noProof/>
        </w:rPr>
      </w:pPr>
      <w:r>
        <w:rPr>
          <w:noProof/>
        </w:rPr>
        <w:t>W</w:t>
      </w:r>
      <w:r w:rsidRPr="00FB29F6">
        <w:rPr>
          <w:smallCaps/>
          <w:noProof/>
        </w:rPr>
        <w:t>illiam</w:t>
      </w:r>
      <w:r>
        <w:rPr>
          <w:noProof/>
        </w:rPr>
        <w:t xml:space="preserve"> S</w:t>
      </w:r>
      <w:r w:rsidRPr="00FB29F6">
        <w:rPr>
          <w:smallCaps/>
          <w:noProof/>
        </w:rPr>
        <w:t>chabas</w:t>
      </w:r>
      <w:r>
        <w:rPr>
          <w:noProof/>
        </w:rPr>
        <w:t xml:space="preserve">, </w:t>
      </w:r>
      <w:r w:rsidRPr="00FB29F6">
        <w:rPr>
          <w:i/>
          <w:iCs/>
          <w:noProof/>
        </w:rPr>
        <w:t>Crimes against humanity/Crimes contre l‘humanité</w:t>
      </w:r>
      <w:r>
        <w:rPr>
          <w:noProof/>
        </w:rPr>
        <w:t xml:space="preserve">, </w:t>
      </w:r>
      <w:r w:rsidRPr="00FB29F6">
        <w:rPr>
          <w:i/>
          <w:iCs/>
          <w:noProof/>
        </w:rPr>
        <w:t>in</w:t>
      </w:r>
      <w:r w:rsidRPr="00FB29F6">
        <w:rPr>
          <w:i/>
          <w:noProof/>
        </w:rPr>
        <w:t xml:space="preserve"> </w:t>
      </w:r>
      <w:r w:rsidRPr="00FB29F6">
        <w:rPr>
          <w:smallCaps/>
          <w:noProof/>
        </w:rPr>
        <w:t xml:space="preserve">The International Criminal Court: A Commentary on the Rome Statute 145 </w:t>
      </w:r>
      <w:r>
        <w:rPr>
          <w:noProof/>
        </w:rPr>
        <w:t>(2d ed. 2016)</w:t>
      </w:r>
      <w:r>
        <w:rPr>
          <w:noProof/>
        </w:rPr>
        <w:tab/>
        <w:t>15</w:t>
      </w:r>
    </w:p>
    <w:p w14:paraId="0DF63542" w14:textId="77777777" w:rsidR="00962927" w:rsidRDefault="00962927">
      <w:pPr>
        <w:pStyle w:val="TableofAuthorities"/>
        <w:tabs>
          <w:tab w:val="right" w:leader="dot" w:pos="9350"/>
        </w:tabs>
        <w:rPr>
          <w:noProof/>
        </w:rPr>
      </w:pPr>
      <w:r>
        <w:rPr>
          <w:noProof/>
        </w:rPr>
        <w:t>W</w:t>
      </w:r>
      <w:r w:rsidRPr="00FB29F6">
        <w:rPr>
          <w:smallCaps/>
          <w:noProof/>
        </w:rPr>
        <w:t>illiam</w:t>
      </w:r>
      <w:r>
        <w:rPr>
          <w:noProof/>
        </w:rPr>
        <w:t xml:space="preserve"> S</w:t>
      </w:r>
      <w:r w:rsidRPr="00FB29F6">
        <w:rPr>
          <w:smallCaps/>
          <w:noProof/>
        </w:rPr>
        <w:t>chabas</w:t>
      </w:r>
      <w:r>
        <w:rPr>
          <w:noProof/>
        </w:rPr>
        <w:t xml:space="preserve">, </w:t>
      </w:r>
      <w:r w:rsidRPr="00FB29F6">
        <w:rPr>
          <w:i/>
          <w:iCs/>
          <w:noProof/>
        </w:rPr>
        <w:t>Preamble/Préambule</w:t>
      </w:r>
      <w:r>
        <w:rPr>
          <w:noProof/>
        </w:rPr>
        <w:t xml:space="preserve">, </w:t>
      </w:r>
      <w:r w:rsidRPr="00FB29F6">
        <w:rPr>
          <w:i/>
          <w:iCs/>
          <w:noProof/>
        </w:rPr>
        <w:t>in</w:t>
      </w:r>
      <w:r w:rsidRPr="00FB29F6">
        <w:rPr>
          <w:i/>
          <w:noProof/>
        </w:rPr>
        <w:t xml:space="preserve"> </w:t>
      </w:r>
      <w:r w:rsidRPr="00FB29F6">
        <w:rPr>
          <w:smallCaps/>
          <w:noProof/>
        </w:rPr>
        <w:t>The International Criminal Court: A Commentary on the Rome Statute 31</w:t>
      </w:r>
      <w:r>
        <w:rPr>
          <w:noProof/>
        </w:rPr>
        <w:t xml:space="preserve"> (2d ed. 2016)</w:t>
      </w:r>
      <w:r>
        <w:rPr>
          <w:noProof/>
        </w:rPr>
        <w:tab/>
        <w:t>9</w:t>
      </w:r>
    </w:p>
    <w:p w14:paraId="45F65216" w14:textId="3965E3D8" w:rsidR="00962927" w:rsidRPr="00962927" w:rsidRDefault="00A52D20" w:rsidP="00962927">
      <w:pPr>
        <w:pStyle w:val="TOAHeading"/>
        <w:tabs>
          <w:tab w:val="right" w:leader="dot" w:pos="9350"/>
        </w:tabs>
        <w:ind w:firstLine="0"/>
        <w:rPr>
          <w:rFonts w:ascii="Times New Roman" w:eastAsiaTheme="minorEastAsia" w:hAnsi="Times New Roman" w:cs="Times New Roman"/>
          <w:b w:val="0"/>
          <w:bCs w:val="0"/>
          <w:smallCaps/>
          <w:noProof/>
        </w:rPr>
      </w:pPr>
      <w:r w:rsidRPr="00740656">
        <w:rPr>
          <w:rFonts w:ascii="Times New Roman" w:hAnsi="Times New Roman" w:cs="Times New Roman"/>
          <w:lang w:val="en-US"/>
        </w:rPr>
        <w:fldChar w:fldCharType="end"/>
      </w:r>
      <w:r w:rsidRPr="00740656">
        <w:rPr>
          <w:rFonts w:ascii="Times New Roman" w:hAnsi="Times New Roman" w:cs="Times New Roman"/>
          <w:lang w:val="en-US"/>
        </w:rPr>
        <w:fldChar w:fldCharType="begin"/>
      </w:r>
      <w:r w:rsidRPr="00740656">
        <w:rPr>
          <w:rFonts w:ascii="Times New Roman" w:hAnsi="Times New Roman" w:cs="Times New Roman"/>
          <w:lang w:val="en-US"/>
        </w:rPr>
        <w:instrText xml:space="preserve"> TOA \h \c "7" </w:instrText>
      </w:r>
      <w:r w:rsidRPr="00740656">
        <w:rPr>
          <w:rFonts w:ascii="Times New Roman" w:hAnsi="Times New Roman" w:cs="Times New Roman"/>
          <w:lang w:val="en-US"/>
        </w:rPr>
        <w:fldChar w:fldCharType="separate"/>
      </w:r>
      <w:r w:rsidR="00962927" w:rsidRPr="00962927">
        <w:rPr>
          <w:rFonts w:ascii="Times New Roman" w:hAnsi="Times New Roman" w:cs="Times New Roman"/>
          <w:smallCaps/>
          <w:noProof/>
        </w:rPr>
        <w:t>Domestic Cases, Legislations, &amp; Materials</w:t>
      </w:r>
    </w:p>
    <w:p w14:paraId="15B7F441" w14:textId="77777777" w:rsidR="00962927" w:rsidRDefault="00962927">
      <w:pPr>
        <w:pStyle w:val="TableofAuthorities"/>
        <w:tabs>
          <w:tab w:val="right" w:leader="dot" w:pos="9350"/>
        </w:tabs>
        <w:rPr>
          <w:noProof/>
        </w:rPr>
      </w:pPr>
      <w:r>
        <w:rPr>
          <w:noProof/>
        </w:rPr>
        <w:t>28 U.S.C. §1605A</w:t>
      </w:r>
      <w:r>
        <w:rPr>
          <w:noProof/>
        </w:rPr>
        <w:tab/>
        <w:t>20</w:t>
      </w:r>
    </w:p>
    <w:p w14:paraId="4D22286C" w14:textId="77777777" w:rsidR="00962927" w:rsidRDefault="00962927">
      <w:pPr>
        <w:pStyle w:val="TableofAuthorities"/>
        <w:tabs>
          <w:tab w:val="right" w:leader="dot" w:pos="9350"/>
        </w:tabs>
        <w:rPr>
          <w:noProof/>
        </w:rPr>
      </w:pPr>
      <w:r w:rsidRPr="00D20499">
        <w:rPr>
          <w:i/>
          <w:noProof/>
        </w:rPr>
        <w:t>Chia Hsing v. Rankin</w:t>
      </w:r>
      <w:r>
        <w:rPr>
          <w:noProof/>
        </w:rPr>
        <w:t>, 141 CLR 182 (1978)</w:t>
      </w:r>
      <w:r>
        <w:rPr>
          <w:noProof/>
        </w:rPr>
        <w:tab/>
        <w:t>28</w:t>
      </w:r>
    </w:p>
    <w:p w14:paraId="327583AA" w14:textId="77777777" w:rsidR="00962927" w:rsidRDefault="00962927">
      <w:pPr>
        <w:pStyle w:val="TableofAuthorities"/>
        <w:tabs>
          <w:tab w:val="right" w:leader="dot" w:pos="9350"/>
        </w:tabs>
        <w:rPr>
          <w:noProof/>
        </w:rPr>
      </w:pPr>
      <w:r>
        <w:rPr>
          <w:noProof/>
        </w:rPr>
        <w:t xml:space="preserve">Cour d’appel Paris, Section Seven, Second Investigating Chamber, June 13, 2013, </w:t>
      </w:r>
      <w:r w:rsidRPr="00D20499">
        <w:rPr>
          <w:i/>
          <w:iCs/>
          <w:noProof/>
        </w:rPr>
        <w:t>Teodoro Nguema Obiang Mangue et autres</w:t>
      </w:r>
      <w:r>
        <w:rPr>
          <w:noProof/>
        </w:rPr>
        <w:tab/>
        <w:t>19</w:t>
      </w:r>
    </w:p>
    <w:p w14:paraId="6148CEB9" w14:textId="77777777" w:rsidR="00962927" w:rsidRDefault="00962927">
      <w:pPr>
        <w:pStyle w:val="TableofAuthorities"/>
        <w:tabs>
          <w:tab w:val="right" w:leader="dot" w:pos="9350"/>
        </w:tabs>
        <w:rPr>
          <w:noProof/>
        </w:rPr>
      </w:pPr>
      <w:r>
        <w:rPr>
          <w:noProof/>
        </w:rPr>
        <w:t xml:space="preserve">District Court of Livadeia, </w:t>
      </w:r>
      <w:r w:rsidRPr="00D20499">
        <w:rPr>
          <w:i/>
          <w:noProof/>
        </w:rPr>
        <w:t>Prefecture of Voiotia v. Federal Republic of Germany</w:t>
      </w:r>
      <w:r>
        <w:rPr>
          <w:noProof/>
        </w:rPr>
        <w:t>, 137/1997 (Oct. 30, 1997) (Greece)</w:t>
      </w:r>
      <w:r>
        <w:rPr>
          <w:noProof/>
        </w:rPr>
        <w:tab/>
        <w:t>19</w:t>
      </w:r>
    </w:p>
    <w:p w14:paraId="412F715D" w14:textId="77777777" w:rsidR="00962927" w:rsidRDefault="00962927">
      <w:pPr>
        <w:pStyle w:val="TableofAuthorities"/>
        <w:tabs>
          <w:tab w:val="right" w:leader="dot" w:pos="9350"/>
        </w:tabs>
        <w:rPr>
          <w:noProof/>
        </w:rPr>
      </w:pPr>
      <w:r w:rsidRPr="00D20499">
        <w:rPr>
          <w:i/>
          <w:iCs/>
          <w:noProof/>
        </w:rPr>
        <w:t>In Re</w:t>
      </w:r>
      <w:r w:rsidRPr="00D20499">
        <w:rPr>
          <w:i/>
          <w:noProof/>
        </w:rPr>
        <w:t xml:space="preserve"> Hussein</w:t>
      </w:r>
      <w:r>
        <w:rPr>
          <w:noProof/>
        </w:rPr>
        <w:t>, Oberlandesgericht [Higher Regional Court] Cologne, May 16, 2000, 2 Zs 1330/99 (Ger.)</w:t>
      </w:r>
      <w:r>
        <w:rPr>
          <w:noProof/>
        </w:rPr>
        <w:tab/>
        <w:t>20</w:t>
      </w:r>
    </w:p>
    <w:p w14:paraId="541CD4AD" w14:textId="77777777" w:rsidR="00962927" w:rsidRDefault="00962927">
      <w:pPr>
        <w:pStyle w:val="TableofAuthorities"/>
        <w:tabs>
          <w:tab w:val="right" w:leader="dot" w:pos="9350"/>
        </w:tabs>
        <w:rPr>
          <w:noProof/>
        </w:rPr>
      </w:pPr>
      <w:r>
        <w:rPr>
          <w:noProof/>
        </w:rPr>
        <w:t>Law No. 24488, May 31, 1995 (Arg.)</w:t>
      </w:r>
      <w:r>
        <w:rPr>
          <w:noProof/>
        </w:rPr>
        <w:tab/>
        <w:t>20</w:t>
      </w:r>
    </w:p>
    <w:p w14:paraId="7117CD28" w14:textId="77777777" w:rsidR="00962927" w:rsidRDefault="00962927">
      <w:pPr>
        <w:pStyle w:val="TableofAuthorities"/>
        <w:tabs>
          <w:tab w:val="right" w:leader="dot" w:pos="9350"/>
        </w:tabs>
        <w:rPr>
          <w:noProof/>
        </w:rPr>
      </w:pPr>
      <w:r w:rsidRPr="00D20499">
        <w:rPr>
          <w:i/>
          <w:iCs/>
          <w:noProof/>
        </w:rPr>
        <w:t>Letelier v. Republic of Chile</w:t>
      </w:r>
      <w:r>
        <w:rPr>
          <w:noProof/>
        </w:rPr>
        <w:t>, 488 F. Supp. 665 (D.D.C. 1980)</w:t>
      </w:r>
      <w:r>
        <w:rPr>
          <w:noProof/>
        </w:rPr>
        <w:tab/>
        <w:t>19</w:t>
      </w:r>
    </w:p>
    <w:p w14:paraId="39266F58" w14:textId="77777777" w:rsidR="00962927" w:rsidRDefault="00962927">
      <w:pPr>
        <w:pStyle w:val="TableofAuthorities"/>
        <w:tabs>
          <w:tab w:val="right" w:leader="dot" w:pos="9350"/>
        </w:tabs>
        <w:rPr>
          <w:noProof/>
        </w:rPr>
      </w:pPr>
      <w:r>
        <w:rPr>
          <w:noProof/>
        </w:rPr>
        <w:t>Organic Law No. 16/2015 (2015) (Spain)</w:t>
      </w:r>
      <w:r>
        <w:rPr>
          <w:noProof/>
        </w:rPr>
        <w:tab/>
        <w:t>20</w:t>
      </w:r>
    </w:p>
    <w:p w14:paraId="128A4788" w14:textId="77777777" w:rsidR="00962927" w:rsidRDefault="00962927">
      <w:pPr>
        <w:pStyle w:val="TableofAuthorities"/>
        <w:tabs>
          <w:tab w:val="right" w:leader="dot" w:pos="9350"/>
        </w:tabs>
        <w:rPr>
          <w:noProof/>
        </w:rPr>
      </w:pPr>
      <w:r>
        <w:rPr>
          <w:noProof/>
        </w:rPr>
        <w:t>Permanent Mission of the U.K. to the U.N., Submission to the In’tl Law Comm’n (Jan. 10, 2020) https://legal.un.org/ilc/sessions/72/pdfs/english/slr_uk.pdf.</w:t>
      </w:r>
      <w:r>
        <w:rPr>
          <w:noProof/>
        </w:rPr>
        <w:tab/>
        <w:t>28</w:t>
      </w:r>
    </w:p>
    <w:p w14:paraId="5DE6E799" w14:textId="77777777" w:rsidR="00962927" w:rsidRDefault="00962927">
      <w:pPr>
        <w:pStyle w:val="TableofAuthorities"/>
        <w:tabs>
          <w:tab w:val="right" w:leader="dot" w:pos="9350"/>
        </w:tabs>
        <w:rPr>
          <w:noProof/>
        </w:rPr>
      </w:pPr>
      <w:r w:rsidRPr="00D20499">
        <w:rPr>
          <w:i/>
          <w:noProof/>
        </w:rPr>
        <w:t xml:space="preserve">R v. Bow </w:t>
      </w:r>
      <w:r w:rsidRPr="00D20499">
        <w:rPr>
          <w:i/>
          <w:iCs/>
          <w:noProof/>
        </w:rPr>
        <w:t>St.</w:t>
      </w:r>
      <w:r w:rsidRPr="00D20499">
        <w:rPr>
          <w:i/>
          <w:noProof/>
        </w:rPr>
        <w:t xml:space="preserve"> Metropolitan Stipendiary Magistrate</w:t>
      </w:r>
      <w:r w:rsidRPr="00D20499">
        <w:rPr>
          <w:i/>
          <w:iCs/>
          <w:noProof/>
        </w:rPr>
        <w:t xml:space="preserve"> and others</w:t>
      </w:r>
      <w:r w:rsidRPr="00D20499">
        <w:rPr>
          <w:i/>
          <w:noProof/>
        </w:rPr>
        <w:t xml:space="preserve">, ex parte Pinochet Ugarte (No. </w:t>
      </w:r>
      <w:r w:rsidRPr="00D20499">
        <w:rPr>
          <w:i/>
          <w:iCs/>
          <w:noProof/>
        </w:rPr>
        <w:t xml:space="preserve">3) </w:t>
      </w:r>
      <w:r>
        <w:rPr>
          <w:noProof/>
        </w:rPr>
        <w:t>[1999] UKHL 17, [2000] 1 AC 147</w:t>
      </w:r>
      <w:r>
        <w:rPr>
          <w:noProof/>
        </w:rPr>
        <w:tab/>
        <w:t>20</w:t>
      </w:r>
    </w:p>
    <w:p w14:paraId="7E4FC573" w14:textId="77777777" w:rsidR="00962927" w:rsidRDefault="00962927">
      <w:pPr>
        <w:pStyle w:val="TableofAuthorities"/>
        <w:tabs>
          <w:tab w:val="right" w:leader="dot" w:pos="9350"/>
        </w:tabs>
        <w:rPr>
          <w:noProof/>
        </w:rPr>
      </w:pPr>
      <w:r w:rsidRPr="00D20499">
        <w:rPr>
          <w:i/>
          <w:iCs/>
          <w:noProof/>
        </w:rPr>
        <w:t>Re Pinochet</w:t>
      </w:r>
      <w:r>
        <w:rPr>
          <w:noProof/>
        </w:rPr>
        <w:t>, Tribunal de Première Instance Brussels, Nov. 6, 1998, 119 I.L.R. 345</w:t>
      </w:r>
      <w:r>
        <w:rPr>
          <w:noProof/>
        </w:rPr>
        <w:tab/>
        <w:t>19, 20</w:t>
      </w:r>
    </w:p>
    <w:p w14:paraId="5556CA0E" w14:textId="77777777" w:rsidR="00962927" w:rsidRDefault="00962927">
      <w:pPr>
        <w:pStyle w:val="TableofAuthorities"/>
        <w:tabs>
          <w:tab w:val="right" w:leader="dot" w:pos="9350"/>
        </w:tabs>
        <w:rPr>
          <w:noProof/>
        </w:rPr>
      </w:pPr>
      <w:r w:rsidRPr="00D20499">
        <w:rPr>
          <w:i/>
          <w:noProof/>
          <w:color w:val="000000"/>
        </w:rPr>
        <w:t>United States v. Alaska</w:t>
      </w:r>
      <w:r w:rsidRPr="00D20499">
        <w:rPr>
          <w:noProof/>
          <w:color w:val="000000"/>
        </w:rPr>
        <w:t>, 521 U.S. 1 (1997)</w:t>
      </w:r>
      <w:r>
        <w:rPr>
          <w:noProof/>
        </w:rPr>
        <w:tab/>
        <w:t>28</w:t>
      </w:r>
    </w:p>
    <w:p w14:paraId="245108DD" w14:textId="7D926FE5" w:rsidR="00740656" w:rsidRPr="00740656" w:rsidRDefault="00A52D20" w:rsidP="00740656">
      <w:pPr>
        <w:pStyle w:val="TOAHeading"/>
        <w:tabs>
          <w:tab w:val="right" w:leader="dot" w:pos="9350"/>
        </w:tabs>
        <w:ind w:firstLine="0"/>
        <w:rPr>
          <w:rFonts w:ascii="Times New Roman" w:eastAsiaTheme="minorEastAsia" w:hAnsi="Times New Roman" w:cs="Times New Roman"/>
          <w:b w:val="0"/>
          <w:bCs w:val="0"/>
          <w:smallCaps/>
          <w:noProof/>
        </w:rPr>
      </w:pPr>
      <w:r w:rsidRPr="00740656">
        <w:rPr>
          <w:rFonts w:ascii="Times New Roman" w:hAnsi="Times New Roman" w:cs="Times New Roman"/>
          <w:lang w:val="en-US"/>
        </w:rPr>
        <w:fldChar w:fldCharType="end"/>
      </w:r>
      <w:r w:rsidRPr="00740656">
        <w:rPr>
          <w:rFonts w:ascii="Times New Roman" w:hAnsi="Times New Roman" w:cs="Times New Roman"/>
          <w:lang w:val="en-US"/>
        </w:rPr>
        <w:fldChar w:fldCharType="begin"/>
      </w:r>
      <w:r w:rsidRPr="00740656">
        <w:rPr>
          <w:rFonts w:ascii="Times New Roman" w:hAnsi="Times New Roman" w:cs="Times New Roman"/>
          <w:lang w:val="en-US"/>
        </w:rPr>
        <w:instrText xml:space="preserve"> TOA \h \c "8" </w:instrText>
      </w:r>
      <w:r w:rsidRPr="00740656">
        <w:rPr>
          <w:rFonts w:ascii="Times New Roman" w:hAnsi="Times New Roman" w:cs="Times New Roman"/>
          <w:lang w:val="en-US"/>
        </w:rPr>
        <w:fldChar w:fldCharType="separate"/>
      </w:r>
      <w:r w:rsidR="00740656" w:rsidRPr="00740656">
        <w:rPr>
          <w:rFonts w:ascii="Times New Roman" w:hAnsi="Times New Roman" w:cs="Times New Roman"/>
          <w:smallCaps/>
          <w:noProof/>
        </w:rPr>
        <w:t>Publications of International Organizations</w:t>
      </w:r>
    </w:p>
    <w:p w14:paraId="53CDD628" w14:textId="77777777" w:rsidR="00740656" w:rsidRPr="00740656" w:rsidRDefault="00740656">
      <w:pPr>
        <w:pStyle w:val="TableofAuthorities"/>
        <w:tabs>
          <w:tab w:val="right" w:leader="dot" w:pos="9350"/>
        </w:tabs>
        <w:rPr>
          <w:noProof/>
        </w:rPr>
      </w:pPr>
      <w:r w:rsidRPr="00740656">
        <w:rPr>
          <w:noProof/>
        </w:rPr>
        <w:t>Pac. Islands F., Declaration on Preserving Maritime Zones in the Face of Climate Change-Related Sea-Level Rise (Aug. 6, 2021)</w:t>
      </w:r>
      <w:r w:rsidRPr="00740656">
        <w:rPr>
          <w:noProof/>
        </w:rPr>
        <w:tab/>
        <w:t>25</w:t>
      </w:r>
    </w:p>
    <w:p w14:paraId="0B45F620" w14:textId="77777777" w:rsidR="00740656" w:rsidRPr="00740656" w:rsidRDefault="00A52D20" w:rsidP="00740656">
      <w:pPr>
        <w:pStyle w:val="TOAHeading"/>
        <w:tabs>
          <w:tab w:val="right" w:leader="dot" w:pos="9350"/>
        </w:tabs>
        <w:ind w:firstLine="0"/>
        <w:rPr>
          <w:rFonts w:ascii="Times New Roman" w:eastAsiaTheme="minorEastAsia" w:hAnsi="Times New Roman" w:cs="Times New Roman"/>
          <w:b w:val="0"/>
          <w:bCs w:val="0"/>
          <w:smallCaps/>
          <w:noProof/>
        </w:rPr>
      </w:pPr>
      <w:r w:rsidRPr="00740656">
        <w:rPr>
          <w:rFonts w:ascii="Times New Roman" w:hAnsi="Times New Roman" w:cs="Times New Roman"/>
          <w:lang w:val="en-US"/>
        </w:rPr>
        <w:fldChar w:fldCharType="end"/>
      </w:r>
      <w:r w:rsidRPr="00740656">
        <w:rPr>
          <w:rFonts w:ascii="Times New Roman" w:hAnsi="Times New Roman" w:cs="Times New Roman"/>
          <w:lang w:val="en-US"/>
        </w:rPr>
        <w:fldChar w:fldCharType="begin"/>
      </w:r>
      <w:r w:rsidRPr="00740656">
        <w:rPr>
          <w:rFonts w:ascii="Times New Roman" w:hAnsi="Times New Roman" w:cs="Times New Roman"/>
          <w:lang w:val="en-US"/>
        </w:rPr>
        <w:instrText xml:space="preserve"> TOA \h \c "9" </w:instrText>
      </w:r>
      <w:r w:rsidRPr="00740656">
        <w:rPr>
          <w:rFonts w:ascii="Times New Roman" w:hAnsi="Times New Roman" w:cs="Times New Roman"/>
          <w:lang w:val="en-US"/>
        </w:rPr>
        <w:fldChar w:fldCharType="separate"/>
      </w:r>
      <w:r w:rsidR="00740656" w:rsidRPr="00740656">
        <w:rPr>
          <w:rFonts w:ascii="Times New Roman" w:hAnsi="Times New Roman" w:cs="Times New Roman"/>
          <w:smallCaps/>
          <w:noProof/>
        </w:rPr>
        <w:t>Other</w:t>
      </w:r>
    </w:p>
    <w:p w14:paraId="15FFE0ED" w14:textId="77777777" w:rsidR="00740656" w:rsidRPr="00740656" w:rsidRDefault="00740656">
      <w:pPr>
        <w:pStyle w:val="TableofAuthorities"/>
        <w:tabs>
          <w:tab w:val="right" w:leader="dot" w:pos="9350"/>
        </w:tabs>
        <w:rPr>
          <w:noProof/>
        </w:rPr>
      </w:pPr>
      <w:r w:rsidRPr="00740656">
        <w:rPr>
          <w:noProof/>
        </w:rPr>
        <w:lastRenderedPageBreak/>
        <w:t xml:space="preserve">Christine Bell, </w:t>
      </w:r>
      <w:r w:rsidRPr="00740656">
        <w:rPr>
          <w:i/>
          <w:noProof/>
        </w:rPr>
        <w:t>Constitution Brief: Interim Governance Arrangements</w:t>
      </w:r>
      <w:r w:rsidRPr="00740656">
        <w:rPr>
          <w:noProof/>
        </w:rPr>
        <w:t xml:space="preserve">, </w:t>
      </w:r>
      <w:r w:rsidRPr="00740656">
        <w:rPr>
          <w:smallCaps/>
          <w:noProof/>
        </w:rPr>
        <w:t>Int’l IDEA</w:t>
      </w:r>
      <w:r w:rsidRPr="00740656">
        <w:rPr>
          <w:noProof/>
        </w:rPr>
        <w:t xml:space="preserve"> (October 2021), https://constitutionnet.org/sites/default/files/2021-11/interim-governance-arrangements-myanmar_0.pdf.</w:t>
      </w:r>
      <w:r w:rsidRPr="00740656">
        <w:rPr>
          <w:noProof/>
        </w:rPr>
        <w:tab/>
        <w:t>30</w:t>
      </w:r>
    </w:p>
    <w:p w14:paraId="14649986" w14:textId="77777777" w:rsidR="00740656" w:rsidRPr="00740656" w:rsidRDefault="00740656">
      <w:pPr>
        <w:pStyle w:val="TableofAuthorities"/>
        <w:tabs>
          <w:tab w:val="right" w:leader="dot" w:pos="9350"/>
        </w:tabs>
        <w:rPr>
          <w:noProof/>
        </w:rPr>
      </w:pPr>
      <w:r w:rsidRPr="00740656">
        <w:rPr>
          <w:noProof/>
        </w:rPr>
        <w:t>Hisashi Owada, President, Int’l Ct. of Just., Introductory Remarks at the Seminar on the Contentious Jurisdiction of the International Court of Justice (Oct. 26, 2010)</w:t>
      </w:r>
      <w:r w:rsidRPr="00740656">
        <w:rPr>
          <w:noProof/>
        </w:rPr>
        <w:tab/>
        <w:t>3</w:t>
      </w:r>
    </w:p>
    <w:p w14:paraId="726270B5" w14:textId="77777777" w:rsidR="00740656" w:rsidRPr="00740656" w:rsidRDefault="00740656">
      <w:pPr>
        <w:pStyle w:val="TableofAuthorities"/>
        <w:tabs>
          <w:tab w:val="right" w:leader="dot" w:pos="9350"/>
        </w:tabs>
        <w:rPr>
          <w:noProof/>
        </w:rPr>
      </w:pPr>
      <w:r w:rsidRPr="00740656">
        <w:rPr>
          <w:noProof/>
        </w:rPr>
        <w:t xml:space="preserve">Special Advisory Council for Myanmar, </w:t>
      </w:r>
      <w:r w:rsidRPr="00740656">
        <w:rPr>
          <w:i/>
          <w:iCs/>
          <w:noProof/>
        </w:rPr>
        <w:t>SAC-M</w:t>
      </w:r>
      <w:r w:rsidRPr="00740656">
        <w:rPr>
          <w:i/>
          <w:noProof/>
        </w:rPr>
        <w:t xml:space="preserve"> Briefing Paper: Recognition of Government</w:t>
      </w:r>
      <w:r w:rsidRPr="00740656">
        <w:rPr>
          <w:noProof/>
        </w:rPr>
        <w:t xml:space="preserve"> 4 (Aug. 23, 2021</w:t>
      </w:r>
      <w:r w:rsidRPr="00740656">
        <w:rPr>
          <w:noProof/>
          <w:color w:val="000000" w:themeColor="text1"/>
        </w:rPr>
        <w:t>), https://specialadvisorycouncil.org/wp-content/uploads/2021/08/SAC-M-Briefing-Paper-Recognition-of-Governments-ENGLISH.pdf</w:t>
      </w:r>
      <w:r w:rsidRPr="00740656">
        <w:rPr>
          <w:noProof/>
        </w:rPr>
        <w:tab/>
        <w:t>29, 32</w:t>
      </w:r>
    </w:p>
    <w:p w14:paraId="22D45E97" w14:textId="458AD773" w:rsidR="002A4673" w:rsidRPr="00A52D20" w:rsidRDefault="00A52D20" w:rsidP="00A52D20">
      <w:pPr>
        <w:ind w:firstLine="0"/>
        <w:rPr>
          <w:lang w:val="en-US"/>
        </w:rPr>
      </w:pPr>
      <w:r w:rsidRPr="00740656">
        <w:rPr>
          <w:lang w:val="en-US"/>
        </w:rPr>
        <w:fldChar w:fldCharType="end"/>
      </w:r>
    </w:p>
    <w:p w14:paraId="483D8A24" w14:textId="6D41CDBD" w:rsidR="002A4673" w:rsidRDefault="002A4673" w:rsidP="002A4673">
      <w:r>
        <w:br w:type="page"/>
      </w:r>
    </w:p>
    <w:p w14:paraId="7BE96542" w14:textId="77777777" w:rsidR="002A4673" w:rsidRPr="009529D0" w:rsidRDefault="002A4673" w:rsidP="002A4673">
      <w:pPr>
        <w:pStyle w:val="Heading1"/>
        <w:rPr>
          <w:lang w:val="en-US"/>
        </w:rPr>
      </w:pPr>
      <w:bookmarkStart w:id="2" w:name="_Toc187757576"/>
      <w:r w:rsidRPr="009529D0">
        <w:rPr>
          <w:lang w:val="en-US"/>
        </w:rPr>
        <w:lastRenderedPageBreak/>
        <w:t>STATEMENT OF JURISDICTION</w:t>
      </w:r>
      <w:bookmarkEnd w:id="2"/>
    </w:p>
    <w:p w14:paraId="43DEA18B" w14:textId="77777777" w:rsidR="002A4673" w:rsidRPr="006D46F6" w:rsidRDefault="002A4673" w:rsidP="002A4673">
      <w:pPr>
        <w:rPr>
          <w:rStyle w:val="normaltextrun"/>
          <w:color w:val="000000"/>
        </w:rPr>
      </w:pPr>
      <w:r>
        <w:rPr>
          <w:color w:val="000000"/>
        </w:rPr>
        <w:t xml:space="preserve">The Union of Ambrosia (“Ambrosia”) and Republic of Rovinia (“Rovinia”) have consented to submit this dispute to the International Court of Justice (“ICJ”) pursuant to Article XXI of the </w:t>
      </w:r>
      <w:r>
        <w:rPr>
          <w:rStyle w:val="normaltextrun"/>
          <w:color w:val="000000"/>
          <w:bdr w:val="none" w:sz="0" w:space="0" w:color="auto" w:frame="1"/>
        </w:rPr>
        <w:t xml:space="preserve">Organization for Cooperation and Development in the Paine (“OCDP”) Charter, </w:t>
      </w:r>
      <w:r>
        <w:rPr>
          <w:color w:val="000000"/>
        </w:rPr>
        <w:t xml:space="preserve">in accordance with Article 36(1) of the ICJ </w:t>
      </w:r>
      <w:r w:rsidRPr="5228C4EA">
        <w:t xml:space="preserve">Statute. </w:t>
      </w:r>
      <w:r>
        <w:rPr>
          <w:color w:val="000000"/>
        </w:rPr>
        <w:t>Both parties have agreed that all claims will be heard in one proceeding and that all issues of jurisdiction and admissibility will be determined alongside the merits. </w:t>
      </w:r>
    </w:p>
    <w:p w14:paraId="4EE8220B" w14:textId="77777777" w:rsidR="002A4673" w:rsidRPr="00D62579" w:rsidRDefault="002A4673" w:rsidP="002A4673">
      <w:pPr>
        <w:rPr>
          <w:b/>
          <w:smallCaps/>
          <w:lang w:val="en-US"/>
        </w:rPr>
      </w:pPr>
      <w:r>
        <w:rPr>
          <w:rStyle w:val="normaltextrun"/>
          <w:color w:val="000000"/>
          <w:shd w:val="clear" w:color="auto" w:fill="FFFFFF"/>
        </w:rPr>
        <w:t>Rovinia accepts the jurisdiction of this Court pursuant to Article 36(1) of the ICJ Statute. The parties have submitted to this Court a Statement of Agreed Facts. Rovinia undertakes to accept the judgment of this Court as final and binding and shall execute it in its entirety and in good faith.</w:t>
      </w:r>
      <w:r>
        <w:rPr>
          <w:rStyle w:val="eop"/>
          <w:color w:val="000000"/>
          <w:shd w:val="clear" w:color="auto" w:fill="FFFFFF"/>
        </w:rPr>
        <w:t> </w:t>
      </w:r>
    </w:p>
    <w:p w14:paraId="3A6EE3F3" w14:textId="77777777" w:rsidR="002A4673" w:rsidRDefault="002A4673" w:rsidP="002A4673">
      <w:pPr>
        <w:ind w:firstLine="0"/>
        <w:rPr>
          <w:b/>
          <w:lang w:val="en-US"/>
        </w:rPr>
      </w:pPr>
      <w:r>
        <w:rPr>
          <w:b/>
          <w:lang w:val="en-US"/>
        </w:rPr>
        <w:br w:type="page"/>
      </w:r>
    </w:p>
    <w:p w14:paraId="4B2BC6F4" w14:textId="77777777" w:rsidR="002A4673" w:rsidRPr="009529D0" w:rsidRDefault="002A4673" w:rsidP="002A4673">
      <w:pPr>
        <w:pStyle w:val="Heading1"/>
        <w:rPr>
          <w:lang w:val="en-US"/>
        </w:rPr>
      </w:pPr>
      <w:bookmarkStart w:id="3" w:name="_Toc187757577"/>
      <w:r w:rsidRPr="009529D0">
        <w:rPr>
          <w:lang w:val="en-US"/>
        </w:rPr>
        <w:lastRenderedPageBreak/>
        <w:t>STATEMENT OF FACTS</w:t>
      </w:r>
      <w:bookmarkEnd w:id="3"/>
    </w:p>
    <w:p w14:paraId="697C6B22" w14:textId="77777777" w:rsidR="002A4673" w:rsidRPr="00B74B5C" w:rsidRDefault="002A4673" w:rsidP="002A4673">
      <w:pPr>
        <w:spacing w:after="0" w:line="240" w:lineRule="auto"/>
        <w:ind w:firstLine="0"/>
        <w:jc w:val="left"/>
        <w:rPr>
          <w:lang w:val="en-US"/>
        </w:rPr>
      </w:pPr>
    </w:p>
    <w:p w14:paraId="6526F827" w14:textId="77777777" w:rsidR="002A4673" w:rsidRPr="003373E5" w:rsidRDefault="002A4673" w:rsidP="005F61A1">
      <w:pPr>
        <w:ind w:firstLine="0"/>
        <w:rPr>
          <w:b/>
          <w:smallCaps/>
          <w:lang w:val="en-US"/>
        </w:rPr>
      </w:pPr>
      <w:r w:rsidRPr="1DF2BDF2">
        <w:rPr>
          <w:b/>
          <w:smallCaps/>
          <w:lang w:val="en-US"/>
        </w:rPr>
        <w:t>Background </w:t>
      </w:r>
    </w:p>
    <w:p w14:paraId="230AD33A" w14:textId="77777777" w:rsidR="002A4673" w:rsidRPr="003373E5" w:rsidRDefault="002A4673" w:rsidP="005F61A1">
      <w:pPr>
        <w:rPr>
          <w:lang w:val="en-US"/>
        </w:rPr>
      </w:pPr>
      <w:r w:rsidRPr="003373E5">
        <w:rPr>
          <w:lang w:val="en-US"/>
        </w:rPr>
        <w:t xml:space="preserve">Ambrosia and </w:t>
      </w:r>
      <w:r w:rsidRPr="21021CA1">
        <w:rPr>
          <w:lang w:val="en-US"/>
        </w:rPr>
        <w:t>Rovinia</w:t>
      </w:r>
      <w:r w:rsidRPr="003373E5">
        <w:rPr>
          <w:lang w:val="en-US"/>
        </w:rPr>
        <w:t xml:space="preserve"> are located on the Paine Peninsula, which consists of seven States. Rovinia is the southernmost of the States</w:t>
      </w:r>
      <w:r>
        <w:rPr>
          <w:lang w:val="en-US"/>
        </w:rPr>
        <w:t xml:space="preserve"> and </w:t>
      </w:r>
      <w:r w:rsidRPr="003373E5">
        <w:rPr>
          <w:lang w:val="en-US"/>
        </w:rPr>
        <w:t>Ambrosia is the northernmost</w:t>
      </w:r>
      <w:r>
        <w:rPr>
          <w:lang w:val="en-US"/>
        </w:rPr>
        <w:t xml:space="preserve">, with a coastline </w:t>
      </w:r>
      <w:r w:rsidRPr="2489C7FC">
        <w:rPr>
          <w:lang w:val="en-US"/>
        </w:rPr>
        <w:t>facing</w:t>
      </w:r>
      <w:r w:rsidRPr="003373E5">
        <w:rPr>
          <w:lang w:val="en-US"/>
        </w:rPr>
        <w:t xml:space="preserve"> the Naegea Sea. The Naegea Sea is rich in tuna species, including yellowfin tuna. Rovinia’s fishing industry, predominantly made up of yellowfin tuna exports, comprises nearly 40% of its GDP. Ambrosia’s fishing industry accounts for 20% of its GDP. </w:t>
      </w:r>
    </w:p>
    <w:p w14:paraId="7156107D" w14:textId="77777777" w:rsidR="002A4673" w:rsidRPr="003373E5" w:rsidRDefault="002A4673" w:rsidP="005F61A1">
      <w:pPr>
        <w:rPr>
          <w:lang w:val="en-US"/>
        </w:rPr>
      </w:pPr>
    </w:p>
    <w:p w14:paraId="0DC38300" w14:textId="77777777" w:rsidR="002A4673" w:rsidRPr="003373E5" w:rsidRDefault="002A4673" w:rsidP="005F61A1">
      <w:pPr>
        <w:ind w:firstLine="0"/>
        <w:rPr>
          <w:b/>
          <w:smallCaps/>
          <w:lang w:val="en-US"/>
        </w:rPr>
      </w:pPr>
      <w:r w:rsidRPr="003373E5">
        <w:rPr>
          <w:b/>
          <w:smallCaps/>
          <w:lang w:val="en-US"/>
        </w:rPr>
        <w:t xml:space="preserve">The OCDP </w:t>
      </w:r>
    </w:p>
    <w:p w14:paraId="20854695" w14:textId="172729B7" w:rsidR="002A4673" w:rsidRPr="003373E5" w:rsidRDefault="002A4673" w:rsidP="005F61A1">
      <w:pPr>
        <w:rPr>
          <w:lang w:val="en-US"/>
        </w:rPr>
      </w:pPr>
      <w:r w:rsidRPr="003373E5">
        <w:rPr>
          <w:lang w:val="en-US"/>
        </w:rPr>
        <w:t xml:space="preserve">In 2014, the Peninsula States commenced negotiations on the formation of the </w:t>
      </w:r>
      <w:r w:rsidR="00752050">
        <w:rPr>
          <w:lang w:val="en-US"/>
        </w:rPr>
        <w:t>OCDP</w:t>
      </w:r>
      <w:r w:rsidRPr="003373E5">
        <w:rPr>
          <w:lang w:val="en-US"/>
        </w:rPr>
        <w:t xml:space="preserve">. The stated purposes of the OCDP include the protection of the rule of law and democratic institutions, as well as respect for maritime rights. The OCDP Charter entered into force on 17 March 2016. Pursuant to </w:t>
      </w:r>
      <w:r w:rsidRPr="1DF2BDF2">
        <w:rPr>
          <w:lang w:val="en-US"/>
        </w:rPr>
        <w:t xml:space="preserve">the Charter’s </w:t>
      </w:r>
      <w:r w:rsidRPr="003373E5">
        <w:rPr>
          <w:lang w:val="en-US"/>
        </w:rPr>
        <w:t>compromissory clause</w:t>
      </w:r>
      <w:r w:rsidRPr="1DF2BDF2">
        <w:rPr>
          <w:lang w:val="en-US"/>
        </w:rPr>
        <w:t>, Article XXI</w:t>
      </w:r>
      <w:r w:rsidRPr="003373E5">
        <w:rPr>
          <w:lang w:val="en-US"/>
        </w:rPr>
        <w:t xml:space="preserve">, the </w:t>
      </w:r>
      <w:r>
        <w:rPr>
          <w:lang w:val="en-US"/>
        </w:rPr>
        <w:t>OCDP Member</w:t>
      </w:r>
      <w:r w:rsidRPr="003373E5">
        <w:rPr>
          <w:lang w:val="en-US"/>
        </w:rPr>
        <w:t xml:space="preserve"> States agreed to refer </w:t>
      </w:r>
      <w:r>
        <w:rPr>
          <w:lang w:val="en-US"/>
        </w:rPr>
        <w:t>disputes between them to the ICJ. Article XXI includes two exceptions to compulsory ICJ jurisdiction: a temporal exception,</w:t>
      </w:r>
      <w:r w:rsidRPr="003373E5">
        <w:rPr>
          <w:lang w:val="en-US"/>
        </w:rPr>
        <w:t xml:space="preserve"> </w:t>
      </w:r>
      <w:r>
        <w:rPr>
          <w:lang w:val="en-US"/>
        </w:rPr>
        <w:t xml:space="preserve">excluding </w:t>
      </w:r>
      <w:r w:rsidRPr="003373E5">
        <w:rPr>
          <w:lang w:val="en-US"/>
        </w:rPr>
        <w:t xml:space="preserve">disputes arising out of facts or situations prior to </w:t>
      </w:r>
      <w:r>
        <w:rPr>
          <w:lang w:val="en-US"/>
        </w:rPr>
        <w:t xml:space="preserve">the Article’s </w:t>
      </w:r>
      <w:r w:rsidRPr="003373E5">
        <w:rPr>
          <w:lang w:val="en-US"/>
        </w:rPr>
        <w:t>entry into force</w:t>
      </w:r>
      <w:r>
        <w:rPr>
          <w:lang w:val="en-US"/>
        </w:rPr>
        <w:t>; and a material exception, excluding</w:t>
      </w:r>
      <w:r w:rsidRPr="003373E5">
        <w:rPr>
          <w:lang w:val="en-US"/>
        </w:rPr>
        <w:t xml:space="preserve"> disputes </w:t>
      </w:r>
      <w:r>
        <w:rPr>
          <w:lang w:val="en-US"/>
        </w:rPr>
        <w:t>on</w:t>
      </w:r>
      <w:r w:rsidRPr="003373E5">
        <w:rPr>
          <w:lang w:val="en-US"/>
        </w:rPr>
        <w:t xml:space="preserve"> judicial proceedings on matters essentially within a State’s domestic jurisdiction. The compromissory clause became effective on 17 March 2021. </w:t>
      </w:r>
    </w:p>
    <w:p w14:paraId="33F182B8" w14:textId="77777777" w:rsidR="002A4673" w:rsidRPr="003373E5" w:rsidRDefault="002A4673" w:rsidP="005F61A1">
      <w:pPr>
        <w:rPr>
          <w:lang w:val="en-US"/>
        </w:rPr>
      </w:pPr>
    </w:p>
    <w:p w14:paraId="53309659" w14:textId="77777777" w:rsidR="002A4673" w:rsidRPr="003373E5" w:rsidRDefault="002A4673" w:rsidP="005F61A1">
      <w:pPr>
        <w:ind w:firstLine="0"/>
        <w:rPr>
          <w:b/>
          <w:smallCaps/>
          <w:lang w:val="en-US"/>
        </w:rPr>
      </w:pPr>
      <w:r w:rsidRPr="1DF2BDF2">
        <w:rPr>
          <w:b/>
          <w:smallCaps/>
          <w:lang w:val="en-US"/>
        </w:rPr>
        <w:t xml:space="preserve">The ILSA Program </w:t>
      </w:r>
    </w:p>
    <w:p w14:paraId="0A04B571" w14:textId="54781FC8" w:rsidR="002A4673" w:rsidRPr="003373E5" w:rsidRDefault="002A4673" w:rsidP="005F61A1">
      <w:pPr>
        <w:rPr>
          <w:lang w:val="en-US"/>
        </w:rPr>
      </w:pPr>
      <w:r w:rsidRPr="003373E5">
        <w:rPr>
          <w:lang w:val="en-US"/>
        </w:rPr>
        <w:t>In 2013, the President of Ambrosia, Prosper Derey, ordered his Minister of the Interior, Gertrude Cross, to take all necessary and lawful measures to apprehend persons engaged in illicit drug production, distribution</w:t>
      </w:r>
      <w:r w:rsidR="00752050">
        <w:rPr>
          <w:lang w:val="en-US"/>
        </w:rPr>
        <w:t>,</w:t>
      </w:r>
      <w:r w:rsidRPr="003373E5">
        <w:rPr>
          <w:lang w:val="en-US"/>
        </w:rPr>
        <w:t xml:space="preserve"> and use. To this end, Ms. Cross launched the “Implementing the Law for a Safer Ambrosia” (“ILSA”) program. </w:t>
      </w:r>
    </w:p>
    <w:p w14:paraId="71B1731C" w14:textId="75FC6717" w:rsidR="002A4673" w:rsidRPr="003373E5" w:rsidRDefault="002A4673" w:rsidP="005F61A1">
      <w:pPr>
        <w:rPr>
          <w:lang w:val="en-US"/>
        </w:rPr>
      </w:pPr>
      <w:r w:rsidRPr="003373E5">
        <w:rPr>
          <w:lang w:val="en-US"/>
        </w:rPr>
        <w:t xml:space="preserve">In August 2022, Human Rights International (“HRI”), a prominent non-governmental </w:t>
      </w:r>
      <w:r w:rsidRPr="3846F253">
        <w:rPr>
          <w:lang w:val="en-US"/>
        </w:rPr>
        <w:t>organization</w:t>
      </w:r>
      <w:r w:rsidRPr="003373E5">
        <w:rPr>
          <w:lang w:val="en-US"/>
        </w:rPr>
        <w:t>, released a report alleging that ILSA led to the abduction of more than 150 Ambrosian citizens between June 2017 and July 2020</w:t>
      </w:r>
      <w:r>
        <w:rPr>
          <w:lang w:val="en-US"/>
        </w:rPr>
        <w:t xml:space="preserve"> by the National Police</w:t>
      </w:r>
      <w:r w:rsidRPr="003373E5">
        <w:rPr>
          <w:lang w:val="en-US"/>
        </w:rPr>
        <w:t xml:space="preserve">. These individuals were alleged </w:t>
      </w:r>
      <w:r w:rsidRPr="003373E5">
        <w:rPr>
          <w:lang w:val="en-US"/>
        </w:rPr>
        <w:lastRenderedPageBreak/>
        <w:t xml:space="preserve">to have been held in an undisclosed location without formal charges for up to a year. The last of them were released in December 2020. On 7 September 2022, Ambrosia’s Prosecutor General commenced a criminal investigation into the matter. In January 2023, five police officers were charged </w:t>
      </w:r>
      <w:r>
        <w:rPr>
          <w:lang w:val="en-US"/>
        </w:rPr>
        <w:t xml:space="preserve">with kidnapping and ultimately convicted </w:t>
      </w:r>
      <w:r w:rsidRPr="003373E5">
        <w:rPr>
          <w:lang w:val="en-US"/>
        </w:rPr>
        <w:t>under the Ambrosian Criminal Code. Although Ms. Cross was in charge of the National Police, the Prosecutor General concluded that there was insufficient evidence to support charges against her. </w:t>
      </w:r>
    </w:p>
    <w:p w14:paraId="0E856648" w14:textId="15C6CEB2" w:rsidR="002A4673" w:rsidRDefault="002A4673" w:rsidP="005F61A1">
      <w:pPr>
        <w:rPr>
          <w:lang w:val="en-US"/>
        </w:rPr>
      </w:pPr>
      <w:r>
        <w:rPr>
          <w:lang w:val="en-US"/>
        </w:rPr>
        <w:t>In</w:t>
      </w:r>
      <w:r w:rsidRPr="003373E5">
        <w:rPr>
          <w:lang w:val="en-US"/>
        </w:rPr>
        <w:t xml:space="preserve"> June 2023, </w:t>
      </w:r>
      <w:r>
        <w:rPr>
          <w:lang w:val="en-US"/>
        </w:rPr>
        <w:t xml:space="preserve">a second report by </w:t>
      </w:r>
      <w:r w:rsidRPr="003373E5">
        <w:rPr>
          <w:lang w:val="en-US"/>
        </w:rPr>
        <w:t>HRI alleg</w:t>
      </w:r>
      <w:r>
        <w:rPr>
          <w:lang w:val="en-US"/>
        </w:rPr>
        <w:t xml:space="preserve">ed </w:t>
      </w:r>
      <w:r w:rsidRPr="003373E5">
        <w:rPr>
          <w:lang w:val="en-US"/>
        </w:rPr>
        <w:t>the direct involvement of Ms. Cross in the abduction</w:t>
      </w:r>
      <w:r w:rsidR="009356D7">
        <w:rPr>
          <w:lang w:val="en-US"/>
        </w:rPr>
        <w:t>s</w:t>
      </w:r>
      <w:r w:rsidRPr="003373E5">
        <w:rPr>
          <w:lang w:val="en-US"/>
        </w:rPr>
        <w:t xml:space="preserve"> of Ambrosian nationals</w:t>
      </w:r>
      <w:r w:rsidRPr="2489C7FC">
        <w:rPr>
          <w:lang w:val="en-US"/>
        </w:rPr>
        <w:t>, citing evidence</w:t>
      </w:r>
      <w:r w:rsidRPr="003373E5">
        <w:rPr>
          <w:lang w:val="en-US"/>
        </w:rPr>
        <w:t xml:space="preserve"> from police officers, images, and audio recordings. </w:t>
      </w:r>
      <w:r>
        <w:rPr>
          <w:lang w:val="en-US"/>
        </w:rPr>
        <w:t>C</w:t>
      </w:r>
      <w:r w:rsidRPr="003373E5">
        <w:rPr>
          <w:lang w:val="en-US"/>
        </w:rPr>
        <w:t xml:space="preserve">opies of orders signed by Ms. Cross between June 2017 and December 2018 were adduced, purportedly showing that </w:t>
      </w:r>
      <w:r>
        <w:rPr>
          <w:lang w:val="en-US"/>
        </w:rPr>
        <w:t>she</w:t>
      </w:r>
      <w:r w:rsidRPr="003373E5">
        <w:rPr>
          <w:lang w:val="en-US"/>
        </w:rPr>
        <w:t xml:space="preserve"> had authorized warrantless arrests. </w:t>
      </w:r>
      <w:r>
        <w:rPr>
          <w:lang w:val="en-US"/>
        </w:rPr>
        <w:t>W</w:t>
      </w:r>
      <w:r w:rsidRPr="003373E5">
        <w:rPr>
          <w:lang w:val="en-US"/>
        </w:rPr>
        <w:t xml:space="preserve">itness interviews and documents suggested that Ms. Cross had repeatedly visited the detention compound. The report alleged that the Prosecutor General </w:t>
      </w:r>
      <w:r w:rsidRPr="2489C7FC">
        <w:rPr>
          <w:lang w:val="en-US"/>
        </w:rPr>
        <w:t>closed</w:t>
      </w:r>
      <w:r w:rsidRPr="003373E5">
        <w:rPr>
          <w:lang w:val="en-US"/>
        </w:rPr>
        <w:t xml:space="preserve"> the investigation despite </w:t>
      </w:r>
      <w:r>
        <w:rPr>
          <w:lang w:val="en-US"/>
        </w:rPr>
        <w:t>possessing</w:t>
      </w:r>
      <w:r w:rsidRPr="003373E5">
        <w:rPr>
          <w:lang w:val="en-US"/>
        </w:rPr>
        <w:t xml:space="preserve"> some of this evidence. </w:t>
      </w:r>
    </w:p>
    <w:p w14:paraId="65152EFC" w14:textId="77777777" w:rsidR="005F61A1" w:rsidRPr="003373E5" w:rsidRDefault="005F61A1" w:rsidP="005F61A1">
      <w:pPr>
        <w:rPr>
          <w:lang w:val="en-US"/>
        </w:rPr>
      </w:pPr>
    </w:p>
    <w:p w14:paraId="2EB18F28" w14:textId="77777777" w:rsidR="002A4673" w:rsidRPr="003373E5" w:rsidRDefault="002A4673" w:rsidP="005F61A1">
      <w:pPr>
        <w:ind w:firstLine="0"/>
        <w:rPr>
          <w:b/>
          <w:smallCaps/>
          <w:lang w:val="en-US"/>
        </w:rPr>
      </w:pPr>
      <w:r w:rsidRPr="1DF2BDF2">
        <w:rPr>
          <w:b/>
          <w:smallCaps/>
          <w:lang w:val="en-US"/>
        </w:rPr>
        <w:t>Baselines and</w:t>
      </w:r>
      <w:r w:rsidRPr="003373E5">
        <w:rPr>
          <w:b/>
          <w:smallCaps/>
          <w:lang w:val="en-US"/>
        </w:rPr>
        <w:t xml:space="preserve"> </w:t>
      </w:r>
      <w:r w:rsidRPr="1DF2BDF2">
        <w:rPr>
          <w:b/>
          <w:smallCaps/>
          <w:lang w:val="en-US"/>
        </w:rPr>
        <w:t>F</w:t>
      </w:r>
      <w:r w:rsidRPr="003373E5">
        <w:rPr>
          <w:b/>
          <w:smallCaps/>
          <w:lang w:val="en-US"/>
        </w:rPr>
        <w:t xml:space="preserve">ishing </w:t>
      </w:r>
      <w:r w:rsidRPr="1DF2BDF2">
        <w:rPr>
          <w:b/>
          <w:smallCaps/>
          <w:lang w:val="en-US"/>
        </w:rPr>
        <w:t>L</w:t>
      </w:r>
      <w:r w:rsidRPr="003373E5">
        <w:rPr>
          <w:b/>
          <w:smallCaps/>
          <w:lang w:val="en-US"/>
        </w:rPr>
        <w:t>icenses </w:t>
      </w:r>
    </w:p>
    <w:p w14:paraId="6CCDB171" w14:textId="77777777" w:rsidR="002A4673" w:rsidRPr="003373E5" w:rsidRDefault="002A4673" w:rsidP="005F61A1">
      <w:pPr>
        <w:rPr>
          <w:lang w:val="en-US"/>
        </w:rPr>
      </w:pPr>
      <w:r w:rsidRPr="003373E5">
        <w:rPr>
          <w:lang w:val="en-US"/>
        </w:rPr>
        <w:t>All Peninsula States proclaimed exclusive fishing rights in their exclusive economic zones</w:t>
      </w:r>
      <w:r w:rsidRPr="2489C7FC">
        <w:rPr>
          <w:lang w:val="en-US"/>
        </w:rPr>
        <w:t xml:space="preserve"> (“EEZ”).</w:t>
      </w:r>
      <w:r w:rsidRPr="003373E5">
        <w:rPr>
          <w:lang w:val="en-US"/>
        </w:rPr>
        <w:t xml:space="preserve"> Until 2015, all defined their maritime baselines as ambulatory in </w:t>
      </w:r>
      <w:r>
        <w:rPr>
          <w:lang w:val="en-US"/>
        </w:rPr>
        <w:t xml:space="preserve">their </w:t>
      </w:r>
      <w:r w:rsidRPr="003373E5">
        <w:rPr>
          <w:lang w:val="en-US"/>
        </w:rPr>
        <w:t>domestic legislation.  </w:t>
      </w:r>
    </w:p>
    <w:p w14:paraId="2A1D39EF" w14:textId="77777777" w:rsidR="002A4673" w:rsidRPr="003373E5" w:rsidRDefault="002A4673" w:rsidP="005F61A1">
      <w:pPr>
        <w:rPr>
          <w:lang w:val="en-US"/>
        </w:rPr>
      </w:pPr>
      <w:r w:rsidRPr="003373E5">
        <w:rPr>
          <w:lang w:val="en-US"/>
        </w:rPr>
        <w:t>In November 2015, the National Assembly of Ambrosia approved the Baseline Freezing Law of 2015</w:t>
      </w:r>
      <w:r>
        <w:rPr>
          <w:lang w:val="en-US"/>
        </w:rPr>
        <w:t xml:space="preserve">, </w:t>
      </w:r>
      <w:r w:rsidRPr="003373E5">
        <w:rPr>
          <w:lang w:val="en-US"/>
        </w:rPr>
        <w:t xml:space="preserve">which fixed Ambrosia’s baselines at the low-water line existing on 1 November 2015, irrespective of future recession of the coastline. Rovinia did not comment on Ambrosia’s internal legislation. When other OCDP Member States began considering freezing legislation, Rovinia sent </w:t>
      </w:r>
      <w:r w:rsidRPr="003373E5">
        <w:rPr>
          <w:i/>
          <w:lang w:val="en-US"/>
        </w:rPr>
        <w:t xml:space="preserve">notes verbales </w:t>
      </w:r>
      <w:r w:rsidRPr="003373E5">
        <w:rPr>
          <w:lang w:val="en-US"/>
        </w:rPr>
        <w:t xml:space="preserve">objecting to </w:t>
      </w:r>
      <w:r w:rsidRPr="2489C7FC">
        <w:rPr>
          <w:lang w:val="en-US"/>
        </w:rPr>
        <w:t>each proposal</w:t>
      </w:r>
      <w:r w:rsidRPr="003373E5">
        <w:rPr>
          <w:lang w:val="en-US"/>
        </w:rPr>
        <w:t xml:space="preserve"> as violative of international law. Rovinia voted against resolutions endorsing freezing legislation at the OCDP Assembly in March and December 2016</w:t>
      </w:r>
      <w:r>
        <w:rPr>
          <w:lang w:val="en-US"/>
        </w:rPr>
        <w:t xml:space="preserve"> and has continued doing so </w:t>
      </w:r>
      <w:r w:rsidRPr="003373E5">
        <w:rPr>
          <w:lang w:val="en-US"/>
        </w:rPr>
        <w:t>at each annual meeting of the Assembly</w:t>
      </w:r>
      <w:r>
        <w:rPr>
          <w:lang w:val="en-US"/>
        </w:rPr>
        <w:t>.</w:t>
      </w:r>
      <w:r w:rsidRPr="003373E5">
        <w:rPr>
          <w:lang w:val="en-US"/>
        </w:rPr>
        <w:t xml:space="preserve"> After the March </w:t>
      </w:r>
      <w:r>
        <w:rPr>
          <w:lang w:val="en-US"/>
        </w:rPr>
        <w:t xml:space="preserve">2016 </w:t>
      </w:r>
      <w:r w:rsidRPr="003373E5">
        <w:rPr>
          <w:lang w:val="en-US"/>
        </w:rPr>
        <w:t xml:space="preserve">OCDP meeting, Rovinia delivered a </w:t>
      </w:r>
      <w:r w:rsidRPr="003373E5">
        <w:rPr>
          <w:i/>
          <w:lang w:val="en-US"/>
        </w:rPr>
        <w:t>note verbale</w:t>
      </w:r>
      <w:r w:rsidRPr="003373E5">
        <w:rPr>
          <w:lang w:val="en-US"/>
        </w:rPr>
        <w:t xml:space="preserve"> </w:t>
      </w:r>
      <w:r>
        <w:rPr>
          <w:lang w:val="en-US"/>
        </w:rPr>
        <w:t>notifying</w:t>
      </w:r>
      <w:r w:rsidRPr="003373E5">
        <w:rPr>
          <w:lang w:val="en-US"/>
        </w:rPr>
        <w:t xml:space="preserve"> Ambrosia that it considered the freezing laws to be without effect. By August 2016, all OCDP members except Rovinia had adopted freezing legislation. Rovinia responded to each enactment with a diplomatic note protesting the measure. </w:t>
      </w:r>
    </w:p>
    <w:p w14:paraId="3E443F4B" w14:textId="77777777" w:rsidR="002A4673" w:rsidRPr="003373E5" w:rsidRDefault="002A4673" w:rsidP="005F61A1">
      <w:pPr>
        <w:rPr>
          <w:lang w:val="en-US"/>
        </w:rPr>
      </w:pPr>
      <w:r w:rsidRPr="003373E5">
        <w:rPr>
          <w:lang w:val="en-US"/>
        </w:rPr>
        <w:lastRenderedPageBreak/>
        <w:t xml:space="preserve">By 2018, Ambrosia’s coastlines had receded such that the Triton Shoal would be outside Ambrosia’s </w:t>
      </w:r>
      <w:r w:rsidRPr="2489C7FC">
        <w:rPr>
          <w:lang w:val="en-US"/>
        </w:rPr>
        <w:t>EEZ</w:t>
      </w:r>
      <w:r w:rsidRPr="003373E5">
        <w:rPr>
          <w:lang w:val="en-US"/>
        </w:rPr>
        <w:t xml:space="preserve"> if </w:t>
      </w:r>
      <w:r>
        <w:rPr>
          <w:lang w:val="en-US"/>
        </w:rPr>
        <w:t>its</w:t>
      </w:r>
      <w:r w:rsidRPr="003373E5">
        <w:rPr>
          <w:lang w:val="en-US"/>
        </w:rPr>
        <w:t xml:space="preserve"> baselines were established at the actual low-water line. On 2 July 2018, Rovinia began granting fishing permits for yellowfin tuna covering the entire Shoal. </w:t>
      </w:r>
    </w:p>
    <w:p w14:paraId="4F277A95" w14:textId="2E318416" w:rsidR="002A4673" w:rsidRDefault="002A4673" w:rsidP="005F61A1">
      <w:pPr>
        <w:rPr>
          <w:lang w:val="en-US"/>
        </w:rPr>
      </w:pPr>
      <w:r w:rsidRPr="003373E5">
        <w:rPr>
          <w:lang w:val="en-US"/>
        </w:rPr>
        <w:t xml:space="preserve">In March 2023, Rovinia abstained from a resolution by the OCDP Assembly that pledged aid to </w:t>
      </w:r>
      <w:r w:rsidR="005F61A1">
        <w:rPr>
          <w:lang w:val="en-US"/>
        </w:rPr>
        <w:t xml:space="preserve">Ambrosia and </w:t>
      </w:r>
      <w:r w:rsidR="005F61A1" w:rsidRPr="005F61A1">
        <w:rPr>
          <w:lang w:val="en-US"/>
        </w:rPr>
        <w:t>referred to the importance of fixed baselines</w:t>
      </w:r>
      <w:r w:rsidRPr="003373E5">
        <w:rPr>
          <w:lang w:val="en-US"/>
        </w:rPr>
        <w:t>. </w:t>
      </w:r>
      <w:r w:rsidR="00E31D2D">
        <w:rPr>
          <w:lang w:val="en-US"/>
        </w:rPr>
        <w:t xml:space="preserve">This abstention was </w:t>
      </w:r>
      <w:r w:rsidR="005F61A1" w:rsidRPr="005F61A1">
        <w:rPr>
          <w:lang w:val="en-US"/>
        </w:rPr>
        <w:t xml:space="preserve">motivated by the urgent need to address the suffering </w:t>
      </w:r>
      <w:r w:rsidR="00E31D2D">
        <w:rPr>
          <w:lang w:val="en-US"/>
        </w:rPr>
        <w:t>in Ambrosia</w:t>
      </w:r>
      <w:r w:rsidR="005F61A1" w:rsidRPr="005F61A1">
        <w:rPr>
          <w:lang w:val="en-US"/>
        </w:rPr>
        <w:t>.</w:t>
      </w:r>
    </w:p>
    <w:p w14:paraId="72A3ECF8" w14:textId="77777777" w:rsidR="005F61A1" w:rsidRPr="003373E5" w:rsidRDefault="005F61A1" w:rsidP="005F61A1">
      <w:pPr>
        <w:rPr>
          <w:lang w:val="en-US"/>
        </w:rPr>
      </w:pPr>
    </w:p>
    <w:p w14:paraId="38969253" w14:textId="77777777" w:rsidR="002A4673" w:rsidRPr="003373E5" w:rsidRDefault="002A4673" w:rsidP="005F61A1">
      <w:pPr>
        <w:ind w:firstLine="0"/>
        <w:rPr>
          <w:b/>
          <w:smallCaps/>
          <w:lang w:val="en-US"/>
        </w:rPr>
      </w:pPr>
      <w:r w:rsidRPr="003373E5">
        <w:rPr>
          <w:b/>
          <w:smallCaps/>
          <w:lang w:val="en-US"/>
        </w:rPr>
        <w:t>The Transitional Council </w:t>
      </w:r>
    </w:p>
    <w:p w14:paraId="03785F16" w14:textId="77777777" w:rsidR="002A4673" w:rsidRPr="003373E5" w:rsidRDefault="002A4673" w:rsidP="005F61A1">
      <w:pPr>
        <w:rPr>
          <w:lang w:val="en-US"/>
        </w:rPr>
      </w:pPr>
      <w:r w:rsidRPr="003373E5">
        <w:rPr>
          <w:lang w:val="en-US"/>
        </w:rPr>
        <w:t>In April 2022, President Derey suffered a stroke, entering a coma. Vice-President Zavala took office as Acting President of Ambrosia. </w:t>
      </w:r>
    </w:p>
    <w:p w14:paraId="3BE475CE" w14:textId="54140264" w:rsidR="002A4673" w:rsidRDefault="002A4673" w:rsidP="005F61A1">
      <w:pPr>
        <w:rPr>
          <w:lang w:val="en-US"/>
        </w:rPr>
      </w:pPr>
      <w:r w:rsidRPr="003373E5">
        <w:rPr>
          <w:lang w:val="en-US"/>
        </w:rPr>
        <w:t xml:space="preserve">After Hurricane Luna struck the village of Dovilina in February 2023, the Ambrosian people reacted critically to Acting President Zavala’s response, decrying a lack of leadership. </w:t>
      </w:r>
      <w:r>
        <w:rPr>
          <w:lang w:val="en-US"/>
        </w:rPr>
        <w:t>When Acting President Zavala</w:t>
      </w:r>
      <w:r w:rsidRPr="003373E5">
        <w:rPr>
          <w:lang w:val="en-US"/>
        </w:rPr>
        <w:t xml:space="preserve"> refused to sign the </w:t>
      </w:r>
      <w:r>
        <w:rPr>
          <w:lang w:val="en-US"/>
        </w:rPr>
        <w:t xml:space="preserve">National Assembly’s proposed </w:t>
      </w:r>
      <w:r w:rsidRPr="003373E5">
        <w:rPr>
          <w:lang w:val="en-US"/>
        </w:rPr>
        <w:t xml:space="preserve">Reconstruction Bill </w:t>
      </w:r>
      <w:r>
        <w:rPr>
          <w:lang w:val="en-US"/>
        </w:rPr>
        <w:t xml:space="preserve">on </w:t>
      </w:r>
      <w:r w:rsidRPr="003373E5">
        <w:rPr>
          <w:lang w:val="en-US"/>
        </w:rPr>
        <w:t>3 March 2023</w:t>
      </w:r>
      <w:r>
        <w:rPr>
          <w:lang w:val="en-US"/>
        </w:rPr>
        <w:t>,</w:t>
      </w:r>
      <w:r w:rsidRPr="003373E5">
        <w:rPr>
          <w:lang w:val="en-US"/>
        </w:rPr>
        <w:t xml:space="preserve"> protests and demonstrations </w:t>
      </w:r>
      <w:r>
        <w:rPr>
          <w:lang w:val="en-US"/>
        </w:rPr>
        <w:t xml:space="preserve">erupted </w:t>
      </w:r>
      <w:r w:rsidRPr="003373E5">
        <w:rPr>
          <w:lang w:val="en-US"/>
        </w:rPr>
        <w:t>across Ambrosia</w:t>
      </w:r>
      <w:r>
        <w:rPr>
          <w:lang w:val="en-US"/>
        </w:rPr>
        <w:t xml:space="preserve">. </w:t>
      </w:r>
      <w:r w:rsidR="00E31D2D">
        <w:rPr>
          <w:lang w:val="en-US"/>
        </w:rPr>
        <w:t xml:space="preserve">On 5 March, she left Ambrosia for a meeting. </w:t>
      </w:r>
      <w:r>
        <w:rPr>
          <w:lang w:val="en-US"/>
        </w:rPr>
        <w:t xml:space="preserve">Protestors called </w:t>
      </w:r>
      <w:r w:rsidRPr="003373E5">
        <w:rPr>
          <w:lang w:val="en-US"/>
        </w:rPr>
        <w:t xml:space="preserve">for a new government headed by Rooney Piretis, a Member of the National Assembly </w:t>
      </w:r>
      <w:r>
        <w:rPr>
          <w:lang w:val="en-US"/>
        </w:rPr>
        <w:t>representing Dovilina</w:t>
      </w:r>
      <w:r w:rsidRPr="003373E5">
        <w:rPr>
          <w:lang w:val="en-US"/>
        </w:rPr>
        <w:t>. </w:t>
      </w:r>
      <w:r>
        <w:rPr>
          <w:lang w:val="en-US"/>
        </w:rPr>
        <w:t>By</w:t>
      </w:r>
      <w:r w:rsidRPr="003373E5">
        <w:rPr>
          <w:lang w:val="en-US"/>
        </w:rPr>
        <w:t xml:space="preserve"> 10 March, seven members of Acting President Zavala’s cabinet</w:t>
      </w:r>
      <w:r>
        <w:rPr>
          <w:lang w:val="en-US"/>
        </w:rPr>
        <w:t xml:space="preserve"> had </w:t>
      </w:r>
      <w:r w:rsidRPr="003373E5">
        <w:rPr>
          <w:lang w:val="en-US"/>
        </w:rPr>
        <w:t>resigned. On 11 March, Ms. Piretis sought support for an interim government from the resigned ministers</w:t>
      </w:r>
      <w:r>
        <w:rPr>
          <w:lang w:val="en-US"/>
        </w:rPr>
        <w:t xml:space="preserve">, </w:t>
      </w:r>
      <w:r w:rsidRPr="003373E5">
        <w:rPr>
          <w:lang w:val="en-US"/>
        </w:rPr>
        <w:t xml:space="preserve">senior members of the National Assembly, and officers of the armed forces. </w:t>
      </w:r>
    </w:p>
    <w:p w14:paraId="46883D1F" w14:textId="4A423CB0" w:rsidR="002A4673" w:rsidRPr="003373E5" w:rsidRDefault="002A4673" w:rsidP="005F61A1">
      <w:pPr>
        <w:rPr>
          <w:lang w:val="en-US"/>
        </w:rPr>
      </w:pPr>
      <w:r w:rsidRPr="003373E5">
        <w:rPr>
          <w:lang w:val="en-US"/>
        </w:rPr>
        <w:t>With their support, on 13 March 2023</w:t>
      </w:r>
      <w:r w:rsidR="00E31D2D">
        <w:rPr>
          <w:lang w:val="en-US"/>
        </w:rPr>
        <w:t>,</w:t>
      </w:r>
      <w:r w:rsidRPr="003373E5">
        <w:rPr>
          <w:lang w:val="en-US"/>
        </w:rPr>
        <w:t xml:space="preserve"> </w:t>
      </w:r>
      <w:r>
        <w:rPr>
          <w:lang w:val="en-US"/>
        </w:rPr>
        <w:t>Ms. Piretis</w:t>
      </w:r>
      <w:r w:rsidRPr="003373E5">
        <w:rPr>
          <w:lang w:val="en-US"/>
        </w:rPr>
        <w:t xml:space="preserve"> announced the establishment of a Transitional Council</w:t>
      </w:r>
      <w:r w:rsidRPr="5228C4EA">
        <w:rPr>
          <w:lang w:val="en-US"/>
        </w:rPr>
        <w:t xml:space="preserve"> (“the Council”),</w:t>
      </w:r>
      <w:r w:rsidRPr="003373E5">
        <w:rPr>
          <w:lang w:val="en-US"/>
        </w:rPr>
        <w:t xml:space="preserve"> with herself as the Head, that would exercise all executive functions of the government</w:t>
      </w:r>
      <w:r>
        <w:rPr>
          <w:lang w:val="en-US"/>
        </w:rPr>
        <w:t xml:space="preserve"> until</w:t>
      </w:r>
      <w:r w:rsidRPr="003373E5">
        <w:rPr>
          <w:lang w:val="en-US"/>
        </w:rPr>
        <w:t xml:space="preserve"> President Derey returned to Ambrosia. Ms. Zavala declared on 14 March that she remained the Acting President</w:t>
      </w:r>
      <w:r w:rsidR="00E31D2D">
        <w:rPr>
          <w:lang w:val="en-US"/>
        </w:rPr>
        <w:t>, despite not</w:t>
      </w:r>
      <w:r w:rsidRPr="003373E5">
        <w:rPr>
          <w:lang w:val="en-US"/>
        </w:rPr>
        <w:t> </w:t>
      </w:r>
      <w:r w:rsidR="00E31D2D">
        <w:rPr>
          <w:lang w:val="en-US"/>
        </w:rPr>
        <w:t>returning to Ambrosia.</w:t>
      </w:r>
    </w:p>
    <w:p w14:paraId="739DAD91" w14:textId="78BBD92D" w:rsidR="002A4673" w:rsidRDefault="002A4673" w:rsidP="00301D3B">
      <w:pPr>
        <w:rPr>
          <w:lang w:val="en-US"/>
        </w:rPr>
      </w:pPr>
      <w:r w:rsidRPr="5228C4EA">
        <w:rPr>
          <w:lang w:val="en-US"/>
        </w:rPr>
        <w:t>The</w:t>
      </w:r>
      <w:r w:rsidRPr="003373E5">
        <w:rPr>
          <w:lang w:val="en-US"/>
        </w:rPr>
        <w:t xml:space="preserve"> Council controlled all parts of Ambrosia. It enjoyed substantial support among the general population and among key members of the legislature, police, intelligence community, and armed forces. It passed the Reconstruction Bill and disbursed aid to Dovilina. </w:t>
      </w:r>
      <w:r w:rsidR="00301D3B" w:rsidRPr="003373E5">
        <w:rPr>
          <w:lang w:val="en-US"/>
        </w:rPr>
        <w:t>By June 2023, 25 States had recognized the Council.</w:t>
      </w:r>
      <w:r w:rsidR="00301D3B">
        <w:rPr>
          <w:lang w:val="en-US"/>
        </w:rPr>
        <w:t xml:space="preserve"> </w:t>
      </w:r>
      <w:r w:rsidRPr="003373E5">
        <w:rPr>
          <w:lang w:val="en-US"/>
        </w:rPr>
        <w:t xml:space="preserve">Some opposition emerged, expressing concern about the </w:t>
      </w:r>
      <w:r w:rsidRPr="5AF89F45">
        <w:rPr>
          <w:lang w:val="en-US"/>
        </w:rPr>
        <w:lastRenderedPageBreak/>
        <w:t xml:space="preserve">Council’s </w:t>
      </w:r>
      <w:r w:rsidRPr="003373E5">
        <w:rPr>
          <w:lang w:val="en-US"/>
        </w:rPr>
        <w:t xml:space="preserve">constitutional foundations. </w:t>
      </w:r>
      <w:r>
        <w:rPr>
          <w:lang w:val="en-US"/>
        </w:rPr>
        <w:t>Pro-Zavala d</w:t>
      </w:r>
      <w:r w:rsidRPr="003373E5">
        <w:rPr>
          <w:lang w:val="en-US"/>
        </w:rPr>
        <w:t xml:space="preserve">emonstrations resulted in clashes with the police and detentions of speakers. </w:t>
      </w:r>
    </w:p>
    <w:p w14:paraId="79C992C8" w14:textId="77777777" w:rsidR="002A4673" w:rsidRPr="003373E5" w:rsidRDefault="002A4673" w:rsidP="005F61A1">
      <w:pPr>
        <w:ind w:firstLine="0"/>
        <w:rPr>
          <w:lang w:val="en-US"/>
        </w:rPr>
      </w:pPr>
    </w:p>
    <w:p w14:paraId="4510ECC1" w14:textId="77777777" w:rsidR="002A4673" w:rsidRPr="003373E5" w:rsidRDefault="002A4673" w:rsidP="005F61A1">
      <w:pPr>
        <w:ind w:firstLine="0"/>
        <w:rPr>
          <w:b/>
          <w:smallCaps/>
          <w:lang w:val="en-US"/>
        </w:rPr>
      </w:pPr>
      <w:r w:rsidRPr="003373E5">
        <w:rPr>
          <w:b/>
          <w:smallCaps/>
          <w:lang w:val="en-US"/>
        </w:rPr>
        <w:t>The Falcon </w:t>
      </w:r>
    </w:p>
    <w:p w14:paraId="355789BF" w14:textId="47A1AD50" w:rsidR="002A4673" w:rsidRPr="003373E5" w:rsidRDefault="002A4673" w:rsidP="005F61A1">
      <w:pPr>
        <w:rPr>
          <w:lang w:val="en-US"/>
        </w:rPr>
      </w:pPr>
      <w:r w:rsidRPr="003373E5">
        <w:rPr>
          <w:lang w:val="en-US"/>
        </w:rPr>
        <w:t>In</w:t>
      </w:r>
      <w:r w:rsidRPr="003373E5">
        <w:rPr>
          <w:i/>
          <w:lang w:val="en-US"/>
        </w:rPr>
        <w:t xml:space="preserve"> O’Mander Corp. v. Union of Ambrosia</w:t>
      </w:r>
      <w:r w:rsidRPr="003373E5">
        <w:rPr>
          <w:lang w:val="en-US"/>
        </w:rPr>
        <w:t xml:space="preserve">, a Rovinian court found a breach of contract by Ambrosia and awarded O’Mander Corp damages. </w:t>
      </w:r>
      <w:r>
        <w:rPr>
          <w:lang w:val="en-US"/>
        </w:rPr>
        <w:t xml:space="preserve">On 14 March 2023, </w:t>
      </w:r>
      <w:r w:rsidR="00E31D2D">
        <w:rPr>
          <w:lang w:val="en-US"/>
        </w:rPr>
        <w:t>T</w:t>
      </w:r>
      <w:r>
        <w:rPr>
          <w:lang w:val="en-US"/>
        </w:rPr>
        <w:t xml:space="preserve">he Falcon was impounded to satisfy the damages judgment. </w:t>
      </w:r>
    </w:p>
    <w:p w14:paraId="7A4C31DC" w14:textId="3EB0595C" w:rsidR="002A4673" w:rsidRPr="003373E5" w:rsidRDefault="002A4673" w:rsidP="005F61A1">
      <w:pPr>
        <w:rPr>
          <w:lang w:val="en-US"/>
        </w:rPr>
      </w:pPr>
      <w:r w:rsidRPr="003373E5">
        <w:rPr>
          <w:lang w:val="en-US"/>
        </w:rPr>
        <w:t xml:space="preserve">On 17 March 2023, President Piretis announced that she had signed a waiver of The Falcon’s immunity </w:t>
      </w:r>
      <w:r>
        <w:rPr>
          <w:lang w:val="en-US"/>
        </w:rPr>
        <w:t>upon</w:t>
      </w:r>
      <w:r w:rsidRPr="003373E5">
        <w:rPr>
          <w:lang w:val="en-US"/>
        </w:rPr>
        <w:t xml:space="preserve"> consulting with the Council. Ms. Zavala concurrently asserted that </w:t>
      </w:r>
      <w:r>
        <w:rPr>
          <w:lang w:val="en-US"/>
        </w:rPr>
        <w:t xml:space="preserve">the Council did not have the authority to issue the waiver, so </w:t>
      </w:r>
      <w:r w:rsidR="00E31D2D">
        <w:rPr>
          <w:lang w:val="en-US"/>
        </w:rPr>
        <w:t>T</w:t>
      </w:r>
      <w:r>
        <w:rPr>
          <w:lang w:val="en-US"/>
        </w:rPr>
        <w:t>he Falcon retained its sovereign immunity</w:t>
      </w:r>
      <w:r w:rsidRPr="003373E5">
        <w:rPr>
          <w:lang w:val="en-US"/>
        </w:rPr>
        <w:t>. On 28 March, the Permola court heard submissions from the legal teams of both President Piretis and Ms. Zavala</w:t>
      </w:r>
      <w:r>
        <w:rPr>
          <w:lang w:val="en-US"/>
        </w:rPr>
        <w:t>. Refusing to rule on the matter, it requested the advice of the Foreign Minister</w:t>
      </w:r>
      <w:r w:rsidRPr="003373E5">
        <w:rPr>
          <w:lang w:val="en-US"/>
        </w:rPr>
        <w:t xml:space="preserve">. On 14 July, Judge Timbre read out a statement by the Rovinian Foreign Minister opining that the Court should consider the Council to be the legal representative speaking for Ambrosia on account of its effective control over the Ambrosian territory and performance of government functions. Consequently, the court accepted the Council’s waiver and ordered the seizure and sale of </w:t>
      </w:r>
      <w:r w:rsidR="00E31D2D">
        <w:rPr>
          <w:lang w:val="en-US"/>
        </w:rPr>
        <w:t>T</w:t>
      </w:r>
      <w:r w:rsidRPr="003373E5">
        <w:rPr>
          <w:lang w:val="en-US"/>
        </w:rPr>
        <w:t>he Falcon. The plane was auctioned off in August 2023 and the sale price paid to O’Mander Corp. </w:t>
      </w:r>
    </w:p>
    <w:p w14:paraId="5821BE14" w14:textId="77777777" w:rsidR="002A4673" w:rsidRPr="003373E5" w:rsidRDefault="002A4673" w:rsidP="005F61A1">
      <w:pPr>
        <w:rPr>
          <w:lang w:val="en-US"/>
        </w:rPr>
      </w:pPr>
      <w:r w:rsidRPr="003373E5">
        <w:rPr>
          <w:lang w:val="en-US"/>
        </w:rPr>
        <w:t xml:space="preserve">On 19 December 2023 President Derey returned to Ambrosia upon awakening from his coma. Ms. </w:t>
      </w:r>
      <w:r w:rsidRPr="2489C7FC">
        <w:rPr>
          <w:lang w:val="en-US"/>
        </w:rPr>
        <w:t>Piretis</w:t>
      </w:r>
      <w:r w:rsidRPr="003373E5">
        <w:rPr>
          <w:lang w:val="en-US"/>
        </w:rPr>
        <w:t xml:space="preserve"> announced the dissolution of the Council. President Derey issued full pardons to Ms. Piretis, Ms. Zavala, and all members of the Council. </w:t>
      </w:r>
    </w:p>
    <w:p w14:paraId="2185FA88" w14:textId="77777777" w:rsidR="002A4673" w:rsidRPr="003373E5" w:rsidRDefault="002A4673" w:rsidP="002A4673">
      <w:pPr>
        <w:ind w:firstLine="0"/>
        <w:rPr>
          <w:lang w:val="en-US"/>
        </w:rPr>
      </w:pPr>
    </w:p>
    <w:p w14:paraId="2BE8F126" w14:textId="77777777" w:rsidR="002A4673" w:rsidRDefault="002A4673" w:rsidP="002A4673">
      <w:pPr>
        <w:ind w:firstLine="0"/>
        <w:rPr>
          <w:b/>
          <w:lang w:val="en-US"/>
        </w:rPr>
      </w:pPr>
    </w:p>
    <w:p w14:paraId="22780C0F" w14:textId="77777777" w:rsidR="002A4673" w:rsidRDefault="002A4673" w:rsidP="002A4673">
      <w:pPr>
        <w:rPr>
          <w:b/>
          <w:lang w:val="en-US"/>
        </w:rPr>
      </w:pPr>
      <w:r>
        <w:rPr>
          <w:b/>
          <w:lang w:val="en-US"/>
        </w:rPr>
        <w:br w:type="page"/>
      </w:r>
    </w:p>
    <w:p w14:paraId="72735956" w14:textId="77777777" w:rsidR="002A4673" w:rsidRDefault="002A4673" w:rsidP="00301D3B">
      <w:pPr>
        <w:pStyle w:val="Heading1"/>
        <w:rPr>
          <w:lang w:val="en-US"/>
        </w:rPr>
      </w:pPr>
      <w:bookmarkStart w:id="4" w:name="_Toc187757578"/>
      <w:r>
        <w:rPr>
          <w:lang w:val="en-US"/>
        </w:rPr>
        <w:lastRenderedPageBreak/>
        <w:t>SUMMARY OF PLEADINGS</w:t>
      </w:r>
      <w:bookmarkEnd w:id="4"/>
    </w:p>
    <w:p w14:paraId="4E3739CB" w14:textId="77777777" w:rsidR="002A4673" w:rsidRPr="00B74B5C" w:rsidRDefault="002A4673" w:rsidP="002A4673">
      <w:pPr>
        <w:ind w:firstLine="0"/>
        <w:rPr>
          <w:lang w:val="en-US"/>
        </w:rPr>
      </w:pPr>
      <w:r w:rsidRPr="00B74B5C">
        <w:rPr>
          <w:b/>
          <w:bCs/>
          <w:smallCaps/>
          <w:color w:val="000000"/>
          <w:lang w:val="en-US"/>
        </w:rPr>
        <w:t>Pleading I </w:t>
      </w:r>
    </w:p>
    <w:p w14:paraId="37B0FCD5" w14:textId="77777777" w:rsidR="002A4673" w:rsidRPr="00B74B5C" w:rsidRDefault="002A4673" w:rsidP="002A4673">
      <w:pPr>
        <w:rPr>
          <w:lang w:val="en-US"/>
        </w:rPr>
      </w:pPr>
      <w:r w:rsidRPr="00B74B5C">
        <w:rPr>
          <w:color w:val="000000"/>
          <w:lang w:val="en-US"/>
        </w:rPr>
        <w:t>This Court lacks jurisdiction to determine the legality of the arrest and prosecution of Ms. Cross, as the dispute is outside the scope of the compromissory clause of the OCDP Charter. The OCDP Charter expressly lists two grounds on which Ambrosia and Rovinia do not recognize the jurisdiction of the Court. The present dispute falls within both those grounds. </w:t>
      </w:r>
    </w:p>
    <w:p w14:paraId="1BE05A49" w14:textId="587AE546" w:rsidR="002A4673" w:rsidRPr="00B74B5C" w:rsidRDefault="002A4673" w:rsidP="002A4673">
      <w:pPr>
        <w:rPr>
          <w:lang w:val="en-US"/>
        </w:rPr>
      </w:pPr>
      <w:r w:rsidRPr="00B74B5C">
        <w:rPr>
          <w:color w:val="000000"/>
          <w:lang w:val="en-US"/>
        </w:rPr>
        <w:t>First, the dispute arises out of facts or situations occurring prior to the entry into force of Article XXI.</w:t>
      </w:r>
      <w:r w:rsidR="009F40D8">
        <w:rPr>
          <w:color w:val="000000"/>
          <w:lang w:val="en-US"/>
        </w:rPr>
        <w:t xml:space="preserve"> In determining which facts o</w:t>
      </w:r>
      <w:r w:rsidR="00DB2576">
        <w:rPr>
          <w:color w:val="000000"/>
          <w:lang w:val="en-US"/>
        </w:rPr>
        <w:t>r</w:t>
      </w:r>
      <w:r w:rsidR="009F40D8">
        <w:rPr>
          <w:color w:val="000000"/>
          <w:lang w:val="en-US"/>
        </w:rPr>
        <w:t xml:space="preserve"> situations give rise to a dispute, the “real cause” of the dispute must be ascertained. The crucial question is whether the dispute can be adjudicated separately from facts or situations that occur before the entry into force of Article XXI</w:t>
      </w:r>
      <w:r w:rsidRPr="00B74B5C">
        <w:rPr>
          <w:color w:val="000000"/>
          <w:lang w:val="en-US"/>
        </w:rPr>
        <w:t xml:space="preserve">. </w:t>
      </w:r>
      <w:r w:rsidR="009F40D8">
        <w:rPr>
          <w:color w:val="000000"/>
          <w:lang w:val="en-US"/>
        </w:rPr>
        <w:t xml:space="preserve">As the Court cannot do so, it lacks jurisdiction. </w:t>
      </w:r>
      <w:r w:rsidRPr="00B74B5C">
        <w:rPr>
          <w:color w:val="000000"/>
          <w:lang w:val="en-US"/>
        </w:rPr>
        <w:t xml:space="preserve">In particular, determining the scope of the obligation </w:t>
      </w:r>
      <w:r w:rsidRPr="00B74B5C">
        <w:rPr>
          <w:i/>
          <w:iCs/>
          <w:color w:val="000000"/>
          <w:lang w:val="en-US"/>
        </w:rPr>
        <w:t>aut dedere aut judicare</w:t>
      </w:r>
      <w:r w:rsidRPr="00B74B5C">
        <w:rPr>
          <w:color w:val="000000"/>
          <w:lang w:val="en-US"/>
        </w:rPr>
        <w:t xml:space="preserve"> under the International Convention for the Protection of All Persons from Enforced Disappearance (“ICPPED”) and the scope of Ms. Cross’s immunities require reliance on such facts. </w:t>
      </w:r>
    </w:p>
    <w:p w14:paraId="08F4735F" w14:textId="4CBB55F7" w:rsidR="002A4673" w:rsidRDefault="002A4673" w:rsidP="002A4673">
      <w:pPr>
        <w:rPr>
          <w:color w:val="000000"/>
          <w:lang w:val="en-US"/>
        </w:rPr>
      </w:pPr>
      <w:r w:rsidRPr="00B74B5C">
        <w:rPr>
          <w:color w:val="000000"/>
          <w:lang w:val="en-US"/>
        </w:rPr>
        <w:t xml:space="preserve">Second, the dispute relates to judicial proceedings on the prosecution of domestic crime, a matter essentially within Rovinia's domestic jurisdiction. The exclusion of such disputes reflects both the </w:t>
      </w:r>
      <w:r w:rsidR="009F40D8">
        <w:rPr>
          <w:color w:val="000000"/>
          <w:lang w:val="en-US"/>
        </w:rPr>
        <w:t>specific</w:t>
      </w:r>
      <w:r w:rsidRPr="00B74B5C">
        <w:rPr>
          <w:color w:val="000000"/>
          <w:lang w:val="en-US"/>
        </w:rPr>
        <w:t xml:space="preserve"> intention of the State</w:t>
      </w:r>
      <w:r w:rsidR="009F40D8">
        <w:rPr>
          <w:color w:val="000000"/>
          <w:lang w:val="en-US"/>
        </w:rPr>
        <w:t>s</w:t>
      </w:r>
      <w:r w:rsidRPr="00B74B5C">
        <w:rPr>
          <w:color w:val="000000"/>
          <w:lang w:val="en-US"/>
        </w:rPr>
        <w:t xml:space="preserve"> Parties to the OCDP Charter and the objective meaning of the text.  </w:t>
      </w:r>
    </w:p>
    <w:p w14:paraId="24FAB69D" w14:textId="77777777" w:rsidR="002A4673" w:rsidRPr="00B74B5C" w:rsidRDefault="002A4673" w:rsidP="002A4673">
      <w:pPr>
        <w:rPr>
          <w:lang w:val="en-US"/>
        </w:rPr>
      </w:pPr>
    </w:p>
    <w:p w14:paraId="413C7A3B" w14:textId="77777777" w:rsidR="002A4673" w:rsidRPr="00B74B5C" w:rsidRDefault="002A4673" w:rsidP="002A4673">
      <w:pPr>
        <w:ind w:firstLine="0"/>
        <w:rPr>
          <w:lang w:val="en-US"/>
        </w:rPr>
      </w:pPr>
      <w:r w:rsidRPr="00B74B5C">
        <w:rPr>
          <w:b/>
          <w:bCs/>
          <w:smallCaps/>
          <w:color w:val="000000"/>
          <w:lang w:val="en-US"/>
        </w:rPr>
        <w:t>Pleading II</w:t>
      </w:r>
    </w:p>
    <w:p w14:paraId="4829F111" w14:textId="77777777" w:rsidR="002A4673" w:rsidRPr="00B74B5C" w:rsidRDefault="002A4673" w:rsidP="002A4673">
      <w:pPr>
        <w:rPr>
          <w:lang w:val="en-US"/>
        </w:rPr>
      </w:pPr>
      <w:r w:rsidRPr="00B74B5C">
        <w:rPr>
          <w:color w:val="000000" w:themeColor="text1"/>
          <w:lang w:val="en-US"/>
        </w:rPr>
        <w:t>Notwithstanding, if the Court finds that it has jurisdiction, Rovinia’s assertion of criminal jurisdiction over Ms. Cross, as well as her arrest and prosecution, are consistent with international law. </w:t>
      </w:r>
    </w:p>
    <w:p w14:paraId="0C11E588" w14:textId="6C355433" w:rsidR="002A4673" w:rsidRPr="00B74B5C" w:rsidRDefault="002A4673" w:rsidP="002A4673">
      <w:pPr>
        <w:rPr>
          <w:lang w:val="en-US"/>
        </w:rPr>
      </w:pPr>
      <w:r w:rsidRPr="00B74B5C">
        <w:rPr>
          <w:color w:val="000000"/>
          <w:lang w:val="en-US"/>
        </w:rPr>
        <w:t>First, Rovinia is entitled, and in fact obligated, to exercise jurisdiction over Ms. Cross pursuant to its obligations</w:t>
      </w:r>
      <w:r w:rsidRPr="00B74B5C">
        <w:rPr>
          <w:i/>
          <w:iCs/>
          <w:color w:val="000000"/>
          <w:lang w:val="en-US"/>
        </w:rPr>
        <w:t xml:space="preserve"> aut dedere aut judicare</w:t>
      </w:r>
      <w:r w:rsidRPr="00B74B5C">
        <w:rPr>
          <w:color w:val="000000"/>
          <w:lang w:val="en-US"/>
        </w:rPr>
        <w:t xml:space="preserve"> under the ICPPED. </w:t>
      </w:r>
      <w:r w:rsidR="009F40D8">
        <w:rPr>
          <w:color w:val="000000"/>
          <w:lang w:val="en-US"/>
        </w:rPr>
        <w:t>Furthermore</w:t>
      </w:r>
      <w:r w:rsidRPr="00B74B5C">
        <w:rPr>
          <w:color w:val="000000"/>
          <w:lang w:val="en-US"/>
        </w:rPr>
        <w:t>, Rovinia is entitled to exercise universal criminal jurisdiction over Ms. Cross, who is alleged to have committed crimes against humanity and enforced disappearances. </w:t>
      </w:r>
    </w:p>
    <w:p w14:paraId="259F4968" w14:textId="29EC6F71" w:rsidR="002A4673" w:rsidRDefault="002A4673" w:rsidP="002A4673">
      <w:pPr>
        <w:rPr>
          <w:color w:val="000000"/>
          <w:lang w:val="en-US"/>
        </w:rPr>
      </w:pPr>
      <w:r w:rsidRPr="00B74B5C">
        <w:rPr>
          <w:color w:val="000000"/>
          <w:lang w:val="en-US"/>
        </w:rPr>
        <w:lastRenderedPageBreak/>
        <w:t xml:space="preserve">Second, there is no rule of immunity which would exempt Ms. Cross from Rovinia’s exercise of jurisdiction. Ms. Cross is not entitled to either immunity </w:t>
      </w:r>
      <w:r w:rsidRPr="00B74B5C">
        <w:rPr>
          <w:i/>
          <w:iCs/>
          <w:color w:val="000000"/>
          <w:lang w:val="en-US"/>
        </w:rPr>
        <w:t>ratione personae</w:t>
      </w:r>
      <w:r w:rsidRPr="00B74B5C">
        <w:rPr>
          <w:color w:val="000000"/>
          <w:lang w:val="en-US"/>
        </w:rPr>
        <w:t xml:space="preserve"> or immunity </w:t>
      </w:r>
      <w:r w:rsidRPr="00B74B5C">
        <w:rPr>
          <w:i/>
          <w:iCs/>
          <w:color w:val="000000"/>
          <w:lang w:val="en-US"/>
        </w:rPr>
        <w:t>ratione materiae</w:t>
      </w:r>
      <w:r w:rsidRPr="00B74B5C">
        <w:rPr>
          <w:color w:val="000000"/>
          <w:lang w:val="en-US"/>
        </w:rPr>
        <w:t>. </w:t>
      </w:r>
    </w:p>
    <w:p w14:paraId="6ACFDAB1" w14:textId="77777777" w:rsidR="002A4673" w:rsidRPr="00B74B5C" w:rsidRDefault="002A4673" w:rsidP="002A4673">
      <w:pPr>
        <w:rPr>
          <w:lang w:val="en-US"/>
        </w:rPr>
      </w:pPr>
    </w:p>
    <w:p w14:paraId="4305B62E" w14:textId="77777777" w:rsidR="002A4673" w:rsidRPr="00B74B5C" w:rsidRDefault="002A4673" w:rsidP="002A4673">
      <w:pPr>
        <w:ind w:firstLine="0"/>
        <w:rPr>
          <w:lang w:val="en-US"/>
        </w:rPr>
      </w:pPr>
      <w:r w:rsidRPr="00B74B5C">
        <w:rPr>
          <w:b/>
          <w:bCs/>
          <w:smallCaps/>
          <w:color w:val="000000"/>
          <w:lang w:val="en-US"/>
        </w:rPr>
        <w:t>Pleading III</w:t>
      </w:r>
    </w:p>
    <w:p w14:paraId="4D2AE28B" w14:textId="77777777" w:rsidR="002A4673" w:rsidRPr="00B74B5C" w:rsidRDefault="002A4673" w:rsidP="002A4673">
      <w:pPr>
        <w:rPr>
          <w:lang w:val="en-US"/>
        </w:rPr>
      </w:pPr>
      <w:r w:rsidRPr="00B74B5C">
        <w:rPr>
          <w:color w:val="000000"/>
          <w:lang w:val="en-US"/>
        </w:rPr>
        <w:t>Rovinia’s issuance of fishing licenses in the Triton Shoal is in conformity with international law, as all States have the right to issue fishing licenses on the high seas. </w:t>
      </w:r>
    </w:p>
    <w:p w14:paraId="0141D48D" w14:textId="6285A50F" w:rsidR="002A4673" w:rsidRPr="00B74B5C" w:rsidRDefault="002A4673" w:rsidP="002A4673">
      <w:pPr>
        <w:rPr>
          <w:lang w:val="en-US"/>
        </w:rPr>
      </w:pPr>
      <w:r w:rsidRPr="00B74B5C">
        <w:rPr>
          <w:color w:val="000000"/>
          <w:lang w:val="en-US"/>
        </w:rPr>
        <w:t xml:space="preserve">Maritime entitlements are calculated from a </w:t>
      </w:r>
      <w:proofErr w:type="gramStart"/>
      <w:r w:rsidRPr="00B74B5C">
        <w:rPr>
          <w:color w:val="000000"/>
          <w:lang w:val="en-US"/>
        </w:rPr>
        <w:t>State’s</w:t>
      </w:r>
      <w:proofErr w:type="gramEnd"/>
      <w:r w:rsidRPr="00B74B5C">
        <w:rPr>
          <w:color w:val="000000"/>
          <w:lang w:val="en-US"/>
        </w:rPr>
        <w:t xml:space="preserve"> baseline, defined by the United Nations Convention on the Law of the Sea (“UNCLOS”) as the low-water line along the coast. Accordingly, under UNCLOS and the customary principle that the land dominates the sea, baselines and the maritime entitlements derived from them must ambulate </w:t>
      </w:r>
      <w:r w:rsidR="00DB2576">
        <w:rPr>
          <w:color w:val="000000"/>
          <w:lang w:val="en-US"/>
        </w:rPr>
        <w:t>per</w:t>
      </w:r>
      <w:r w:rsidRPr="00B74B5C">
        <w:rPr>
          <w:color w:val="000000"/>
          <w:lang w:val="en-US"/>
        </w:rPr>
        <w:t xml:space="preserve"> the physical reality of the coastline. Ambrosia’s Freezing Law contravenes this ambulatory principle and is therefore in violation of UNCLOS and customary international law. This Court </w:t>
      </w:r>
      <w:r w:rsidR="00F24C03">
        <w:rPr>
          <w:color w:val="000000"/>
          <w:lang w:val="en-US"/>
        </w:rPr>
        <w:t>should not accept</w:t>
      </w:r>
      <w:r w:rsidRPr="00B74B5C">
        <w:rPr>
          <w:color w:val="000000"/>
          <w:lang w:val="en-US"/>
        </w:rPr>
        <w:t xml:space="preserve"> Ambrosia’s fixed baselines as they do not accord with physical realities. </w:t>
      </w:r>
    </w:p>
    <w:p w14:paraId="5583E7D5" w14:textId="1976172B" w:rsidR="002A4673" w:rsidRPr="00B74B5C" w:rsidRDefault="002A4673" w:rsidP="002A4673">
      <w:pPr>
        <w:rPr>
          <w:lang w:val="en-US"/>
        </w:rPr>
      </w:pPr>
      <w:r w:rsidRPr="00B74B5C">
        <w:rPr>
          <w:color w:val="000000" w:themeColor="text1"/>
          <w:lang w:val="en-US"/>
        </w:rPr>
        <w:t>Due to coastal recession, Ambrosia’s baselines and maritime entitlements, including its EEZ, have retreated. The Triton Shoal is now located beyond 200 nautical miles from Ambrosia’s low-water line, placing it on the high seas. Thus, Rovinia’s issuance of fishing licenses in the Triton Shoal is a</w:t>
      </w:r>
      <w:r w:rsidR="00F24C03">
        <w:rPr>
          <w:color w:val="000000" w:themeColor="text1"/>
          <w:lang w:val="en-US"/>
        </w:rPr>
        <w:t xml:space="preserve"> lawful</w:t>
      </w:r>
      <w:r w:rsidRPr="00B74B5C">
        <w:rPr>
          <w:color w:val="000000" w:themeColor="text1"/>
          <w:lang w:val="en-US"/>
        </w:rPr>
        <w:t xml:space="preserve"> exercise of its </w:t>
      </w:r>
      <w:r w:rsidR="00F24C03">
        <w:rPr>
          <w:color w:val="000000" w:themeColor="text1"/>
          <w:lang w:val="en-US"/>
        </w:rPr>
        <w:t xml:space="preserve">right to fish on the </w:t>
      </w:r>
      <w:r w:rsidRPr="00B74B5C">
        <w:rPr>
          <w:color w:val="000000" w:themeColor="text1"/>
          <w:lang w:val="en-US"/>
        </w:rPr>
        <w:t>high seas. </w:t>
      </w:r>
    </w:p>
    <w:p w14:paraId="4061C294" w14:textId="77777777" w:rsidR="002A4673" w:rsidRPr="00B74B5C" w:rsidRDefault="002A4673" w:rsidP="002A4673">
      <w:pPr>
        <w:spacing w:after="240"/>
        <w:ind w:firstLine="0"/>
        <w:jc w:val="left"/>
        <w:rPr>
          <w:lang w:val="en-US"/>
        </w:rPr>
      </w:pPr>
    </w:p>
    <w:p w14:paraId="017271CD" w14:textId="77777777" w:rsidR="002A4673" w:rsidRPr="00B74B5C" w:rsidRDefault="002A4673" w:rsidP="002A4673">
      <w:pPr>
        <w:ind w:firstLine="0"/>
        <w:rPr>
          <w:lang w:val="en-US"/>
        </w:rPr>
      </w:pPr>
      <w:r w:rsidRPr="00B74B5C">
        <w:rPr>
          <w:b/>
          <w:bCs/>
          <w:smallCaps/>
          <w:color w:val="000000"/>
          <w:lang w:val="en-US"/>
        </w:rPr>
        <w:t>Pleading IV</w:t>
      </w:r>
    </w:p>
    <w:p w14:paraId="1E846445" w14:textId="0BEFC9BA" w:rsidR="002A4673" w:rsidRPr="00B74B5C" w:rsidRDefault="002A4673" w:rsidP="002A4673">
      <w:pPr>
        <w:ind w:firstLine="0"/>
        <w:rPr>
          <w:lang w:val="en-US"/>
        </w:rPr>
      </w:pPr>
      <w:r w:rsidRPr="00B74B5C">
        <w:rPr>
          <w:color w:val="000000"/>
          <w:lang w:val="en-US"/>
        </w:rPr>
        <w:tab/>
        <w:t xml:space="preserve">Rovinia’s judicial seizure and sale of The Falcon on the basis of the Transitional Council’s waiver of immunity </w:t>
      </w:r>
      <w:r w:rsidR="00F24C03">
        <w:rPr>
          <w:color w:val="000000"/>
          <w:lang w:val="en-US"/>
        </w:rPr>
        <w:t>were</w:t>
      </w:r>
      <w:r w:rsidRPr="00B74B5C">
        <w:rPr>
          <w:color w:val="000000"/>
          <w:lang w:val="en-US"/>
        </w:rPr>
        <w:t xml:space="preserve"> in accordance with international law. Post-judgment measures against State property are permitted where a State has expressly consented to such actions. President Piretis, on behalf of the Council, waived The Falcon’s immunity. </w:t>
      </w:r>
    </w:p>
    <w:p w14:paraId="580777A5" w14:textId="5DCBE492" w:rsidR="002A4673" w:rsidRPr="00B74B5C" w:rsidRDefault="002A4673" w:rsidP="002A4673">
      <w:pPr>
        <w:ind w:firstLine="0"/>
        <w:rPr>
          <w:lang w:val="en-US"/>
        </w:rPr>
      </w:pPr>
      <w:r w:rsidRPr="00B74B5C">
        <w:rPr>
          <w:color w:val="000000"/>
          <w:lang w:val="en-US"/>
        </w:rPr>
        <w:tab/>
        <w:t xml:space="preserve">A government that exercises </w:t>
      </w:r>
      <w:r w:rsidR="00F24C03">
        <w:rPr>
          <w:color w:val="000000"/>
          <w:lang w:val="en-US"/>
        </w:rPr>
        <w:t>“</w:t>
      </w:r>
      <w:r w:rsidRPr="00B74B5C">
        <w:rPr>
          <w:color w:val="000000"/>
          <w:lang w:val="en-US"/>
        </w:rPr>
        <w:t>effective control</w:t>
      </w:r>
      <w:r w:rsidR="00F24C03">
        <w:rPr>
          <w:color w:val="000000"/>
          <w:lang w:val="en-US"/>
        </w:rPr>
        <w:t>”</w:t>
      </w:r>
      <w:r w:rsidRPr="00B74B5C">
        <w:rPr>
          <w:color w:val="000000"/>
          <w:lang w:val="en-US"/>
        </w:rPr>
        <w:t xml:space="preserve"> over a </w:t>
      </w:r>
      <w:proofErr w:type="gramStart"/>
      <w:r w:rsidR="00F24C03">
        <w:rPr>
          <w:color w:val="000000"/>
          <w:lang w:val="en-US"/>
        </w:rPr>
        <w:t>S</w:t>
      </w:r>
      <w:r w:rsidRPr="00B74B5C">
        <w:rPr>
          <w:color w:val="000000"/>
          <w:lang w:val="en-US"/>
        </w:rPr>
        <w:t>tate’s</w:t>
      </w:r>
      <w:proofErr w:type="gramEnd"/>
      <w:r w:rsidRPr="00B74B5C">
        <w:rPr>
          <w:color w:val="000000"/>
          <w:lang w:val="en-US"/>
        </w:rPr>
        <w:t xml:space="preserve"> territory can fulfill international obligations on behalf of the State. The Council was competent to make representations </w:t>
      </w:r>
      <w:r w:rsidR="00F24C03">
        <w:rPr>
          <w:color w:val="000000"/>
          <w:lang w:val="en-US"/>
        </w:rPr>
        <w:t xml:space="preserve">on behalf of Ambrosia as it exercised “effective control” over </w:t>
      </w:r>
      <w:r w:rsidRPr="00B74B5C">
        <w:rPr>
          <w:color w:val="000000"/>
          <w:lang w:val="en-US"/>
        </w:rPr>
        <w:t>the territory</w:t>
      </w:r>
      <w:r w:rsidR="00F24C03">
        <w:rPr>
          <w:color w:val="000000"/>
          <w:lang w:val="en-US"/>
        </w:rPr>
        <w:t xml:space="preserve"> and </w:t>
      </w:r>
      <w:r w:rsidRPr="00B74B5C">
        <w:rPr>
          <w:color w:val="000000"/>
          <w:lang w:val="en-US"/>
        </w:rPr>
        <w:lastRenderedPageBreak/>
        <w:t xml:space="preserve">performed </w:t>
      </w:r>
      <w:r w:rsidR="00F24C03">
        <w:rPr>
          <w:color w:val="000000"/>
          <w:lang w:val="en-US"/>
        </w:rPr>
        <w:t xml:space="preserve">all </w:t>
      </w:r>
      <w:r w:rsidRPr="00B74B5C">
        <w:rPr>
          <w:color w:val="000000"/>
          <w:lang w:val="en-US"/>
        </w:rPr>
        <w:t>governmental functions. Rovinia had no obligation to refrain from recognizing the Council because it did not seize power in a manner that breached a peremptory norm of international law. Its constitutional status is not relevant to its power to make binding commitments on behalf of Ambrosia. </w:t>
      </w:r>
    </w:p>
    <w:p w14:paraId="3185CC59" w14:textId="0127A36D" w:rsidR="002A4673" w:rsidRPr="00B74B5C" w:rsidRDefault="002A4673" w:rsidP="002A4673">
      <w:pPr>
        <w:rPr>
          <w:lang w:val="en-US"/>
        </w:rPr>
      </w:pPr>
      <w:r w:rsidRPr="00B74B5C">
        <w:rPr>
          <w:color w:val="000000"/>
          <w:lang w:val="en-US"/>
        </w:rPr>
        <w:t>Even if the Council is not recognized as the government, the Council’s waiver is still attributable to the Ambrosian State under the Articles on State Responsibility for Internationally Wrongful Act</w:t>
      </w:r>
      <w:r w:rsidR="00F24C03">
        <w:rPr>
          <w:color w:val="000000"/>
          <w:lang w:val="en-US"/>
        </w:rPr>
        <w:t>s</w:t>
      </w:r>
      <w:r w:rsidRPr="00B74B5C">
        <w:rPr>
          <w:color w:val="000000"/>
          <w:lang w:val="en-US"/>
        </w:rPr>
        <w:t xml:space="preserve"> (</w:t>
      </w:r>
      <w:r w:rsidR="00F24C03">
        <w:rPr>
          <w:color w:val="000000"/>
          <w:lang w:val="en-US"/>
        </w:rPr>
        <w:t>“</w:t>
      </w:r>
      <w:r w:rsidRPr="00B74B5C">
        <w:rPr>
          <w:color w:val="000000"/>
          <w:lang w:val="en-US"/>
        </w:rPr>
        <w:t>ARSIWA</w:t>
      </w:r>
      <w:r w:rsidR="00F24C03">
        <w:rPr>
          <w:color w:val="000000"/>
          <w:lang w:val="en-US"/>
        </w:rPr>
        <w:t>”</w:t>
      </w:r>
      <w:r w:rsidRPr="00B74B5C">
        <w:rPr>
          <w:color w:val="000000"/>
          <w:lang w:val="en-US"/>
        </w:rPr>
        <w:t xml:space="preserve">), as the Council was exercising elements of governmental authority in the absence of Ms. Zavala’s government. </w:t>
      </w:r>
    </w:p>
    <w:p w14:paraId="74FD3491" w14:textId="77777777" w:rsidR="002A4673" w:rsidRPr="00780370" w:rsidRDefault="002A4673" w:rsidP="002A4673">
      <w:pPr>
        <w:ind w:firstLine="0"/>
        <w:rPr>
          <w:bCs/>
          <w:lang w:val="en-US"/>
        </w:rPr>
      </w:pPr>
    </w:p>
    <w:p w14:paraId="30D68E65" w14:textId="77777777" w:rsidR="002A4673" w:rsidRDefault="002A4673" w:rsidP="002A4673">
      <w:pPr>
        <w:jc w:val="center"/>
        <w:rPr>
          <w:b/>
          <w:lang w:val="en-US"/>
        </w:rPr>
      </w:pPr>
    </w:p>
    <w:p w14:paraId="32218BF0" w14:textId="77777777" w:rsidR="002A4673" w:rsidRDefault="002A4673" w:rsidP="002A4673">
      <w:pPr>
        <w:rPr>
          <w:b/>
          <w:lang w:val="en-US"/>
        </w:rPr>
      </w:pPr>
      <w:bookmarkStart w:id="5" w:name="_Toc187614551"/>
      <w:r>
        <w:br w:type="page"/>
      </w:r>
    </w:p>
    <w:p w14:paraId="500BA551" w14:textId="77777777" w:rsidR="003E4C29" w:rsidRDefault="003E4C29" w:rsidP="002A4673">
      <w:pPr>
        <w:pStyle w:val="Heading1"/>
        <w:sectPr w:rsidR="003E4C29" w:rsidSect="00314196">
          <w:headerReference w:type="default" r:id="rId9"/>
          <w:footerReference w:type="even" r:id="rId10"/>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sectPr>
      </w:pPr>
    </w:p>
    <w:p w14:paraId="4C024875" w14:textId="77777777" w:rsidR="002A4673" w:rsidRPr="00140121" w:rsidRDefault="002A4673" w:rsidP="002A4673">
      <w:pPr>
        <w:pStyle w:val="Heading1"/>
      </w:pPr>
      <w:bookmarkStart w:id="6" w:name="_Toc187757579"/>
      <w:r w:rsidRPr="00140121">
        <w:lastRenderedPageBreak/>
        <w:t>PLEADINGS</w:t>
      </w:r>
      <w:bookmarkEnd w:id="5"/>
      <w:bookmarkEnd w:id="6"/>
    </w:p>
    <w:p w14:paraId="0EA29B48" w14:textId="446BD46F" w:rsidR="002A4673" w:rsidRPr="00F86D94" w:rsidRDefault="00F86D94" w:rsidP="00F86D94">
      <w:pPr>
        <w:pStyle w:val="Heading2"/>
      </w:pPr>
      <w:bookmarkStart w:id="7" w:name="_Toc187614552"/>
      <w:bookmarkStart w:id="8" w:name="_Toc187757580"/>
      <w:r w:rsidRPr="00F86D94">
        <w:t xml:space="preserve">The Court Lacks Jurisdiction </w:t>
      </w:r>
      <w:r w:rsidR="00DB2576">
        <w:t>t</w:t>
      </w:r>
      <w:r w:rsidRPr="00F86D94">
        <w:t>o Entertain Ambrosia’s Submission (I</w:t>
      </w:r>
      <w:r w:rsidR="00DB2576">
        <w:t>I</w:t>
      </w:r>
      <w:r w:rsidRPr="00F86D94">
        <w:t xml:space="preserve">) Because </w:t>
      </w:r>
      <w:r w:rsidR="00DB2576">
        <w:t>i</w:t>
      </w:r>
      <w:r w:rsidRPr="00F86D94">
        <w:t xml:space="preserve">t </w:t>
      </w:r>
      <w:r w:rsidR="00DB2576">
        <w:t>i</w:t>
      </w:r>
      <w:r w:rsidRPr="00F86D94">
        <w:t xml:space="preserve">s Outside </w:t>
      </w:r>
      <w:r w:rsidR="00DB2576">
        <w:t>t</w:t>
      </w:r>
      <w:r w:rsidRPr="00F86D94">
        <w:t xml:space="preserve">he Scope </w:t>
      </w:r>
      <w:r w:rsidR="00DB2576">
        <w:t>o</w:t>
      </w:r>
      <w:r w:rsidRPr="00F86D94">
        <w:t xml:space="preserve">f </w:t>
      </w:r>
      <w:r w:rsidR="00DB2576">
        <w:t>t</w:t>
      </w:r>
      <w:r w:rsidRPr="00F86D94">
        <w:t xml:space="preserve">he Compromissory Clause </w:t>
      </w:r>
      <w:r w:rsidR="00DB2576">
        <w:t>o</w:t>
      </w:r>
      <w:r w:rsidRPr="00F86D94">
        <w:t xml:space="preserve">f </w:t>
      </w:r>
      <w:r w:rsidR="00DB2576">
        <w:t>t</w:t>
      </w:r>
      <w:r w:rsidRPr="00F86D94">
        <w:t xml:space="preserve">he </w:t>
      </w:r>
      <w:r w:rsidR="00DB2576">
        <w:t>OCDP</w:t>
      </w:r>
      <w:r w:rsidRPr="00F86D94">
        <w:t xml:space="preserve"> Charter</w:t>
      </w:r>
      <w:bookmarkEnd w:id="7"/>
      <w:bookmarkEnd w:id="8"/>
    </w:p>
    <w:p w14:paraId="0F2BC66B" w14:textId="77777777" w:rsidR="002A4673" w:rsidRPr="00140121" w:rsidRDefault="002A4673" w:rsidP="002A4673">
      <w:pPr>
        <w:spacing w:before="240"/>
        <w:rPr>
          <w:b/>
          <w:bCs/>
          <w:lang w:val="en-US"/>
        </w:rPr>
      </w:pPr>
      <w:r>
        <w:rPr>
          <w:lang w:val="en-US"/>
        </w:rPr>
        <w:t>T</w:t>
      </w:r>
      <w:r w:rsidRPr="00140121">
        <w:rPr>
          <w:lang w:val="en-US"/>
        </w:rPr>
        <w:t>he jurisdiction of the Court is founded upon the “consent of the parties to the dispute”</w:t>
      </w:r>
      <w:r w:rsidRPr="00140121">
        <w:rPr>
          <w:vertAlign w:val="superscript"/>
          <w:lang w:val="en-US"/>
        </w:rPr>
        <w:footnoteReference w:id="1"/>
      </w:r>
      <w:r w:rsidRPr="00140121">
        <w:rPr>
          <w:lang w:val="en-US"/>
        </w:rPr>
        <w:t xml:space="preserve"> and is confined to the extent accepted by States</w:t>
      </w:r>
      <w:r>
        <w:rPr>
          <w:lang w:val="en-US"/>
        </w:rPr>
        <w:t>.</w:t>
      </w:r>
      <w:r w:rsidRPr="00140121">
        <w:rPr>
          <w:vertAlign w:val="superscript"/>
          <w:lang w:val="en-US"/>
        </w:rPr>
        <w:footnoteReference w:id="2"/>
      </w:r>
      <w:r w:rsidRPr="00140121">
        <w:rPr>
          <w:lang w:val="en-US"/>
        </w:rPr>
        <w:t xml:space="preserve"> The </w:t>
      </w:r>
      <w:r>
        <w:rPr>
          <w:lang w:val="en-US"/>
        </w:rPr>
        <w:t xml:space="preserve">Member States to the </w:t>
      </w:r>
      <w:r w:rsidRPr="00140121">
        <w:rPr>
          <w:lang w:val="en-US"/>
        </w:rPr>
        <w:t>OCDP Charter</w:t>
      </w:r>
      <w:r>
        <w:rPr>
          <w:lang w:val="en-US"/>
        </w:rPr>
        <w:t xml:space="preserve"> expressly disclaimed the jurisdiction of the Court in two circumstances</w:t>
      </w:r>
      <w:r w:rsidRPr="00140121">
        <w:rPr>
          <w:lang w:val="en-US"/>
        </w:rPr>
        <w:t>.</w:t>
      </w:r>
      <w:r w:rsidRPr="00140121">
        <w:rPr>
          <w:vertAlign w:val="superscript"/>
          <w:lang w:val="en-US"/>
        </w:rPr>
        <w:footnoteReference w:id="3"/>
      </w:r>
      <w:r w:rsidRPr="00140121">
        <w:rPr>
          <w:lang w:val="en-US"/>
        </w:rPr>
        <w:t xml:space="preserve"> The present dispute falls within both. First, this dispute arises out of facts or situations occurring prior to the entry into force of Article XXI </w:t>
      </w:r>
      <w:r w:rsidRPr="00140121">
        <w:rPr>
          <w:b/>
          <w:bCs/>
          <w:lang w:val="en-US"/>
        </w:rPr>
        <w:t>[A]</w:t>
      </w:r>
      <w:r w:rsidRPr="00140121">
        <w:rPr>
          <w:lang w:val="en-US"/>
        </w:rPr>
        <w:t xml:space="preserve">. Second, the dispute relates to judicial proceedings on a “matter” essentially within a Member State’s domestic jurisdiction </w:t>
      </w:r>
      <w:r w:rsidRPr="00140121">
        <w:rPr>
          <w:b/>
          <w:bCs/>
          <w:lang w:val="en-US"/>
        </w:rPr>
        <w:t>[B]</w:t>
      </w:r>
      <w:r w:rsidRPr="00140121">
        <w:rPr>
          <w:lang w:val="en-US"/>
        </w:rPr>
        <w:t xml:space="preserve">.  </w:t>
      </w:r>
    </w:p>
    <w:p w14:paraId="1D679F43" w14:textId="46C5F564" w:rsidR="002A4673" w:rsidRPr="00F86D94" w:rsidRDefault="002A4673" w:rsidP="00F86D94">
      <w:pPr>
        <w:pStyle w:val="Heading3"/>
      </w:pPr>
      <w:bookmarkStart w:id="9" w:name="_Toc187614553"/>
      <w:bookmarkStart w:id="10" w:name="_Toc187757581"/>
      <w:r w:rsidRPr="00F86D94">
        <w:t xml:space="preserve">The Court lacks jurisdiction </w:t>
      </w:r>
      <w:r w:rsidRPr="00DB2576">
        <w:rPr>
          <w:i/>
          <w:iCs/>
        </w:rPr>
        <w:t>ratione temporis</w:t>
      </w:r>
      <w:r w:rsidRPr="00F86D94">
        <w:t xml:space="preserve"> as the dispute arises out of facts or situations occurring prior to the entry into force of Article XXI</w:t>
      </w:r>
      <w:bookmarkEnd w:id="9"/>
      <w:bookmarkEnd w:id="10"/>
      <w:r w:rsidRPr="00F86D94">
        <w:t xml:space="preserve"> </w:t>
      </w:r>
    </w:p>
    <w:p w14:paraId="2B557D25" w14:textId="77777777" w:rsidR="002A4673" w:rsidRPr="00140121" w:rsidRDefault="002A4673" w:rsidP="002A4673">
      <w:pPr>
        <w:spacing w:before="240"/>
        <w:rPr>
          <w:lang w:val="en-US"/>
        </w:rPr>
      </w:pPr>
      <w:r w:rsidRPr="00140121">
        <w:rPr>
          <w:lang w:val="en-US"/>
        </w:rPr>
        <w:t xml:space="preserve">The dispute between Ambrosia and Rovinia </w:t>
      </w:r>
      <w:r>
        <w:rPr>
          <w:lang w:val="en-US"/>
        </w:rPr>
        <w:t>concerns</w:t>
      </w:r>
      <w:r w:rsidRPr="00140121">
        <w:rPr>
          <w:lang w:val="en-US"/>
        </w:rPr>
        <w:t xml:space="preserve"> the legality of Rovinia’s arrest and prosecution of Ms</w:t>
      </w:r>
      <w:r>
        <w:rPr>
          <w:lang w:val="en-US"/>
        </w:rPr>
        <w:t>.</w:t>
      </w:r>
      <w:r w:rsidRPr="00140121">
        <w:rPr>
          <w:lang w:val="en-US"/>
        </w:rPr>
        <w:t xml:space="preserve"> Cross.</w:t>
      </w:r>
      <w:r w:rsidRPr="00140121">
        <w:rPr>
          <w:vertAlign w:val="superscript"/>
          <w:lang w:val="en-US"/>
        </w:rPr>
        <w:footnoteReference w:id="4"/>
      </w:r>
      <w:r w:rsidRPr="00140121">
        <w:rPr>
          <w:lang w:val="en-US"/>
        </w:rPr>
        <w:t xml:space="preserve"> In determining what “facts or situations” give rise to a dispute, the “real cause” </w:t>
      </w:r>
      <w:r>
        <w:rPr>
          <w:lang w:val="en-US"/>
        </w:rPr>
        <w:t>of the dispute must be ascertained</w:t>
      </w:r>
      <w:r w:rsidRPr="00140121">
        <w:rPr>
          <w:lang w:val="en-US"/>
        </w:rPr>
        <w:t xml:space="preserve"> </w:t>
      </w:r>
      <w:r w:rsidRPr="00140121">
        <w:rPr>
          <w:b/>
          <w:bCs/>
          <w:lang w:val="en-US"/>
        </w:rPr>
        <w:t>[1]</w:t>
      </w:r>
      <w:r w:rsidRPr="00140121">
        <w:rPr>
          <w:lang w:val="en-US"/>
        </w:rPr>
        <w:t>.</w:t>
      </w:r>
      <w:r w:rsidRPr="00140121">
        <w:rPr>
          <w:vertAlign w:val="superscript"/>
          <w:lang w:val="en-US"/>
        </w:rPr>
        <w:footnoteReference w:id="5"/>
      </w:r>
      <w:r w:rsidRPr="00140121">
        <w:rPr>
          <w:lang w:val="en-US"/>
        </w:rPr>
        <w:t xml:space="preserve"> </w:t>
      </w:r>
      <w:r>
        <w:rPr>
          <w:lang w:val="en-US"/>
        </w:rPr>
        <w:t>The</w:t>
      </w:r>
      <w:r w:rsidRPr="00140121">
        <w:rPr>
          <w:lang w:val="en-US"/>
        </w:rPr>
        <w:t xml:space="preserve"> crucial question is whether the dispute can be adjudicated separately from facts or situations that occur before the entry into force of the compromissory clause </w:t>
      </w:r>
      <w:r w:rsidRPr="00140121">
        <w:rPr>
          <w:b/>
          <w:bCs/>
          <w:lang w:val="en-US"/>
        </w:rPr>
        <w:t>[2]</w:t>
      </w:r>
      <w:r w:rsidRPr="00140121">
        <w:rPr>
          <w:lang w:val="en-US"/>
        </w:rPr>
        <w:t xml:space="preserve">. </w:t>
      </w:r>
      <w:r>
        <w:rPr>
          <w:lang w:val="en-US"/>
        </w:rPr>
        <w:t>As</w:t>
      </w:r>
      <w:r w:rsidRPr="00140121">
        <w:rPr>
          <w:lang w:val="en-US"/>
        </w:rPr>
        <w:t xml:space="preserve"> the Court cannot do so, it lacks jurisdiction </w:t>
      </w:r>
      <w:r>
        <w:rPr>
          <w:lang w:val="en-US"/>
        </w:rPr>
        <w:t>over</w:t>
      </w:r>
      <w:r w:rsidRPr="00140121">
        <w:rPr>
          <w:lang w:val="en-US"/>
        </w:rPr>
        <w:t xml:space="preserve"> the dispute </w:t>
      </w:r>
      <w:r w:rsidRPr="00140121">
        <w:rPr>
          <w:b/>
          <w:bCs/>
          <w:lang w:val="en-US"/>
        </w:rPr>
        <w:t>[3]</w:t>
      </w:r>
      <w:r w:rsidRPr="00140121">
        <w:rPr>
          <w:lang w:val="en-US"/>
        </w:rPr>
        <w:t>.</w:t>
      </w:r>
    </w:p>
    <w:p w14:paraId="09AEC9F0" w14:textId="77777777" w:rsidR="002A4673" w:rsidRPr="00F86D94" w:rsidRDefault="002A4673" w:rsidP="00F86D94">
      <w:pPr>
        <w:pStyle w:val="Heading4"/>
      </w:pPr>
      <w:bookmarkStart w:id="11" w:name="_Toc185895771"/>
      <w:bookmarkStart w:id="12" w:name="_Toc187614554"/>
      <w:bookmarkStart w:id="13" w:name="_Toc187757582"/>
      <w:r w:rsidRPr="00F86D94">
        <w:lastRenderedPageBreak/>
        <w:t>In determining what “facts or situations” give rise to a dispute</w:t>
      </w:r>
      <w:bookmarkEnd w:id="11"/>
      <w:r w:rsidRPr="00F86D94">
        <w:t>, the “real cause” must be ascertained</w:t>
      </w:r>
      <w:bookmarkEnd w:id="12"/>
      <w:bookmarkEnd w:id="13"/>
      <w:r w:rsidRPr="00F86D94">
        <w:t xml:space="preserve"> </w:t>
      </w:r>
    </w:p>
    <w:p w14:paraId="1185B955" w14:textId="4E5267A7" w:rsidR="002A4673" w:rsidRPr="00140121" w:rsidRDefault="002A4673" w:rsidP="002A4673">
      <w:pPr>
        <w:spacing w:before="240"/>
        <w:rPr>
          <w:lang w:val="en-US"/>
        </w:rPr>
      </w:pPr>
      <w:r w:rsidRPr="00140121">
        <w:rPr>
          <w:lang w:val="en-US"/>
        </w:rPr>
        <w:t xml:space="preserve">Jurisprudence from this Court and its predecessor confirms that the “real cause” </w:t>
      </w:r>
      <w:r>
        <w:rPr>
          <w:lang w:val="en-US"/>
        </w:rPr>
        <w:t>of the dispute must be identified</w:t>
      </w:r>
      <w:r w:rsidRPr="00140121">
        <w:rPr>
          <w:lang w:val="en-US"/>
        </w:rPr>
        <w:t>.</w:t>
      </w:r>
      <w:r w:rsidRPr="00140121">
        <w:rPr>
          <w:vertAlign w:val="superscript"/>
          <w:lang w:val="en-US"/>
        </w:rPr>
        <w:footnoteReference w:id="6"/>
      </w:r>
      <w:r w:rsidRPr="00140121">
        <w:rPr>
          <w:lang w:val="en-US"/>
        </w:rPr>
        <w:t xml:space="preserve"> Although a dispute may “presuppose the existence of some prior situation or fact, it does not follow that the dispute arises [in </w:t>
      </w:r>
      <w:r>
        <w:rPr>
          <w:lang w:val="en-US"/>
        </w:rPr>
        <w:t>relation</w:t>
      </w:r>
      <w:r w:rsidRPr="00140121">
        <w:rPr>
          <w:lang w:val="en-US"/>
        </w:rPr>
        <w:t xml:space="preserve"> to </w:t>
      </w:r>
      <w:r>
        <w:rPr>
          <w:lang w:val="en-US"/>
        </w:rPr>
        <w:t>it]</w:t>
      </w:r>
      <w:r w:rsidRPr="00140121">
        <w:rPr>
          <w:lang w:val="en-US"/>
        </w:rPr>
        <w:t>.”</w:t>
      </w:r>
      <w:r w:rsidRPr="00140121">
        <w:rPr>
          <w:vertAlign w:val="superscript"/>
          <w:lang w:val="en-US"/>
        </w:rPr>
        <w:footnoteReference w:id="7"/>
      </w:r>
      <w:r w:rsidRPr="00140121">
        <w:rPr>
          <w:lang w:val="en-US"/>
        </w:rPr>
        <w:t xml:space="preserve"> Rather, as the “causal chain linking events of the present to the past never ends</w:t>
      </w:r>
      <w:r w:rsidR="009F6FD6">
        <w:rPr>
          <w:lang w:val="en-US"/>
        </w:rPr>
        <w:t>,</w:t>
      </w:r>
      <w:r w:rsidRPr="00140121">
        <w:rPr>
          <w:lang w:val="en-US"/>
        </w:rPr>
        <w:t>”</w:t>
      </w:r>
      <w:r w:rsidRPr="00140121">
        <w:rPr>
          <w:vertAlign w:val="superscript"/>
          <w:lang w:val="en-US"/>
        </w:rPr>
        <w:footnoteReference w:id="8"/>
      </w:r>
      <w:r w:rsidRPr="00140121">
        <w:rPr>
          <w:lang w:val="en-US"/>
        </w:rPr>
        <w:t xml:space="preserve"> of importance are those facts which themselves are the “source of the dispute</w:t>
      </w:r>
      <w:r w:rsidR="009F6FD6">
        <w:rPr>
          <w:lang w:val="en-US"/>
        </w:rPr>
        <w:t>.</w:t>
      </w:r>
      <w:r w:rsidRPr="00140121">
        <w:rPr>
          <w:lang w:val="en-US"/>
        </w:rPr>
        <w:t>”</w:t>
      </w:r>
      <w:r w:rsidRPr="00140121">
        <w:rPr>
          <w:vertAlign w:val="superscript"/>
          <w:lang w:val="en-US"/>
        </w:rPr>
        <w:footnoteReference w:id="9"/>
      </w:r>
      <w:r w:rsidRPr="00140121">
        <w:rPr>
          <w:lang w:val="en-US"/>
        </w:rPr>
        <w:t xml:space="preserve"> </w:t>
      </w:r>
    </w:p>
    <w:p w14:paraId="5223ADBF" w14:textId="77777777" w:rsidR="002A4673" w:rsidRPr="00140121" w:rsidRDefault="002A4673" w:rsidP="00F86D94">
      <w:pPr>
        <w:pStyle w:val="Heading4"/>
      </w:pPr>
      <w:bookmarkStart w:id="14" w:name="_Toc187614555"/>
      <w:bookmarkStart w:id="15" w:name="_Toc187757583"/>
      <w:r>
        <w:t>The</w:t>
      </w:r>
      <w:r w:rsidRPr="00140121">
        <w:t xml:space="preserve"> </w:t>
      </w:r>
      <w:r>
        <w:t>Court must determine</w:t>
      </w:r>
      <w:r w:rsidRPr="00140121">
        <w:t xml:space="preserve"> whether the dispute can be adjudicated separately from facts or situations that occur before the acceptance of the Court’s jurisdiction</w:t>
      </w:r>
      <w:bookmarkEnd w:id="14"/>
      <w:bookmarkEnd w:id="15"/>
    </w:p>
    <w:p w14:paraId="3DCD573F" w14:textId="495A5B0B" w:rsidR="002A4673" w:rsidRPr="00140121" w:rsidRDefault="002A4673" w:rsidP="002A4673">
      <w:pPr>
        <w:spacing w:before="240"/>
        <w:rPr>
          <w:lang w:val="en-US"/>
        </w:rPr>
      </w:pPr>
      <w:r w:rsidRPr="00140121">
        <w:rPr>
          <w:lang w:val="en-US"/>
        </w:rPr>
        <w:t>A unifying principle underpins the cases: the crucial question is whether the dispute can be adjudicated separately from facts or situations predating the acceptance of the Court’s jurisdiction.</w:t>
      </w:r>
      <w:r w:rsidRPr="00140121">
        <w:rPr>
          <w:vertAlign w:val="superscript"/>
          <w:lang w:val="en-US"/>
        </w:rPr>
        <w:footnoteReference w:id="10"/>
      </w:r>
      <w:r w:rsidRPr="00140121">
        <w:rPr>
          <w:lang w:val="en-US"/>
        </w:rPr>
        <w:t xml:space="preserve"> If the Court must make a </w:t>
      </w:r>
      <w:r w:rsidRPr="2DF1123F">
        <w:rPr>
          <w:lang w:val="en-US"/>
        </w:rPr>
        <w:t>“</w:t>
      </w:r>
      <w:r w:rsidRPr="00140121">
        <w:rPr>
          <w:lang w:val="en-US"/>
        </w:rPr>
        <w:t>finding with regard to the past</w:t>
      </w:r>
      <w:r w:rsidR="009F6FD6">
        <w:rPr>
          <w:lang w:val="en-US"/>
        </w:rPr>
        <w:t>,</w:t>
      </w:r>
      <w:r w:rsidRPr="00140121">
        <w:rPr>
          <w:lang w:val="en-US"/>
        </w:rPr>
        <w:t>”</w:t>
      </w:r>
      <w:r w:rsidRPr="00140121">
        <w:rPr>
          <w:vertAlign w:val="superscript"/>
          <w:lang w:val="en-US"/>
        </w:rPr>
        <w:footnoteReference w:id="11"/>
      </w:r>
      <w:r w:rsidRPr="00140121">
        <w:rPr>
          <w:lang w:val="en-US"/>
        </w:rPr>
        <w:t xml:space="preserve"> or where the dispute is </w:t>
      </w:r>
      <w:r w:rsidRPr="24ECAD76">
        <w:rPr>
          <w:lang w:val="en-US"/>
        </w:rPr>
        <w:t>“</w:t>
      </w:r>
      <w:r w:rsidRPr="00140121">
        <w:rPr>
          <w:lang w:val="en-US"/>
        </w:rPr>
        <w:t>inextricably linked</w:t>
      </w:r>
      <w:r w:rsidRPr="24ECAD76">
        <w:rPr>
          <w:lang w:val="en-US"/>
        </w:rPr>
        <w:t>”</w:t>
      </w:r>
      <w:r w:rsidRPr="00140121">
        <w:rPr>
          <w:vertAlign w:val="superscript"/>
          <w:lang w:val="en-US"/>
        </w:rPr>
        <w:footnoteReference w:id="12"/>
      </w:r>
      <w:r w:rsidRPr="00140121">
        <w:rPr>
          <w:lang w:val="en-US"/>
        </w:rPr>
        <w:t xml:space="preserve"> to such facts, the Court </w:t>
      </w:r>
      <w:r>
        <w:rPr>
          <w:lang w:val="en-US"/>
        </w:rPr>
        <w:t>has</w:t>
      </w:r>
      <w:r w:rsidRPr="00140121">
        <w:rPr>
          <w:lang w:val="en-US"/>
        </w:rPr>
        <w:t xml:space="preserve"> no jurisdiction </w:t>
      </w:r>
      <w:r w:rsidRPr="5F30022B">
        <w:rPr>
          <w:i/>
          <w:iCs/>
          <w:lang w:val="en-US"/>
        </w:rPr>
        <w:t>ratione temporis</w:t>
      </w:r>
      <w:r w:rsidRPr="00140121">
        <w:rPr>
          <w:lang w:val="en-US"/>
        </w:rPr>
        <w:t>.</w:t>
      </w:r>
    </w:p>
    <w:p w14:paraId="0998E415" w14:textId="37EB2FC8" w:rsidR="002A4673" w:rsidRPr="00140121" w:rsidRDefault="002A4673" w:rsidP="002A4673">
      <w:pPr>
        <w:spacing w:before="240"/>
        <w:rPr>
          <w:lang w:val="en-US"/>
        </w:rPr>
      </w:pPr>
      <w:r w:rsidRPr="00140121">
        <w:rPr>
          <w:lang w:val="en-US"/>
        </w:rPr>
        <w:lastRenderedPageBreak/>
        <w:t xml:space="preserve">Thus, </w:t>
      </w:r>
      <w:r>
        <w:rPr>
          <w:lang w:val="en-US"/>
        </w:rPr>
        <w:t>in</w:t>
      </w:r>
      <w:r w:rsidRPr="00140121">
        <w:rPr>
          <w:lang w:val="en-US"/>
        </w:rPr>
        <w:t xml:space="preserve"> the </w:t>
      </w:r>
      <w:r w:rsidRPr="5F30022B">
        <w:rPr>
          <w:i/>
          <w:iCs/>
          <w:lang w:val="en-US"/>
        </w:rPr>
        <w:t>Phosphates</w:t>
      </w:r>
      <w:r w:rsidRPr="00140121">
        <w:rPr>
          <w:lang w:val="en-US"/>
        </w:rPr>
        <w:t xml:space="preserve"> case, the Permanent Court of International Justice (</w:t>
      </w:r>
      <w:r w:rsidR="001E12B1">
        <w:rPr>
          <w:lang w:val="en-US"/>
        </w:rPr>
        <w:t>“</w:t>
      </w:r>
      <w:r w:rsidRPr="00140121">
        <w:rPr>
          <w:lang w:val="en-US"/>
        </w:rPr>
        <w:t>PCIJ</w:t>
      </w:r>
      <w:r w:rsidR="001E12B1">
        <w:rPr>
          <w:lang w:val="en-US"/>
        </w:rPr>
        <w:t>”</w:t>
      </w:r>
      <w:r w:rsidRPr="00140121">
        <w:rPr>
          <w:lang w:val="en-US"/>
        </w:rPr>
        <w:t xml:space="preserve">) found it had no jurisdiction because </w:t>
      </w:r>
      <w:r>
        <w:rPr>
          <w:lang w:val="en-US"/>
        </w:rPr>
        <w:t xml:space="preserve">determining the legality of </w:t>
      </w:r>
      <w:r w:rsidRPr="00140121">
        <w:rPr>
          <w:lang w:val="en-US"/>
        </w:rPr>
        <w:t xml:space="preserve">France’s monopolization of phosphate deposits required ascertaining the validity of </w:t>
      </w:r>
      <w:r>
        <w:rPr>
          <w:lang w:val="en-US"/>
        </w:rPr>
        <w:t xml:space="preserve">enabling </w:t>
      </w:r>
      <w:r w:rsidRPr="00140121">
        <w:rPr>
          <w:lang w:val="en-US"/>
        </w:rPr>
        <w:t>legislation enacted before the crucial date.</w:t>
      </w:r>
      <w:r w:rsidRPr="00140121">
        <w:rPr>
          <w:vertAlign w:val="superscript"/>
          <w:lang w:val="en-US"/>
        </w:rPr>
        <w:footnoteReference w:id="13"/>
      </w:r>
      <w:r w:rsidRPr="00140121">
        <w:rPr>
          <w:lang w:val="en-US"/>
        </w:rPr>
        <w:t xml:space="preserve"> By contrast, in the </w:t>
      </w:r>
      <w:r w:rsidRPr="5F30022B">
        <w:rPr>
          <w:i/>
          <w:iCs/>
          <w:lang w:val="en-US"/>
        </w:rPr>
        <w:t>Electricity Company</w:t>
      </w:r>
      <w:r w:rsidRPr="00140121">
        <w:rPr>
          <w:lang w:val="en-US"/>
        </w:rPr>
        <w:t xml:space="preserve"> case, the dispute related to </w:t>
      </w:r>
      <w:r>
        <w:rPr>
          <w:lang w:val="en-US"/>
        </w:rPr>
        <w:t>the</w:t>
      </w:r>
      <w:r w:rsidRPr="00140121">
        <w:rPr>
          <w:lang w:val="en-US"/>
        </w:rPr>
        <w:t xml:space="preserve"> application of an arbitral award; the validity of the award</w:t>
      </w:r>
      <w:r>
        <w:rPr>
          <w:lang w:val="en-US"/>
        </w:rPr>
        <w:t>, which was rendered before acceptance of the Court’s jurisdiction,</w:t>
      </w:r>
      <w:r w:rsidRPr="00140121">
        <w:rPr>
          <w:lang w:val="en-US"/>
        </w:rPr>
        <w:t xml:space="preserve"> was not </w:t>
      </w:r>
      <w:r>
        <w:rPr>
          <w:lang w:val="en-US"/>
        </w:rPr>
        <w:t>contested</w:t>
      </w:r>
      <w:r w:rsidRPr="00140121">
        <w:rPr>
          <w:lang w:val="en-US"/>
        </w:rPr>
        <w:t>.</w:t>
      </w:r>
      <w:r w:rsidRPr="00140121">
        <w:rPr>
          <w:rStyle w:val="FootnoteReference"/>
          <w:lang w:val="en-US"/>
        </w:rPr>
        <w:footnoteReference w:id="14"/>
      </w:r>
    </w:p>
    <w:p w14:paraId="4972A516" w14:textId="77777777" w:rsidR="002A4673" w:rsidRPr="00140121" w:rsidRDefault="002A4673" w:rsidP="00F86D94">
      <w:pPr>
        <w:pStyle w:val="Heading4"/>
      </w:pPr>
      <w:bookmarkStart w:id="16" w:name="_Toc187614556"/>
      <w:bookmarkStart w:id="17" w:name="_Toc187757584"/>
      <w:r w:rsidRPr="00140121">
        <w:t xml:space="preserve">In the present case, the Court </w:t>
      </w:r>
      <w:r>
        <w:t xml:space="preserve">lacks </w:t>
      </w:r>
      <w:r w:rsidRPr="00140121">
        <w:t xml:space="preserve">jurisdiction </w:t>
      </w:r>
      <w:r w:rsidRPr="001E12B1">
        <w:rPr>
          <w:i/>
        </w:rPr>
        <w:t>ratione temporis</w:t>
      </w:r>
      <w:r w:rsidRPr="00140121">
        <w:t xml:space="preserve"> </w:t>
      </w:r>
      <w:r>
        <w:t xml:space="preserve">because it </w:t>
      </w:r>
      <w:r w:rsidRPr="00140121">
        <w:t>cannot adjudicate the dispute separately from such facts</w:t>
      </w:r>
      <w:bookmarkEnd w:id="16"/>
      <w:bookmarkEnd w:id="17"/>
    </w:p>
    <w:p w14:paraId="4E342451" w14:textId="77777777" w:rsidR="002A4673" w:rsidRPr="00140121" w:rsidRDefault="002A4673" w:rsidP="002A4673">
      <w:pPr>
        <w:spacing w:before="240"/>
        <w:rPr>
          <w:lang w:val="en-US"/>
        </w:rPr>
      </w:pPr>
      <w:r w:rsidRPr="00140121">
        <w:rPr>
          <w:lang w:val="en-US"/>
        </w:rPr>
        <w:t>In the present case, the Court cannot adjudicate the dispute separately from facts which occur before the entry into force of the compromissory clause on 17 March 2021.</w:t>
      </w:r>
      <w:r w:rsidRPr="00140121">
        <w:rPr>
          <w:vertAlign w:val="superscript"/>
          <w:lang w:val="en-US"/>
        </w:rPr>
        <w:footnoteReference w:id="15"/>
      </w:r>
      <w:r w:rsidRPr="00140121">
        <w:rPr>
          <w:lang w:val="en-US"/>
        </w:rPr>
        <w:t xml:space="preserve"> In particular, this Court must consider the scope of Rovinia’s criminal jurisdiction </w:t>
      </w:r>
      <w:r w:rsidRPr="00140121">
        <w:rPr>
          <w:b/>
          <w:lang w:val="en-US"/>
        </w:rPr>
        <w:t>[i]</w:t>
      </w:r>
      <w:r w:rsidRPr="00140121">
        <w:rPr>
          <w:lang w:val="en-US"/>
        </w:rPr>
        <w:t xml:space="preserve"> and the scope of the immunities which Ms</w:t>
      </w:r>
      <w:r>
        <w:rPr>
          <w:lang w:val="en-US"/>
        </w:rPr>
        <w:t>.</w:t>
      </w:r>
      <w:r w:rsidRPr="00140121">
        <w:rPr>
          <w:lang w:val="en-US"/>
        </w:rPr>
        <w:t xml:space="preserve"> Cross may enjoy </w:t>
      </w:r>
      <w:r w:rsidRPr="00140121">
        <w:rPr>
          <w:b/>
          <w:lang w:val="en-US"/>
        </w:rPr>
        <w:t>[ii]</w:t>
      </w:r>
      <w:r w:rsidRPr="00140121">
        <w:rPr>
          <w:lang w:val="en-US"/>
        </w:rPr>
        <w:t xml:space="preserve">. Neither of these issues </w:t>
      </w:r>
      <w:r>
        <w:rPr>
          <w:lang w:val="en-US"/>
        </w:rPr>
        <w:t>can</w:t>
      </w:r>
      <w:r w:rsidRPr="00140121">
        <w:rPr>
          <w:lang w:val="en-US"/>
        </w:rPr>
        <w:t xml:space="preserve"> be determined separately from facts before 17 March 2021.</w:t>
      </w:r>
      <w:r w:rsidRPr="00140121">
        <w:rPr>
          <w:vertAlign w:val="superscript"/>
          <w:lang w:val="en-US"/>
        </w:rPr>
        <w:footnoteReference w:id="16"/>
      </w:r>
      <w:r w:rsidRPr="00140121">
        <w:rPr>
          <w:lang w:val="en-US"/>
        </w:rPr>
        <w:t xml:space="preserve"> </w:t>
      </w:r>
    </w:p>
    <w:p w14:paraId="416223C6" w14:textId="4FDA71B1" w:rsidR="002A4673" w:rsidRPr="00F86D94" w:rsidRDefault="002A4673" w:rsidP="00F86D94">
      <w:pPr>
        <w:pStyle w:val="Heading5"/>
      </w:pPr>
      <w:bookmarkStart w:id="18" w:name="_Toc187614557"/>
      <w:bookmarkStart w:id="19" w:name="_Toc187757585"/>
      <w:r w:rsidRPr="00F86D94">
        <w:t>The scope of Rovinia’s criminal jurisdiction depends on facts before 17 March 2021.</w:t>
      </w:r>
      <w:bookmarkEnd w:id="18"/>
      <w:bookmarkEnd w:id="19"/>
      <w:r w:rsidRPr="00F86D94">
        <w:t xml:space="preserve"> </w:t>
      </w:r>
    </w:p>
    <w:p w14:paraId="6D032F6E" w14:textId="2B36880E" w:rsidR="002A4673" w:rsidRPr="00140121" w:rsidRDefault="002A4673" w:rsidP="002A4673">
      <w:pPr>
        <w:spacing w:before="240"/>
        <w:rPr>
          <w:lang w:val="en-US"/>
        </w:rPr>
      </w:pPr>
      <w:r>
        <w:rPr>
          <w:lang w:val="en-US"/>
        </w:rPr>
        <w:t>W</w:t>
      </w:r>
      <w:r w:rsidRPr="00140121">
        <w:rPr>
          <w:lang w:val="en-US"/>
        </w:rPr>
        <w:t>hether Rovinia lawfully exercised criminal jurisdiction over Ms</w:t>
      </w:r>
      <w:r>
        <w:rPr>
          <w:lang w:val="en-US"/>
        </w:rPr>
        <w:t>.</w:t>
      </w:r>
      <w:r w:rsidRPr="00140121">
        <w:rPr>
          <w:lang w:val="en-US"/>
        </w:rPr>
        <w:t xml:space="preserve"> Cross can only be determined by reference to facts that occurred before 17 March 2021. Rovinia’s exercise of jurisdiction stems from the substantive obligations contained within the ICPPED.</w:t>
      </w:r>
      <w:r w:rsidRPr="00140121">
        <w:rPr>
          <w:vertAlign w:val="superscript"/>
          <w:lang w:val="en-US"/>
        </w:rPr>
        <w:footnoteReference w:id="17"/>
      </w:r>
      <w:r w:rsidRPr="00140121">
        <w:rPr>
          <w:lang w:val="en-US"/>
        </w:rPr>
        <w:t xml:space="preserve"> </w:t>
      </w:r>
      <w:r>
        <w:rPr>
          <w:lang w:val="en-US"/>
        </w:rPr>
        <w:t>This in turn</w:t>
      </w:r>
      <w:r w:rsidRPr="00140121">
        <w:rPr>
          <w:lang w:val="en-US"/>
        </w:rPr>
        <w:t xml:space="preserve"> depends on </w:t>
      </w:r>
      <w:r>
        <w:rPr>
          <w:lang w:val="en-US"/>
        </w:rPr>
        <w:t xml:space="preserve">the fulfilment of </w:t>
      </w:r>
      <w:r w:rsidRPr="00140121">
        <w:rPr>
          <w:lang w:val="en-US"/>
        </w:rPr>
        <w:t xml:space="preserve">conditions including the taking of necessary measures to </w:t>
      </w:r>
      <w:r w:rsidRPr="24ECAD76">
        <w:rPr>
          <w:lang w:val="en-US"/>
        </w:rPr>
        <w:t>“</w:t>
      </w:r>
      <w:r w:rsidRPr="00140121">
        <w:rPr>
          <w:lang w:val="en-US"/>
        </w:rPr>
        <w:t>establish competence to exercise jurisdiction”</w:t>
      </w:r>
      <w:r w:rsidRPr="00140121">
        <w:rPr>
          <w:vertAlign w:val="superscript"/>
          <w:lang w:val="en-US"/>
        </w:rPr>
        <w:footnoteReference w:id="18"/>
      </w:r>
      <w:r w:rsidRPr="00140121">
        <w:rPr>
          <w:lang w:val="en-US"/>
        </w:rPr>
        <w:t xml:space="preserve"> and the conduct of a </w:t>
      </w:r>
      <w:r w:rsidRPr="24ECAD76">
        <w:rPr>
          <w:lang w:val="en-US"/>
        </w:rPr>
        <w:t>“</w:t>
      </w:r>
      <w:r w:rsidRPr="00140121">
        <w:rPr>
          <w:lang w:val="en-US"/>
        </w:rPr>
        <w:t xml:space="preserve">preliminary inquiry” to establish the </w:t>
      </w:r>
      <w:r w:rsidRPr="00140121">
        <w:rPr>
          <w:lang w:val="en-US"/>
        </w:rPr>
        <w:lastRenderedPageBreak/>
        <w:t>facts</w:t>
      </w:r>
      <w:r w:rsidRPr="00140121">
        <w:rPr>
          <w:vertAlign w:val="superscript"/>
          <w:lang w:val="en-US"/>
        </w:rPr>
        <w:footnoteReference w:id="19"/>
      </w:r>
      <w:r w:rsidRPr="00140121">
        <w:rPr>
          <w:lang w:val="en-US"/>
        </w:rPr>
        <w:t xml:space="preserve"> </w:t>
      </w:r>
      <w:r>
        <w:rPr>
          <w:lang w:val="en-US"/>
        </w:rPr>
        <w:t>regarding</w:t>
      </w:r>
      <w:r w:rsidRPr="00140121">
        <w:rPr>
          <w:lang w:val="en-US"/>
        </w:rPr>
        <w:t xml:space="preserve"> </w:t>
      </w:r>
      <w:r>
        <w:rPr>
          <w:lang w:val="en-US"/>
        </w:rPr>
        <w:t>Ms. Cross’s alleged crimes</w:t>
      </w:r>
      <w:r w:rsidRPr="00140121">
        <w:rPr>
          <w:lang w:val="en-US"/>
        </w:rPr>
        <w:t>.</w:t>
      </w:r>
      <w:r w:rsidRPr="00140121">
        <w:rPr>
          <w:vertAlign w:val="superscript"/>
          <w:lang w:val="en-US"/>
        </w:rPr>
        <w:footnoteReference w:id="20"/>
      </w:r>
      <w:r w:rsidRPr="00140121">
        <w:rPr>
          <w:lang w:val="en-US"/>
        </w:rPr>
        <w:t xml:space="preserve"> In assessing these, the Court must consider the evidence against Ms</w:t>
      </w:r>
      <w:r>
        <w:rPr>
          <w:lang w:val="en-US"/>
        </w:rPr>
        <w:t>.</w:t>
      </w:r>
      <w:r w:rsidRPr="00140121">
        <w:rPr>
          <w:lang w:val="en-US"/>
        </w:rPr>
        <w:t xml:space="preserve"> Cross in relation to acts allegedly committed between 2017 and 2020.</w:t>
      </w:r>
      <w:r w:rsidRPr="00140121">
        <w:rPr>
          <w:vertAlign w:val="superscript"/>
          <w:lang w:val="en-US"/>
        </w:rPr>
        <w:footnoteReference w:id="21"/>
      </w:r>
      <w:r w:rsidRPr="00140121">
        <w:rPr>
          <w:lang w:val="en-US"/>
        </w:rPr>
        <w:t xml:space="preserve"> These facts form the very basis of Rovinia’s claim to validly exercise jurisdiction</w:t>
      </w:r>
      <w:r w:rsidRPr="00140121">
        <w:rPr>
          <w:vertAlign w:val="superscript"/>
          <w:lang w:val="en-US"/>
        </w:rPr>
        <w:footnoteReference w:id="22"/>
      </w:r>
      <w:r w:rsidRPr="00140121">
        <w:rPr>
          <w:lang w:val="en-US"/>
        </w:rPr>
        <w:t xml:space="preserve"> and </w:t>
      </w:r>
      <w:r>
        <w:rPr>
          <w:lang w:val="en-US"/>
        </w:rPr>
        <w:t>properly</w:t>
      </w:r>
      <w:r w:rsidRPr="00140121">
        <w:rPr>
          <w:lang w:val="en-US"/>
        </w:rPr>
        <w:t xml:space="preserve"> give rise to the dispute.</w:t>
      </w:r>
    </w:p>
    <w:p w14:paraId="2E3F7A42" w14:textId="430F9ECD" w:rsidR="002A4673" w:rsidRPr="00140121" w:rsidRDefault="002A4673" w:rsidP="002A4673">
      <w:pPr>
        <w:spacing w:before="240"/>
        <w:rPr>
          <w:lang w:val="en-US"/>
        </w:rPr>
      </w:pPr>
      <w:r w:rsidRPr="00140121">
        <w:rPr>
          <w:lang w:val="en-US"/>
        </w:rPr>
        <w:t xml:space="preserve">In this respect, the present dispute can be distinguished from the </w:t>
      </w:r>
      <w:r w:rsidRPr="00140121">
        <w:rPr>
          <w:i/>
          <w:iCs/>
          <w:lang w:val="en-US"/>
        </w:rPr>
        <w:t>Jurisdictional Immunities</w:t>
      </w:r>
      <w:r w:rsidRPr="00140121">
        <w:rPr>
          <w:lang w:val="en-US"/>
        </w:rPr>
        <w:t xml:space="preserve"> case.</w:t>
      </w:r>
      <w:r w:rsidRPr="00140121">
        <w:rPr>
          <w:vertAlign w:val="superscript"/>
          <w:lang w:val="en-US"/>
        </w:rPr>
        <w:footnoteReference w:id="23"/>
      </w:r>
      <w:r w:rsidRPr="00140121">
        <w:rPr>
          <w:lang w:val="en-US"/>
        </w:rPr>
        <w:t xml:space="preserve"> In that case, the dispute </w:t>
      </w:r>
      <w:r w:rsidR="00FC0C1B">
        <w:rPr>
          <w:lang w:val="en-US"/>
        </w:rPr>
        <w:t>concerned</w:t>
      </w:r>
      <w:r w:rsidRPr="00140121">
        <w:rPr>
          <w:lang w:val="en-US"/>
        </w:rPr>
        <w:t xml:space="preserve"> alleged violations of Germany’s immunities arising out of judicial decisions </w:t>
      </w:r>
      <w:r w:rsidR="00FC0C1B">
        <w:rPr>
          <w:lang w:val="en-US"/>
        </w:rPr>
        <w:t>of</w:t>
      </w:r>
      <w:r w:rsidRPr="00140121">
        <w:rPr>
          <w:lang w:val="en-US"/>
        </w:rPr>
        <w:t xml:space="preserve"> Italian courts.</w:t>
      </w:r>
      <w:r w:rsidRPr="00140121">
        <w:rPr>
          <w:vertAlign w:val="superscript"/>
          <w:lang w:val="en-US"/>
        </w:rPr>
        <w:footnoteReference w:id="24"/>
      </w:r>
      <w:r w:rsidRPr="00140121">
        <w:rPr>
          <w:lang w:val="en-US"/>
        </w:rPr>
        <w:t xml:space="preserve"> The existence of the rule of jurisdictional immunity was not in dispute; the question was merely whether the decisions of the Italian courts, which occurred after the entry into force of the compromissory clause, violated this rule.</w:t>
      </w:r>
      <w:r w:rsidRPr="00140121">
        <w:rPr>
          <w:vertAlign w:val="superscript"/>
          <w:lang w:val="en-US"/>
        </w:rPr>
        <w:footnoteReference w:id="25"/>
      </w:r>
      <w:r w:rsidRPr="00140121">
        <w:rPr>
          <w:lang w:val="en-US"/>
        </w:rPr>
        <w:t xml:space="preserve"> Unlike the present case, the Court </w:t>
      </w:r>
      <w:r>
        <w:rPr>
          <w:lang w:val="en-US"/>
        </w:rPr>
        <w:t xml:space="preserve">could determine the dispute separately from </w:t>
      </w:r>
      <w:r w:rsidRPr="00140121">
        <w:rPr>
          <w:lang w:val="en-US"/>
        </w:rPr>
        <w:t xml:space="preserve">facts arising before the crucial date. </w:t>
      </w:r>
    </w:p>
    <w:p w14:paraId="54421403" w14:textId="77777777" w:rsidR="002A4673" w:rsidRPr="00140121" w:rsidRDefault="002A4673" w:rsidP="00F86D94">
      <w:pPr>
        <w:pStyle w:val="Heading5"/>
      </w:pPr>
      <w:bookmarkStart w:id="20" w:name="_Toc187614558"/>
      <w:bookmarkStart w:id="21" w:name="_Toc187757586"/>
      <w:r w:rsidRPr="00140121">
        <w:t>The scope of immunities that Ms. Cross may enjoy depends on facts before 17 March 2021</w:t>
      </w:r>
      <w:bookmarkEnd w:id="20"/>
      <w:bookmarkEnd w:id="21"/>
      <w:r w:rsidRPr="00140121">
        <w:t xml:space="preserve"> </w:t>
      </w:r>
    </w:p>
    <w:p w14:paraId="06068F5C" w14:textId="77777777" w:rsidR="002A4673" w:rsidRPr="00140121" w:rsidRDefault="002A4673" w:rsidP="002A4673">
      <w:pPr>
        <w:spacing w:before="240"/>
        <w:rPr>
          <w:lang w:val="en-US"/>
        </w:rPr>
      </w:pPr>
      <w:r w:rsidRPr="00140121">
        <w:rPr>
          <w:lang w:val="en-US"/>
        </w:rPr>
        <w:t>Similarly,</w:t>
      </w:r>
      <w:r>
        <w:rPr>
          <w:lang w:val="en-US"/>
        </w:rPr>
        <w:t xml:space="preserve"> </w:t>
      </w:r>
      <w:r w:rsidRPr="00140121">
        <w:rPr>
          <w:lang w:val="en-US"/>
        </w:rPr>
        <w:t>the scope of any immunities which Ms</w:t>
      </w:r>
      <w:r>
        <w:rPr>
          <w:lang w:val="en-US"/>
        </w:rPr>
        <w:t>.</w:t>
      </w:r>
      <w:r w:rsidRPr="00140121">
        <w:rPr>
          <w:lang w:val="en-US"/>
        </w:rPr>
        <w:t xml:space="preserve"> Cross might enjoy can only be determined by reference to facts before 17 March 2021. In determining whether Ms</w:t>
      </w:r>
      <w:r>
        <w:rPr>
          <w:lang w:val="en-US"/>
        </w:rPr>
        <w:t>.</w:t>
      </w:r>
      <w:r w:rsidRPr="00140121">
        <w:rPr>
          <w:lang w:val="en-US"/>
        </w:rPr>
        <w:t xml:space="preserve"> Cross enjoyed immunity </w:t>
      </w:r>
      <w:r w:rsidRPr="00140121">
        <w:rPr>
          <w:i/>
          <w:iCs/>
          <w:lang w:val="en-US"/>
        </w:rPr>
        <w:t>ratione materiae</w:t>
      </w:r>
      <w:r w:rsidRPr="00140121">
        <w:rPr>
          <w:vertAlign w:val="superscript"/>
          <w:lang w:val="en-US"/>
        </w:rPr>
        <w:footnoteReference w:id="26"/>
      </w:r>
      <w:r w:rsidRPr="00140121">
        <w:rPr>
          <w:lang w:val="en-US"/>
        </w:rPr>
        <w:t xml:space="preserve"> in respect of </w:t>
      </w:r>
      <w:r>
        <w:rPr>
          <w:lang w:val="en-US"/>
        </w:rPr>
        <w:t>her alleged crimes</w:t>
      </w:r>
      <w:r w:rsidRPr="00140121">
        <w:rPr>
          <w:lang w:val="en-US"/>
        </w:rPr>
        <w:t>, the Court must examine whether Ms</w:t>
      </w:r>
      <w:r>
        <w:rPr>
          <w:lang w:val="en-US"/>
        </w:rPr>
        <w:t>.</w:t>
      </w:r>
      <w:r w:rsidRPr="00140121">
        <w:rPr>
          <w:lang w:val="en-US"/>
        </w:rPr>
        <w:t xml:space="preserve"> Cross acted in an official capacity,</w:t>
      </w:r>
      <w:r w:rsidRPr="00140121">
        <w:rPr>
          <w:vertAlign w:val="superscript"/>
          <w:lang w:val="en-US"/>
        </w:rPr>
        <w:footnoteReference w:id="27"/>
      </w:r>
      <w:r w:rsidRPr="00140121">
        <w:rPr>
          <w:lang w:val="en-US"/>
        </w:rPr>
        <w:t xml:space="preserve"> by reference to her actions</w:t>
      </w:r>
      <w:r w:rsidRPr="00140121">
        <w:rPr>
          <w:vertAlign w:val="superscript"/>
          <w:lang w:val="en-US"/>
        </w:rPr>
        <w:footnoteReference w:id="28"/>
      </w:r>
      <w:r w:rsidRPr="00140121">
        <w:rPr>
          <w:lang w:val="en-US"/>
        </w:rPr>
        <w:t xml:space="preserve"> and the mandate given to her by </w:t>
      </w:r>
      <w:r w:rsidRPr="00140121">
        <w:rPr>
          <w:lang w:val="en-US"/>
        </w:rPr>
        <w:lastRenderedPageBreak/>
        <w:t>President Derey.</w:t>
      </w:r>
      <w:r w:rsidRPr="00140121">
        <w:rPr>
          <w:vertAlign w:val="superscript"/>
          <w:lang w:val="en-US"/>
        </w:rPr>
        <w:footnoteReference w:id="29"/>
      </w:r>
      <w:r w:rsidRPr="00140121">
        <w:rPr>
          <w:lang w:val="en-US"/>
        </w:rPr>
        <w:t xml:space="preserve"> These facts, occurring before the entry into force of the compromissory clause, are central to the legality of Rovinia’s arrest and prosecution of Ms</w:t>
      </w:r>
      <w:r>
        <w:rPr>
          <w:lang w:val="en-US"/>
        </w:rPr>
        <w:t>.</w:t>
      </w:r>
      <w:r w:rsidRPr="00140121">
        <w:rPr>
          <w:lang w:val="en-US"/>
        </w:rPr>
        <w:t xml:space="preserve"> Cross, and their contested nature give</w:t>
      </w:r>
      <w:r>
        <w:rPr>
          <w:lang w:val="en-US"/>
        </w:rPr>
        <w:t>s</w:t>
      </w:r>
      <w:r w:rsidRPr="00140121">
        <w:rPr>
          <w:lang w:val="en-US"/>
        </w:rPr>
        <w:t xml:space="preserve"> rise to the dispute.</w:t>
      </w:r>
    </w:p>
    <w:p w14:paraId="44B66ED9" w14:textId="7A7F8A37" w:rsidR="002A4673" w:rsidRPr="00140121" w:rsidRDefault="002A4673" w:rsidP="00F86D94">
      <w:pPr>
        <w:pStyle w:val="Heading3"/>
      </w:pPr>
      <w:bookmarkStart w:id="22" w:name="_Toc187614559"/>
      <w:bookmarkStart w:id="23" w:name="_Toc187757587"/>
      <w:r w:rsidRPr="00140121">
        <w:t>The</w:t>
      </w:r>
      <w:r>
        <w:t xml:space="preserve"> </w:t>
      </w:r>
      <w:r w:rsidRPr="00140121">
        <w:t xml:space="preserve">Court lacks jurisdiction </w:t>
      </w:r>
      <w:r w:rsidRPr="00FC0C1B">
        <w:rPr>
          <w:i/>
        </w:rPr>
        <w:t>ratione materiae</w:t>
      </w:r>
      <w:r w:rsidRPr="00140121">
        <w:t xml:space="preserve"> </w:t>
      </w:r>
      <w:r>
        <w:t>as the</w:t>
      </w:r>
      <w:r w:rsidRPr="00140121">
        <w:t xml:space="preserve"> dispute relates to judicial proceedings on a </w:t>
      </w:r>
      <w:r w:rsidR="00FC0C1B">
        <w:t>“</w:t>
      </w:r>
      <w:r w:rsidRPr="00140121">
        <w:t>matter</w:t>
      </w:r>
      <w:r w:rsidR="00FC0C1B">
        <w:t>”</w:t>
      </w:r>
      <w:r w:rsidRPr="00140121">
        <w:t xml:space="preserve"> essentially within a Member State’s domestic jurisdiction</w:t>
      </w:r>
      <w:bookmarkEnd w:id="22"/>
      <w:bookmarkEnd w:id="23"/>
    </w:p>
    <w:p w14:paraId="25C75E0A" w14:textId="09E66282" w:rsidR="002A4673" w:rsidRPr="00140121" w:rsidRDefault="002A4673" w:rsidP="002A4673">
      <w:pPr>
        <w:spacing w:before="240"/>
        <w:rPr>
          <w:lang w:val="en-US"/>
        </w:rPr>
      </w:pPr>
      <w:r w:rsidRPr="00140121">
        <w:rPr>
          <w:lang w:val="en-US"/>
        </w:rPr>
        <w:t>In drafting the text of Article XXI</w:t>
      </w:r>
      <w:r>
        <w:rPr>
          <w:lang w:val="en-US"/>
        </w:rPr>
        <w:t>,</w:t>
      </w:r>
      <w:r w:rsidRPr="00140121">
        <w:rPr>
          <w:vertAlign w:val="superscript"/>
          <w:lang w:val="en-US"/>
        </w:rPr>
        <w:footnoteReference w:id="30"/>
      </w:r>
      <w:r w:rsidRPr="00140121">
        <w:rPr>
          <w:lang w:val="en-US"/>
        </w:rPr>
        <w:t xml:space="preserve"> the Member States to the OCDP Charter specifically intended to exclude the prosecution of domestic crimes from the jurisdiction of the Court </w:t>
      </w:r>
      <w:r w:rsidRPr="00140121">
        <w:rPr>
          <w:b/>
          <w:bCs/>
          <w:lang w:val="en-US"/>
        </w:rPr>
        <w:t>[1]</w:t>
      </w:r>
      <w:r w:rsidRPr="00140121">
        <w:rPr>
          <w:lang w:val="en-US"/>
        </w:rPr>
        <w:t xml:space="preserve">. In any case, the prosecution of domestic crimes, objectively speaking, is a matter </w:t>
      </w:r>
      <w:r w:rsidRPr="393E050F">
        <w:rPr>
          <w:lang w:val="en-US"/>
        </w:rPr>
        <w:t>“</w:t>
      </w:r>
      <w:r w:rsidRPr="00140121">
        <w:rPr>
          <w:lang w:val="en-US"/>
        </w:rPr>
        <w:t>essentially within a Member State’s domestic jurisdiction”</w:t>
      </w:r>
      <w:r w:rsidR="00FC0C1B">
        <w:rPr>
          <w:rStyle w:val="FootnoteReference"/>
          <w:lang w:val="en-US"/>
        </w:rPr>
        <w:footnoteReference w:id="31"/>
      </w:r>
      <w:r w:rsidRPr="00140121">
        <w:rPr>
          <w:lang w:val="en-US"/>
        </w:rPr>
        <w:t xml:space="preserve"> </w:t>
      </w:r>
      <w:r w:rsidRPr="00140121">
        <w:rPr>
          <w:b/>
          <w:bCs/>
          <w:lang w:val="en-US"/>
        </w:rPr>
        <w:t>[2]</w:t>
      </w:r>
      <w:r w:rsidRPr="00140121">
        <w:rPr>
          <w:lang w:val="en-US"/>
        </w:rPr>
        <w:t>.</w:t>
      </w:r>
    </w:p>
    <w:p w14:paraId="6C6F6BFD" w14:textId="3EAFE0C2" w:rsidR="002A4673" w:rsidRPr="00140121" w:rsidRDefault="002A4673" w:rsidP="00F86D94">
      <w:pPr>
        <w:pStyle w:val="Heading4"/>
        <w:numPr>
          <w:ilvl w:val="0"/>
          <w:numId w:val="30"/>
        </w:numPr>
        <w:ind w:left="1440"/>
      </w:pPr>
      <w:bookmarkStart w:id="24" w:name="_Toc187614560"/>
      <w:bookmarkStart w:id="25" w:name="_Toc187757588"/>
      <w:r w:rsidRPr="00140121">
        <w:t xml:space="preserve">In drafting Article XXI, Member States </w:t>
      </w:r>
      <w:r>
        <w:t>specifically intended</w:t>
      </w:r>
      <w:r w:rsidRPr="00140121">
        <w:t xml:space="preserve"> to exclude the prosecution of domestic crime</w:t>
      </w:r>
      <w:r w:rsidR="00FC0C1B">
        <w:t>s</w:t>
      </w:r>
      <w:r w:rsidRPr="00140121">
        <w:t xml:space="preserve"> from the jurisdiction of the Court</w:t>
      </w:r>
      <w:bookmarkEnd w:id="24"/>
      <w:bookmarkEnd w:id="25"/>
    </w:p>
    <w:p w14:paraId="098EB842" w14:textId="2E9EE680" w:rsidR="002A4673" w:rsidRPr="00140121" w:rsidRDefault="002A4673" w:rsidP="002A4673">
      <w:pPr>
        <w:spacing w:before="240"/>
        <w:rPr>
          <w:lang w:val="en-US"/>
        </w:rPr>
      </w:pPr>
      <w:r w:rsidRPr="00140121">
        <w:rPr>
          <w:lang w:val="en-US"/>
        </w:rPr>
        <w:t xml:space="preserve">Applying the ordinary rules of interpretation in the </w:t>
      </w:r>
      <w:r w:rsidR="00FC0C1B" w:rsidRPr="00FC0C1B">
        <w:t xml:space="preserve">Vienna Convention on the Law of Treaties </w:t>
      </w:r>
      <w:r w:rsidR="00FC0C1B">
        <w:t>(“</w:t>
      </w:r>
      <w:r w:rsidRPr="00140121">
        <w:rPr>
          <w:lang w:val="en-US"/>
        </w:rPr>
        <w:t>VCLT</w:t>
      </w:r>
      <w:r w:rsidR="00FC0C1B">
        <w:rPr>
          <w:lang w:val="en-US"/>
        </w:rPr>
        <w:t>”)</w:t>
      </w:r>
      <w:r w:rsidRPr="00140121">
        <w:rPr>
          <w:vertAlign w:val="superscript"/>
          <w:lang w:val="en-US"/>
        </w:rPr>
        <w:footnoteReference w:id="32"/>
      </w:r>
      <w:r w:rsidRPr="00140121">
        <w:rPr>
          <w:lang w:val="en-US"/>
        </w:rPr>
        <w:t xml:space="preserve"> to the compromissory clause, it is clear that Ambrosia and Rovinia intended that the prosecution of domestic crimes should not be subject to the Court’s jurisdiction </w:t>
      </w:r>
      <w:r w:rsidRPr="00140121">
        <w:rPr>
          <w:b/>
          <w:bCs/>
          <w:lang w:val="en-US"/>
        </w:rPr>
        <w:t>[i]</w:t>
      </w:r>
      <w:r w:rsidRPr="00140121">
        <w:rPr>
          <w:lang w:val="en-US"/>
        </w:rPr>
        <w:t xml:space="preserve">. Furthermore, this conclusion is confirmed by the </w:t>
      </w:r>
      <w:r w:rsidRPr="00FC0C1B">
        <w:rPr>
          <w:i/>
          <w:iCs/>
          <w:lang w:val="en-US"/>
        </w:rPr>
        <w:t>travaux préparatoires</w:t>
      </w:r>
      <w:r w:rsidRPr="00140121">
        <w:rPr>
          <w:vertAlign w:val="superscript"/>
          <w:lang w:val="en-US"/>
        </w:rPr>
        <w:footnoteReference w:id="33"/>
      </w:r>
      <w:r w:rsidRPr="00140121">
        <w:rPr>
          <w:lang w:val="en-US"/>
        </w:rPr>
        <w:t xml:space="preserve"> to Article XXI </w:t>
      </w:r>
      <w:r w:rsidRPr="00140121">
        <w:rPr>
          <w:b/>
          <w:bCs/>
          <w:lang w:val="en-US"/>
        </w:rPr>
        <w:t>[ii]</w:t>
      </w:r>
      <w:r w:rsidRPr="00140121">
        <w:rPr>
          <w:lang w:val="en-US"/>
        </w:rPr>
        <w:t xml:space="preserve">. </w:t>
      </w:r>
      <w:bookmarkStart w:id="26" w:name="_Toc186117675"/>
      <w:bookmarkEnd w:id="26"/>
    </w:p>
    <w:p w14:paraId="433F6C75" w14:textId="7E312860" w:rsidR="002A4673" w:rsidRPr="00140121" w:rsidRDefault="002A4673" w:rsidP="00F86D94">
      <w:pPr>
        <w:pStyle w:val="Heading5"/>
        <w:numPr>
          <w:ilvl w:val="1"/>
          <w:numId w:val="4"/>
        </w:numPr>
        <w:ind w:left="1800" w:hanging="360"/>
      </w:pPr>
      <w:bookmarkStart w:id="27" w:name="_Toc187614561"/>
      <w:bookmarkStart w:id="28" w:name="_Toc187757589"/>
      <w:r w:rsidRPr="00140121">
        <w:t>Applying the general rules o</w:t>
      </w:r>
      <w:r w:rsidR="00FC0C1B">
        <w:t>f treaty</w:t>
      </w:r>
      <w:r w:rsidRPr="00140121">
        <w:t xml:space="preserve"> interpretation, the State</w:t>
      </w:r>
      <w:r w:rsidR="00FC0C1B">
        <w:t>s</w:t>
      </w:r>
      <w:r w:rsidRPr="00140121">
        <w:t xml:space="preserve"> Parties intended that the prosecution of domestic crimes should not be subject to the Court’s jurisdiction</w:t>
      </w:r>
      <w:bookmarkEnd w:id="27"/>
      <w:bookmarkEnd w:id="28"/>
    </w:p>
    <w:p w14:paraId="73308BFC" w14:textId="5324C4BB" w:rsidR="002A4673" w:rsidRPr="00140121" w:rsidRDefault="002A4673" w:rsidP="002A4673">
      <w:pPr>
        <w:spacing w:before="240"/>
        <w:rPr>
          <w:lang w:val="en-US"/>
        </w:rPr>
      </w:pPr>
      <w:r w:rsidRPr="00140121">
        <w:rPr>
          <w:lang w:val="en-US"/>
        </w:rPr>
        <w:t>In determining the scope of the State</w:t>
      </w:r>
      <w:r w:rsidR="00FC0C1B">
        <w:rPr>
          <w:lang w:val="en-US"/>
        </w:rPr>
        <w:t>s</w:t>
      </w:r>
      <w:r w:rsidRPr="00140121">
        <w:rPr>
          <w:lang w:val="en-US"/>
        </w:rPr>
        <w:t xml:space="preserve"> Parties’ acceptance, the starting point is Article 31 of the VCLT,</w:t>
      </w:r>
      <w:r w:rsidRPr="00140121">
        <w:rPr>
          <w:vertAlign w:val="superscript"/>
          <w:lang w:val="en-US"/>
        </w:rPr>
        <w:footnoteReference w:id="34"/>
      </w:r>
      <w:r w:rsidRPr="00140121">
        <w:rPr>
          <w:lang w:val="en-US"/>
        </w:rPr>
        <w:t xml:space="preserve"> which emphasizes that the intention of the parties as expressed in the </w:t>
      </w:r>
      <w:r w:rsidRPr="655F0B6C">
        <w:rPr>
          <w:lang w:val="en-US"/>
        </w:rPr>
        <w:t>“</w:t>
      </w:r>
      <w:r w:rsidRPr="00140121">
        <w:rPr>
          <w:lang w:val="en-US"/>
        </w:rPr>
        <w:t xml:space="preserve">ordinary </w:t>
      </w:r>
      <w:r w:rsidRPr="00140121">
        <w:rPr>
          <w:lang w:val="en-US"/>
        </w:rPr>
        <w:lastRenderedPageBreak/>
        <w:t>meaning</w:t>
      </w:r>
      <w:r w:rsidRPr="655F0B6C">
        <w:rPr>
          <w:lang w:val="en-US"/>
        </w:rPr>
        <w:t>”</w:t>
      </w:r>
      <w:r w:rsidRPr="00140121">
        <w:rPr>
          <w:lang w:val="en-US"/>
        </w:rPr>
        <w:t xml:space="preserve"> of the text is the best guide to their common intention. If the relevant words in their natural and ordinary meaning make sense in their context, </w:t>
      </w:r>
      <w:r w:rsidR="00A9278F">
        <w:rPr>
          <w:lang w:val="en-US"/>
        </w:rPr>
        <w:t>“</w:t>
      </w:r>
      <w:r w:rsidRPr="00140121">
        <w:rPr>
          <w:lang w:val="en-US"/>
        </w:rPr>
        <w:t>that is [the] end of the matter.</w:t>
      </w:r>
      <w:r w:rsidRPr="655F0B6C">
        <w:rPr>
          <w:lang w:val="en-US"/>
        </w:rPr>
        <w:t>”</w:t>
      </w:r>
      <w:r w:rsidRPr="00140121">
        <w:rPr>
          <w:vertAlign w:val="superscript"/>
          <w:lang w:val="en-US"/>
        </w:rPr>
        <w:footnoteReference w:id="35"/>
      </w:r>
    </w:p>
    <w:p w14:paraId="28772754" w14:textId="1407B5C4" w:rsidR="002A4673" w:rsidRPr="00140121" w:rsidRDefault="002A4673" w:rsidP="002A4673">
      <w:pPr>
        <w:spacing w:before="240"/>
        <w:rPr>
          <w:lang w:val="en-US"/>
        </w:rPr>
      </w:pPr>
      <w:r w:rsidRPr="00140121">
        <w:rPr>
          <w:lang w:val="en-US"/>
        </w:rPr>
        <w:t>The relevant section of Article XXI reads: “[the] Member States do not recognize the jurisdiction of the Court in connection with disputes [...] relating to ‘</w:t>
      </w:r>
      <w:r w:rsidRPr="00140121">
        <w:rPr>
          <w:i/>
          <w:iCs/>
          <w:lang w:val="en-US"/>
        </w:rPr>
        <w:t>judicial proceedings on matters</w:t>
      </w:r>
      <w:r w:rsidRPr="00140121">
        <w:rPr>
          <w:lang w:val="en-US"/>
        </w:rPr>
        <w:t>’ which [...] are essentially within a Member State’s domestic jurisdiction.”</w:t>
      </w:r>
      <w:r w:rsidRPr="00140121">
        <w:rPr>
          <w:vertAlign w:val="superscript"/>
          <w:lang w:val="en-US"/>
        </w:rPr>
        <w:footnoteReference w:id="36"/>
      </w:r>
      <w:r w:rsidRPr="00140121">
        <w:rPr>
          <w:lang w:val="en-US"/>
        </w:rPr>
        <w:t xml:space="preserve"> </w:t>
      </w:r>
    </w:p>
    <w:p w14:paraId="7E2C80D4" w14:textId="5D0BB4C2" w:rsidR="002A4673" w:rsidRPr="00140121" w:rsidRDefault="002A4673" w:rsidP="002A4673">
      <w:pPr>
        <w:spacing w:before="240"/>
        <w:rPr>
          <w:lang w:val="en-US"/>
        </w:rPr>
      </w:pPr>
      <w:r w:rsidRPr="00140121">
        <w:rPr>
          <w:lang w:val="en-US"/>
        </w:rPr>
        <w:t xml:space="preserve">Certainly, Member States agreed that the conduct of at least </w:t>
      </w:r>
      <w:r w:rsidRPr="00140121">
        <w:rPr>
          <w:i/>
          <w:iCs/>
          <w:lang w:val="en-US"/>
        </w:rPr>
        <w:t>some</w:t>
      </w:r>
      <w:r w:rsidRPr="00140121">
        <w:rPr>
          <w:lang w:val="en-US"/>
        </w:rPr>
        <w:t xml:space="preserve"> judicial proceedings </w:t>
      </w:r>
      <w:proofErr w:type="gramStart"/>
      <w:r w:rsidRPr="00140121">
        <w:rPr>
          <w:lang w:val="en-US"/>
        </w:rPr>
        <w:t>were</w:t>
      </w:r>
      <w:proofErr w:type="gramEnd"/>
      <w:r w:rsidRPr="00140121">
        <w:rPr>
          <w:lang w:val="en-US"/>
        </w:rPr>
        <w:t xml:space="preserve"> to be excluded from the jurisdiction of this Court. The relevant judicial proceedings are those involving </w:t>
      </w:r>
      <w:r w:rsidR="00421710">
        <w:rPr>
          <w:lang w:val="en-US"/>
        </w:rPr>
        <w:t>“</w:t>
      </w:r>
      <w:r w:rsidRPr="00421710">
        <w:rPr>
          <w:lang w:val="en-US"/>
        </w:rPr>
        <w:t>matters</w:t>
      </w:r>
      <w:r w:rsidR="00421710">
        <w:rPr>
          <w:lang w:val="en-US"/>
        </w:rPr>
        <w:t>”</w:t>
      </w:r>
      <w:r w:rsidRPr="00140121">
        <w:rPr>
          <w:lang w:val="en-US"/>
        </w:rPr>
        <w:t xml:space="preserve"> essentially within domestic jurisdiction. The </w:t>
      </w:r>
      <w:r w:rsidR="00421710">
        <w:rPr>
          <w:lang w:val="en-US"/>
        </w:rPr>
        <w:t>“</w:t>
      </w:r>
      <w:r w:rsidRPr="00421710">
        <w:rPr>
          <w:lang w:val="en-US"/>
        </w:rPr>
        <w:t>matters</w:t>
      </w:r>
      <w:r w:rsidR="00421710">
        <w:rPr>
          <w:lang w:val="en-US"/>
        </w:rPr>
        <w:t>”</w:t>
      </w:r>
      <w:r w:rsidR="00C00EE0">
        <w:rPr>
          <w:lang w:val="en-US"/>
        </w:rPr>
        <w:t xml:space="preserve"> </w:t>
      </w:r>
      <w:r w:rsidRPr="3BB6A5FC">
        <w:rPr>
          <w:lang w:val="en-US"/>
        </w:rPr>
        <w:t>which States intended to exclude</w:t>
      </w:r>
      <w:r w:rsidRPr="00140121">
        <w:rPr>
          <w:lang w:val="en-US"/>
        </w:rPr>
        <w:t xml:space="preserve"> </w:t>
      </w:r>
      <w:r w:rsidRPr="3BB6A5FC">
        <w:rPr>
          <w:i/>
          <w:lang w:val="en-US"/>
        </w:rPr>
        <w:t xml:space="preserve">must </w:t>
      </w:r>
      <w:r w:rsidRPr="00140121">
        <w:rPr>
          <w:lang w:val="en-US"/>
        </w:rPr>
        <w:t>include the determination of substantive guilt for a domestic criminal offense,</w:t>
      </w:r>
      <w:r w:rsidRPr="00140121">
        <w:rPr>
          <w:vertAlign w:val="superscript"/>
          <w:lang w:val="en-US"/>
        </w:rPr>
        <w:footnoteReference w:id="37"/>
      </w:r>
      <w:r w:rsidRPr="00140121">
        <w:rPr>
          <w:lang w:val="en-US"/>
        </w:rPr>
        <w:t xml:space="preserve"> for States have a right to exercise domestic criminal jurisdiction</w:t>
      </w:r>
      <w:r w:rsidRPr="46FFD7D0">
        <w:rPr>
          <w:rStyle w:val="FootnoteReference"/>
          <w:lang w:val="en-US"/>
        </w:rPr>
        <w:footnoteReference w:id="38"/>
      </w:r>
      <w:r w:rsidRPr="00140121">
        <w:rPr>
          <w:lang w:val="en-US"/>
        </w:rPr>
        <w:t xml:space="preserve"> as a fundamental aspect of sovereignty.</w:t>
      </w:r>
      <w:r w:rsidRPr="00140121">
        <w:rPr>
          <w:vertAlign w:val="superscript"/>
          <w:lang w:val="en-US"/>
        </w:rPr>
        <w:footnoteReference w:id="39"/>
      </w:r>
      <w:r w:rsidRPr="00140121">
        <w:rPr>
          <w:lang w:val="en-US"/>
        </w:rPr>
        <w:t xml:space="preserve"> </w:t>
      </w:r>
    </w:p>
    <w:p w14:paraId="0C573184" w14:textId="55A81713" w:rsidR="002A4673" w:rsidRPr="00140121" w:rsidRDefault="00320876" w:rsidP="00F86D94">
      <w:pPr>
        <w:pStyle w:val="Heading5"/>
        <w:numPr>
          <w:ilvl w:val="1"/>
          <w:numId w:val="4"/>
        </w:numPr>
        <w:ind w:left="1800" w:hanging="360"/>
      </w:pPr>
      <w:bookmarkStart w:id="29" w:name="_Toc187614562"/>
      <w:bookmarkStart w:id="30" w:name="_Toc187757590"/>
      <w:r>
        <w:t>A</w:t>
      </w:r>
      <w:r w:rsidR="002A4673" w:rsidRPr="00140121">
        <w:t xml:space="preserve">pplying supplementary means of interpretation, this conclusion is supported by the </w:t>
      </w:r>
      <w:r w:rsidR="002A4673" w:rsidRPr="00A9278F">
        <w:rPr>
          <w:i w:val="0"/>
          <w:iCs w:val="0"/>
        </w:rPr>
        <w:t>travaux préparatoires</w:t>
      </w:r>
      <w:r w:rsidR="002A4673" w:rsidRPr="00140121">
        <w:t xml:space="preserve"> to Article XXI.</w:t>
      </w:r>
      <w:bookmarkEnd w:id="29"/>
      <w:bookmarkEnd w:id="30"/>
      <w:r w:rsidR="002A4673" w:rsidRPr="00140121">
        <w:t xml:space="preserve"> </w:t>
      </w:r>
    </w:p>
    <w:p w14:paraId="08134908" w14:textId="4C3CD41C" w:rsidR="002A4673" w:rsidRPr="00140121" w:rsidRDefault="002A4673" w:rsidP="002A4673">
      <w:pPr>
        <w:spacing w:before="240"/>
        <w:rPr>
          <w:lang w:val="en-US"/>
        </w:rPr>
      </w:pPr>
      <w:r w:rsidRPr="00140121">
        <w:rPr>
          <w:lang w:val="en-US"/>
        </w:rPr>
        <w:t xml:space="preserve">Even if the meaning of the </w:t>
      </w:r>
      <w:r w:rsidRPr="00421710">
        <w:rPr>
          <w:lang w:val="en-US"/>
        </w:rPr>
        <w:t>matters</w:t>
      </w:r>
      <w:r w:rsidRPr="00140121">
        <w:rPr>
          <w:lang w:val="en-US"/>
        </w:rPr>
        <w:t xml:space="preserve"> which State</w:t>
      </w:r>
      <w:r w:rsidR="00A9278F">
        <w:rPr>
          <w:lang w:val="en-US"/>
        </w:rPr>
        <w:t>s</w:t>
      </w:r>
      <w:r w:rsidRPr="00140121">
        <w:rPr>
          <w:lang w:val="en-US"/>
        </w:rPr>
        <w:t xml:space="preserve"> Parties intended to exclude from the Court’s jurisdiction is “</w:t>
      </w:r>
      <w:r w:rsidRPr="06F71974">
        <w:rPr>
          <w:lang w:val="en-US"/>
        </w:rPr>
        <w:t>ambiguous or obscure</w:t>
      </w:r>
      <w:r w:rsidR="00A9278F">
        <w:rPr>
          <w:lang w:val="en-US"/>
        </w:rPr>
        <w:t>,</w:t>
      </w:r>
      <w:r w:rsidRPr="06F71974">
        <w:rPr>
          <w:lang w:val="en-US"/>
        </w:rPr>
        <w:t>”</w:t>
      </w:r>
      <w:r w:rsidRPr="00140121">
        <w:rPr>
          <w:vertAlign w:val="superscript"/>
          <w:lang w:val="en-US"/>
        </w:rPr>
        <w:footnoteReference w:id="40"/>
      </w:r>
      <w:r w:rsidRPr="00140121">
        <w:rPr>
          <w:lang w:val="en-US"/>
        </w:rPr>
        <w:t xml:space="preserve"> Article 32 </w:t>
      </w:r>
      <w:r w:rsidR="00A9278F">
        <w:rPr>
          <w:lang w:val="en-US"/>
        </w:rPr>
        <w:t xml:space="preserve">of the </w:t>
      </w:r>
      <w:r w:rsidRPr="00140121">
        <w:rPr>
          <w:lang w:val="en-US"/>
        </w:rPr>
        <w:t>VCLT allows for supplementary means of interpretation, including the preparatory work of the treaty, to be taken into account.</w:t>
      </w:r>
      <w:r w:rsidRPr="00140121">
        <w:rPr>
          <w:vertAlign w:val="superscript"/>
          <w:lang w:val="en-US"/>
        </w:rPr>
        <w:footnoteReference w:id="41"/>
      </w:r>
      <w:r w:rsidRPr="00140121">
        <w:rPr>
          <w:lang w:val="en-US"/>
        </w:rPr>
        <w:t xml:space="preserve"> The Ambrosian delegate had proposed to exclude disputes relating to the domestic prosecution of </w:t>
      </w:r>
      <w:r w:rsidRPr="00140121">
        <w:rPr>
          <w:lang w:val="en-US"/>
        </w:rPr>
        <w:lastRenderedPageBreak/>
        <w:t>persons accused of illegal fishing, drug trafficking, or smuggling</w:t>
      </w:r>
      <w:r w:rsidR="00A9278F">
        <w:rPr>
          <w:lang w:val="en-US"/>
        </w:rPr>
        <w:t>.</w:t>
      </w:r>
      <w:r w:rsidRPr="00140121">
        <w:rPr>
          <w:lang w:val="en-US"/>
        </w:rPr>
        <w:t>”</w:t>
      </w:r>
      <w:r w:rsidRPr="00140121">
        <w:rPr>
          <w:vertAlign w:val="superscript"/>
          <w:lang w:val="en-US"/>
        </w:rPr>
        <w:footnoteReference w:id="42"/>
      </w:r>
      <w:r w:rsidRPr="00140121">
        <w:rPr>
          <w:lang w:val="en-US"/>
        </w:rPr>
        <w:t xml:space="preserve"> Although Ms. Cross is not being prosecuted for one of these offenses, the evidence shows that Member States perceived the idea of domestic prosecution of individuals as central to this restriction on the Court’s jurisdiction.</w:t>
      </w:r>
    </w:p>
    <w:p w14:paraId="66E57499" w14:textId="4B90B1E8" w:rsidR="002A4673" w:rsidRPr="00140121" w:rsidRDefault="00320876" w:rsidP="00F86D94">
      <w:pPr>
        <w:pStyle w:val="Heading4"/>
      </w:pPr>
      <w:bookmarkStart w:id="31" w:name="_Toc187614563"/>
      <w:bookmarkStart w:id="32" w:name="_Toc187757591"/>
      <w:r>
        <w:t>T</w:t>
      </w:r>
      <w:r w:rsidR="002A4673" w:rsidRPr="00140121">
        <w:t xml:space="preserve">he prosecution of domestic crimes is, objectively speaking, a </w:t>
      </w:r>
      <w:r w:rsidR="002A4673">
        <w:t>“matter”</w:t>
      </w:r>
      <w:r w:rsidR="002A4673" w:rsidRPr="00140121">
        <w:t xml:space="preserve"> essentially within a Member State’s domestic jurisdiction</w:t>
      </w:r>
      <w:bookmarkEnd w:id="31"/>
      <w:bookmarkEnd w:id="32"/>
    </w:p>
    <w:p w14:paraId="0BB6F05F" w14:textId="08C24AE2" w:rsidR="002A4673" w:rsidRPr="00140121" w:rsidRDefault="002A4673" w:rsidP="002A4673">
      <w:pPr>
        <w:spacing w:before="240"/>
        <w:rPr>
          <w:lang w:val="en-US"/>
        </w:rPr>
      </w:pPr>
      <w:r w:rsidRPr="00140121">
        <w:rPr>
          <w:lang w:val="en-US"/>
        </w:rPr>
        <w:t xml:space="preserve">The fact that the </w:t>
      </w:r>
      <w:r w:rsidRPr="06F71974">
        <w:rPr>
          <w:lang w:val="en-US"/>
        </w:rPr>
        <w:t>“dispute”</w:t>
      </w:r>
      <w:r w:rsidRPr="00140121">
        <w:rPr>
          <w:lang w:val="en-US"/>
        </w:rPr>
        <w:t xml:space="preserve"> itself is international in nature is not </w:t>
      </w:r>
      <w:r w:rsidRPr="7718E4D9">
        <w:rPr>
          <w:lang w:val="en-US"/>
        </w:rPr>
        <w:t>crucial,</w:t>
      </w:r>
      <w:r w:rsidRPr="00140121">
        <w:rPr>
          <w:lang w:val="en-US"/>
        </w:rPr>
        <w:t xml:space="preserve"> </w:t>
      </w:r>
      <w:r w:rsidRPr="1DF2BDF2">
        <w:rPr>
          <w:lang w:val="en-US"/>
        </w:rPr>
        <w:t>as</w:t>
      </w:r>
      <w:r w:rsidRPr="00140121">
        <w:rPr>
          <w:lang w:val="en-US"/>
        </w:rPr>
        <w:t xml:space="preserve"> what is required is that the </w:t>
      </w:r>
      <w:r w:rsidRPr="06F71974">
        <w:rPr>
          <w:lang w:val="en-US"/>
        </w:rPr>
        <w:t>“matter”</w:t>
      </w:r>
      <w:r w:rsidRPr="00140121">
        <w:rPr>
          <w:lang w:val="en-US"/>
        </w:rPr>
        <w:t xml:space="preserve"> before judicial proceedings is essentially within Rovinia’s domestic jurisdiction </w:t>
      </w:r>
      <w:r w:rsidRPr="00140121">
        <w:rPr>
          <w:b/>
          <w:lang w:val="en-US"/>
        </w:rPr>
        <w:t>[i]</w:t>
      </w:r>
      <w:r w:rsidRPr="00140121">
        <w:rPr>
          <w:lang w:val="en-US"/>
        </w:rPr>
        <w:t xml:space="preserve">. The prosecution of domestic crimes is clearly a matter </w:t>
      </w:r>
      <w:r w:rsidRPr="06F71974">
        <w:rPr>
          <w:lang w:val="en-US"/>
        </w:rPr>
        <w:t>“</w:t>
      </w:r>
      <w:r w:rsidRPr="00140121">
        <w:rPr>
          <w:lang w:val="en-US"/>
        </w:rPr>
        <w:t xml:space="preserve">essentially within domestic </w:t>
      </w:r>
      <w:r w:rsidRPr="06F71974">
        <w:rPr>
          <w:lang w:val="en-US"/>
        </w:rPr>
        <w:t>jurisdiction</w:t>
      </w:r>
      <w:r w:rsidR="00320876">
        <w:rPr>
          <w:lang w:val="en-US"/>
        </w:rPr>
        <w:t>.</w:t>
      </w:r>
      <w:r w:rsidRPr="06F71974">
        <w:rPr>
          <w:lang w:val="en-US"/>
        </w:rPr>
        <w:t>”</w:t>
      </w:r>
      <w:r w:rsidRPr="00140121">
        <w:rPr>
          <w:lang w:val="en-US"/>
        </w:rPr>
        <w:t xml:space="preserve"> This is true both on an objective understanding of </w:t>
      </w:r>
      <w:r w:rsidRPr="06F71974">
        <w:rPr>
          <w:lang w:val="en-US"/>
        </w:rPr>
        <w:t>“</w:t>
      </w:r>
      <w:r w:rsidRPr="00140121">
        <w:rPr>
          <w:lang w:val="en-US"/>
        </w:rPr>
        <w:t xml:space="preserve">domestic </w:t>
      </w:r>
      <w:r w:rsidRPr="06F71974">
        <w:rPr>
          <w:lang w:val="en-US"/>
        </w:rPr>
        <w:t>jurisdiction”</w:t>
      </w:r>
      <w:r w:rsidRPr="00140121">
        <w:rPr>
          <w:lang w:val="en-US"/>
        </w:rPr>
        <w:t xml:space="preserve"> </w:t>
      </w:r>
      <w:r w:rsidRPr="00140121">
        <w:rPr>
          <w:b/>
          <w:lang w:val="en-US"/>
        </w:rPr>
        <w:t>[ii]</w:t>
      </w:r>
      <w:r w:rsidRPr="00140121">
        <w:rPr>
          <w:lang w:val="en-US"/>
        </w:rPr>
        <w:t xml:space="preserve"> and considering the inherent subjective element in determining what falls </w:t>
      </w:r>
      <w:r w:rsidRPr="06F71974">
        <w:rPr>
          <w:lang w:val="en-US"/>
        </w:rPr>
        <w:t xml:space="preserve">essentially </w:t>
      </w:r>
      <w:r w:rsidRPr="00140121">
        <w:rPr>
          <w:lang w:val="en-US"/>
        </w:rPr>
        <w:t xml:space="preserve">within a State’s domestic jurisdiction </w:t>
      </w:r>
      <w:r w:rsidRPr="00140121">
        <w:rPr>
          <w:b/>
          <w:lang w:val="en-US"/>
        </w:rPr>
        <w:t>[iii]</w:t>
      </w:r>
      <w:r w:rsidRPr="00140121">
        <w:rPr>
          <w:lang w:val="en-US"/>
        </w:rPr>
        <w:t xml:space="preserve">. </w:t>
      </w:r>
    </w:p>
    <w:p w14:paraId="04301760" w14:textId="67C539AC" w:rsidR="002A4673" w:rsidRPr="00140121" w:rsidRDefault="00320876" w:rsidP="00F86D94">
      <w:pPr>
        <w:pStyle w:val="Heading5"/>
      </w:pPr>
      <w:bookmarkStart w:id="33" w:name="_Toc187614564"/>
      <w:bookmarkStart w:id="34" w:name="_Toc187757592"/>
      <w:r>
        <w:t>T</w:t>
      </w:r>
      <w:r w:rsidR="002A4673" w:rsidRPr="00140121">
        <w:t xml:space="preserve">he </w:t>
      </w:r>
      <w:r w:rsidR="002A4673" w:rsidRPr="06F71974">
        <w:t>“matter”</w:t>
      </w:r>
      <w:r w:rsidR="002A4673" w:rsidRPr="00140121">
        <w:t xml:space="preserve"> within judicial proceedings</w:t>
      </w:r>
      <w:r>
        <w:t xml:space="preserve"> must be</w:t>
      </w:r>
      <w:r w:rsidR="002A4673" w:rsidRPr="00140121">
        <w:t xml:space="preserve"> essentially within Rovinia’s domestic jurisdiction</w:t>
      </w:r>
      <w:bookmarkEnd w:id="33"/>
      <w:bookmarkEnd w:id="34"/>
    </w:p>
    <w:p w14:paraId="43FD6D74" w14:textId="7272B22C" w:rsidR="002A4673" w:rsidRPr="00140121" w:rsidRDefault="002A4673" w:rsidP="002A4673">
      <w:pPr>
        <w:spacing w:before="240"/>
        <w:rPr>
          <w:lang w:val="en-US"/>
        </w:rPr>
      </w:pPr>
      <w:r w:rsidRPr="00140121">
        <w:rPr>
          <w:lang w:val="en-US"/>
        </w:rPr>
        <w:t>Previous jurisprudence from this Court holds that the invocation of any rule or principle of international law is sufficient to “place oneself on the plane of international law</w:t>
      </w:r>
      <w:r w:rsidR="00320876">
        <w:rPr>
          <w:lang w:val="en-US"/>
        </w:rPr>
        <w:t>.</w:t>
      </w:r>
      <w:r w:rsidRPr="00140121">
        <w:rPr>
          <w:lang w:val="en-US"/>
        </w:rPr>
        <w:t>”</w:t>
      </w:r>
      <w:r w:rsidRPr="00140121">
        <w:rPr>
          <w:vertAlign w:val="superscript"/>
          <w:lang w:val="en-US"/>
        </w:rPr>
        <w:footnoteReference w:id="43"/>
      </w:r>
      <w:r w:rsidRPr="00140121">
        <w:rPr>
          <w:lang w:val="en-US"/>
        </w:rPr>
        <w:t xml:space="preserve"> Notwithstanding, the fact that the </w:t>
      </w:r>
      <w:r w:rsidR="00421710">
        <w:rPr>
          <w:lang w:val="en-US"/>
        </w:rPr>
        <w:t>“</w:t>
      </w:r>
      <w:r w:rsidR="00320876" w:rsidRPr="00421710">
        <w:rPr>
          <w:lang w:val="en-US"/>
        </w:rPr>
        <w:t>dispute</w:t>
      </w:r>
      <w:r w:rsidR="00421710">
        <w:rPr>
          <w:lang w:val="en-US"/>
        </w:rPr>
        <w:t>”</w:t>
      </w:r>
      <w:r w:rsidR="00320876">
        <w:rPr>
          <w:lang w:val="en-US"/>
        </w:rPr>
        <w:t xml:space="preserve"> </w:t>
      </w:r>
      <w:r w:rsidRPr="00140121">
        <w:rPr>
          <w:lang w:val="en-US"/>
        </w:rPr>
        <w:t xml:space="preserve">falls outside domestic jurisdiction is not </w:t>
      </w:r>
      <w:r w:rsidR="00320876">
        <w:rPr>
          <w:lang w:val="en-US"/>
        </w:rPr>
        <w:t>dispositive</w:t>
      </w:r>
      <w:r w:rsidRPr="00140121">
        <w:rPr>
          <w:lang w:val="en-US"/>
        </w:rPr>
        <w:t xml:space="preserve">. Rather, what is crucial is that the </w:t>
      </w:r>
      <w:r w:rsidR="00421710">
        <w:rPr>
          <w:lang w:val="en-US"/>
        </w:rPr>
        <w:t>“</w:t>
      </w:r>
      <w:r w:rsidRPr="00421710">
        <w:rPr>
          <w:lang w:val="en-US"/>
        </w:rPr>
        <w:t>matter</w:t>
      </w:r>
      <w:r w:rsidR="00421710">
        <w:rPr>
          <w:lang w:val="en-US"/>
        </w:rPr>
        <w:t>”</w:t>
      </w:r>
      <w:r w:rsidRPr="00140121">
        <w:rPr>
          <w:lang w:val="en-US"/>
        </w:rPr>
        <w:t xml:space="preserve"> to which the </w:t>
      </w:r>
      <w:r w:rsidRPr="00320876">
        <w:rPr>
          <w:lang w:val="en-US"/>
        </w:rPr>
        <w:t>judicial proceedings</w:t>
      </w:r>
      <w:r w:rsidRPr="00140121">
        <w:rPr>
          <w:lang w:val="en-US"/>
        </w:rPr>
        <w:t xml:space="preserve"> relate falls essentially within domestic jurisdiction.</w:t>
      </w:r>
      <w:r w:rsidRPr="00140121">
        <w:rPr>
          <w:vertAlign w:val="superscript"/>
          <w:lang w:val="en-US"/>
        </w:rPr>
        <w:footnoteReference w:id="44"/>
      </w:r>
    </w:p>
    <w:p w14:paraId="6C5CE217" w14:textId="303B234F" w:rsidR="002A4673" w:rsidRPr="00140121" w:rsidRDefault="002A4673" w:rsidP="00F86D94">
      <w:pPr>
        <w:pStyle w:val="Heading5"/>
      </w:pPr>
      <w:bookmarkStart w:id="35" w:name="_Toc187614565"/>
      <w:bookmarkStart w:id="36" w:name="_Toc187757593"/>
      <w:r w:rsidRPr="00140121">
        <w:t xml:space="preserve">The prosecution of domestic crimes, objectively assessed, is a </w:t>
      </w:r>
      <w:r w:rsidR="00320876">
        <w:t>“</w:t>
      </w:r>
      <w:r w:rsidRPr="00140121">
        <w:t>matter</w:t>
      </w:r>
      <w:r w:rsidR="00320876">
        <w:t>”</w:t>
      </w:r>
      <w:r w:rsidRPr="00140121">
        <w:t xml:space="preserve"> essentially within domestic jurisdiction</w:t>
      </w:r>
      <w:bookmarkEnd w:id="35"/>
      <w:bookmarkEnd w:id="36"/>
    </w:p>
    <w:p w14:paraId="425A7C39" w14:textId="77777777" w:rsidR="002A4673" w:rsidRPr="00140121" w:rsidRDefault="002A4673" w:rsidP="002A4673">
      <w:pPr>
        <w:spacing w:before="240"/>
        <w:rPr>
          <w:lang w:val="en-US"/>
        </w:rPr>
      </w:pPr>
      <w:r w:rsidRPr="00140121">
        <w:rPr>
          <w:lang w:val="en-US"/>
        </w:rPr>
        <w:t xml:space="preserve">The </w:t>
      </w:r>
      <w:r w:rsidRPr="6F707D45">
        <w:rPr>
          <w:lang w:val="en-US"/>
        </w:rPr>
        <w:t>exercise</w:t>
      </w:r>
      <w:r w:rsidRPr="00140121">
        <w:rPr>
          <w:lang w:val="en-US"/>
        </w:rPr>
        <w:t xml:space="preserve"> of </w:t>
      </w:r>
      <w:r w:rsidRPr="6F707D45">
        <w:rPr>
          <w:lang w:val="en-US"/>
        </w:rPr>
        <w:t>criminal jurisdiction</w:t>
      </w:r>
      <w:r w:rsidRPr="00140121">
        <w:rPr>
          <w:lang w:val="en-US"/>
        </w:rPr>
        <w:t xml:space="preserve"> is a central aspect of sovereignty.</w:t>
      </w:r>
      <w:r w:rsidRPr="00140121">
        <w:rPr>
          <w:vertAlign w:val="superscript"/>
          <w:lang w:val="en-US"/>
        </w:rPr>
        <w:footnoteReference w:id="45"/>
      </w:r>
      <w:r w:rsidRPr="00140121">
        <w:rPr>
          <w:lang w:val="en-US"/>
        </w:rPr>
        <w:t xml:space="preserve"> The fact that the domestic crime in question, enforced disappearance, also exists as a crime at international law is not determinative of the essentially domestic nature of jurisdiction, since no recourse is needed to </w:t>
      </w:r>
      <w:r w:rsidRPr="00140121">
        <w:rPr>
          <w:lang w:val="en-US"/>
        </w:rPr>
        <w:lastRenderedPageBreak/>
        <w:t>any rule of international law to prosecute Ms. Cross</w:t>
      </w:r>
      <w:r>
        <w:rPr>
          <w:lang w:val="en-US"/>
        </w:rPr>
        <w:t>.</w:t>
      </w:r>
      <w:r w:rsidRPr="00140121">
        <w:rPr>
          <w:vertAlign w:val="superscript"/>
          <w:lang w:val="en-US"/>
        </w:rPr>
        <w:footnoteReference w:id="46"/>
      </w:r>
      <w:r w:rsidRPr="00140121">
        <w:rPr>
          <w:lang w:val="en-US"/>
        </w:rPr>
        <w:t xml:space="preserve"> Additionally, recognition that the prosecution of crimes that exist both in domestic and international law falls </w:t>
      </w:r>
      <w:r w:rsidRPr="6F707D45">
        <w:rPr>
          <w:lang w:val="en-US"/>
        </w:rPr>
        <w:t>“</w:t>
      </w:r>
      <w:r w:rsidRPr="00140121">
        <w:rPr>
          <w:lang w:val="en-US"/>
        </w:rPr>
        <w:t>essentially within domestic jurisdiction</w:t>
      </w:r>
      <w:r w:rsidRPr="6F707D45">
        <w:rPr>
          <w:lang w:val="en-US"/>
        </w:rPr>
        <w:t>”</w:t>
      </w:r>
      <w:r w:rsidRPr="00140121">
        <w:rPr>
          <w:lang w:val="en-US"/>
        </w:rPr>
        <w:t xml:space="preserve"> is consistent with the framework of international criminal law,</w:t>
      </w:r>
      <w:r w:rsidRPr="00140121">
        <w:rPr>
          <w:vertAlign w:val="superscript"/>
          <w:lang w:val="en-US"/>
        </w:rPr>
        <w:footnoteReference w:id="47"/>
      </w:r>
      <w:r w:rsidRPr="00140121">
        <w:rPr>
          <w:lang w:val="en-US"/>
        </w:rPr>
        <w:t xml:space="preserve"> which allocates primary responsibility to domestic courts to prosecute various crimes.</w:t>
      </w:r>
      <w:r w:rsidRPr="00140121">
        <w:rPr>
          <w:vertAlign w:val="superscript"/>
          <w:lang w:val="en-US"/>
        </w:rPr>
        <w:footnoteReference w:id="48"/>
      </w:r>
      <w:r w:rsidRPr="00140121">
        <w:rPr>
          <w:lang w:val="en-US"/>
        </w:rPr>
        <w:t xml:space="preserve">  </w:t>
      </w:r>
    </w:p>
    <w:p w14:paraId="245C77E4" w14:textId="7DB75534" w:rsidR="002A4673" w:rsidRPr="00140121" w:rsidRDefault="002A4673" w:rsidP="00F86D94">
      <w:pPr>
        <w:pStyle w:val="Heading5"/>
        <w:numPr>
          <w:ilvl w:val="1"/>
          <w:numId w:val="4"/>
        </w:numPr>
        <w:ind w:left="1800" w:hanging="360"/>
      </w:pPr>
      <w:bookmarkStart w:id="37" w:name="_Toc187614566"/>
      <w:bookmarkStart w:id="38" w:name="_Toc187757594"/>
      <w:r w:rsidRPr="00140121">
        <w:t xml:space="preserve">The determination of matters </w:t>
      </w:r>
      <w:r w:rsidR="00421710">
        <w:t>“</w:t>
      </w:r>
      <w:r w:rsidRPr="00140121">
        <w:t>essentially</w:t>
      </w:r>
      <w:r w:rsidR="00421710">
        <w:t>”</w:t>
      </w:r>
      <w:r w:rsidRPr="00140121">
        <w:t xml:space="preserve"> within domestic jurisdiction possesses an inherently subjective element.</w:t>
      </w:r>
      <w:bookmarkEnd w:id="37"/>
      <w:bookmarkEnd w:id="38"/>
      <w:r w:rsidRPr="00140121">
        <w:t xml:space="preserve">   </w:t>
      </w:r>
    </w:p>
    <w:p w14:paraId="0A702FDC" w14:textId="4B9C0786" w:rsidR="002A4673" w:rsidRPr="00140121" w:rsidRDefault="002A4673" w:rsidP="002A4673">
      <w:pPr>
        <w:spacing w:before="240"/>
        <w:rPr>
          <w:lang w:val="en-US"/>
        </w:rPr>
      </w:pPr>
      <w:r w:rsidRPr="00140121">
        <w:rPr>
          <w:lang w:val="en-US"/>
        </w:rPr>
        <w:t>Finally, the determination of what matters are “essentially” within a State’s domestic jurisdiction depends on the development of international relations.</w:t>
      </w:r>
      <w:r w:rsidRPr="00140121">
        <w:rPr>
          <w:vertAlign w:val="superscript"/>
          <w:lang w:val="en-US"/>
        </w:rPr>
        <w:footnoteReference w:id="49"/>
      </w:r>
      <w:r w:rsidRPr="00140121">
        <w:rPr>
          <w:lang w:val="en-US"/>
        </w:rPr>
        <w:t xml:space="preserve"> By use of the word </w:t>
      </w:r>
      <w:r w:rsidR="00421710">
        <w:rPr>
          <w:lang w:val="en-US"/>
        </w:rPr>
        <w:t>“</w:t>
      </w:r>
      <w:r w:rsidRPr="00140121">
        <w:rPr>
          <w:lang w:val="en-US"/>
        </w:rPr>
        <w:t>essentially</w:t>
      </w:r>
      <w:r w:rsidR="00421710">
        <w:rPr>
          <w:lang w:val="en-US"/>
        </w:rPr>
        <w:t>,</w:t>
      </w:r>
      <w:r w:rsidRPr="00140121">
        <w:rPr>
          <w:lang w:val="en-US"/>
        </w:rPr>
        <w:t xml:space="preserve">” as opposed to </w:t>
      </w:r>
      <w:r w:rsidRPr="5228C4EA">
        <w:rPr>
          <w:lang w:val="en-US"/>
        </w:rPr>
        <w:t>“</w:t>
      </w:r>
      <w:r w:rsidRPr="00140121">
        <w:rPr>
          <w:lang w:val="en-US"/>
        </w:rPr>
        <w:t>exclusively</w:t>
      </w:r>
      <w:r w:rsidR="00421710">
        <w:rPr>
          <w:lang w:val="en-US"/>
        </w:rPr>
        <w:t>,</w:t>
      </w:r>
      <w:r w:rsidRPr="00140121">
        <w:rPr>
          <w:lang w:val="en-US"/>
        </w:rPr>
        <w:t>” the State</w:t>
      </w:r>
      <w:r w:rsidR="00E11095">
        <w:rPr>
          <w:lang w:val="en-US"/>
        </w:rPr>
        <w:t>s</w:t>
      </w:r>
      <w:r w:rsidRPr="00140121">
        <w:rPr>
          <w:lang w:val="en-US"/>
        </w:rPr>
        <w:t xml:space="preserve"> Parties intended that a greater number of matters would be excluded from the jurisdiction of the Court,</w:t>
      </w:r>
      <w:r w:rsidRPr="00140121">
        <w:rPr>
          <w:vertAlign w:val="superscript"/>
          <w:lang w:val="en-US"/>
        </w:rPr>
        <w:footnoteReference w:id="50"/>
      </w:r>
      <w:r w:rsidRPr="00140121">
        <w:rPr>
          <w:lang w:val="en-US"/>
        </w:rPr>
        <w:t xml:space="preserve"> with no specific areas which are clearly defined or irreducible.</w:t>
      </w:r>
      <w:r w:rsidRPr="00140121">
        <w:rPr>
          <w:vertAlign w:val="superscript"/>
          <w:lang w:val="en-US"/>
        </w:rPr>
        <w:footnoteReference w:id="51"/>
      </w:r>
      <w:r w:rsidRPr="00140121">
        <w:rPr>
          <w:lang w:val="en-US"/>
        </w:rPr>
        <w:t xml:space="preserve">  </w:t>
      </w:r>
    </w:p>
    <w:p w14:paraId="0CE8D016" w14:textId="018F1DD8" w:rsidR="002A4673" w:rsidRPr="00140121" w:rsidRDefault="00F86D94" w:rsidP="00F86D94">
      <w:pPr>
        <w:pStyle w:val="Heading2"/>
      </w:pPr>
      <w:bookmarkStart w:id="39" w:name="_Toc187614567"/>
      <w:bookmarkStart w:id="40" w:name="_Toc187757595"/>
      <w:r w:rsidRPr="00140121">
        <w:t xml:space="preserve">Rovinia’s Assertion </w:t>
      </w:r>
      <w:r w:rsidR="00E11095">
        <w:t>o</w:t>
      </w:r>
      <w:r w:rsidRPr="00140121">
        <w:t xml:space="preserve">f Criminal Jurisdiction Over Ms. Cross, </w:t>
      </w:r>
      <w:r w:rsidR="00E11095">
        <w:t>a</w:t>
      </w:r>
      <w:r w:rsidRPr="00140121">
        <w:t xml:space="preserve">nd Her Arrest </w:t>
      </w:r>
      <w:r w:rsidR="00E11095">
        <w:t>a</w:t>
      </w:r>
      <w:r w:rsidRPr="00140121">
        <w:t xml:space="preserve">nd Prosecution, </w:t>
      </w:r>
      <w:r w:rsidR="00E11095">
        <w:t>A</w:t>
      </w:r>
      <w:r w:rsidRPr="00140121">
        <w:t xml:space="preserve">re Consistent </w:t>
      </w:r>
      <w:r w:rsidR="00E11095">
        <w:t>w</w:t>
      </w:r>
      <w:r w:rsidRPr="00140121">
        <w:t>ith International Law</w:t>
      </w:r>
      <w:bookmarkEnd w:id="39"/>
      <w:bookmarkEnd w:id="40"/>
    </w:p>
    <w:p w14:paraId="5A838234" w14:textId="3BC63C40" w:rsidR="002A4673" w:rsidRPr="00140121" w:rsidRDefault="002A4673" w:rsidP="002A4673">
      <w:pPr>
        <w:spacing w:before="240"/>
        <w:rPr>
          <w:lang w:val="en-US"/>
        </w:rPr>
      </w:pPr>
      <w:r w:rsidRPr="00140121">
        <w:rPr>
          <w:lang w:val="en-US"/>
        </w:rPr>
        <w:t>Rovinia’s assertion of criminal jurisdiction over, and arrest and prosecution of Ms</w:t>
      </w:r>
      <w:r>
        <w:rPr>
          <w:lang w:val="en-US"/>
        </w:rPr>
        <w:t>.</w:t>
      </w:r>
      <w:r w:rsidRPr="00140121">
        <w:rPr>
          <w:lang w:val="en-US"/>
        </w:rPr>
        <w:t xml:space="preserve"> Cross, are fully consistent with international law. Rovinia validly asserted criminal jurisdiction over Ms</w:t>
      </w:r>
      <w:r>
        <w:rPr>
          <w:lang w:val="en-US"/>
        </w:rPr>
        <w:t>.</w:t>
      </w:r>
      <w:r w:rsidRPr="00140121">
        <w:rPr>
          <w:lang w:val="en-US"/>
        </w:rPr>
        <w:t xml:space="preserve"> Cross </w:t>
      </w:r>
      <w:r w:rsidRPr="00140121">
        <w:rPr>
          <w:b/>
          <w:bCs/>
          <w:lang w:val="en-US"/>
        </w:rPr>
        <w:t>[A]</w:t>
      </w:r>
      <w:r w:rsidRPr="00140121">
        <w:rPr>
          <w:lang w:val="en-US"/>
        </w:rPr>
        <w:t xml:space="preserve">. Furthermore, </w:t>
      </w:r>
      <w:r w:rsidR="00E11095">
        <w:rPr>
          <w:lang w:val="en-US"/>
        </w:rPr>
        <w:t xml:space="preserve">no rule of immunity exempts </w:t>
      </w:r>
      <w:r w:rsidRPr="00140121">
        <w:rPr>
          <w:lang w:val="en-US"/>
        </w:rPr>
        <w:t xml:space="preserve">Ms. Cross from the exercise of </w:t>
      </w:r>
      <w:r>
        <w:rPr>
          <w:lang w:val="en-US"/>
        </w:rPr>
        <w:t xml:space="preserve">Rovinia’s </w:t>
      </w:r>
      <w:r w:rsidRPr="00140121">
        <w:rPr>
          <w:lang w:val="en-US"/>
        </w:rPr>
        <w:t xml:space="preserve">criminal jurisdiction </w:t>
      </w:r>
      <w:r w:rsidRPr="00140121">
        <w:rPr>
          <w:b/>
          <w:bCs/>
          <w:lang w:val="en-US"/>
        </w:rPr>
        <w:t>[B]</w:t>
      </w:r>
      <w:r w:rsidRPr="00140121">
        <w:rPr>
          <w:lang w:val="en-US"/>
        </w:rPr>
        <w:t xml:space="preserve">.  </w:t>
      </w:r>
    </w:p>
    <w:p w14:paraId="0226F729" w14:textId="77777777" w:rsidR="002A4673" w:rsidRPr="00140121" w:rsidRDefault="002A4673" w:rsidP="00F86D94">
      <w:pPr>
        <w:pStyle w:val="Heading3"/>
        <w:numPr>
          <w:ilvl w:val="0"/>
          <w:numId w:val="9"/>
        </w:numPr>
        <w:ind w:left="1080"/>
      </w:pPr>
      <w:bookmarkStart w:id="41" w:name="_Toc187614568"/>
      <w:bookmarkStart w:id="42" w:name="_Toc187757596"/>
      <w:r w:rsidRPr="00140121">
        <w:lastRenderedPageBreak/>
        <w:t>Rovinia validly asserted criminal jurisdiction over Ms. Cross</w:t>
      </w:r>
      <w:bookmarkEnd w:id="41"/>
      <w:bookmarkEnd w:id="42"/>
    </w:p>
    <w:p w14:paraId="2BE49372" w14:textId="77777777" w:rsidR="002A4673" w:rsidRPr="00140121" w:rsidRDefault="002A4673" w:rsidP="002A4673">
      <w:pPr>
        <w:spacing w:before="240"/>
        <w:rPr>
          <w:lang w:val="en-US"/>
        </w:rPr>
      </w:pPr>
      <w:r w:rsidRPr="00140121">
        <w:rPr>
          <w:lang w:val="en-US"/>
        </w:rPr>
        <w:t xml:space="preserve">Rovinia </w:t>
      </w:r>
      <w:r w:rsidRPr="6E8DD046">
        <w:rPr>
          <w:lang w:val="en-US"/>
        </w:rPr>
        <w:t>is entitled to exercise</w:t>
      </w:r>
      <w:r w:rsidRPr="00140121">
        <w:rPr>
          <w:lang w:val="en-US"/>
        </w:rPr>
        <w:t xml:space="preserve"> criminal jurisdiction over Ms</w:t>
      </w:r>
      <w:r>
        <w:rPr>
          <w:lang w:val="en-US"/>
        </w:rPr>
        <w:t>.</w:t>
      </w:r>
      <w:r w:rsidRPr="00140121">
        <w:rPr>
          <w:lang w:val="en-US"/>
        </w:rPr>
        <w:t xml:space="preserve"> Cross. First, the substantive obligations within the ICPPED give rise to jurisdiction </w:t>
      </w:r>
      <w:r w:rsidRPr="00140121">
        <w:rPr>
          <w:i/>
          <w:iCs/>
          <w:lang w:val="en-US"/>
        </w:rPr>
        <w:t>aut dedere aut judicare</w:t>
      </w:r>
      <w:r w:rsidRPr="00140121">
        <w:rPr>
          <w:lang w:val="en-US"/>
        </w:rPr>
        <w:t xml:space="preserve"> </w:t>
      </w:r>
      <w:r w:rsidRPr="00140121">
        <w:rPr>
          <w:b/>
          <w:bCs/>
          <w:lang w:val="en-US"/>
        </w:rPr>
        <w:t>[1]</w:t>
      </w:r>
      <w:r w:rsidRPr="00140121">
        <w:rPr>
          <w:lang w:val="en-US"/>
        </w:rPr>
        <w:t>. Second, Rovinia is entitled to invoke universal jurisdiction over Ms</w:t>
      </w:r>
      <w:r>
        <w:rPr>
          <w:lang w:val="en-US"/>
        </w:rPr>
        <w:t>.</w:t>
      </w:r>
      <w:r w:rsidRPr="00140121">
        <w:rPr>
          <w:lang w:val="en-US"/>
        </w:rPr>
        <w:t xml:space="preserve"> Cross </w:t>
      </w:r>
      <w:r w:rsidRPr="00140121">
        <w:rPr>
          <w:b/>
          <w:bCs/>
          <w:lang w:val="en-US"/>
        </w:rPr>
        <w:t>[2]</w:t>
      </w:r>
      <w:r w:rsidRPr="00140121">
        <w:rPr>
          <w:lang w:val="en-US"/>
        </w:rPr>
        <w:t>.</w:t>
      </w:r>
    </w:p>
    <w:p w14:paraId="7AF9550E" w14:textId="77777777" w:rsidR="002A4673" w:rsidRPr="00140121" w:rsidRDefault="002A4673" w:rsidP="00F86D94">
      <w:pPr>
        <w:pStyle w:val="Heading4"/>
        <w:numPr>
          <w:ilvl w:val="0"/>
          <w:numId w:val="31"/>
        </w:numPr>
      </w:pPr>
      <w:bookmarkStart w:id="43" w:name="_Toc187614569"/>
      <w:bookmarkStart w:id="44" w:name="_Toc187757597"/>
      <w:r>
        <w:t>T</w:t>
      </w:r>
      <w:r w:rsidRPr="00140121">
        <w:t xml:space="preserve">he ICPPED </w:t>
      </w:r>
      <w:r>
        <w:t>obligates Rovinia to exercise</w:t>
      </w:r>
      <w:r w:rsidRPr="00140121">
        <w:t xml:space="preserve"> jurisdiction</w:t>
      </w:r>
      <w:r>
        <w:t xml:space="preserve"> over Ms. Cross</w:t>
      </w:r>
      <w:bookmarkEnd w:id="43"/>
      <w:bookmarkEnd w:id="44"/>
    </w:p>
    <w:p w14:paraId="4A40E65B" w14:textId="5AD79A0E" w:rsidR="002A4673" w:rsidRPr="00140121" w:rsidRDefault="002A4673" w:rsidP="002A4673">
      <w:pPr>
        <w:spacing w:before="240"/>
        <w:rPr>
          <w:lang w:val="en-US"/>
        </w:rPr>
      </w:pPr>
      <w:r>
        <w:rPr>
          <w:lang w:val="en-US"/>
        </w:rPr>
        <w:t>T</w:t>
      </w:r>
      <w:r w:rsidRPr="6E8DD046">
        <w:rPr>
          <w:lang w:val="en-US"/>
        </w:rPr>
        <w:t>he</w:t>
      </w:r>
      <w:r w:rsidRPr="00140121">
        <w:rPr>
          <w:lang w:val="en-US"/>
        </w:rPr>
        <w:t xml:space="preserve"> ICPPED</w:t>
      </w:r>
      <w:r w:rsidRPr="6E8DD046">
        <w:rPr>
          <w:lang w:val="en-US"/>
        </w:rPr>
        <w:t xml:space="preserve"> obligates</w:t>
      </w:r>
      <w:r w:rsidRPr="00140121">
        <w:rPr>
          <w:lang w:val="en-US"/>
        </w:rPr>
        <w:t xml:space="preserve"> Rovinia to prosecute or extradite individuals accused of enforced disappearances </w:t>
      </w:r>
      <w:r w:rsidRPr="00140121">
        <w:rPr>
          <w:b/>
          <w:bCs/>
          <w:lang w:val="en-US"/>
        </w:rPr>
        <w:t>[i]</w:t>
      </w:r>
      <w:r w:rsidRPr="00140121">
        <w:rPr>
          <w:lang w:val="en-US"/>
        </w:rPr>
        <w:t>. The custodial state, Rovinia, may elect between prosecution and extradition</w:t>
      </w:r>
      <w:r w:rsidR="00E11095">
        <w:rPr>
          <w:lang w:val="en-US"/>
        </w:rPr>
        <w:t>, with</w:t>
      </w:r>
      <w:r w:rsidRPr="00140121">
        <w:rPr>
          <w:lang w:val="en-US"/>
        </w:rPr>
        <w:t xml:space="preserve"> no rule of priority between the two </w:t>
      </w:r>
      <w:r w:rsidRPr="00140121">
        <w:rPr>
          <w:b/>
          <w:bCs/>
          <w:lang w:val="en-US"/>
        </w:rPr>
        <w:t>[ii]</w:t>
      </w:r>
      <w:r w:rsidRPr="00140121">
        <w:rPr>
          <w:lang w:val="en-US"/>
        </w:rPr>
        <w:t xml:space="preserve">. </w:t>
      </w:r>
      <w:r>
        <w:rPr>
          <w:lang w:val="en-US"/>
        </w:rPr>
        <w:t>T</w:t>
      </w:r>
      <w:r w:rsidRPr="00140121">
        <w:rPr>
          <w:lang w:val="en-US"/>
        </w:rPr>
        <w:t>he fact that Ambrosia is unlikely to prosecute Ms</w:t>
      </w:r>
      <w:r>
        <w:rPr>
          <w:lang w:val="en-US"/>
        </w:rPr>
        <w:t>.</w:t>
      </w:r>
      <w:r w:rsidRPr="00140121">
        <w:rPr>
          <w:lang w:val="en-US"/>
        </w:rPr>
        <w:t xml:space="preserve"> Cross is an additional reason against extradition</w:t>
      </w:r>
      <w:r w:rsidR="00E11095">
        <w:rPr>
          <w:lang w:val="en-US"/>
        </w:rPr>
        <w:t xml:space="preserve">; </w:t>
      </w:r>
      <w:r w:rsidRPr="207CB9BC">
        <w:rPr>
          <w:lang w:val="en-US"/>
        </w:rPr>
        <w:t>to</w:t>
      </w:r>
      <w:r>
        <w:rPr>
          <w:lang w:val="en-US"/>
        </w:rPr>
        <w:t xml:space="preserve"> </w:t>
      </w:r>
      <w:r w:rsidRPr="146CDA9D">
        <w:rPr>
          <w:lang w:val="en-US"/>
        </w:rPr>
        <w:t xml:space="preserve">hold otherwise </w:t>
      </w:r>
      <w:r>
        <w:rPr>
          <w:lang w:val="en-US"/>
        </w:rPr>
        <w:t>would</w:t>
      </w:r>
      <w:r w:rsidRPr="6E8DD046">
        <w:rPr>
          <w:lang w:val="en-US"/>
        </w:rPr>
        <w:t xml:space="preserve"> defeat</w:t>
      </w:r>
      <w:r w:rsidRPr="00140121">
        <w:rPr>
          <w:lang w:val="en-US"/>
        </w:rPr>
        <w:t xml:space="preserve"> the object and </w:t>
      </w:r>
      <w:r w:rsidRPr="6919F9C3">
        <w:rPr>
          <w:lang w:val="en-US"/>
        </w:rPr>
        <w:t>purpose</w:t>
      </w:r>
      <w:r w:rsidRPr="00140121">
        <w:rPr>
          <w:lang w:val="en-US"/>
        </w:rPr>
        <w:t xml:space="preserve"> of the ICPPED </w:t>
      </w:r>
      <w:r w:rsidRPr="00140121">
        <w:rPr>
          <w:b/>
          <w:bCs/>
          <w:lang w:val="en-US"/>
        </w:rPr>
        <w:t>[iii]</w:t>
      </w:r>
      <w:r w:rsidRPr="00140121">
        <w:rPr>
          <w:lang w:val="en-US"/>
        </w:rPr>
        <w:t xml:space="preserve">. Finally, the fact that Rovinia and Ambrosia have signed an independent extradition treaty does not change the nature of the obligation </w:t>
      </w:r>
      <w:r w:rsidRPr="00140121">
        <w:rPr>
          <w:i/>
          <w:iCs/>
          <w:lang w:val="en-US"/>
        </w:rPr>
        <w:t>aut dedere aut judicare</w:t>
      </w:r>
      <w:r w:rsidRPr="00140121">
        <w:rPr>
          <w:lang w:val="en-US"/>
        </w:rPr>
        <w:t xml:space="preserve"> </w:t>
      </w:r>
      <w:r w:rsidRPr="00140121">
        <w:rPr>
          <w:b/>
          <w:bCs/>
          <w:lang w:val="en-US"/>
        </w:rPr>
        <w:t>[iv]</w:t>
      </w:r>
      <w:r w:rsidRPr="00140121">
        <w:rPr>
          <w:lang w:val="en-US"/>
        </w:rPr>
        <w:t xml:space="preserve">. </w:t>
      </w:r>
    </w:p>
    <w:p w14:paraId="36D21D08" w14:textId="451C4B6C" w:rsidR="002A4673" w:rsidRPr="00140121" w:rsidRDefault="002A4673" w:rsidP="00F86D94">
      <w:pPr>
        <w:pStyle w:val="Heading5"/>
        <w:numPr>
          <w:ilvl w:val="5"/>
          <w:numId w:val="13"/>
        </w:numPr>
        <w:ind w:left="1800" w:hanging="360"/>
      </w:pPr>
      <w:bookmarkStart w:id="45" w:name="_Toc187614570"/>
      <w:bookmarkStart w:id="46" w:name="_Toc187757598"/>
      <w:r w:rsidRPr="00140121">
        <w:t>Rovinia is obligated to prosecute or extradite individuals accused of enforced disappearance</w:t>
      </w:r>
      <w:bookmarkEnd w:id="45"/>
      <w:bookmarkEnd w:id="46"/>
    </w:p>
    <w:p w14:paraId="35B08BEE" w14:textId="07F25ED1" w:rsidR="002A4673" w:rsidRPr="00140121" w:rsidRDefault="002A4673" w:rsidP="002A4673">
      <w:pPr>
        <w:spacing w:before="240"/>
        <w:rPr>
          <w:lang w:val="en-US"/>
        </w:rPr>
      </w:pPr>
      <w:r w:rsidRPr="00140121">
        <w:rPr>
          <w:lang w:val="en-US"/>
        </w:rPr>
        <w:t>Under the ICPPED, States are obligated to prosecute or extradite alleged perpetrators of enforced disappearances.</w:t>
      </w:r>
      <w:r w:rsidRPr="00140121">
        <w:rPr>
          <w:vertAlign w:val="superscript"/>
          <w:lang w:val="en-US"/>
        </w:rPr>
        <w:footnoteReference w:id="52"/>
      </w:r>
      <w:r w:rsidRPr="00140121">
        <w:rPr>
          <w:lang w:val="en-US"/>
        </w:rPr>
        <w:t xml:space="preserve"> </w:t>
      </w:r>
      <w:r>
        <w:rPr>
          <w:lang w:val="en-US"/>
        </w:rPr>
        <w:t>Both</w:t>
      </w:r>
      <w:r w:rsidRPr="00140121">
        <w:rPr>
          <w:lang w:val="en-US"/>
        </w:rPr>
        <w:t xml:space="preserve"> Ambrosia and Rovinia are parties to the ICPPED.</w:t>
      </w:r>
      <w:r w:rsidRPr="00140121">
        <w:rPr>
          <w:vertAlign w:val="superscript"/>
          <w:lang w:val="en-US"/>
        </w:rPr>
        <w:footnoteReference w:id="53"/>
      </w:r>
      <w:r w:rsidRPr="00140121">
        <w:rPr>
          <w:lang w:val="en-US"/>
        </w:rPr>
        <w:t xml:space="preserve"> Ms</w:t>
      </w:r>
      <w:r>
        <w:rPr>
          <w:lang w:val="en-US"/>
        </w:rPr>
        <w:t>.</w:t>
      </w:r>
      <w:r w:rsidRPr="00140121">
        <w:rPr>
          <w:lang w:val="en-US"/>
        </w:rPr>
        <w:t xml:space="preserve"> Cross is </w:t>
      </w:r>
      <w:r>
        <w:rPr>
          <w:lang w:val="en-US"/>
        </w:rPr>
        <w:t>alleged</w:t>
      </w:r>
      <w:r w:rsidRPr="00140121">
        <w:rPr>
          <w:lang w:val="en-US"/>
        </w:rPr>
        <w:t xml:space="preserve"> to </w:t>
      </w:r>
      <w:r>
        <w:rPr>
          <w:lang w:val="en-US"/>
        </w:rPr>
        <w:t>have perpet</w:t>
      </w:r>
      <w:r w:rsidR="006F2027">
        <w:rPr>
          <w:lang w:val="en-US"/>
        </w:rPr>
        <w:t>r</w:t>
      </w:r>
      <w:r>
        <w:rPr>
          <w:lang w:val="en-US"/>
        </w:rPr>
        <w:t>ated</w:t>
      </w:r>
      <w:r w:rsidRPr="00140121">
        <w:rPr>
          <w:lang w:val="en-US"/>
        </w:rPr>
        <w:t xml:space="preserve"> enforced disappearances</w:t>
      </w:r>
      <w:r>
        <w:rPr>
          <w:lang w:val="en-US"/>
        </w:rPr>
        <w:t>.</w:t>
      </w:r>
      <w:r w:rsidRPr="00140121">
        <w:rPr>
          <w:vertAlign w:val="superscript"/>
          <w:lang w:val="en-US"/>
        </w:rPr>
        <w:footnoteReference w:id="54"/>
      </w:r>
      <w:r w:rsidRPr="00140121">
        <w:rPr>
          <w:lang w:val="en-US"/>
        </w:rPr>
        <w:t xml:space="preserve"> </w:t>
      </w:r>
    </w:p>
    <w:p w14:paraId="50F50300" w14:textId="77777777" w:rsidR="002A4673" w:rsidRPr="00140121" w:rsidRDefault="002A4673" w:rsidP="002A4673">
      <w:pPr>
        <w:spacing w:before="240"/>
        <w:rPr>
          <w:lang w:val="en-US"/>
        </w:rPr>
      </w:pPr>
      <w:r w:rsidRPr="00140121">
        <w:rPr>
          <w:lang w:val="en-US"/>
        </w:rPr>
        <w:t>Pursuant to the ICPPED, Rovinia duly “established its competence to exercise jurisdiction”</w:t>
      </w:r>
      <w:r w:rsidRPr="00140121">
        <w:rPr>
          <w:vertAlign w:val="superscript"/>
          <w:lang w:val="en-US"/>
        </w:rPr>
        <w:footnoteReference w:id="55"/>
      </w:r>
      <w:r w:rsidRPr="00140121">
        <w:rPr>
          <w:lang w:val="en-US"/>
        </w:rPr>
        <w:t xml:space="preserve"> b</w:t>
      </w:r>
      <w:r w:rsidRPr="4BA93123">
        <w:rPr>
          <w:lang w:val="en-US"/>
        </w:rPr>
        <w:t>y incorporating enforced disappearance into the Rovinian Criminal Code</w:t>
      </w:r>
      <w:r w:rsidRPr="270CAF85">
        <w:rPr>
          <w:lang w:val="en-US"/>
        </w:rPr>
        <w:t>.</w:t>
      </w:r>
      <w:r w:rsidRPr="270CAF85">
        <w:rPr>
          <w:rStyle w:val="FootnoteReference"/>
          <w:lang w:val="en-US"/>
        </w:rPr>
        <w:footnoteReference w:id="56"/>
      </w:r>
      <w:r w:rsidRPr="00140121">
        <w:rPr>
          <w:lang w:val="en-US"/>
        </w:rPr>
        <w:t xml:space="preserve"> It was satisfied, on an “[examination] of the information available to it,</w:t>
      </w:r>
      <w:r w:rsidRPr="7F8603A4">
        <w:rPr>
          <w:lang w:val="en-US"/>
        </w:rPr>
        <w:t>”</w:t>
      </w:r>
      <w:r w:rsidRPr="233116B5">
        <w:rPr>
          <w:vertAlign w:val="superscript"/>
          <w:lang w:val="en-US"/>
        </w:rPr>
        <w:footnoteReference w:id="57"/>
      </w:r>
      <w:r>
        <w:rPr>
          <w:lang w:val="en-US"/>
        </w:rPr>
        <w:t xml:space="preserve"> that the circumstances warranted arresting Ms. Cross, given evidence of her explicit approval of abductions</w:t>
      </w:r>
      <w:r w:rsidRPr="09A8F491">
        <w:rPr>
          <w:lang w:val="en-US"/>
        </w:rPr>
        <w:t xml:space="preserve"> and multiple </w:t>
      </w:r>
      <w:r w:rsidRPr="09A8F491">
        <w:rPr>
          <w:lang w:val="en-US"/>
        </w:rPr>
        <w:lastRenderedPageBreak/>
        <w:t>visits to the detention compound.</w:t>
      </w:r>
      <w:r w:rsidRPr="0036C801">
        <w:rPr>
          <w:rStyle w:val="FootnoteReference"/>
          <w:lang w:val="en-US"/>
        </w:rPr>
        <w:footnoteReference w:id="58"/>
      </w:r>
      <w:r>
        <w:rPr>
          <w:lang w:val="en-US"/>
        </w:rPr>
        <w:t xml:space="preserve"> Accordingly, Rovinia “[submitted] the case to its competent authorities”</w:t>
      </w:r>
      <w:r w:rsidRPr="00140121">
        <w:rPr>
          <w:vertAlign w:val="superscript"/>
          <w:lang w:val="en-US"/>
        </w:rPr>
        <w:footnoteReference w:id="59"/>
      </w:r>
      <w:r>
        <w:rPr>
          <w:lang w:val="en-US"/>
        </w:rPr>
        <w:t xml:space="preserve"> who duly prosecuted her.</w:t>
      </w:r>
      <w:r w:rsidRPr="0BCD3EA2">
        <w:rPr>
          <w:rStyle w:val="FootnoteReference"/>
          <w:lang w:val="en-US"/>
        </w:rPr>
        <w:footnoteReference w:id="60"/>
      </w:r>
      <w:r>
        <w:rPr>
          <w:lang w:val="en-US"/>
        </w:rPr>
        <w:t xml:space="preserve"> Thus</w:t>
      </w:r>
      <w:r w:rsidRPr="00140121">
        <w:rPr>
          <w:lang w:val="en-US"/>
        </w:rPr>
        <w:t xml:space="preserve">, </w:t>
      </w:r>
      <w:r w:rsidRPr="6E8DD046">
        <w:rPr>
          <w:lang w:val="en-US"/>
        </w:rPr>
        <w:t xml:space="preserve">all the preconditions for Rovinia’s </w:t>
      </w:r>
      <w:r w:rsidRPr="00140121">
        <w:rPr>
          <w:lang w:val="en-US"/>
        </w:rPr>
        <w:t>exercise of jurisdiction under the ICPPED</w:t>
      </w:r>
      <w:r w:rsidRPr="6E8DD046">
        <w:rPr>
          <w:lang w:val="en-US"/>
        </w:rPr>
        <w:t xml:space="preserve"> were fulfilled</w:t>
      </w:r>
      <w:r w:rsidRPr="00140121">
        <w:rPr>
          <w:lang w:val="en-US"/>
        </w:rPr>
        <w:t>.</w:t>
      </w:r>
    </w:p>
    <w:p w14:paraId="6280F329" w14:textId="25003AD4" w:rsidR="002A4673" w:rsidRDefault="006F2027" w:rsidP="00F86D94">
      <w:pPr>
        <w:pStyle w:val="Heading5"/>
        <w:numPr>
          <w:ilvl w:val="2"/>
          <w:numId w:val="13"/>
        </w:numPr>
        <w:ind w:left="1800" w:hanging="360"/>
      </w:pPr>
      <w:bookmarkStart w:id="47" w:name="_Toc187614571"/>
      <w:bookmarkStart w:id="48" w:name="_Toc187757599"/>
      <w:r>
        <w:t xml:space="preserve">Rovinia may </w:t>
      </w:r>
      <w:r w:rsidR="002A4673" w:rsidRPr="00140121">
        <w:t>elect between prosecution and extradition</w:t>
      </w:r>
      <w:r>
        <w:t>, as there is no</w:t>
      </w:r>
      <w:r w:rsidR="002A4673" w:rsidRPr="00140121">
        <w:t xml:space="preserve"> rule of priority between the two</w:t>
      </w:r>
      <w:bookmarkEnd w:id="47"/>
      <w:bookmarkEnd w:id="48"/>
    </w:p>
    <w:p w14:paraId="07FD55C6" w14:textId="77777777" w:rsidR="002A4673" w:rsidRPr="00140121" w:rsidRDefault="002A4673" w:rsidP="002A4673">
      <w:pPr>
        <w:spacing w:before="240"/>
        <w:rPr>
          <w:lang w:val="en-US"/>
        </w:rPr>
      </w:pPr>
      <w:r w:rsidRPr="00140121">
        <w:rPr>
          <w:lang w:val="en-US"/>
        </w:rPr>
        <w:t xml:space="preserve">Rovinia was entitled to prosecute Ms. Cross rather than extradite her to </w:t>
      </w:r>
      <w:r w:rsidRPr="0BCD3EA2">
        <w:rPr>
          <w:lang w:val="en-US"/>
        </w:rPr>
        <w:t>Ambrosia</w:t>
      </w:r>
      <w:r w:rsidRPr="00140121">
        <w:rPr>
          <w:lang w:val="en-US"/>
        </w:rPr>
        <w:t xml:space="preserve">. </w:t>
      </w:r>
      <w:r>
        <w:rPr>
          <w:lang w:val="en-US"/>
        </w:rPr>
        <w:t>As</w:t>
      </w:r>
      <w:r w:rsidRPr="00140121">
        <w:rPr>
          <w:lang w:val="en-US"/>
        </w:rPr>
        <w:t xml:space="preserve"> this Court recognized in </w:t>
      </w:r>
      <w:r w:rsidRPr="00140121">
        <w:rPr>
          <w:i/>
          <w:iCs/>
          <w:lang w:val="en-US"/>
        </w:rPr>
        <w:t>Obligation to Prosecute or Extradite,</w:t>
      </w:r>
      <w:r w:rsidRPr="00140121">
        <w:rPr>
          <w:lang w:val="en-US"/>
        </w:rPr>
        <w:t xml:space="preserve"> regarding treaty provisions materially similar to those of the ICPPED,</w:t>
      </w:r>
      <w:r w:rsidRPr="00140121">
        <w:rPr>
          <w:vertAlign w:val="superscript"/>
          <w:lang w:val="en-US"/>
        </w:rPr>
        <w:footnoteReference w:id="61"/>
      </w:r>
      <w:r w:rsidRPr="00140121">
        <w:rPr>
          <w:lang w:val="en-US"/>
        </w:rPr>
        <w:t xml:space="preserve"> extradition is an </w:t>
      </w:r>
      <w:r w:rsidRPr="00140121">
        <w:rPr>
          <w:i/>
          <w:iCs/>
          <w:lang w:val="en-US"/>
        </w:rPr>
        <w:t>option</w:t>
      </w:r>
      <w:r w:rsidRPr="00140121">
        <w:rPr>
          <w:lang w:val="en-US"/>
        </w:rPr>
        <w:t xml:space="preserve"> offered to the State by the Convention, whereas prosecution is an </w:t>
      </w:r>
      <w:r w:rsidRPr="00140121">
        <w:rPr>
          <w:i/>
          <w:iCs/>
          <w:lang w:val="en-US"/>
        </w:rPr>
        <w:t>obligation</w:t>
      </w:r>
      <w:r w:rsidRPr="00140121">
        <w:rPr>
          <w:lang w:val="en-US"/>
        </w:rPr>
        <w:t xml:space="preserve"> under the Convention.</w:t>
      </w:r>
      <w:r w:rsidRPr="00140121">
        <w:rPr>
          <w:vertAlign w:val="superscript"/>
          <w:lang w:val="en-US"/>
        </w:rPr>
        <w:footnoteReference w:id="62"/>
      </w:r>
      <w:r w:rsidRPr="00140121">
        <w:rPr>
          <w:lang w:val="en-US"/>
        </w:rPr>
        <w:t xml:space="preserve"> T</w:t>
      </w:r>
      <w:r w:rsidRPr="28BA0154">
        <w:rPr>
          <w:lang w:val="en-US"/>
        </w:rPr>
        <w:t>he</w:t>
      </w:r>
      <w:r w:rsidRPr="00140121">
        <w:rPr>
          <w:lang w:val="en-US"/>
        </w:rPr>
        <w:t xml:space="preserve"> Committee against </w:t>
      </w:r>
      <w:r w:rsidRPr="7FF30CA9">
        <w:rPr>
          <w:lang w:val="en-US"/>
        </w:rPr>
        <w:t>Torture</w:t>
      </w:r>
      <w:r w:rsidRPr="01B86FC2">
        <w:rPr>
          <w:vertAlign w:val="superscript"/>
          <w:lang w:val="en-US"/>
        </w:rPr>
        <w:footnoteReference w:id="63"/>
      </w:r>
      <w:r w:rsidRPr="01B86FC2">
        <w:rPr>
          <w:lang w:val="en-US"/>
        </w:rPr>
        <w:t xml:space="preserve"> </w:t>
      </w:r>
      <w:r w:rsidRPr="45648BF2">
        <w:rPr>
          <w:lang w:val="en-US"/>
        </w:rPr>
        <w:t>and judges of this Court</w:t>
      </w:r>
      <w:r w:rsidRPr="056B9DCC">
        <w:rPr>
          <w:rStyle w:val="FootnoteReference"/>
          <w:lang w:val="en-US"/>
        </w:rPr>
        <w:footnoteReference w:id="64"/>
      </w:r>
      <w:r w:rsidRPr="45648BF2">
        <w:rPr>
          <w:lang w:val="en-US"/>
        </w:rPr>
        <w:t xml:space="preserve"> have endorsed</w:t>
      </w:r>
      <w:r w:rsidRPr="00140121">
        <w:rPr>
          <w:lang w:val="en-US"/>
        </w:rPr>
        <w:t xml:space="preserve"> this </w:t>
      </w:r>
      <w:r w:rsidRPr="45648BF2">
        <w:rPr>
          <w:lang w:val="en-US"/>
        </w:rPr>
        <w:t>interpretation. The obligation to prosecute arises independently from any request for extradition,</w:t>
      </w:r>
      <w:r w:rsidRPr="00140121">
        <w:rPr>
          <w:vertAlign w:val="superscript"/>
          <w:lang w:val="en-US"/>
        </w:rPr>
        <w:footnoteReference w:id="65"/>
      </w:r>
      <w:r w:rsidRPr="45648BF2">
        <w:rPr>
          <w:vertAlign w:val="superscript"/>
          <w:lang w:val="en-US"/>
        </w:rPr>
        <w:t xml:space="preserve"> </w:t>
      </w:r>
      <w:r w:rsidRPr="45648BF2">
        <w:rPr>
          <w:lang w:val="en-US"/>
        </w:rPr>
        <w:t>and the custodial State has the discretion to decide between the two.</w:t>
      </w:r>
      <w:r w:rsidRPr="00140121">
        <w:rPr>
          <w:vertAlign w:val="superscript"/>
          <w:lang w:val="en-US"/>
        </w:rPr>
        <w:footnoteReference w:id="66"/>
      </w:r>
      <w:r w:rsidRPr="6E8DD046">
        <w:rPr>
          <w:lang w:val="en-US"/>
        </w:rPr>
        <w:t xml:space="preserve">  </w:t>
      </w:r>
    </w:p>
    <w:p w14:paraId="1CD0334C" w14:textId="0561CCFC" w:rsidR="002A4673" w:rsidRPr="00140121" w:rsidRDefault="002A4673" w:rsidP="00F86D94">
      <w:pPr>
        <w:pStyle w:val="Heading5"/>
        <w:numPr>
          <w:ilvl w:val="2"/>
          <w:numId w:val="13"/>
        </w:numPr>
        <w:ind w:left="1800" w:hanging="360"/>
      </w:pPr>
      <w:bookmarkStart w:id="49" w:name="_Toc187614572"/>
      <w:bookmarkStart w:id="50" w:name="_Toc187757600"/>
      <w:r w:rsidRPr="19C37471">
        <w:lastRenderedPageBreak/>
        <w:t xml:space="preserve">The fact that Ambrosia is unlikely to prosecute Ms. Cross is an additional reason not to extradite, being </w:t>
      </w:r>
      <w:r w:rsidRPr="1DF2BDF2">
        <w:t>contrary</w:t>
      </w:r>
      <w:r w:rsidRPr="19C37471">
        <w:t xml:space="preserve"> to the </w:t>
      </w:r>
      <w:r w:rsidR="006F2027">
        <w:t>“</w:t>
      </w:r>
      <w:r w:rsidRPr="19C37471">
        <w:t>object and purpose</w:t>
      </w:r>
      <w:r w:rsidR="006F2027">
        <w:t>”</w:t>
      </w:r>
      <w:r w:rsidRPr="19C37471">
        <w:t xml:space="preserve"> of the ICPPED</w:t>
      </w:r>
      <w:bookmarkEnd w:id="49"/>
      <w:bookmarkEnd w:id="50"/>
    </w:p>
    <w:p w14:paraId="7A4C9E15" w14:textId="12DBF9AA" w:rsidR="002A4673" w:rsidRPr="00140121" w:rsidRDefault="002A4673" w:rsidP="002A4673">
      <w:pPr>
        <w:spacing w:before="240"/>
        <w:rPr>
          <w:lang w:val="en-US"/>
        </w:rPr>
      </w:pPr>
      <w:r w:rsidRPr="00140121">
        <w:rPr>
          <w:lang w:val="en-US"/>
        </w:rPr>
        <w:t>The object and purpose of the ICPPED is to “prevent enforced disappearances and to combat impunity for the crime of enforced disappearance.”</w:t>
      </w:r>
      <w:r w:rsidRPr="00140121">
        <w:rPr>
          <w:vertAlign w:val="superscript"/>
          <w:lang w:val="en-US"/>
        </w:rPr>
        <w:footnoteReference w:id="67"/>
      </w:r>
      <w:r w:rsidRPr="00140121">
        <w:rPr>
          <w:lang w:val="en-US"/>
        </w:rPr>
        <w:t xml:space="preserve"> The obligations </w:t>
      </w:r>
      <w:r w:rsidRPr="00140121">
        <w:rPr>
          <w:i/>
          <w:iCs/>
          <w:lang w:val="en-US"/>
        </w:rPr>
        <w:t>aut dedere aut judicare</w:t>
      </w:r>
      <w:r w:rsidRPr="00140121">
        <w:rPr>
          <w:lang w:val="en-US"/>
        </w:rPr>
        <w:t xml:space="preserve"> are to be interpreted as </w:t>
      </w:r>
      <w:r w:rsidRPr="1DF2BDF2">
        <w:rPr>
          <w:lang w:val="en-US"/>
        </w:rPr>
        <w:t>“</w:t>
      </w:r>
      <w:r w:rsidRPr="00140121">
        <w:rPr>
          <w:lang w:val="en-US"/>
        </w:rPr>
        <w:t>a single process”</w:t>
      </w:r>
      <w:r w:rsidRPr="00140121">
        <w:rPr>
          <w:vertAlign w:val="superscript"/>
          <w:lang w:val="en-US"/>
        </w:rPr>
        <w:footnoteReference w:id="68"/>
      </w:r>
      <w:r w:rsidRPr="00140121">
        <w:rPr>
          <w:lang w:val="en-US"/>
        </w:rPr>
        <w:t xml:space="preserve"> directed towards render</w:t>
      </w:r>
      <w:r>
        <w:rPr>
          <w:lang w:val="en-US"/>
        </w:rPr>
        <w:t>ing</w:t>
      </w:r>
      <w:r w:rsidRPr="00140121">
        <w:rPr>
          <w:lang w:val="en-US"/>
        </w:rPr>
        <w:t xml:space="preserve"> the fight against impunity more effective.</w:t>
      </w:r>
      <w:r w:rsidRPr="00140121">
        <w:rPr>
          <w:vertAlign w:val="superscript"/>
          <w:lang w:val="en-US"/>
        </w:rPr>
        <w:footnoteReference w:id="69"/>
      </w:r>
      <w:r w:rsidRPr="00140121">
        <w:rPr>
          <w:lang w:val="en-US"/>
        </w:rPr>
        <w:t xml:space="preserve"> There are reasonable grounds to conclude that Ambrosia is unlikely to prosecute Ms</w:t>
      </w:r>
      <w:r>
        <w:rPr>
          <w:lang w:val="en-US"/>
        </w:rPr>
        <w:t>.</w:t>
      </w:r>
      <w:r w:rsidRPr="00140121">
        <w:rPr>
          <w:lang w:val="en-US"/>
        </w:rPr>
        <w:t xml:space="preserve"> Cross. Evidence suggests that the Ambrosian Prosecutor General closed the investigation into Ms. Cross despite being in possession of the evidence implicating her.</w:t>
      </w:r>
      <w:r w:rsidRPr="6FF8EF43">
        <w:rPr>
          <w:rStyle w:val="FootnoteReference"/>
          <w:lang w:val="en-US"/>
        </w:rPr>
        <w:footnoteReference w:id="70"/>
      </w:r>
      <w:r w:rsidRPr="3724D667">
        <w:rPr>
          <w:lang w:val="en-US"/>
        </w:rPr>
        <w:t xml:space="preserve"> President</w:t>
      </w:r>
      <w:r w:rsidRPr="6ABAD516">
        <w:rPr>
          <w:lang w:val="en-US"/>
        </w:rPr>
        <w:t xml:space="preserve"> </w:t>
      </w:r>
      <w:r w:rsidRPr="11857C7A">
        <w:rPr>
          <w:lang w:val="en-US"/>
        </w:rPr>
        <w:t>Derey</w:t>
      </w:r>
      <w:r w:rsidRPr="414E44FE">
        <w:rPr>
          <w:lang w:val="en-US"/>
        </w:rPr>
        <w:t>,</w:t>
      </w:r>
      <w:r w:rsidRPr="1F9820B1">
        <w:rPr>
          <w:lang w:val="en-US"/>
        </w:rPr>
        <w:t xml:space="preserve"> </w:t>
      </w:r>
      <w:r w:rsidRPr="6CEE53A3">
        <w:rPr>
          <w:lang w:val="en-US"/>
        </w:rPr>
        <w:t xml:space="preserve">on whose </w:t>
      </w:r>
      <w:r w:rsidRPr="14041436">
        <w:rPr>
          <w:lang w:val="en-US"/>
        </w:rPr>
        <w:t>order</w:t>
      </w:r>
      <w:r w:rsidRPr="7A3F6EC6">
        <w:rPr>
          <w:lang w:val="en-US"/>
        </w:rPr>
        <w:t xml:space="preserve"> the </w:t>
      </w:r>
      <w:r w:rsidR="00851AF5">
        <w:rPr>
          <w:lang w:val="en-US"/>
        </w:rPr>
        <w:t>ILSA</w:t>
      </w:r>
      <w:r w:rsidRPr="566A9716">
        <w:rPr>
          <w:lang w:val="en-US"/>
        </w:rPr>
        <w:t xml:space="preserve"> program</w:t>
      </w:r>
      <w:r w:rsidRPr="6CEE53A3">
        <w:rPr>
          <w:lang w:val="en-US"/>
        </w:rPr>
        <w:t xml:space="preserve"> </w:t>
      </w:r>
      <w:r w:rsidRPr="0DD3F09E">
        <w:rPr>
          <w:lang w:val="en-US"/>
        </w:rPr>
        <w:t xml:space="preserve">was </w:t>
      </w:r>
      <w:r w:rsidRPr="3F3DC031">
        <w:rPr>
          <w:lang w:val="en-US"/>
        </w:rPr>
        <w:t xml:space="preserve">created, </w:t>
      </w:r>
      <w:r w:rsidRPr="5E627106">
        <w:rPr>
          <w:lang w:val="en-US"/>
        </w:rPr>
        <w:t>describes Ms.</w:t>
      </w:r>
      <w:r w:rsidRPr="41ADCC3C">
        <w:rPr>
          <w:lang w:val="en-US"/>
        </w:rPr>
        <w:t xml:space="preserve"> Cross as a</w:t>
      </w:r>
      <w:r w:rsidRPr="76AD0B38">
        <w:rPr>
          <w:lang w:val="en-US"/>
        </w:rPr>
        <w:t xml:space="preserve"> </w:t>
      </w:r>
      <w:r w:rsidRPr="14A209DA">
        <w:rPr>
          <w:lang w:val="en-US"/>
        </w:rPr>
        <w:t>“</w:t>
      </w:r>
      <w:r w:rsidRPr="32F80F10">
        <w:rPr>
          <w:lang w:val="en-US"/>
        </w:rPr>
        <w:t>loyal</w:t>
      </w:r>
      <w:r w:rsidRPr="11BEF2E4">
        <w:rPr>
          <w:lang w:val="en-US"/>
        </w:rPr>
        <w:t xml:space="preserve"> servant</w:t>
      </w:r>
      <w:r w:rsidRPr="722DC4BA">
        <w:rPr>
          <w:lang w:val="en-US"/>
        </w:rPr>
        <w:t>”</w:t>
      </w:r>
      <w:r w:rsidRPr="04584E7F">
        <w:rPr>
          <w:lang w:val="en-US"/>
        </w:rPr>
        <w:t xml:space="preserve"> </w:t>
      </w:r>
      <w:r w:rsidRPr="7B0B049D">
        <w:rPr>
          <w:lang w:val="en-US"/>
        </w:rPr>
        <w:t>who “</w:t>
      </w:r>
      <w:r w:rsidRPr="0053C8EC">
        <w:rPr>
          <w:lang w:val="en-US"/>
        </w:rPr>
        <w:t>saved many lives</w:t>
      </w:r>
      <w:r w:rsidRPr="52C00181">
        <w:rPr>
          <w:lang w:val="en-US"/>
        </w:rPr>
        <w:t>.”</w:t>
      </w:r>
      <w:r w:rsidRPr="0053C8EC">
        <w:rPr>
          <w:rStyle w:val="FootnoteReference"/>
          <w:lang w:val="en-US"/>
        </w:rPr>
        <w:footnoteReference w:id="71"/>
      </w:r>
      <w:r>
        <w:rPr>
          <w:lang w:val="en-US"/>
        </w:rPr>
        <w:t xml:space="preserve"> </w:t>
      </w:r>
      <w:r w:rsidRPr="00140121">
        <w:rPr>
          <w:lang w:val="en-US"/>
        </w:rPr>
        <w:t xml:space="preserve">Thus, the ICPPED cannot be interpreted to prioritize extradition as that would </w:t>
      </w:r>
      <w:r>
        <w:rPr>
          <w:lang w:val="en-US"/>
        </w:rPr>
        <w:t>defeat</w:t>
      </w:r>
      <w:r w:rsidRPr="00140121">
        <w:rPr>
          <w:lang w:val="en-US"/>
        </w:rPr>
        <w:t xml:space="preserve"> the object and purpose of the treaty. </w:t>
      </w:r>
    </w:p>
    <w:p w14:paraId="685983A9" w14:textId="77777777" w:rsidR="002A4673" w:rsidRPr="00140121" w:rsidRDefault="002A4673" w:rsidP="00F86D94">
      <w:pPr>
        <w:pStyle w:val="Heading5"/>
        <w:numPr>
          <w:ilvl w:val="2"/>
          <w:numId w:val="13"/>
        </w:numPr>
        <w:ind w:left="1800" w:hanging="360"/>
      </w:pPr>
      <w:bookmarkStart w:id="51" w:name="_Toc187614573"/>
      <w:bookmarkStart w:id="52" w:name="_Toc187757601"/>
      <w:r w:rsidRPr="3B0221E7">
        <w:t>The</w:t>
      </w:r>
      <w:r w:rsidRPr="00140121">
        <w:t xml:space="preserve"> fact that Rovinia and Ambrosia have signed an extradition treaty does not change the nature of the obligation </w:t>
      </w:r>
      <w:r w:rsidRPr="006F2027">
        <w:rPr>
          <w:i w:val="0"/>
          <w:iCs w:val="0"/>
        </w:rPr>
        <w:t>aut dedere aut judicare</w:t>
      </w:r>
      <w:bookmarkEnd w:id="51"/>
      <w:bookmarkEnd w:id="52"/>
    </w:p>
    <w:p w14:paraId="695541C5" w14:textId="20E9956D" w:rsidR="002A4673" w:rsidRPr="00140121" w:rsidRDefault="002A4673" w:rsidP="00F86D94">
      <w:pPr>
        <w:spacing w:before="240"/>
        <w:rPr>
          <w:lang w:val="en-US"/>
        </w:rPr>
      </w:pPr>
      <w:r w:rsidRPr="00140121">
        <w:rPr>
          <w:lang w:val="en-US"/>
        </w:rPr>
        <w:t>The existence of an independent extradition treaty between Rovinia and Ambrosia</w:t>
      </w:r>
      <w:r w:rsidRPr="00140121">
        <w:rPr>
          <w:vertAlign w:val="superscript"/>
          <w:lang w:val="en-US"/>
        </w:rPr>
        <w:footnoteReference w:id="72"/>
      </w:r>
      <w:r w:rsidRPr="00140121">
        <w:rPr>
          <w:lang w:val="en-US"/>
        </w:rPr>
        <w:t xml:space="preserve"> does not alter Rovinia’s obligation to prosecute under the ICPPED. The obligation to prosecute is mandatory, whereas extradition is an </w:t>
      </w:r>
      <w:r w:rsidRPr="1DF2BDF2">
        <w:rPr>
          <w:lang w:val="en-US"/>
        </w:rPr>
        <w:t>“</w:t>
      </w:r>
      <w:r w:rsidRPr="00140121">
        <w:rPr>
          <w:lang w:val="en-US"/>
        </w:rPr>
        <w:t>alternative option available, which if chosen, would relieve the State of its obligation to prosecute.”</w:t>
      </w:r>
      <w:r w:rsidRPr="00140121">
        <w:rPr>
          <w:vertAlign w:val="superscript"/>
          <w:lang w:val="en-US"/>
        </w:rPr>
        <w:footnoteReference w:id="73"/>
      </w:r>
      <w:r w:rsidRPr="00140121">
        <w:rPr>
          <w:lang w:val="en-US"/>
        </w:rPr>
        <w:t xml:space="preserve"> </w:t>
      </w:r>
    </w:p>
    <w:p w14:paraId="06C90C72" w14:textId="17D4A778" w:rsidR="002A4673" w:rsidRPr="00140121" w:rsidRDefault="00851AF5" w:rsidP="00F86D94">
      <w:pPr>
        <w:pStyle w:val="Heading4"/>
        <w:numPr>
          <w:ilvl w:val="0"/>
          <w:numId w:val="31"/>
        </w:numPr>
      </w:pPr>
      <w:bookmarkStart w:id="53" w:name="_Toc187614574"/>
      <w:bookmarkStart w:id="54" w:name="_Toc187757602"/>
      <w:r>
        <w:lastRenderedPageBreak/>
        <w:t xml:space="preserve">Under customary international law, </w:t>
      </w:r>
      <w:r w:rsidR="002A4673" w:rsidRPr="00140121">
        <w:t xml:space="preserve">Rovinia is entitled to </w:t>
      </w:r>
      <w:r w:rsidR="002A4673">
        <w:t>exercise</w:t>
      </w:r>
      <w:r w:rsidR="002A4673" w:rsidRPr="00140121">
        <w:t xml:space="preserve"> universal jurisdiction over Ms. Cross in respect of </w:t>
      </w:r>
      <w:r w:rsidR="002A4673">
        <w:t xml:space="preserve">her </w:t>
      </w:r>
      <w:r w:rsidR="002A4673" w:rsidRPr="00140121">
        <w:t>alleged crimes</w:t>
      </w:r>
      <w:bookmarkEnd w:id="53"/>
      <w:bookmarkEnd w:id="54"/>
    </w:p>
    <w:p w14:paraId="69EF17C6" w14:textId="4EF0A7EF" w:rsidR="002A4673" w:rsidRPr="00140121" w:rsidRDefault="002A4673" w:rsidP="002A4673">
      <w:pPr>
        <w:spacing w:before="240"/>
        <w:rPr>
          <w:lang w:val="en-US"/>
        </w:rPr>
      </w:pPr>
      <w:r w:rsidRPr="00140121">
        <w:rPr>
          <w:lang w:val="en-US"/>
        </w:rPr>
        <w:t>A rule of universal jurisdiction applies to the most serious crimes.</w:t>
      </w:r>
      <w:r w:rsidRPr="00140121">
        <w:rPr>
          <w:vertAlign w:val="superscript"/>
          <w:lang w:val="en-US"/>
        </w:rPr>
        <w:footnoteReference w:id="74"/>
      </w:r>
      <w:r w:rsidRPr="00140121">
        <w:rPr>
          <w:lang w:val="en-US"/>
        </w:rPr>
        <w:t xml:space="preserve"> </w:t>
      </w:r>
      <w:r w:rsidRPr="33A04E19">
        <w:rPr>
          <w:lang w:val="en-US"/>
        </w:rPr>
        <w:t xml:space="preserve">This </w:t>
      </w:r>
      <w:r w:rsidRPr="0270849E">
        <w:rPr>
          <w:lang w:val="en-US"/>
        </w:rPr>
        <w:t>purely residual form of jurisdiction</w:t>
      </w:r>
      <w:r w:rsidRPr="00140121">
        <w:rPr>
          <w:vertAlign w:val="superscript"/>
          <w:lang w:val="en-US"/>
        </w:rPr>
        <w:footnoteReference w:id="75"/>
      </w:r>
      <w:r w:rsidRPr="00140121">
        <w:rPr>
          <w:lang w:val="en-US"/>
        </w:rPr>
        <w:t xml:space="preserve"> exists </w:t>
      </w:r>
      <w:r w:rsidR="00851AF5">
        <w:rPr>
          <w:lang w:val="en-US"/>
        </w:rPr>
        <w:t>under</w:t>
      </w:r>
      <w:r w:rsidRPr="00140121">
        <w:rPr>
          <w:lang w:val="en-US"/>
        </w:rPr>
        <w:t xml:space="preserve"> customary international law,</w:t>
      </w:r>
      <w:r w:rsidRPr="00140121">
        <w:rPr>
          <w:vertAlign w:val="superscript"/>
          <w:lang w:val="en-US"/>
        </w:rPr>
        <w:footnoteReference w:id="76"/>
      </w:r>
      <w:r w:rsidRPr="00140121">
        <w:rPr>
          <w:lang w:val="en-US"/>
        </w:rPr>
        <w:t xml:space="preserve"> and is premised on the grave nature of the crime, as opposed to any nexus to the prosecuting State.</w:t>
      </w:r>
      <w:r w:rsidRPr="00140121">
        <w:rPr>
          <w:rStyle w:val="FootnoteReference"/>
          <w:lang w:val="en-US"/>
        </w:rPr>
        <w:footnoteReference w:id="77"/>
      </w:r>
    </w:p>
    <w:p w14:paraId="14700723" w14:textId="61386B1A" w:rsidR="002A4673" w:rsidRDefault="002A4673" w:rsidP="002A4673">
      <w:pPr>
        <w:spacing w:before="240"/>
        <w:rPr>
          <w:lang w:val="en-US"/>
        </w:rPr>
      </w:pPr>
      <w:r w:rsidRPr="00140121">
        <w:rPr>
          <w:lang w:val="en-US"/>
        </w:rPr>
        <w:t>This Court,</w:t>
      </w:r>
      <w:r w:rsidRPr="00140121">
        <w:rPr>
          <w:rStyle w:val="FootnoteReference"/>
          <w:lang w:val="en-US"/>
        </w:rPr>
        <w:footnoteReference w:id="78"/>
      </w:r>
      <w:r w:rsidRPr="00140121">
        <w:rPr>
          <w:lang w:val="en-US"/>
        </w:rPr>
        <w:t xml:space="preserve"> various</w:t>
      </w:r>
      <w:r w:rsidRPr="6C60162C">
        <w:rPr>
          <w:lang w:val="en-US"/>
        </w:rPr>
        <w:t xml:space="preserve"> States,</w:t>
      </w:r>
      <w:r w:rsidRPr="6C60162C">
        <w:rPr>
          <w:vertAlign w:val="superscript"/>
          <w:lang w:val="en-US"/>
        </w:rPr>
        <w:footnoteReference w:id="79"/>
      </w:r>
      <w:r w:rsidRPr="00140121">
        <w:rPr>
          <w:lang w:val="en-US"/>
        </w:rPr>
        <w:t xml:space="preserve"> and publicists</w:t>
      </w:r>
      <w:r w:rsidRPr="00140121">
        <w:rPr>
          <w:rStyle w:val="FootnoteReference"/>
          <w:lang w:val="en-US"/>
        </w:rPr>
        <w:footnoteReference w:id="80"/>
      </w:r>
      <w:r w:rsidRPr="00140121">
        <w:rPr>
          <w:lang w:val="en-US"/>
        </w:rPr>
        <w:t xml:space="preserve"> have each recognized that universal jurisdiction applies to crimes against humanity. There are reasonable grounds</w:t>
      </w:r>
      <w:r w:rsidRPr="5F71EA0B">
        <w:rPr>
          <w:rStyle w:val="FootnoteReference"/>
          <w:lang w:val="en-US"/>
        </w:rPr>
        <w:footnoteReference w:id="81"/>
      </w:r>
      <w:r w:rsidRPr="00140121">
        <w:rPr>
          <w:lang w:val="en-US"/>
        </w:rPr>
        <w:t xml:space="preserve"> to conclude that the alleged </w:t>
      </w:r>
      <w:r w:rsidR="00430970">
        <w:rPr>
          <w:lang w:val="en-US"/>
        </w:rPr>
        <w:t>crimes</w:t>
      </w:r>
      <w:r w:rsidRPr="00140121">
        <w:rPr>
          <w:lang w:val="en-US"/>
        </w:rPr>
        <w:t xml:space="preserve"> were </w:t>
      </w:r>
      <w:r w:rsidRPr="3B0DD1CC">
        <w:rPr>
          <w:lang w:val="en-US"/>
        </w:rPr>
        <w:t xml:space="preserve">directed </w:t>
      </w:r>
      <w:r w:rsidRPr="2B14B652">
        <w:rPr>
          <w:lang w:val="en-US"/>
        </w:rPr>
        <w:t>“</w:t>
      </w:r>
      <w:r w:rsidRPr="3B0DD1CC">
        <w:rPr>
          <w:lang w:val="en-US"/>
        </w:rPr>
        <w:t xml:space="preserve">against a civilian population” and were </w:t>
      </w:r>
      <w:r w:rsidRPr="62731B8C">
        <w:rPr>
          <w:lang w:val="en-US"/>
        </w:rPr>
        <w:t>“</w:t>
      </w:r>
      <w:r w:rsidRPr="3B0DD1CC">
        <w:rPr>
          <w:lang w:val="en-US"/>
        </w:rPr>
        <w:t xml:space="preserve">widespread or </w:t>
      </w:r>
      <w:r w:rsidRPr="3B0DD1CC">
        <w:rPr>
          <w:lang w:val="en-US"/>
        </w:rPr>
        <w:lastRenderedPageBreak/>
        <w:t>systematic</w:t>
      </w:r>
      <w:r w:rsidR="00851AF5">
        <w:rPr>
          <w:lang w:val="en-US"/>
        </w:rPr>
        <w:t>.</w:t>
      </w:r>
      <w:r w:rsidRPr="62731B8C">
        <w:rPr>
          <w:lang w:val="en-US"/>
        </w:rPr>
        <w:t>”</w:t>
      </w:r>
      <w:r w:rsidRPr="3B0DD1CC">
        <w:rPr>
          <w:vertAlign w:val="superscript"/>
          <w:lang w:val="en-US"/>
        </w:rPr>
        <w:footnoteReference w:id="82"/>
      </w:r>
      <w:r w:rsidRPr="24DD522D">
        <w:rPr>
          <w:lang w:val="en-US"/>
        </w:rPr>
        <w:t xml:space="preserve"> The abductions were directed against Ambrosian civilians.</w:t>
      </w:r>
      <w:r w:rsidRPr="245CC68E">
        <w:rPr>
          <w:rStyle w:val="FootnoteReference"/>
          <w:lang w:val="en-US"/>
        </w:rPr>
        <w:footnoteReference w:id="83"/>
      </w:r>
      <w:r w:rsidRPr="24DD522D">
        <w:rPr>
          <w:lang w:val="en-US"/>
        </w:rPr>
        <w:t xml:space="preserve"> The abduction of </w:t>
      </w:r>
      <w:r w:rsidRPr="1C00E52B">
        <w:rPr>
          <w:lang w:val="en-US"/>
        </w:rPr>
        <w:t>“</w:t>
      </w:r>
      <w:r w:rsidRPr="24DD522D">
        <w:rPr>
          <w:lang w:val="en-US"/>
        </w:rPr>
        <w:t>more than 150 Ambrosian citizens”</w:t>
      </w:r>
      <w:r w:rsidRPr="4263032F">
        <w:rPr>
          <w:rStyle w:val="FootnoteReference"/>
          <w:lang w:val="en-US"/>
        </w:rPr>
        <w:footnoteReference w:id="84"/>
      </w:r>
      <w:r w:rsidRPr="24DD522D">
        <w:rPr>
          <w:lang w:val="en-US"/>
        </w:rPr>
        <w:t xml:space="preserve"> is sufficient to constitute a widespread attack. Since there is no specific requirement of numerosity,</w:t>
      </w:r>
      <w:r w:rsidRPr="4788B941">
        <w:rPr>
          <w:rStyle w:val="FootnoteReference"/>
          <w:lang w:val="en-US"/>
        </w:rPr>
        <w:footnoteReference w:id="85"/>
      </w:r>
      <w:r w:rsidRPr="24DD522D">
        <w:rPr>
          <w:lang w:val="en-US"/>
        </w:rPr>
        <w:t xml:space="preserve"> even </w:t>
      </w:r>
      <w:r w:rsidRPr="1A8F4E6F">
        <w:rPr>
          <w:lang w:val="en-US"/>
        </w:rPr>
        <w:t>the perpetuation of</w:t>
      </w:r>
      <w:r w:rsidRPr="3D477BFE">
        <w:rPr>
          <w:lang w:val="en-US"/>
        </w:rPr>
        <w:t xml:space="preserve"> one or two offences</w:t>
      </w:r>
      <w:r w:rsidRPr="1A8F4E6F">
        <w:rPr>
          <w:lang w:val="en-US"/>
        </w:rPr>
        <w:t xml:space="preserve"> has been thought sufficient.</w:t>
      </w:r>
      <w:r w:rsidRPr="4C0AF69C">
        <w:rPr>
          <w:rStyle w:val="FootnoteReference"/>
          <w:lang w:val="en-US"/>
        </w:rPr>
        <w:footnoteReference w:id="86"/>
      </w:r>
      <w:r w:rsidRPr="1A8F4E6F">
        <w:rPr>
          <w:lang w:val="en-US"/>
        </w:rPr>
        <w:t xml:space="preserve"> </w:t>
      </w:r>
      <w:r w:rsidRPr="587846DB">
        <w:rPr>
          <w:lang w:val="en-US"/>
        </w:rPr>
        <w:t xml:space="preserve">Separately, the conduct of the </w:t>
      </w:r>
      <w:r w:rsidRPr="24DD522D">
        <w:rPr>
          <w:lang w:val="en-US"/>
        </w:rPr>
        <w:t>abductions via the state-run ILSA</w:t>
      </w:r>
      <w:r w:rsidRPr="1DF2BDF2">
        <w:rPr>
          <w:rStyle w:val="FootnoteReference"/>
          <w:lang w:val="en-US"/>
        </w:rPr>
        <w:footnoteReference w:id="87"/>
      </w:r>
      <w:r w:rsidRPr="24DD522D">
        <w:rPr>
          <w:lang w:val="en-US"/>
        </w:rPr>
        <w:t xml:space="preserve"> program makes the crimes </w:t>
      </w:r>
      <w:r w:rsidRPr="4263032F">
        <w:rPr>
          <w:lang w:val="en-US"/>
        </w:rPr>
        <w:t>“systematic,”</w:t>
      </w:r>
      <w:r w:rsidRPr="4C0AF69C">
        <w:rPr>
          <w:lang w:val="en-US"/>
        </w:rPr>
        <w:t xml:space="preserve"> given their organized and non-random occurrence.</w:t>
      </w:r>
      <w:r w:rsidRPr="4C0AF69C">
        <w:rPr>
          <w:rStyle w:val="FootnoteReference"/>
          <w:lang w:val="en-US"/>
        </w:rPr>
        <w:footnoteReference w:id="88"/>
      </w:r>
      <w:r w:rsidRPr="62731B8C">
        <w:rPr>
          <w:lang w:val="en-US"/>
        </w:rPr>
        <w:t xml:space="preserve"> </w:t>
      </w:r>
    </w:p>
    <w:p w14:paraId="28CE7506" w14:textId="61DAD7CD" w:rsidR="002A4673" w:rsidRDefault="002A4673" w:rsidP="002A4673">
      <w:pPr>
        <w:spacing w:before="240"/>
        <w:rPr>
          <w:lang w:val="en-US"/>
        </w:rPr>
      </w:pPr>
      <w:r w:rsidRPr="58B41317">
        <w:rPr>
          <w:lang w:val="en-US"/>
        </w:rPr>
        <w:t>The domestic laws of various States</w:t>
      </w:r>
      <w:r w:rsidRPr="4C0AF69C">
        <w:rPr>
          <w:vertAlign w:val="superscript"/>
          <w:lang w:val="en-US"/>
        </w:rPr>
        <w:footnoteReference w:id="89"/>
      </w:r>
      <w:r w:rsidRPr="58B41317">
        <w:rPr>
          <w:lang w:val="en-US"/>
        </w:rPr>
        <w:t xml:space="preserve"> also recognize universal jurisdiction over enforced disappearance </w:t>
      </w:r>
      <w:r w:rsidRPr="4C0AF69C">
        <w:rPr>
          <w:i/>
          <w:iCs/>
          <w:lang w:val="en-US"/>
        </w:rPr>
        <w:t>simpliciter</w:t>
      </w:r>
      <w:r w:rsidRPr="58B41317">
        <w:rPr>
          <w:lang w:val="en-US"/>
        </w:rPr>
        <w:t>.</w:t>
      </w:r>
      <w:r w:rsidRPr="108FC56C">
        <w:rPr>
          <w:lang w:val="en-US"/>
        </w:rPr>
        <w:t xml:space="preserve"> Thus,</w:t>
      </w:r>
      <w:r w:rsidRPr="4C0AF69C">
        <w:rPr>
          <w:lang w:val="en-US"/>
        </w:rPr>
        <w:t xml:space="preserve"> </w:t>
      </w:r>
      <w:r w:rsidRPr="58B41317">
        <w:rPr>
          <w:lang w:val="en-US"/>
        </w:rPr>
        <w:t xml:space="preserve">Rovinia </w:t>
      </w:r>
      <w:r w:rsidRPr="4C0AF69C">
        <w:rPr>
          <w:lang w:val="en-US"/>
        </w:rPr>
        <w:t>acted lawfully</w:t>
      </w:r>
      <w:r w:rsidRPr="58B41317">
        <w:rPr>
          <w:lang w:val="en-US"/>
        </w:rPr>
        <w:t xml:space="preserve"> in exercising universal jurisdiction over </w:t>
      </w:r>
      <w:r w:rsidRPr="4C0AF69C">
        <w:rPr>
          <w:lang w:val="en-US"/>
        </w:rPr>
        <w:t xml:space="preserve">Ms. Cross in respect of the alleged crimes against humanity or enforced disappearance </w:t>
      </w:r>
      <w:r w:rsidRPr="2D9973D4">
        <w:rPr>
          <w:i/>
          <w:lang w:val="en-US"/>
        </w:rPr>
        <w:t>simpliciter</w:t>
      </w:r>
      <w:r w:rsidRPr="4C0AF69C">
        <w:rPr>
          <w:lang w:val="en-US"/>
        </w:rPr>
        <w:t xml:space="preserve">. </w:t>
      </w:r>
    </w:p>
    <w:p w14:paraId="136C4092" w14:textId="77777777" w:rsidR="002A4673" w:rsidRDefault="002A4673" w:rsidP="00F86D94">
      <w:pPr>
        <w:spacing w:before="240"/>
        <w:ind w:firstLine="0"/>
        <w:rPr>
          <w:lang w:val="en-US"/>
        </w:rPr>
      </w:pPr>
    </w:p>
    <w:p w14:paraId="3AF5EF44" w14:textId="41035F28" w:rsidR="002A4673" w:rsidRPr="00140121" w:rsidRDefault="002A4673" w:rsidP="00F86D94">
      <w:pPr>
        <w:pStyle w:val="Heading3"/>
        <w:numPr>
          <w:ilvl w:val="0"/>
          <w:numId w:val="9"/>
        </w:numPr>
        <w:ind w:left="1080"/>
      </w:pPr>
      <w:bookmarkStart w:id="55" w:name="_Toc187614575"/>
      <w:bookmarkStart w:id="56" w:name="_Toc187757603"/>
      <w:r w:rsidRPr="00140121">
        <w:t xml:space="preserve">Ms. Cross is not </w:t>
      </w:r>
      <w:r>
        <w:t>immune from</w:t>
      </w:r>
      <w:r w:rsidRPr="00140121">
        <w:t xml:space="preserve"> Rovinia’s exercise of criminal jurisdiction</w:t>
      </w:r>
      <w:bookmarkEnd w:id="55"/>
      <w:bookmarkEnd w:id="56"/>
      <w:r w:rsidRPr="00140121">
        <w:t xml:space="preserve"> </w:t>
      </w:r>
    </w:p>
    <w:p w14:paraId="07E8CF76" w14:textId="77777777" w:rsidR="002A4673" w:rsidRPr="00140121" w:rsidRDefault="002A4673" w:rsidP="002A4673">
      <w:pPr>
        <w:spacing w:before="240"/>
        <w:rPr>
          <w:lang w:val="en-US"/>
        </w:rPr>
      </w:pPr>
      <w:r w:rsidRPr="00140121">
        <w:rPr>
          <w:lang w:val="en-US"/>
        </w:rPr>
        <w:t>Ms</w:t>
      </w:r>
      <w:r>
        <w:rPr>
          <w:lang w:val="en-US"/>
        </w:rPr>
        <w:t>.</w:t>
      </w:r>
      <w:r w:rsidRPr="00140121">
        <w:rPr>
          <w:lang w:val="en-US"/>
        </w:rPr>
        <w:t xml:space="preserve"> Cross is not entitled to any form of immunity which would exempt her from arrest and prosecution. Specifically, she is not entitled to any immunity </w:t>
      </w:r>
      <w:r w:rsidRPr="00140121">
        <w:rPr>
          <w:i/>
          <w:lang w:val="en-US"/>
        </w:rPr>
        <w:t>ratione personae</w:t>
      </w:r>
      <w:r w:rsidRPr="00140121">
        <w:rPr>
          <w:lang w:val="en-US"/>
        </w:rPr>
        <w:t xml:space="preserve"> </w:t>
      </w:r>
      <w:r w:rsidRPr="00140121">
        <w:rPr>
          <w:b/>
          <w:lang w:val="en-US"/>
        </w:rPr>
        <w:t>[1]</w:t>
      </w:r>
      <w:r w:rsidRPr="00140121">
        <w:rPr>
          <w:lang w:val="en-US"/>
        </w:rPr>
        <w:t xml:space="preserve"> or immunity </w:t>
      </w:r>
      <w:r w:rsidRPr="00140121">
        <w:rPr>
          <w:i/>
          <w:lang w:val="en-US"/>
        </w:rPr>
        <w:t>ratione materiae</w:t>
      </w:r>
      <w:r w:rsidRPr="00140121">
        <w:rPr>
          <w:lang w:val="en-US"/>
        </w:rPr>
        <w:t xml:space="preserve"> </w:t>
      </w:r>
      <w:r w:rsidRPr="00140121">
        <w:rPr>
          <w:b/>
          <w:lang w:val="en-US"/>
        </w:rPr>
        <w:t>[2]</w:t>
      </w:r>
      <w:r w:rsidRPr="00140121">
        <w:rPr>
          <w:lang w:val="en-US"/>
        </w:rPr>
        <w:t xml:space="preserve">. </w:t>
      </w:r>
    </w:p>
    <w:p w14:paraId="096B877C" w14:textId="77777777" w:rsidR="002A4673" w:rsidRPr="00140121" w:rsidRDefault="002A4673" w:rsidP="00F86D94">
      <w:pPr>
        <w:pStyle w:val="Heading4"/>
        <w:numPr>
          <w:ilvl w:val="0"/>
          <w:numId w:val="2"/>
        </w:numPr>
        <w:ind w:left="1800" w:hanging="360"/>
      </w:pPr>
      <w:bookmarkStart w:id="57" w:name="_Toc187614576"/>
      <w:bookmarkStart w:id="58" w:name="_Toc187757604"/>
      <w:r w:rsidRPr="00140121">
        <w:lastRenderedPageBreak/>
        <w:t>Ms</w:t>
      </w:r>
      <w:r>
        <w:t>.</w:t>
      </w:r>
      <w:r w:rsidRPr="00140121">
        <w:t xml:space="preserve"> Cross is not entitled to immunity </w:t>
      </w:r>
      <w:r w:rsidRPr="00BA3E79">
        <w:rPr>
          <w:i/>
          <w:iCs/>
        </w:rPr>
        <w:t>ratione personae</w:t>
      </w:r>
      <w:bookmarkEnd w:id="57"/>
      <w:bookmarkEnd w:id="58"/>
      <w:r w:rsidRPr="00140121">
        <w:t xml:space="preserve"> </w:t>
      </w:r>
    </w:p>
    <w:p w14:paraId="7D395A90" w14:textId="77777777" w:rsidR="002A4673" w:rsidRDefault="002A4673" w:rsidP="002A4673">
      <w:pPr>
        <w:spacing w:before="240"/>
        <w:rPr>
          <w:lang w:val="en-US"/>
        </w:rPr>
      </w:pPr>
      <w:r w:rsidRPr="00140121">
        <w:rPr>
          <w:lang w:val="en-US"/>
        </w:rPr>
        <w:t xml:space="preserve">Immunity </w:t>
      </w:r>
      <w:r w:rsidRPr="245CC68E">
        <w:rPr>
          <w:i/>
          <w:iCs/>
          <w:lang w:val="en-US"/>
        </w:rPr>
        <w:t>ratione personae</w:t>
      </w:r>
      <w:r w:rsidRPr="00140121">
        <w:rPr>
          <w:lang w:val="en-US"/>
        </w:rPr>
        <w:t xml:space="preserve"> is defined as immunity for a limited class of persons, which arises by virtue of the office they hold.</w:t>
      </w:r>
      <w:r w:rsidRPr="00140121">
        <w:rPr>
          <w:vertAlign w:val="superscript"/>
          <w:lang w:val="en-US"/>
        </w:rPr>
        <w:footnoteReference w:id="90"/>
      </w:r>
      <w:r w:rsidRPr="00140121">
        <w:rPr>
          <w:lang w:val="en-US"/>
        </w:rPr>
        <w:t xml:space="preserve"> Ms</w:t>
      </w:r>
      <w:r>
        <w:rPr>
          <w:lang w:val="en-US"/>
        </w:rPr>
        <w:t>.</w:t>
      </w:r>
      <w:r w:rsidRPr="00140121">
        <w:rPr>
          <w:lang w:val="en-US"/>
        </w:rPr>
        <w:t xml:space="preserve"> Cross is not entitled to any immunity </w:t>
      </w:r>
      <w:r w:rsidRPr="245CC68E">
        <w:rPr>
          <w:i/>
          <w:iCs/>
          <w:lang w:val="en-US"/>
        </w:rPr>
        <w:t>ratione personae</w:t>
      </w:r>
      <w:r w:rsidRPr="00140121">
        <w:rPr>
          <w:lang w:val="en-US"/>
        </w:rPr>
        <w:t xml:space="preserve"> for two reasons. </w:t>
      </w:r>
    </w:p>
    <w:p w14:paraId="1C544133" w14:textId="251852D5" w:rsidR="002A4673" w:rsidRPr="00140121" w:rsidRDefault="002A4673" w:rsidP="002A4673">
      <w:pPr>
        <w:spacing w:before="240"/>
        <w:rPr>
          <w:lang w:val="en-US"/>
        </w:rPr>
      </w:pPr>
      <w:r w:rsidRPr="00140121">
        <w:rPr>
          <w:lang w:val="en-US"/>
        </w:rPr>
        <w:t xml:space="preserve">First, immunity </w:t>
      </w:r>
      <w:r w:rsidRPr="245CC68E">
        <w:rPr>
          <w:i/>
          <w:iCs/>
          <w:lang w:val="en-US"/>
        </w:rPr>
        <w:t>ratione personae</w:t>
      </w:r>
      <w:r w:rsidRPr="00140121">
        <w:rPr>
          <w:lang w:val="en-US"/>
        </w:rPr>
        <w:t xml:space="preserve"> only applies to Heads of State, Heads of Government, and </w:t>
      </w:r>
      <w:r>
        <w:rPr>
          <w:lang w:val="en-US"/>
        </w:rPr>
        <w:t>Foreign Ministers,</w:t>
      </w:r>
      <w:r w:rsidRPr="00140121">
        <w:rPr>
          <w:vertAlign w:val="superscript"/>
          <w:lang w:val="en-US"/>
        </w:rPr>
        <w:footnoteReference w:id="91"/>
      </w:r>
      <w:r w:rsidRPr="00140121">
        <w:rPr>
          <w:lang w:val="en-US"/>
        </w:rPr>
        <w:t xml:space="preserve"> a position endorsed by this Court.</w:t>
      </w:r>
      <w:r w:rsidRPr="00140121">
        <w:rPr>
          <w:vertAlign w:val="superscript"/>
          <w:lang w:val="en-US"/>
        </w:rPr>
        <w:footnoteReference w:id="92"/>
      </w:r>
      <w:r w:rsidRPr="00140121">
        <w:rPr>
          <w:lang w:val="en-US"/>
        </w:rPr>
        <w:t xml:space="preserve"> Even assuming, </w:t>
      </w:r>
      <w:r w:rsidRPr="245CC68E">
        <w:rPr>
          <w:i/>
          <w:iCs/>
          <w:lang w:val="en-US"/>
        </w:rPr>
        <w:t>arguendo</w:t>
      </w:r>
      <w:r w:rsidRPr="00140121">
        <w:rPr>
          <w:lang w:val="en-US"/>
        </w:rPr>
        <w:t xml:space="preserve">, that immunity </w:t>
      </w:r>
      <w:r w:rsidRPr="245CC68E">
        <w:rPr>
          <w:i/>
          <w:iCs/>
          <w:lang w:val="en-US"/>
        </w:rPr>
        <w:t xml:space="preserve">ratione personae </w:t>
      </w:r>
      <w:r w:rsidRPr="00140121">
        <w:rPr>
          <w:lang w:val="en-US"/>
        </w:rPr>
        <w:t>extend</w:t>
      </w:r>
      <w:r w:rsidR="00BA3E79">
        <w:rPr>
          <w:lang w:val="en-US"/>
        </w:rPr>
        <w:t>s</w:t>
      </w:r>
      <w:r w:rsidRPr="00140121">
        <w:rPr>
          <w:lang w:val="en-US"/>
        </w:rPr>
        <w:t xml:space="preserve"> beyond such officials, it </w:t>
      </w:r>
      <w:r w:rsidR="00BA3E79">
        <w:rPr>
          <w:lang w:val="en-US"/>
        </w:rPr>
        <w:t>does</w:t>
      </w:r>
      <w:r w:rsidRPr="00140121">
        <w:rPr>
          <w:lang w:val="en-US"/>
        </w:rPr>
        <w:t xml:space="preserve"> not apply to </w:t>
      </w:r>
      <w:r w:rsidR="00BA3E79">
        <w:rPr>
          <w:lang w:val="en-US"/>
        </w:rPr>
        <w:t>interior m</w:t>
      </w:r>
      <w:r w:rsidRPr="00140121">
        <w:rPr>
          <w:lang w:val="en-US"/>
        </w:rPr>
        <w:t xml:space="preserve">inisters, </w:t>
      </w:r>
      <w:r>
        <w:rPr>
          <w:lang w:val="en-US"/>
        </w:rPr>
        <w:t xml:space="preserve">since </w:t>
      </w:r>
      <w:r w:rsidRPr="00140121">
        <w:rPr>
          <w:lang w:val="en-US"/>
        </w:rPr>
        <w:t xml:space="preserve">such </w:t>
      </w:r>
      <w:r w:rsidR="00BA3E79">
        <w:rPr>
          <w:lang w:val="en-US"/>
        </w:rPr>
        <w:t>m</w:t>
      </w:r>
      <w:r>
        <w:rPr>
          <w:lang w:val="en-US"/>
        </w:rPr>
        <w:t>inisters</w:t>
      </w:r>
      <w:r w:rsidRPr="00140121">
        <w:rPr>
          <w:lang w:val="en-US"/>
        </w:rPr>
        <w:t xml:space="preserve"> are primarily in charge of domestic affairs</w:t>
      </w:r>
      <w:r>
        <w:rPr>
          <w:lang w:val="en-US"/>
        </w:rPr>
        <w:t>. To hold otherwise would be inconsistent with the</w:t>
      </w:r>
      <w:r w:rsidRPr="00140121">
        <w:rPr>
          <w:lang w:val="en-US"/>
        </w:rPr>
        <w:t xml:space="preserve"> rationale behind immunity</w:t>
      </w:r>
      <w:r>
        <w:rPr>
          <w:lang w:val="en-US"/>
        </w:rPr>
        <w:t xml:space="preserve"> </w:t>
      </w:r>
      <w:r w:rsidRPr="245CC68E">
        <w:rPr>
          <w:i/>
          <w:iCs/>
          <w:lang w:val="en-US"/>
        </w:rPr>
        <w:t>ratione personae</w:t>
      </w:r>
      <w:r w:rsidR="00BA3E79">
        <w:rPr>
          <w:lang w:val="en-US"/>
        </w:rPr>
        <w:t>,</w:t>
      </w:r>
      <w:r w:rsidRPr="00140121">
        <w:rPr>
          <w:lang w:val="en-US"/>
        </w:rPr>
        <w:t xml:space="preserve"> that </w:t>
      </w:r>
      <w:r>
        <w:rPr>
          <w:lang w:val="en-US"/>
        </w:rPr>
        <w:t>some</w:t>
      </w:r>
      <w:r w:rsidRPr="00140121">
        <w:rPr>
          <w:lang w:val="en-US"/>
        </w:rPr>
        <w:t xml:space="preserve"> officials represent the State on the international plane.</w:t>
      </w:r>
      <w:r w:rsidRPr="00140121">
        <w:rPr>
          <w:vertAlign w:val="superscript"/>
          <w:lang w:val="en-US"/>
        </w:rPr>
        <w:footnoteReference w:id="93"/>
      </w:r>
      <w:r w:rsidRPr="00140121">
        <w:rPr>
          <w:lang w:val="en-US"/>
        </w:rPr>
        <w:t xml:space="preserve"> </w:t>
      </w:r>
    </w:p>
    <w:p w14:paraId="6755F0CE" w14:textId="312E8EEB" w:rsidR="002A4673" w:rsidRPr="00140121" w:rsidRDefault="002A4673" w:rsidP="002A4673">
      <w:pPr>
        <w:spacing w:before="240"/>
        <w:rPr>
          <w:lang w:val="en-US"/>
        </w:rPr>
      </w:pPr>
      <w:r w:rsidRPr="00140121">
        <w:rPr>
          <w:lang w:val="en-US"/>
        </w:rPr>
        <w:t xml:space="preserve">Second, immunity </w:t>
      </w:r>
      <w:r w:rsidRPr="245CC68E">
        <w:rPr>
          <w:i/>
          <w:iCs/>
          <w:lang w:val="en-US"/>
        </w:rPr>
        <w:t>ratione personae</w:t>
      </w:r>
      <w:r w:rsidRPr="00140121">
        <w:rPr>
          <w:lang w:val="en-US"/>
        </w:rPr>
        <w:t xml:space="preserve"> applies only during an individual’s term in office. This rule has been recognized by the ILC,</w:t>
      </w:r>
      <w:r w:rsidRPr="00140121">
        <w:rPr>
          <w:vertAlign w:val="superscript"/>
          <w:lang w:val="en-US"/>
        </w:rPr>
        <w:footnoteReference w:id="94"/>
      </w:r>
      <w:r w:rsidRPr="00140121">
        <w:rPr>
          <w:lang w:val="en-US"/>
        </w:rPr>
        <w:t xml:space="preserve"> States,</w:t>
      </w:r>
      <w:r w:rsidRPr="00140121">
        <w:rPr>
          <w:vertAlign w:val="superscript"/>
          <w:lang w:val="en-US"/>
        </w:rPr>
        <w:footnoteReference w:id="95"/>
      </w:r>
      <w:r w:rsidRPr="00140121">
        <w:rPr>
          <w:lang w:val="en-US"/>
        </w:rPr>
        <w:t xml:space="preserve"> and this Court</w:t>
      </w:r>
      <w:r>
        <w:rPr>
          <w:lang w:val="en-US"/>
        </w:rPr>
        <w:t>.</w:t>
      </w:r>
      <w:r w:rsidRPr="00140121">
        <w:rPr>
          <w:vertAlign w:val="superscript"/>
          <w:lang w:val="en-US"/>
        </w:rPr>
        <w:footnoteReference w:id="96"/>
      </w:r>
      <w:r w:rsidRPr="00140121">
        <w:rPr>
          <w:lang w:val="en-US"/>
        </w:rPr>
        <w:t xml:space="preserve"> E</w:t>
      </w:r>
      <w:r w:rsidRPr="6E8DD046">
        <w:rPr>
          <w:lang w:val="en-US"/>
        </w:rPr>
        <w:t xml:space="preserve">ven assuming immunity </w:t>
      </w:r>
      <w:r w:rsidRPr="245CC68E">
        <w:rPr>
          <w:i/>
          <w:iCs/>
          <w:lang w:val="en-US"/>
        </w:rPr>
        <w:t xml:space="preserve">ratione personae </w:t>
      </w:r>
      <w:r w:rsidRPr="6E8DD046">
        <w:rPr>
          <w:lang w:val="en-US"/>
        </w:rPr>
        <w:t>applied to Ms. Cross, it has lapsed since she left her office.</w:t>
      </w:r>
      <w:r w:rsidRPr="00140121">
        <w:rPr>
          <w:lang w:val="en-US"/>
        </w:rPr>
        <w:t xml:space="preserve"> </w:t>
      </w:r>
      <w:r>
        <w:rPr>
          <w:lang w:val="en-US"/>
        </w:rPr>
        <w:t>Ms</w:t>
      </w:r>
      <w:r w:rsidRPr="00140121">
        <w:rPr>
          <w:lang w:val="en-US"/>
        </w:rPr>
        <w:t xml:space="preserve">. Cross </w:t>
      </w:r>
      <w:r w:rsidRPr="108FC56C">
        <w:rPr>
          <w:lang w:val="en-US"/>
        </w:rPr>
        <w:t>“</w:t>
      </w:r>
      <w:r w:rsidRPr="00140121">
        <w:rPr>
          <w:lang w:val="en-US"/>
        </w:rPr>
        <w:t>resigned as Interior Minister”</w:t>
      </w:r>
      <w:r w:rsidRPr="00140121">
        <w:rPr>
          <w:vertAlign w:val="superscript"/>
          <w:lang w:val="en-US"/>
        </w:rPr>
        <w:footnoteReference w:id="97"/>
      </w:r>
      <w:r>
        <w:rPr>
          <w:lang w:val="en-US"/>
        </w:rPr>
        <w:t xml:space="preserve"> and thus enjoys no such immunity. </w:t>
      </w:r>
    </w:p>
    <w:p w14:paraId="67040046" w14:textId="77777777" w:rsidR="002A4673" w:rsidRPr="00140121" w:rsidRDefault="002A4673" w:rsidP="00F86D94">
      <w:pPr>
        <w:pStyle w:val="Heading4"/>
        <w:numPr>
          <w:ilvl w:val="0"/>
          <w:numId w:val="2"/>
        </w:numPr>
        <w:ind w:hanging="360"/>
      </w:pPr>
      <w:bookmarkStart w:id="59" w:name="_Toc187614577"/>
      <w:bookmarkStart w:id="60" w:name="_Toc187757605"/>
      <w:r w:rsidRPr="00140121">
        <w:lastRenderedPageBreak/>
        <w:t xml:space="preserve">Ms. Cross is not entitled to immunity </w:t>
      </w:r>
      <w:r w:rsidRPr="0077643C">
        <w:rPr>
          <w:i/>
          <w:iCs/>
        </w:rPr>
        <w:t>ratione materiae</w:t>
      </w:r>
      <w:bookmarkEnd w:id="59"/>
      <w:bookmarkEnd w:id="60"/>
    </w:p>
    <w:p w14:paraId="1F8B7DC9" w14:textId="0F86A440" w:rsidR="002A4673" w:rsidRPr="00140121" w:rsidRDefault="002A4673" w:rsidP="002A4673">
      <w:pPr>
        <w:spacing w:before="240"/>
        <w:rPr>
          <w:lang w:val="en-US"/>
        </w:rPr>
      </w:pPr>
      <w:r w:rsidRPr="00140121">
        <w:rPr>
          <w:lang w:val="en-US"/>
        </w:rPr>
        <w:t xml:space="preserve">Immunity </w:t>
      </w:r>
      <w:r w:rsidRPr="245CC68E">
        <w:rPr>
          <w:i/>
          <w:iCs/>
          <w:lang w:val="en-US"/>
        </w:rPr>
        <w:t>ratione materiae</w:t>
      </w:r>
      <w:r w:rsidRPr="00140121">
        <w:rPr>
          <w:lang w:val="en-US"/>
        </w:rPr>
        <w:t xml:space="preserve"> attaches not to particular persons, but to particular acts.</w:t>
      </w:r>
      <w:r w:rsidRPr="00140121">
        <w:rPr>
          <w:vertAlign w:val="superscript"/>
          <w:lang w:val="en-US"/>
        </w:rPr>
        <w:footnoteReference w:id="98"/>
      </w:r>
      <w:r w:rsidRPr="00140121">
        <w:rPr>
          <w:lang w:val="en-US"/>
        </w:rPr>
        <w:t xml:space="preserve"> Ms</w:t>
      </w:r>
      <w:r>
        <w:rPr>
          <w:lang w:val="en-US"/>
        </w:rPr>
        <w:t>.</w:t>
      </w:r>
      <w:r w:rsidRPr="00140121">
        <w:rPr>
          <w:lang w:val="en-US"/>
        </w:rPr>
        <w:t xml:space="preserve"> Cross is not entitled to any immunity </w:t>
      </w:r>
      <w:r w:rsidRPr="245CC68E">
        <w:rPr>
          <w:i/>
          <w:iCs/>
          <w:lang w:val="en-US"/>
        </w:rPr>
        <w:t xml:space="preserve">ratione materiae </w:t>
      </w:r>
      <w:r w:rsidRPr="00140121">
        <w:rPr>
          <w:lang w:val="en-US"/>
        </w:rPr>
        <w:t xml:space="preserve">for two reasons. First, the enforced disappearances for which she is </w:t>
      </w:r>
      <w:r w:rsidRPr="6E8DD046">
        <w:rPr>
          <w:lang w:val="en-US"/>
        </w:rPr>
        <w:t xml:space="preserve">being </w:t>
      </w:r>
      <w:r w:rsidRPr="00140121">
        <w:rPr>
          <w:lang w:val="en-US"/>
        </w:rPr>
        <w:t xml:space="preserve">prosecuted were not conducted within an </w:t>
      </w:r>
      <w:r w:rsidRPr="221C1E6F">
        <w:rPr>
          <w:lang w:val="en-US"/>
        </w:rPr>
        <w:t>“</w:t>
      </w:r>
      <w:r w:rsidRPr="00140121">
        <w:rPr>
          <w:lang w:val="en-US"/>
        </w:rPr>
        <w:t xml:space="preserve">official </w:t>
      </w:r>
      <w:r w:rsidRPr="221C1E6F">
        <w:rPr>
          <w:lang w:val="en-US"/>
        </w:rPr>
        <w:t>capacity”</w:t>
      </w:r>
      <w:r w:rsidRPr="00140121">
        <w:rPr>
          <w:lang w:val="en-US"/>
        </w:rPr>
        <w:t xml:space="preserve"> </w:t>
      </w:r>
      <w:r w:rsidRPr="00140121">
        <w:rPr>
          <w:b/>
          <w:bCs/>
          <w:lang w:val="en-US"/>
        </w:rPr>
        <w:t>[i]</w:t>
      </w:r>
      <w:r w:rsidRPr="00140121">
        <w:rPr>
          <w:lang w:val="en-US"/>
        </w:rPr>
        <w:t xml:space="preserve">. Second, even if Ms. Cross </w:t>
      </w:r>
      <w:r w:rsidR="0077643C">
        <w:rPr>
          <w:lang w:val="en-US"/>
        </w:rPr>
        <w:t>were</w:t>
      </w:r>
      <w:r w:rsidRPr="00140121">
        <w:rPr>
          <w:lang w:val="en-US"/>
        </w:rPr>
        <w:t xml:space="preserve"> acting in an </w:t>
      </w:r>
      <w:r w:rsidRPr="390FA6F8">
        <w:rPr>
          <w:lang w:val="en-US"/>
        </w:rPr>
        <w:t>“</w:t>
      </w:r>
      <w:r w:rsidRPr="00140121">
        <w:rPr>
          <w:lang w:val="en-US"/>
        </w:rPr>
        <w:t>official capacity</w:t>
      </w:r>
      <w:r w:rsidR="0077643C">
        <w:rPr>
          <w:lang w:val="en-US"/>
        </w:rPr>
        <w:t>,</w:t>
      </w:r>
      <w:r w:rsidRPr="00140121">
        <w:rPr>
          <w:lang w:val="en-US"/>
        </w:rPr>
        <w:t xml:space="preserve">” immunity </w:t>
      </w:r>
      <w:r w:rsidRPr="245CC68E">
        <w:rPr>
          <w:i/>
          <w:iCs/>
          <w:lang w:val="en-US"/>
        </w:rPr>
        <w:t>ratione materiae</w:t>
      </w:r>
      <w:r w:rsidRPr="00140121">
        <w:rPr>
          <w:lang w:val="en-US"/>
        </w:rPr>
        <w:t xml:space="preserve"> does not apply to the </w:t>
      </w:r>
      <w:r w:rsidRPr="6E8DD046">
        <w:rPr>
          <w:lang w:val="en-US"/>
        </w:rPr>
        <w:t>crimes for which she is being prosecuted</w:t>
      </w:r>
      <w:r w:rsidRPr="00140121">
        <w:rPr>
          <w:lang w:val="en-US"/>
        </w:rPr>
        <w:t xml:space="preserve"> </w:t>
      </w:r>
      <w:r w:rsidRPr="00140121">
        <w:rPr>
          <w:b/>
          <w:bCs/>
          <w:lang w:val="en-US"/>
        </w:rPr>
        <w:t>[ii]</w:t>
      </w:r>
      <w:r w:rsidRPr="00140121">
        <w:rPr>
          <w:lang w:val="en-US"/>
        </w:rPr>
        <w:t>.</w:t>
      </w:r>
    </w:p>
    <w:p w14:paraId="45654144" w14:textId="25476AB7" w:rsidR="002A4673" w:rsidRPr="00140121" w:rsidRDefault="002A4673" w:rsidP="00F86D94">
      <w:pPr>
        <w:pStyle w:val="Heading5"/>
        <w:numPr>
          <w:ilvl w:val="2"/>
          <w:numId w:val="31"/>
        </w:numPr>
        <w:ind w:left="1800" w:hanging="360"/>
      </w:pPr>
      <w:bookmarkStart w:id="61" w:name="_Toc187614578"/>
      <w:bookmarkStart w:id="62" w:name="_Toc187757606"/>
      <w:r w:rsidRPr="1940B350">
        <w:t>The</w:t>
      </w:r>
      <w:r w:rsidRPr="00140121">
        <w:t xml:space="preserve"> acts complained of were not conducted within an </w:t>
      </w:r>
      <w:r w:rsidR="0077643C">
        <w:t>“</w:t>
      </w:r>
      <w:r w:rsidRPr="00140121">
        <w:t>official capacity</w:t>
      </w:r>
      <w:bookmarkEnd w:id="61"/>
      <w:r w:rsidR="0077643C">
        <w:t>”</w:t>
      </w:r>
      <w:bookmarkEnd w:id="62"/>
    </w:p>
    <w:p w14:paraId="58859ED9" w14:textId="06AF4C42" w:rsidR="002A4673" w:rsidRPr="00140121" w:rsidRDefault="002A4673" w:rsidP="002A4673">
      <w:pPr>
        <w:spacing w:before="240"/>
        <w:rPr>
          <w:lang w:val="en-US"/>
        </w:rPr>
      </w:pPr>
      <w:r>
        <w:rPr>
          <w:lang w:val="en-US"/>
        </w:rPr>
        <w:t>S</w:t>
      </w:r>
      <w:r w:rsidRPr="00140121">
        <w:rPr>
          <w:lang w:val="en-US"/>
        </w:rPr>
        <w:t xml:space="preserve">tate officials enjoy immunity </w:t>
      </w:r>
      <w:r w:rsidRPr="5583BD7A">
        <w:rPr>
          <w:i/>
          <w:iCs/>
          <w:lang w:val="en-US"/>
        </w:rPr>
        <w:t>ratione materiae</w:t>
      </w:r>
      <w:r w:rsidRPr="00140121">
        <w:rPr>
          <w:lang w:val="en-US"/>
        </w:rPr>
        <w:t xml:space="preserve"> only with respect to acts performed in an official capacity</w:t>
      </w:r>
      <w:r>
        <w:rPr>
          <w:lang w:val="en-US"/>
        </w:rPr>
        <w:t>.</w:t>
      </w:r>
      <w:r w:rsidRPr="00140121">
        <w:rPr>
          <w:vertAlign w:val="superscript"/>
          <w:lang w:val="en-US"/>
        </w:rPr>
        <w:footnoteReference w:id="99"/>
      </w:r>
      <w:r w:rsidRPr="00140121">
        <w:rPr>
          <w:lang w:val="en-US"/>
        </w:rPr>
        <w:t xml:space="preserve"> Various courts have distinguished instances of assassination,</w:t>
      </w:r>
      <w:r w:rsidRPr="00140121">
        <w:rPr>
          <w:vertAlign w:val="superscript"/>
          <w:lang w:val="en-US"/>
        </w:rPr>
        <w:footnoteReference w:id="100"/>
      </w:r>
      <w:r w:rsidRPr="00140121">
        <w:rPr>
          <w:lang w:val="en-US"/>
        </w:rPr>
        <w:t xml:space="preserve"> corruption,</w:t>
      </w:r>
      <w:r w:rsidRPr="00140121">
        <w:rPr>
          <w:vertAlign w:val="superscript"/>
          <w:lang w:val="en-US"/>
        </w:rPr>
        <w:footnoteReference w:id="101"/>
      </w:r>
      <w:r w:rsidRPr="00140121">
        <w:rPr>
          <w:lang w:val="en-US"/>
        </w:rPr>
        <w:t xml:space="preserve"> and torture</w:t>
      </w:r>
      <w:r w:rsidRPr="00140121">
        <w:rPr>
          <w:vertAlign w:val="superscript"/>
          <w:lang w:val="en-US"/>
        </w:rPr>
        <w:footnoteReference w:id="102"/>
      </w:r>
      <w:r w:rsidRPr="00140121">
        <w:rPr>
          <w:lang w:val="en-US"/>
        </w:rPr>
        <w:t xml:space="preserve"> as inconsistent with the performance of </w:t>
      </w:r>
      <w:r w:rsidR="0077643C">
        <w:rPr>
          <w:lang w:val="en-US"/>
        </w:rPr>
        <w:t>S</w:t>
      </w:r>
      <w:r w:rsidRPr="00140121">
        <w:rPr>
          <w:lang w:val="en-US"/>
        </w:rPr>
        <w:t>tate functions.</w:t>
      </w:r>
      <w:r w:rsidRPr="00140121">
        <w:rPr>
          <w:vertAlign w:val="superscript"/>
          <w:lang w:val="en-US"/>
        </w:rPr>
        <w:footnoteReference w:id="103"/>
      </w:r>
    </w:p>
    <w:p w14:paraId="192BE02C" w14:textId="5773FE08" w:rsidR="002A4673" w:rsidRDefault="002A4673" w:rsidP="002A4673">
      <w:pPr>
        <w:spacing w:before="240"/>
        <w:rPr>
          <w:lang w:val="en-US"/>
        </w:rPr>
      </w:pPr>
      <w:r>
        <w:rPr>
          <w:lang w:val="en-US"/>
        </w:rPr>
        <w:t>Here</w:t>
      </w:r>
      <w:r w:rsidRPr="00140121">
        <w:rPr>
          <w:lang w:val="en-US"/>
        </w:rPr>
        <w:t>, the acts Ms</w:t>
      </w:r>
      <w:r>
        <w:rPr>
          <w:lang w:val="en-US"/>
        </w:rPr>
        <w:t>.</w:t>
      </w:r>
      <w:r w:rsidRPr="00140121">
        <w:rPr>
          <w:lang w:val="en-US"/>
        </w:rPr>
        <w:t xml:space="preserve"> Cross is alleged to have committed were not conducted within an official capacity. Her mandate was to </w:t>
      </w:r>
      <w:r w:rsidRPr="6919F9C3">
        <w:rPr>
          <w:lang w:val="en-US"/>
        </w:rPr>
        <w:t>“</w:t>
      </w:r>
      <w:r w:rsidRPr="00140121">
        <w:rPr>
          <w:lang w:val="en-US"/>
        </w:rPr>
        <w:t xml:space="preserve">take all necessary and </w:t>
      </w:r>
      <w:r w:rsidRPr="245CC68E">
        <w:rPr>
          <w:i/>
          <w:iCs/>
          <w:lang w:val="en-US"/>
        </w:rPr>
        <w:t>lawful</w:t>
      </w:r>
      <w:r w:rsidRPr="00140121">
        <w:rPr>
          <w:lang w:val="en-US"/>
        </w:rPr>
        <w:t xml:space="preserve"> measures to apprehend persons” under the </w:t>
      </w:r>
      <w:r w:rsidR="0077643C">
        <w:rPr>
          <w:lang w:val="en-US"/>
        </w:rPr>
        <w:t>ILSA</w:t>
      </w:r>
      <w:r w:rsidRPr="00140121">
        <w:rPr>
          <w:lang w:val="en-US"/>
        </w:rPr>
        <w:t xml:space="preserve"> program.</w:t>
      </w:r>
      <w:r w:rsidRPr="00140121">
        <w:rPr>
          <w:vertAlign w:val="superscript"/>
          <w:lang w:val="en-US"/>
        </w:rPr>
        <w:footnoteReference w:id="104"/>
      </w:r>
      <w:r w:rsidRPr="00140121">
        <w:rPr>
          <w:lang w:val="en-US"/>
        </w:rPr>
        <w:t xml:space="preserve"> Having contravened her mandate, she cannot have been acting in an </w:t>
      </w:r>
      <w:r w:rsidRPr="6919F9C3">
        <w:rPr>
          <w:lang w:val="en-US"/>
        </w:rPr>
        <w:t>“</w:t>
      </w:r>
      <w:r w:rsidRPr="00140121">
        <w:rPr>
          <w:lang w:val="en-US"/>
        </w:rPr>
        <w:t>official capacity</w:t>
      </w:r>
      <w:r w:rsidRPr="6919F9C3">
        <w:rPr>
          <w:lang w:val="en-US"/>
        </w:rPr>
        <w:t>”</w:t>
      </w:r>
      <w:r w:rsidRPr="00140121">
        <w:rPr>
          <w:lang w:val="en-US"/>
        </w:rPr>
        <w:t xml:space="preserve"> in committing the alleged crimes.</w:t>
      </w:r>
    </w:p>
    <w:p w14:paraId="4343BCB2" w14:textId="7BB3DBDD" w:rsidR="002A4673" w:rsidRPr="00140121" w:rsidRDefault="002A4673" w:rsidP="00F86D94">
      <w:pPr>
        <w:pStyle w:val="Heading5"/>
        <w:numPr>
          <w:ilvl w:val="2"/>
          <w:numId w:val="31"/>
        </w:numPr>
        <w:ind w:left="1800" w:hanging="360"/>
      </w:pPr>
      <w:bookmarkStart w:id="63" w:name="_Toc187614579"/>
      <w:bookmarkStart w:id="64" w:name="_Toc187757607"/>
      <w:r w:rsidRPr="356D3E70">
        <w:lastRenderedPageBreak/>
        <w:t>Even</w:t>
      </w:r>
      <w:r w:rsidRPr="00140121">
        <w:t xml:space="preserve"> if Ms. Cross </w:t>
      </w:r>
      <w:r w:rsidR="0077643C">
        <w:t>were</w:t>
      </w:r>
      <w:r w:rsidRPr="00140121">
        <w:t xml:space="preserve"> acting in an </w:t>
      </w:r>
      <w:r w:rsidR="0077643C">
        <w:t>“</w:t>
      </w:r>
      <w:r w:rsidRPr="00140121">
        <w:t>official capacity,</w:t>
      </w:r>
      <w:r w:rsidR="0077643C">
        <w:t>”</w:t>
      </w:r>
      <w:r w:rsidRPr="00140121">
        <w:t xml:space="preserve"> immunity </w:t>
      </w:r>
      <w:r w:rsidRPr="0077643C">
        <w:rPr>
          <w:i w:val="0"/>
          <w:iCs w:val="0"/>
        </w:rPr>
        <w:t>ratione materiae</w:t>
      </w:r>
      <w:r w:rsidRPr="00140121">
        <w:t xml:space="preserve"> does not apply to the present offenses</w:t>
      </w:r>
      <w:bookmarkEnd w:id="63"/>
      <w:bookmarkEnd w:id="64"/>
    </w:p>
    <w:p w14:paraId="18AAC1CC" w14:textId="284B307E" w:rsidR="002A4673" w:rsidRDefault="002A4673" w:rsidP="002A4673">
      <w:pPr>
        <w:spacing w:before="240"/>
        <w:rPr>
          <w:lang w:val="en-US"/>
        </w:rPr>
      </w:pPr>
      <w:r w:rsidRPr="00140121">
        <w:rPr>
          <w:lang w:val="en-US"/>
        </w:rPr>
        <w:t xml:space="preserve"> International law recognizes exceptions to immunity </w:t>
      </w:r>
      <w:r w:rsidRPr="0077643C">
        <w:rPr>
          <w:i/>
          <w:iCs/>
          <w:lang w:val="en-US"/>
        </w:rPr>
        <w:t>ratione materiae</w:t>
      </w:r>
      <w:r w:rsidRPr="00140121">
        <w:rPr>
          <w:lang w:val="en-US"/>
        </w:rPr>
        <w:t>. The practice of</w:t>
      </w:r>
      <w:r>
        <w:rPr>
          <w:lang w:val="en-US"/>
        </w:rPr>
        <w:t xml:space="preserve"> </w:t>
      </w:r>
      <w:r w:rsidRPr="00140121">
        <w:rPr>
          <w:lang w:val="en-US"/>
        </w:rPr>
        <w:t>domestic courts</w:t>
      </w:r>
      <w:r w:rsidRPr="00140121">
        <w:rPr>
          <w:vertAlign w:val="superscript"/>
          <w:lang w:val="en-US"/>
        </w:rPr>
        <w:footnoteReference w:id="105"/>
      </w:r>
      <w:r w:rsidRPr="00140121">
        <w:rPr>
          <w:lang w:val="en-US"/>
        </w:rPr>
        <w:t xml:space="preserve"> and legislation</w:t>
      </w:r>
      <w:r>
        <w:rPr>
          <w:lang w:val="en-US"/>
        </w:rPr>
        <w:t>,</w:t>
      </w:r>
      <w:r w:rsidRPr="00140121">
        <w:rPr>
          <w:vertAlign w:val="superscript"/>
          <w:lang w:val="en-US"/>
        </w:rPr>
        <w:footnoteReference w:id="106"/>
      </w:r>
      <w:r>
        <w:rPr>
          <w:lang w:val="en-US"/>
        </w:rPr>
        <w:t xml:space="preserve"> the views of publicists,</w:t>
      </w:r>
      <w:r>
        <w:rPr>
          <w:rStyle w:val="FootnoteReference"/>
          <w:lang w:val="en-US"/>
        </w:rPr>
        <w:footnoteReference w:id="107"/>
      </w:r>
      <w:r>
        <w:rPr>
          <w:lang w:val="en-US"/>
        </w:rPr>
        <w:t xml:space="preserve"> as well as judges of this Court,</w:t>
      </w:r>
      <w:r>
        <w:rPr>
          <w:rStyle w:val="FootnoteReference"/>
          <w:lang w:val="en-US"/>
        </w:rPr>
        <w:footnoteReference w:id="108"/>
      </w:r>
      <w:r>
        <w:rPr>
          <w:lang w:val="en-US"/>
        </w:rPr>
        <w:t xml:space="preserve"> each </w:t>
      </w:r>
      <w:r w:rsidRPr="00140121">
        <w:rPr>
          <w:lang w:val="en-US"/>
        </w:rPr>
        <w:t>suppor</w:t>
      </w:r>
      <w:r>
        <w:rPr>
          <w:lang w:val="en-US"/>
        </w:rPr>
        <w:t>t</w:t>
      </w:r>
      <w:r w:rsidRPr="00140121">
        <w:rPr>
          <w:lang w:val="en-US"/>
        </w:rPr>
        <w:t xml:space="preserve"> the existence of </w:t>
      </w:r>
      <w:r>
        <w:rPr>
          <w:lang w:val="en-US"/>
        </w:rPr>
        <w:t>such</w:t>
      </w:r>
      <w:r w:rsidRPr="00140121">
        <w:rPr>
          <w:lang w:val="en-US"/>
        </w:rPr>
        <w:t xml:space="preserve"> exception</w:t>
      </w:r>
      <w:r>
        <w:rPr>
          <w:lang w:val="en-US"/>
        </w:rPr>
        <w:t>s</w:t>
      </w:r>
      <w:r w:rsidRPr="00140121">
        <w:rPr>
          <w:lang w:val="en-US"/>
        </w:rPr>
        <w:t xml:space="preserve">. The exceptions include both enforced disappearance </w:t>
      </w:r>
      <w:r w:rsidRPr="00140121">
        <w:rPr>
          <w:b/>
          <w:bCs/>
          <w:lang w:val="en-US"/>
        </w:rPr>
        <w:t>[a]</w:t>
      </w:r>
      <w:r w:rsidRPr="00140121">
        <w:rPr>
          <w:lang w:val="en-US"/>
        </w:rPr>
        <w:t xml:space="preserve"> and crimes against humanity </w:t>
      </w:r>
      <w:r w:rsidRPr="00140121">
        <w:rPr>
          <w:b/>
          <w:bCs/>
          <w:lang w:val="en-US"/>
        </w:rPr>
        <w:t>[b]</w:t>
      </w:r>
      <w:r w:rsidRPr="00140121">
        <w:rPr>
          <w:lang w:val="en-US"/>
        </w:rPr>
        <w:t>.</w:t>
      </w:r>
      <w:r w:rsidRPr="00140121">
        <w:rPr>
          <w:vertAlign w:val="superscript"/>
          <w:lang w:val="en-US"/>
        </w:rPr>
        <w:footnoteReference w:id="109"/>
      </w:r>
    </w:p>
    <w:p w14:paraId="69D96D5F" w14:textId="6790295D" w:rsidR="002A4673" w:rsidRPr="00F86D94" w:rsidRDefault="002A4673" w:rsidP="00F86D94">
      <w:pPr>
        <w:pStyle w:val="Heading6"/>
      </w:pPr>
      <w:bookmarkStart w:id="65" w:name="_Toc187614580"/>
      <w:r w:rsidRPr="00F86D94">
        <w:t xml:space="preserve">Immunity does not apply to </w:t>
      </w:r>
      <w:r w:rsidR="00057BFB">
        <w:t>e</w:t>
      </w:r>
      <w:r w:rsidRPr="00F86D94">
        <w:t xml:space="preserve">nforced </w:t>
      </w:r>
      <w:r w:rsidR="00057BFB">
        <w:t>d</w:t>
      </w:r>
      <w:r w:rsidRPr="00F86D94">
        <w:t>isappearance</w:t>
      </w:r>
      <w:bookmarkEnd w:id="65"/>
      <w:r w:rsidRPr="00F86D94">
        <w:t xml:space="preserve">  </w:t>
      </w:r>
    </w:p>
    <w:p w14:paraId="5545D38A" w14:textId="3861A6EB" w:rsidR="002A4673" w:rsidRDefault="002A4673" w:rsidP="002A4673">
      <w:pPr>
        <w:spacing w:before="240"/>
        <w:rPr>
          <w:lang w:val="en-US"/>
        </w:rPr>
      </w:pPr>
      <w:r w:rsidRPr="2B742B94">
        <w:rPr>
          <w:lang w:val="en-US"/>
        </w:rPr>
        <w:t xml:space="preserve">Immunity </w:t>
      </w:r>
      <w:r w:rsidRPr="00057BFB">
        <w:rPr>
          <w:i/>
          <w:iCs/>
          <w:lang w:val="en-US"/>
        </w:rPr>
        <w:t>ratione materiae</w:t>
      </w:r>
      <w:r w:rsidRPr="2B742B94">
        <w:rPr>
          <w:lang w:val="en-US"/>
        </w:rPr>
        <w:t xml:space="preserve"> does not apply to enforced disappearance</w:t>
      </w:r>
      <w:r w:rsidRPr="00140121">
        <w:rPr>
          <w:lang w:val="en-US"/>
        </w:rPr>
        <w:t>.</w:t>
      </w:r>
      <w:r w:rsidRPr="00140121">
        <w:rPr>
          <w:vertAlign w:val="superscript"/>
          <w:lang w:val="en-US"/>
        </w:rPr>
        <w:footnoteReference w:id="110"/>
      </w:r>
      <w:r w:rsidRPr="00140121">
        <w:rPr>
          <w:lang w:val="en-US"/>
        </w:rPr>
        <w:t xml:space="preserve"> The crime of enforced disappearance is the subject of a specific international treaty, the ICPPED, which creates a legal regime </w:t>
      </w:r>
      <w:r>
        <w:rPr>
          <w:lang w:val="en-US"/>
        </w:rPr>
        <w:t>with</w:t>
      </w:r>
      <w:r w:rsidRPr="00140121">
        <w:rPr>
          <w:lang w:val="en-US"/>
        </w:rPr>
        <w:t xml:space="preserve"> the object and purpose of combatting enforced disappearance.</w:t>
      </w:r>
      <w:r w:rsidRPr="00140121">
        <w:rPr>
          <w:vertAlign w:val="superscript"/>
          <w:lang w:val="en-US"/>
        </w:rPr>
        <w:footnoteReference w:id="111"/>
      </w:r>
      <w:r w:rsidRPr="00140121">
        <w:rPr>
          <w:lang w:val="en-US"/>
        </w:rPr>
        <w:t xml:space="preserve"> The ICPPED defines enforced disappearance as the </w:t>
      </w:r>
      <w:r w:rsidRPr="15C9AA9C">
        <w:rPr>
          <w:lang w:val="en-US"/>
        </w:rPr>
        <w:t>“</w:t>
      </w:r>
      <w:r w:rsidRPr="00140121">
        <w:rPr>
          <w:lang w:val="en-US"/>
        </w:rPr>
        <w:t>deprivation of liberty […] by agents of the State […] or with support or acquiescence of the State</w:t>
      </w:r>
      <w:r w:rsidR="00057BFB">
        <w:rPr>
          <w:lang w:val="en-US"/>
        </w:rPr>
        <w:t>.</w:t>
      </w:r>
      <w:r w:rsidRPr="00140121">
        <w:rPr>
          <w:lang w:val="en-US"/>
        </w:rPr>
        <w:t>”</w:t>
      </w:r>
      <w:r w:rsidRPr="00140121">
        <w:rPr>
          <w:vertAlign w:val="superscript"/>
          <w:lang w:val="en-US"/>
        </w:rPr>
        <w:footnoteReference w:id="112"/>
      </w:r>
      <w:r w:rsidRPr="00140121">
        <w:rPr>
          <w:lang w:val="en-US"/>
        </w:rPr>
        <w:t xml:space="preserve"> Since enforced disappearance can only be carried out by persons acting in a so-called </w:t>
      </w:r>
      <w:r w:rsidRPr="15C9AA9C">
        <w:rPr>
          <w:lang w:val="en-US"/>
        </w:rPr>
        <w:t>“</w:t>
      </w:r>
      <w:r w:rsidRPr="00140121">
        <w:rPr>
          <w:lang w:val="en-US"/>
        </w:rPr>
        <w:t>official capacity</w:t>
      </w:r>
      <w:r w:rsidR="00057BFB">
        <w:rPr>
          <w:lang w:val="en-US"/>
        </w:rPr>
        <w:t>,</w:t>
      </w:r>
      <w:r w:rsidRPr="00140121">
        <w:rPr>
          <w:lang w:val="en-US"/>
        </w:rPr>
        <w:t xml:space="preserve">” the effect of recognizing </w:t>
      </w:r>
      <w:r>
        <w:rPr>
          <w:lang w:val="en-US"/>
        </w:rPr>
        <w:t>immunity here</w:t>
      </w:r>
      <w:r w:rsidRPr="00140121">
        <w:rPr>
          <w:lang w:val="en-US"/>
        </w:rPr>
        <w:t xml:space="preserve"> would be to frustrate the object and purpose of the ICPPED by granting immunity to </w:t>
      </w:r>
      <w:r w:rsidR="00057BFB">
        <w:rPr>
          <w:lang w:val="en-US"/>
        </w:rPr>
        <w:t>S</w:t>
      </w:r>
      <w:r w:rsidRPr="00140121">
        <w:rPr>
          <w:lang w:val="en-US"/>
        </w:rPr>
        <w:t xml:space="preserve">tate officials who perpetuate enforced disappearances. </w:t>
      </w:r>
    </w:p>
    <w:p w14:paraId="72D142E6" w14:textId="1B66E388" w:rsidR="002A4673" w:rsidRPr="00140121" w:rsidRDefault="002A4673" w:rsidP="00790B76">
      <w:pPr>
        <w:pStyle w:val="Heading6"/>
        <w:spacing w:before="0"/>
      </w:pPr>
      <w:bookmarkStart w:id="66" w:name="_Toc187614581"/>
      <w:r w:rsidRPr="00140121">
        <w:lastRenderedPageBreak/>
        <w:t xml:space="preserve">Immunity does not apply to </w:t>
      </w:r>
      <w:r w:rsidR="004C5FFB">
        <w:t>c</w:t>
      </w:r>
      <w:r w:rsidRPr="00140121">
        <w:t xml:space="preserve">rimes against </w:t>
      </w:r>
      <w:r w:rsidR="004C5FFB">
        <w:t>h</w:t>
      </w:r>
      <w:r w:rsidRPr="00140121">
        <w:t>umanity</w:t>
      </w:r>
      <w:bookmarkEnd w:id="66"/>
    </w:p>
    <w:p w14:paraId="610075BA" w14:textId="77777777" w:rsidR="002A4673" w:rsidRDefault="002A4673" w:rsidP="00790B76">
      <w:pPr>
        <w:rPr>
          <w:lang w:val="en-US"/>
        </w:rPr>
      </w:pPr>
      <w:r w:rsidRPr="00140121">
        <w:rPr>
          <w:lang w:val="en-US"/>
        </w:rPr>
        <w:t xml:space="preserve">Immunity </w:t>
      </w:r>
      <w:r w:rsidRPr="004C5FFB">
        <w:rPr>
          <w:i/>
          <w:iCs/>
          <w:lang w:val="en-US"/>
        </w:rPr>
        <w:t>ratione materiae</w:t>
      </w:r>
      <w:r w:rsidRPr="00140121">
        <w:rPr>
          <w:lang w:val="en-US"/>
        </w:rPr>
        <w:t xml:space="preserve"> does not apply to crimes against humanity.</w:t>
      </w:r>
      <w:r w:rsidRPr="00140121">
        <w:rPr>
          <w:vertAlign w:val="superscript"/>
          <w:lang w:val="en-US"/>
        </w:rPr>
        <w:footnoteReference w:id="113"/>
      </w:r>
      <w:r w:rsidRPr="00140121">
        <w:rPr>
          <w:lang w:val="en-US"/>
        </w:rPr>
        <w:t xml:space="preserve"> Crimes against humanity</w:t>
      </w:r>
      <w:r w:rsidRPr="00140121">
        <w:rPr>
          <w:vertAlign w:val="superscript"/>
          <w:lang w:val="en-US"/>
        </w:rPr>
        <w:footnoteReference w:id="114"/>
      </w:r>
      <w:r w:rsidRPr="00140121">
        <w:rPr>
          <w:lang w:val="en-US"/>
        </w:rPr>
        <w:t xml:space="preserve"> (and enforced disappearances</w:t>
      </w:r>
      <w:r>
        <w:rPr>
          <w:lang w:val="en-US"/>
        </w:rPr>
        <w:t>)</w:t>
      </w:r>
      <w:r w:rsidRPr="00140121">
        <w:rPr>
          <w:vertAlign w:val="superscript"/>
          <w:lang w:val="en-US"/>
        </w:rPr>
        <w:footnoteReference w:id="115"/>
      </w:r>
      <w:r w:rsidRPr="00140121">
        <w:rPr>
          <w:lang w:val="en-US"/>
        </w:rPr>
        <w:t xml:space="preserve"> are </w:t>
      </w:r>
      <w:r w:rsidRPr="245CC68E">
        <w:rPr>
          <w:i/>
          <w:iCs/>
          <w:lang w:val="en-US"/>
        </w:rPr>
        <w:t>jus cogens</w:t>
      </w:r>
      <w:r w:rsidRPr="00140121">
        <w:rPr>
          <w:lang w:val="en-US"/>
        </w:rPr>
        <w:t xml:space="preserve"> norms. The effect of this hierarchically superior norm is to override lesser conflicting norms, including rules on immunity.</w:t>
      </w:r>
      <w:r w:rsidRPr="00140121">
        <w:rPr>
          <w:vertAlign w:val="superscript"/>
          <w:lang w:val="en-US"/>
        </w:rPr>
        <w:footnoteReference w:id="116"/>
      </w:r>
      <w:r w:rsidRPr="00140121">
        <w:rPr>
          <w:lang w:val="en-US"/>
        </w:rPr>
        <w:t xml:space="preserve"> Therefore, the </w:t>
      </w:r>
      <w:r w:rsidRPr="245CC68E">
        <w:rPr>
          <w:i/>
          <w:iCs/>
          <w:lang w:val="en-US"/>
        </w:rPr>
        <w:t>jus cogens</w:t>
      </w:r>
      <w:r w:rsidRPr="00140121">
        <w:rPr>
          <w:lang w:val="en-US"/>
        </w:rPr>
        <w:t xml:space="preserve"> nature of </w:t>
      </w:r>
      <w:r>
        <w:rPr>
          <w:lang w:val="en-US"/>
        </w:rPr>
        <w:t>the alleged</w:t>
      </w:r>
      <w:r w:rsidRPr="00140121">
        <w:rPr>
          <w:lang w:val="en-US"/>
        </w:rPr>
        <w:t xml:space="preserve"> crimes overrides any immunities </w:t>
      </w:r>
      <w:r>
        <w:rPr>
          <w:lang w:val="en-US"/>
        </w:rPr>
        <w:t>Ms. Cross</w:t>
      </w:r>
      <w:r w:rsidRPr="00140121">
        <w:rPr>
          <w:lang w:val="en-US"/>
        </w:rPr>
        <w:t xml:space="preserve"> might otherwise be entitled to. </w:t>
      </w:r>
    </w:p>
    <w:p w14:paraId="3D83A00F" w14:textId="77777777" w:rsidR="004C5FFB" w:rsidRPr="00140121" w:rsidRDefault="004C5FFB" w:rsidP="00790B76">
      <w:pPr>
        <w:rPr>
          <w:lang w:val="en-US"/>
        </w:rPr>
      </w:pPr>
    </w:p>
    <w:p w14:paraId="69B14A4B" w14:textId="086E4915" w:rsidR="002A4673" w:rsidRPr="00F86D94" w:rsidRDefault="00F86D94" w:rsidP="00790B76">
      <w:pPr>
        <w:pStyle w:val="Heading2"/>
        <w:spacing w:before="0" w:after="160"/>
      </w:pPr>
      <w:bookmarkStart w:id="67" w:name="_Toc187614582"/>
      <w:bookmarkStart w:id="68" w:name="_Toc187757608"/>
      <w:r w:rsidRPr="00F86D94">
        <w:t xml:space="preserve">Rovinia’s Issuance </w:t>
      </w:r>
      <w:r w:rsidR="004C5FFB">
        <w:t>o</w:t>
      </w:r>
      <w:r w:rsidRPr="00F86D94">
        <w:t xml:space="preserve">f Licenses </w:t>
      </w:r>
      <w:r w:rsidR="004C5FFB">
        <w:t>t</w:t>
      </w:r>
      <w:r w:rsidRPr="00F86D94">
        <w:t xml:space="preserve">o Fish </w:t>
      </w:r>
      <w:r w:rsidR="004C5FFB">
        <w:t>i</w:t>
      </w:r>
      <w:r w:rsidRPr="00F86D94">
        <w:t xml:space="preserve">n </w:t>
      </w:r>
      <w:r w:rsidR="004C5FFB">
        <w:t>t</w:t>
      </w:r>
      <w:r w:rsidRPr="00F86D94">
        <w:t xml:space="preserve">he Entirety </w:t>
      </w:r>
      <w:r w:rsidR="00D90D30">
        <w:t>o</w:t>
      </w:r>
      <w:r w:rsidRPr="00F86D94">
        <w:t xml:space="preserve">f </w:t>
      </w:r>
      <w:r w:rsidR="00D90D30">
        <w:t>t</w:t>
      </w:r>
      <w:r w:rsidRPr="00F86D94">
        <w:t xml:space="preserve">he Triton Shoal, Which </w:t>
      </w:r>
      <w:r w:rsidR="00D90D30">
        <w:t>i</w:t>
      </w:r>
      <w:r w:rsidRPr="00F86D94">
        <w:t xml:space="preserve">s Located </w:t>
      </w:r>
      <w:r w:rsidR="00D90D30">
        <w:t>o</w:t>
      </w:r>
      <w:r w:rsidRPr="00F86D94">
        <w:t xml:space="preserve">n </w:t>
      </w:r>
      <w:r w:rsidR="00D90D30">
        <w:t>t</w:t>
      </w:r>
      <w:r w:rsidRPr="00F86D94">
        <w:t xml:space="preserve">he High Seas, </w:t>
      </w:r>
      <w:r w:rsidR="00D90D30">
        <w:t>i</w:t>
      </w:r>
      <w:r w:rsidRPr="00F86D94">
        <w:t>s In Conformity With International Law</w:t>
      </w:r>
      <w:bookmarkEnd w:id="67"/>
      <w:bookmarkEnd w:id="68"/>
    </w:p>
    <w:p w14:paraId="517C0466" w14:textId="77777777" w:rsidR="002A4673" w:rsidRPr="00FC30E7" w:rsidRDefault="002A4673" w:rsidP="00790B76">
      <w:pPr>
        <w:rPr>
          <w:lang w:val="en-US"/>
        </w:rPr>
      </w:pPr>
      <w:r w:rsidRPr="00BD2F6A">
        <w:t>Rovinia acted in accordance with international maritime law, which grants all States the right to issue fishing licenses on the high seas.</w:t>
      </w:r>
      <w:r w:rsidRPr="00BD2F6A">
        <w:rPr>
          <w:vertAlign w:val="superscript"/>
        </w:rPr>
        <w:footnoteReference w:id="117"/>
      </w:r>
      <w:r w:rsidRPr="00BD2F6A">
        <w:t xml:space="preserve"> Due to coastal recession, the Triton Shoal is now located beyond 200 nautical miles from Ambrosia’s </w:t>
      </w:r>
      <w:r>
        <w:t>low-water line on the coast</w:t>
      </w:r>
      <w:r w:rsidRPr="00BD2F6A">
        <w:t xml:space="preserve">, placing it </w:t>
      </w:r>
      <w:r>
        <w:t>on</w:t>
      </w:r>
      <w:r w:rsidRPr="00BD2F6A">
        <w:t xml:space="preserve"> the high seas.</w:t>
      </w:r>
      <w:r>
        <w:rPr>
          <w:rStyle w:val="FootnoteReference"/>
        </w:rPr>
        <w:footnoteReference w:id="118"/>
      </w:r>
      <w:r w:rsidRPr="00BD2F6A">
        <w:t xml:space="preserve"> </w:t>
      </w:r>
    </w:p>
    <w:p w14:paraId="1DC19F23" w14:textId="011308DD" w:rsidR="002A4673" w:rsidRDefault="002A4673" w:rsidP="00790B76">
      <w:r w:rsidRPr="00BD2F6A">
        <w:t>Ambrosia’s Freezing Law fixes its maritime baseline as of 1 November 2015, irrespective of any subsequent coastal recession.</w:t>
      </w:r>
      <w:r w:rsidRPr="00BD2F6A">
        <w:rPr>
          <w:vertAlign w:val="superscript"/>
        </w:rPr>
        <w:footnoteReference w:id="119"/>
      </w:r>
      <w:r w:rsidRPr="00BD2F6A">
        <w:t xml:space="preserve"> Under </w:t>
      </w:r>
      <w:r w:rsidR="00D90D30">
        <w:t>UNCLOS</w:t>
      </w:r>
      <w:r w:rsidRPr="00BD2F6A">
        <w:t xml:space="preserve"> and the customary principle </w:t>
      </w:r>
      <w:r w:rsidRPr="00BD2F6A">
        <w:rPr>
          <w:i/>
          <w:iCs/>
        </w:rPr>
        <w:t xml:space="preserve">la terre </w:t>
      </w:r>
      <w:r w:rsidRPr="00BD2F6A">
        <w:rPr>
          <w:i/>
          <w:iCs/>
        </w:rPr>
        <w:lastRenderedPageBreak/>
        <w:t>domine la mer</w:t>
      </w:r>
      <w:r w:rsidRPr="00BD2F6A">
        <w:rPr>
          <w:bCs/>
        </w:rPr>
        <w:t xml:space="preserve"> (“</w:t>
      </w:r>
      <w:r w:rsidRPr="00BD2F6A">
        <w:t>the land dominates the sea”</w:t>
      </w:r>
      <w:r w:rsidRPr="00BD2F6A">
        <w:rPr>
          <w:bCs/>
        </w:rPr>
        <w:t>),</w:t>
      </w:r>
      <w:r w:rsidRPr="00BD2F6A">
        <w:rPr>
          <w:vertAlign w:val="superscript"/>
        </w:rPr>
        <w:footnoteReference w:id="120"/>
      </w:r>
      <w:r w:rsidRPr="00BD2F6A">
        <w:t xml:space="preserve"> a </w:t>
      </w:r>
      <w:proofErr w:type="gramStart"/>
      <w:r w:rsidRPr="00BD2F6A">
        <w:t>State’s</w:t>
      </w:r>
      <w:proofErr w:type="gramEnd"/>
      <w:r w:rsidRPr="00BD2F6A">
        <w:t xml:space="preserve"> </w:t>
      </w:r>
      <w:r>
        <w:t>baseline</w:t>
      </w:r>
      <w:r w:rsidRPr="00BD2F6A">
        <w:t xml:space="preserve"> </w:t>
      </w:r>
      <w:r>
        <w:t xml:space="preserve">must </w:t>
      </w:r>
      <w:r w:rsidRPr="00EA3DE0">
        <w:t>ambulate with</w:t>
      </w:r>
      <w:r w:rsidRPr="00BD2F6A">
        <w:t xml:space="preserve"> the natural, shifting geography of its </w:t>
      </w:r>
      <w:r>
        <w:t>low-water line</w:t>
      </w:r>
      <w:r w:rsidRPr="00BD2F6A">
        <w:t>.</w:t>
      </w:r>
      <w:r w:rsidRPr="00EA3DE0">
        <w:t xml:space="preserve"> </w:t>
      </w:r>
      <w:r>
        <w:t xml:space="preserve">Thus, </w:t>
      </w:r>
      <w:r w:rsidRPr="00EA3DE0">
        <w:t>Ambrosia’s Freezing Law</w:t>
      </w:r>
      <w:r>
        <w:t xml:space="preserve"> </w:t>
      </w:r>
      <w:r w:rsidRPr="00EA3DE0">
        <w:t xml:space="preserve">is inconsistent with UNCLOS </w:t>
      </w:r>
      <w:r w:rsidRPr="00EA3DE0">
        <w:rPr>
          <w:b/>
          <w:bCs/>
        </w:rPr>
        <w:t>[A]</w:t>
      </w:r>
      <w:r w:rsidRPr="00EA3DE0">
        <w:t xml:space="preserve"> and customary international law </w:t>
      </w:r>
      <w:r w:rsidRPr="00EA3DE0">
        <w:rPr>
          <w:b/>
          <w:bCs/>
        </w:rPr>
        <w:t>[B]</w:t>
      </w:r>
      <w:r>
        <w:t xml:space="preserve">. </w:t>
      </w:r>
    </w:p>
    <w:p w14:paraId="2802D2A4" w14:textId="77777777" w:rsidR="002A4673" w:rsidRPr="00666A22" w:rsidRDefault="002A4673" w:rsidP="00790B76">
      <w:r w:rsidRPr="00EA3DE0">
        <w:t xml:space="preserve">Rovinia is not bound by </w:t>
      </w:r>
      <w:r>
        <w:t>Ambrosia’s unlawful claims to maritime zones beyond its entitlement</w:t>
      </w:r>
      <w:r w:rsidRPr="00EA3DE0">
        <w:t xml:space="preserve">. </w:t>
      </w:r>
      <w:bookmarkStart w:id="69" w:name="_3znysh7"/>
      <w:bookmarkEnd w:id="69"/>
      <w:r w:rsidRPr="00BD2F6A">
        <w:t xml:space="preserve">Rovinia’s issuance of fishing licenses was a lawful exercise of its </w:t>
      </w:r>
      <w:r w:rsidRPr="00EA3DE0">
        <w:t xml:space="preserve">high </w:t>
      </w:r>
      <w:proofErr w:type="gramStart"/>
      <w:r w:rsidRPr="00EA3DE0">
        <w:t>seas</w:t>
      </w:r>
      <w:proofErr w:type="gramEnd"/>
      <w:r w:rsidRPr="00EA3DE0">
        <w:t xml:space="preserve"> </w:t>
      </w:r>
      <w:r w:rsidRPr="00BD2F6A">
        <w:t>freedoms</w:t>
      </w:r>
      <w:r>
        <w:t xml:space="preserve"> </w:t>
      </w:r>
      <w:r>
        <w:rPr>
          <w:b/>
          <w:bCs/>
        </w:rPr>
        <w:t>[C]</w:t>
      </w:r>
      <w:r w:rsidRPr="00EA3DE0">
        <w:t>.</w:t>
      </w:r>
      <w:r>
        <w:t xml:space="preserve"> </w:t>
      </w:r>
    </w:p>
    <w:p w14:paraId="0F5797A7" w14:textId="77777777" w:rsidR="002A4673" w:rsidRPr="004C4415" w:rsidRDefault="002A4673" w:rsidP="00790B76">
      <w:pPr>
        <w:pStyle w:val="Heading3"/>
        <w:numPr>
          <w:ilvl w:val="0"/>
          <w:numId w:val="32"/>
        </w:numPr>
        <w:spacing w:before="0" w:after="160"/>
        <w:ind w:left="1080"/>
      </w:pPr>
      <w:bookmarkStart w:id="70" w:name="_Toc187757609"/>
      <w:bookmarkStart w:id="71" w:name="_Toc187614583"/>
      <w:r w:rsidRPr="004C4415">
        <w:t xml:space="preserve">Rovinia is not bound by Ambrosia’s Freezing Law </w:t>
      </w:r>
      <w:r>
        <w:t>as it violates</w:t>
      </w:r>
      <w:r w:rsidRPr="004C4415">
        <w:t xml:space="preserve"> UNCLOS</w:t>
      </w:r>
      <w:bookmarkEnd w:id="70"/>
      <w:r w:rsidRPr="004C4415">
        <w:t xml:space="preserve"> </w:t>
      </w:r>
      <w:bookmarkEnd w:id="71"/>
    </w:p>
    <w:p w14:paraId="2E618C61" w14:textId="7D917F22" w:rsidR="002A4673" w:rsidRDefault="002A4673" w:rsidP="00790B76">
      <w:r w:rsidRPr="00BD2F6A">
        <w:t xml:space="preserve">A State’s maritime entitlements are calculated from its baseline, defined </w:t>
      </w:r>
      <w:r>
        <w:t xml:space="preserve">by </w:t>
      </w:r>
      <w:r w:rsidRPr="00BD2F6A">
        <w:t>UNCLOS as the low-water line along the coast, as depicted on charts officially recognized by the coastal State.</w:t>
      </w:r>
      <w:r w:rsidRPr="00BD2F6A">
        <w:rPr>
          <w:vertAlign w:val="superscript"/>
        </w:rPr>
        <w:footnoteReference w:id="121"/>
      </w:r>
      <w:r w:rsidRPr="00BD2F6A">
        <w:t xml:space="preserve"> </w:t>
      </w:r>
      <w:r>
        <w:t xml:space="preserve">This low-water line </w:t>
      </w:r>
      <w:r w:rsidRPr="00BD2F6A">
        <w:t xml:space="preserve">is the “juridical link” between a State’s territorial sovereignty and its rights to </w:t>
      </w:r>
      <w:r>
        <w:t>the sea.</w:t>
      </w:r>
      <w:r w:rsidRPr="00BD2F6A">
        <w:rPr>
          <w:vertAlign w:val="superscript"/>
        </w:rPr>
        <w:footnoteReference w:id="122"/>
      </w:r>
      <w:r>
        <w:t xml:space="preserve"> </w:t>
      </w:r>
      <w:r w:rsidRPr="00BD2F6A">
        <w:rPr>
          <w:lang w:val="en-US"/>
        </w:rPr>
        <w:t xml:space="preserve">Accordingly, </w:t>
      </w:r>
      <w:r>
        <w:t>baselines and the</w:t>
      </w:r>
      <w:r w:rsidRPr="00BD2F6A">
        <w:rPr>
          <w:lang w:val="en-US"/>
        </w:rPr>
        <w:t xml:space="preserve"> maritime entitlements </w:t>
      </w:r>
      <w:r>
        <w:t xml:space="preserve">derived from them must shift </w:t>
      </w:r>
      <w:r w:rsidRPr="00BD2F6A">
        <w:rPr>
          <w:lang w:val="en-US"/>
        </w:rPr>
        <w:t xml:space="preserve">in response to the physical reality of the coastline </w:t>
      </w:r>
      <w:r>
        <w:rPr>
          <w:b/>
          <w:bCs/>
        </w:rPr>
        <w:t>[1]</w:t>
      </w:r>
      <w:r>
        <w:t>.</w:t>
      </w:r>
      <w:r w:rsidRPr="00BD2F6A">
        <w:t xml:space="preserve"> </w:t>
      </w:r>
      <w:r>
        <w:t xml:space="preserve">As </w:t>
      </w:r>
      <w:r w:rsidRPr="00EA3DE0">
        <w:t>Ambrosia’s Freezing Law</w:t>
      </w:r>
      <w:r>
        <w:t xml:space="preserve"> is inconsistent with this principle, </w:t>
      </w:r>
      <w:r w:rsidRPr="00EA3DE0">
        <w:t>this Court is not required to accept the base</w:t>
      </w:r>
      <w:r w:rsidR="00D90D30">
        <w:t xml:space="preserve">line </w:t>
      </w:r>
      <w:r w:rsidRPr="00EA3DE0">
        <w:t xml:space="preserve">indicated by </w:t>
      </w:r>
      <w:r w:rsidR="00D90D30">
        <w:t>Ambrosia</w:t>
      </w:r>
      <w:r w:rsidRPr="00EA3DE0">
        <w:t xml:space="preserve"> even absent updating of official charts </w:t>
      </w:r>
      <w:r w:rsidRPr="00EA3DE0">
        <w:rPr>
          <w:b/>
          <w:bCs/>
        </w:rPr>
        <w:t>[2]</w:t>
      </w:r>
      <w:r>
        <w:t xml:space="preserve">. </w:t>
      </w:r>
    </w:p>
    <w:p w14:paraId="36543FA2" w14:textId="6F569BB3" w:rsidR="004C5FFB" w:rsidRDefault="009A081D" w:rsidP="00790B76">
      <w:pPr>
        <w:pStyle w:val="Heading4"/>
        <w:numPr>
          <w:ilvl w:val="0"/>
          <w:numId w:val="33"/>
        </w:numPr>
        <w:spacing w:before="0" w:after="160"/>
      </w:pPr>
      <w:bookmarkStart w:id="72" w:name="_Toc187614584"/>
      <w:bookmarkStart w:id="73" w:name="_Toc187757610"/>
      <w:r w:rsidRPr="009A081D">
        <w:t>Ambrosia’s baselines and EEZ must shift landward with changes to its low-water line</w:t>
      </w:r>
      <w:bookmarkEnd w:id="72"/>
      <w:bookmarkEnd w:id="73"/>
    </w:p>
    <w:p w14:paraId="0166B64C" w14:textId="4495940E" w:rsidR="00D90D30" w:rsidRPr="009A081D" w:rsidRDefault="004C5FFB" w:rsidP="00790B76">
      <w:r w:rsidRPr="000964C5">
        <w:rPr>
          <w:bCs/>
        </w:rPr>
        <w:t xml:space="preserve">Under UNCLOS, the baseline is the actual, not </w:t>
      </w:r>
      <w:r w:rsidR="009A081D">
        <w:rPr>
          <w:bCs/>
        </w:rPr>
        <w:t xml:space="preserve">the </w:t>
      </w:r>
      <w:r w:rsidRPr="000964C5">
        <w:rPr>
          <w:bCs/>
        </w:rPr>
        <w:t>charted, low-water line</w:t>
      </w:r>
      <w:r>
        <w:t xml:space="preserve"> along the coast </w:t>
      </w:r>
      <w:r>
        <w:rPr>
          <w:b/>
          <w:bCs/>
        </w:rPr>
        <w:t>[i]</w:t>
      </w:r>
      <w:r>
        <w:t xml:space="preserve">. </w:t>
      </w:r>
      <w:r w:rsidRPr="00E44380">
        <w:t>By 2018, Ambrosia’s coastlines</w:t>
      </w:r>
      <w:r>
        <w:t xml:space="preserve">, which do not fall within the limited exceptions within UNCLOS </w:t>
      </w:r>
      <w:r>
        <w:rPr>
          <w:b/>
          <w:bCs/>
        </w:rPr>
        <w:t>[ii]</w:t>
      </w:r>
      <w:r>
        <w:t>,</w:t>
      </w:r>
      <w:r w:rsidRPr="00E44380">
        <w:t xml:space="preserve"> had receded such that the Triton Shoal was beyond 200 nautical miles from its actual low-water line.</w:t>
      </w:r>
      <w:r w:rsidRPr="00E44380">
        <w:rPr>
          <w:vertAlign w:val="superscript"/>
        </w:rPr>
        <w:footnoteReference w:id="123"/>
      </w:r>
      <w:r w:rsidRPr="00E44380">
        <w:t xml:space="preserve"> </w:t>
      </w:r>
      <w:r>
        <w:t xml:space="preserve">As </w:t>
      </w:r>
      <w:r w:rsidRPr="00E44380">
        <w:t xml:space="preserve">Ambrosia’s </w:t>
      </w:r>
      <w:r>
        <w:t xml:space="preserve">exclusive fishing rights in its EEZ </w:t>
      </w:r>
      <w:r w:rsidRPr="00E44380">
        <w:t>cannot extend beyond 200 nautical miles from its baseline</w:t>
      </w:r>
      <w:r>
        <w:t>,</w:t>
      </w:r>
      <w:r w:rsidRPr="00E44380">
        <w:rPr>
          <w:vertAlign w:val="superscript"/>
        </w:rPr>
        <w:footnoteReference w:id="124"/>
      </w:r>
      <w:r>
        <w:t xml:space="preserve"> the Triton Shoal is </w:t>
      </w:r>
      <w:r w:rsidR="009A081D">
        <w:t>o</w:t>
      </w:r>
      <w:r>
        <w:t>n the high seas.</w:t>
      </w:r>
      <w:r w:rsidR="002A4673">
        <w:rPr>
          <w:color w:val="000000"/>
        </w:rPr>
        <w:t xml:space="preserve"> </w:t>
      </w:r>
    </w:p>
    <w:p w14:paraId="35DEF04D" w14:textId="64CE8993" w:rsidR="00D90D30" w:rsidRPr="00D90D30" w:rsidRDefault="00D90D30" w:rsidP="00790B76">
      <w:pPr>
        <w:pStyle w:val="Heading5"/>
        <w:numPr>
          <w:ilvl w:val="2"/>
          <w:numId w:val="33"/>
        </w:numPr>
        <w:spacing w:before="0" w:after="160"/>
        <w:ind w:left="1800" w:hanging="360"/>
        <w:rPr>
          <w:color w:val="000000"/>
        </w:rPr>
      </w:pPr>
      <w:bookmarkStart w:id="74" w:name="_Toc187757611"/>
      <w:bookmarkStart w:id="75" w:name="_Toc187614585"/>
      <w:r w:rsidRPr="00D90D30">
        <w:rPr>
          <w:color w:val="000000"/>
        </w:rPr>
        <w:lastRenderedPageBreak/>
        <w:t xml:space="preserve">Under UNCLOS, the baseline is the actual, not </w:t>
      </w:r>
      <w:r>
        <w:rPr>
          <w:color w:val="000000"/>
        </w:rPr>
        <w:t xml:space="preserve">the </w:t>
      </w:r>
      <w:r w:rsidRPr="00D90D30">
        <w:rPr>
          <w:color w:val="000000"/>
        </w:rPr>
        <w:t>charted, low-water line</w:t>
      </w:r>
      <w:bookmarkEnd w:id="74"/>
    </w:p>
    <w:p w14:paraId="03A49DCE" w14:textId="49A8BFCD" w:rsidR="00D90D30" w:rsidRPr="00D90D30" w:rsidRDefault="00D90D30" w:rsidP="00790B76">
      <w:r w:rsidRPr="00E44380">
        <w:t>In interpreting Article 5</w:t>
      </w:r>
      <w:r>
        <w:t xml:space="preserve"> of UNCLOS</w:t>
      </w:r>
      <w:r w:rsidRPr="00E44380">
        <w:t>, this Court has held that the normal baseline “</w:t>
      </w:r>
      <w:r w:rsidRPr="00E44380">
        <w:rPr>
          <w:i/>
          <w:iCs/>
        </w:rPr>
        <w:t>is</w:t>
      </w:r>
      <w:r w:rsidRPr="00E44380">
        <w:t xml:space="preserve"> the low-water line along the Coast.”</w:t>
      </w:r>
      <w:r w:rsidRPr="00E44380">
        <w:rPr>
          <w:vertAlign w:val="superscript"/>
        </w:rPr>
        <w:footnoteReference w:id="125"/>
      </w:r>
      <w:r>
        <w:t xml:space="preserve"> This is interpreted to the effect that the</w:t>
      </w:r>
      <w:r w:rsidRPr="00E44380">
        <w:t xml:space="preserve"> baseline </w:t>
      </w:r>
      <w:r>
        <w:t>is</w:t>
      </w:r>
      <w:r w:rsidRPr="00E44380">
        <w:t xml:space="preserve"> the actual</w:t>
      </w:r>
      <w:r w:rsidRPr="00E44380">
        <w:rPr>
          <w:i/>
          <w:iCs/>
        </w:rPr>
        <w:t xml:space="preserve"> </w:t>
      </w:r>
      <w:r w:rsidRPr="00E44380">
        <w:t>or “natural” low-water line, which is merely illustrated, not determined, by charts.</w:t>
      </w:r>
      <w:r w:rsidRPr="00E44380">
        <w:rPr>
          <w:vertAlign w:val="superscript"/>
        </w:rPr>
        <w:footnoteReference w:id="126"/>
      </w:r>
      <w:r>
        <w:t xml:space="preserve"> </w:t>
      </w:r>
      <w:r w:rsidRPr="00E44380">
        <w:t xml:space="preserve">UNCLOS </w:t>
      </w:r>
      <w:r>
        <w:t>codifies this ambulatory approach through</w:t>
      </w:r>
      <w:r w:rsidRPr="00E44380">
        <w:t xml:space="preserve"> </w:t>
      </w:r>
      <w:r w:rsidR="0047063B">
        <w:t>several provisions,</w:t>
      </w:r>
      <w:r w:rsidR="0047063B">
        <w:rPr>
          <w:rStyle w:val="FootnoteReference"/>
        </w:rPr>
        <w:footnoteReference w:id="127"/>
      </w:r>
      <w:r w:rsidR="0047063B">
        <w:t xml:space="preserve"> including </w:t>
      </w:r>
      <w:r w:rsidRPr="00E44380">
        <w:t xml:space="preserve">Article 7(3), </w:t>
      </w:r>
      <w:r>
        <w:t>under which</w:t>
      </w:r>
      <w:r w:rsidRPr="00E44380">
        <w:t xml:space="preserve"> straight baselines “must not depart to any appreciable extent from the general direction of the coast</w:t>
      </w:r>
      <w:r w:rsidR="0047063B">
        <w:t>.</w:t>
      </w:r>
      <w:r w:rsidRPr="00E44380">
        <w:t>”</w:t>
      </w:r>
      <w:r w:rsidRPr="00E44380">
        <w:rPr>
          <w:vertAlign w:val="superscript"/>
        </w:rPr>
        <w:footnoteReference w:id="128"/>
      </w:r>
      <w:r w:rsidRPr="00E44380">
        <w:t xml:space="preserve"> </w:t>
      </w:r>
      <w:r>
        <w:t xml:space="preserve">Thus, baselines and their corresponding maritime zones must move </w:t>
      </w:r>
      <w:r w:rsidRPr="00BD2F6A">
        <w:t>seaward to reflect accretion and landward to reflect changes caused by erosion or sea level rise.</w:t>
      </w:r>
      <w:r w:rsidRPr="00BD2F6A">
        <w:rPr>
          <w:vertAlign w:val="superscript"/>
        </w:rPr>
        <w:footnoteReference w:id="129"/>
      </w:r>
    </w:p>
    <w:p w14:paraId="689E86BB" w14:textId="1E4FA4EC" w:rsidR="002A4673" w:rsidRPr="0039320E" w:rsidRDefault="002A4673" w:rsidP="00790B76">
      <w:pPr>
        <w:pStyle w:val="Heading5"/>
        <w:numPr>
          <w:ilvl w:val="2"/>
          <w:numId w:val="33"/>
        </w:numPr>
        <w:spacing w:before="0" w:after="160"/>
        <w:ind w:left="1800" w:hanging="360"/>
        <w:rPr>
          <w:color w:val="000000"/>
        </w:rPr>
      </w:pPr>
      <w:bookmarkStart w:id="76" w:name="_Toc187757612"/>
      <w:r w:rsidRPr="0039320E">
        <w:t xml:space="preserve">Coastal recession does not fall within the limited exceptions in UNCLOS to ambulatory </w:t>
      </w:r>
      <w:bookmarkEnd w:id="75"/>
      <w:r w:rsidRPr="0039320E">
        <w:t>baselines</w:t>
      </w:r>
      <w:bookmarkEnd w:id="76"/>
    </w:p>
    <w:p w14:paraId="24A3A035" w14:textId="7076AD01" w:rsidR="002A4673" w:rsidRPr="00E44380" w:rsidRDefault="002A4673" w:rsidP="00790B76">
      <w:r w:rsidRPr="00E44380">
        <w:t>UNCLOS permits only two exceptions to the rule that baselines and their corresponding maritime zones</w:t>
      </w:r>
      <w:r>
        <w:t xml:space="preserve"> must</w:t>
      </w:r>
      <w:r w:rsidRPr="00E44380">
        <w:t xml:space="preserve"> move with physical changes to the low-water line.</w:t>
      </w:r>
    </w:p>
    <w:p w14:paraId="3445D6CA" w14:textId="13D7E3D8" w:rsidR="002A4673" w:rsidRPr="00E44380" w:rsidRDefault="002A4673" w:rsidP="00790B76">
      <w:r w:rsidRPr="00E44380">
        <w:t>First, in the case of unstable deltaic coastlines, baselines “shall remain effective until changed by the coastal State.”</w:t>
      </w:r>
      <w:r w:rsidRPr="00E44380">
        <w:rPr>
          <w:vertAlign w:val="superscript"/>
        </w:rPr>
        <w:footnoteReference w:id="130"/>
      </w:r>
      <w:r w:rsidRPr="00E44380">
        <w:t xml:space="preserve"> This implies, </w:t>
      </w:r>
      <w:r w:rsidRPr="00E44380">
        <w:rPr>
          <w:i/>
          <w:iCs/>
        </w:rPr>
        <w:t>expressio unius</w:t>
      </w:r>
      <w:r w:rsidRPr="00E44380">
        <w:t>,</w:t>
      </w:r>
      <w:r w:rsidRPr="00E44380">
        <w:rPr>
          <w:vertAlign w:val="superscript"/>
        </w:rPr>
        <w:footnoteReference w:id="131"/>
      </w:r>
      <w:r w:rsidRPr="00E44380">
        <w:t xml:space="preserve"> that for all other baselines, the baselines move following geographical realities even absent updating of official charts. Coastal </w:t>
      </w:r>
      <w:r w:rsidRPr="00E44380">
        <w:lastRenderedPageBreak/>
        <w:t xml:space="preserve">recession impacting </w:t>
      </w:r>
      <w:r>
        <w:t xml:space="preserve">Ambrosia’s </w:t>
      </w:r>
      <w:r w:rsidRPr="00E44380">
        <w:t>normal baselines does not fall within the circumstances envisioned under Article 7(2).</w:t>
      </w:r>
      <w:r w:rsidRPr="00E44380">
        <w:rPr>
          <w:vertAlign w:val="superscript"/>
        </w:rPr>
        <w:footnoteReference w:id="132"/>
      </w:r>
    </w:p>
    <w:p w14:paraId="764DCC6F" w14:textId="5C4C9F46" w:rsidR="002A4673" w:rsidRPr="00E44380" w:rsidRDefault="002A4673" w:rsidP="00790B76">
      <w:r w:rsidRPr="00E44380">
        <w:t>Second, Article 76(9) allows a State to deposit charts “permanently describing” the other limits of its continental shelf.</w:t>
      </w:r>
      <w:r w:rsidRPr="00E44380">
        <w:rPr>
          <w:vertAlign w:val="superscript"/>
        </w:rPr>
        <w:footnoteReference w:id="133"/>
      </w:r>
      <w:r w:rsidRPr="00E44380">
        <w:t xml:space="preserve"> Again, by negative implication, this exception does not extend to the EEZ, territorial sea, or contiguous zones.</w:t>
      </w:r>
      <w:r w:rsidRPr="00E44380">
        <w:rPr>
          <w:vertAlign w:val="superscript"/>
        </w:rPr>
        <w:footnoteReference w:id="134"/>
      </w:r>
    </w:p>
    <w:p w14:paraId="21A8C25A" w14:textId="0287170D" w:rsidR="002A4673" w:rsidRDefault="002A4673" w:rsidP="00790B76">
      <w:r w:rsidRPr="00E44380">
        <w:t>The shifting of Ambrosia’s normal baseline due to climate-related coastal recession does not fall within these exceptions.</w:t>
      </w:r>
      <w:r>
        <w:t xml:space="preserve"> </w:t>
      </w:r>
      <w:r w:rsidRPr="00E44380">
        <w:t>The Permanent Court of Arbitration has expressly held in closely analogous delimitation cases that the issue of whether coastlines will be affected by climate change is not relevant to whether the base points reflect the general direction of the coast “in the present case and at the present time.”</w:t>
      </w:r>
      <w:r w:rsidRPr="00E44380">
        <w:rPr>
          <w:vertAlign w:val="superscript"/>
        </w:rPr>
        <w:footnoteReference w:id="135"/>
      </w:r>
    </w:p>
    <w:p w14:paraId="2BC1EAFF" w14:textId="138C004D" w:rsidR="00D90D30" w:rsidRPr="00D90D30" w:rsidRDefault="00D90D30" w:rsidP="00790B76">
      <w:pPr>
        <w:rPr>
          <w:color w:val="000000"/>
        </w:rPr>
      </w:pPr>
      <w:r w:rsidRPr="00E44380">
        <w:t xml:space="preserve">Thus, the Triton Shoal </w:t>
      </w:r>
      <w:r w:rsidR="0047063B">
        <w:t>is</w:t>
      </w:r>
      <w:r w:rsidRPr="00E44380">
        <w:t xml:space="preserve"> in the high seas</w:t>
      </w:r>
      <w:r>
        <w:rPr>
          <w:color w:val="000000"/>
        </w:rPr>
        <w:t>.</w:t>
      </w:r>
    </w:p>
    <w:p w14:paraId="6234AC44" w14:textId="7CF454C0" w:rsidR="002A4673" w:rsidRPr="003A78EF" w:rsidRDefault="002A4673" w:rsidP="00790B76">
      <w:pPr>
        <w:pStyle w:val="Heading4"/>
        <w:numPr>
          <w:ilvl w:val="0"/>
          <w:numId w:val="33"/>
        </w:numPr>
        <w:spacing w:before="0" w:after="160"/>
      </w:pPr>
      <w:bookmarkStart w:id="77" w:name="_Toc187614587"/>
      <w:bookmarkStart w:id="78" w:name="_Toc187757613"/>
      <w:r w:rsidRPr="003A78EF">
        <w:t xml:space="preserve">This Court should reject Ambrosia’s base lines as they do not accord with physical </w:t>
      </w:r>
      <w:bookmarkEnd w:id="77"/>
      <w:r w:rsidRPr="003A78EF">
        <w:t>realities</w:t>
      </w:r>
      <w:bookmarkEnd w:id="78"/>
    </w:p>
    <w:p w14:paraId="19C1A80A" w14:textId="60E3B257" w:rsidR="002A4673" w:rsidRDefault="002A4673" w:rsidP="00790B76">
      <w:r w:rsidRPr="00E44380">
        <w:t>The establishment of maritime zones must be valid under international law; “it cannot be dependent merely upon the will of the Coastal State.”</w:t>
      </w:r>
      <w:r w:rsidRPr="00E44380">
        <w:rPr>
          <w:vertAlign w:val="superscript"/>
        </w:rPr>
        <w:footnoteReference w:id="136"/>
      </w:r>
      <w:r>
        <w:t xml:space="preserve"> </w:t>
      </w:r>
      <w:r w:rsidRPr="005F5EF3">
        <w:rPr>
          <w:lang w:val="en-US"/>
        </w:rPr>
        <w:t xml:space="preserve">Irrespective of whether UNCLOS obliges States to update their baselines, </w:t>
      </w:r>
      <w:r w:rsidR="00212F35">
        <w:rPr>
          <w:lang w:val="en-US"/>
        </w:rPr>
        <w:t>c</w:t>
      </w:r>
      <w:r w:rsidRPr="005F5EF3">
        <w:rPr>
          <w:lang w:val="en-US"/>
        </w:rPr>
        <w:t>ourts have consistently held that they are not bound to accept charted baselines officially recognized by States if they do not reflect the “physical reality at the time of delimitation.”</w:t>
      </w:r>
      <w:r w:rsidRPr="00E44380">
        <w:rPr>
          <w:vertAlign w:val="superscript"/>
        </w:rPr>
        <w:footnoteReference w:id="137"/>
      </w:r>
    </w:p>
    <w:p w14:paraId="35583A5C" w14:textId="1A3D9098" w:rsidR="002A4673" w:rsidRPr="00D65FB0" w:rsidRDefault="002A4673" w:rsidP="00790B76">
      <w:r>
        <w:lastRenderedPageBreak/>
        <w:t>Given the physical reality that the Triton Shoal is more than 200 nautical miles from Ambrosia’s low-water line</w:t>
      </w:r>
      <w:r w:rsidRPr="00E44380">
        <w:t>, this Court should reject Ambrosia’s unlawful unilateral delimitation</w:t>
      </w:r>
      <w:r>
        <w:t xml:space="preserve"> and consider the Triton Shoal to be on the high seas</w:t>
      </w:r>
      <w:r w:rsidRPr="00E44380">
        <w:t>.</w:t>
      </w:r>
    </w:p>
    <w:p w14:paraId="14C3B424" w14:textId="77777777" w:rsidR="002A4673" w:rsidRDefault="002A4673" w:rsidP="00790B76">
      <w:pPr>
        <w:pStyle w:val="Heading3"/>
        <w:numPr>
          <w:ilvl w:val="0"/>
          <w:numId w:val="32"/>
        </w:numPr>
        <w:spacing w:before="0" w:after="160"/>
        <w:ind w:left="1080"/>
      </w:pPr>
      <w:bookmarkStart w:id="79" w:name="_Toc187614589"/>
      <w:bookmarkStart w:id="80" w:name="_Toc187529692"/>
      <w:bookmarkStart w:id="81" w:name="_Toc187757614"/>
      <w:r w:rsidRPr="00190B6A">
        <w:t>Customary international law supports an ambulatory baseline approach</w:t>
      </w:r>
      <w:bookmarkEnd w:id="79"/>
      <w:bookmarkEnd w:id="80"/>
      <w:bookmarkEnd w:id="81"/>
      <w:r>
        <w:t xml:space="preserve"> </w:t>
      </w:r>
    </w:p>
    <w:p w14:paraId="32E27EF4" w14:textId="0CAD3740" w:rsidR="002A4673" w:rsidRPr="00DF2B7E" w:rsidRDefault="002A4673" w:rsidP="00790B76">
      <w:r w:rsidRPr="00EA3DE0">
        <w:t xml:space="preserve">Ambrosia’s Freezing Law violates customary international law. </w:t>
      </w:r>
      <w:r w:rsidRPr="00E44380">
        <w:t xml:space="preserve">To be considered customary international law, a rule must be supported by widespread and representative </w:t>
      </w:r>
      <w:r w:rsidR="00212F35">
        <w:t>S</w:t>
      </w:r>
      <w:r w:rsidRPr="00E44380">
        <w:t>tate practice</w:t>
      </w:r>
      <w:r w:rsidR="00212F35">
        <w:t>,</w:t>
      </w:r>
      <w:r w:rsidRPr="00E44380">
        <w:rPr>
          <w:vertAlign w:val="superscript"/>
        </w:rPr>
        <w:footnoteReference w:id="138"/>
      </w:r>
      <w:r w:rsidRPr="00E44380">
        <w:t xml:space="preserve"> carried out in the belief that it is legally obligatory (</w:t>
      </w:r>
      <w:r w:rsidRPr="00E44380">
        <w:rPr>
          <w:i/>
          <w:iCs/>
        </w:rPr>
        <w:t>opinio juris</w:t>
      </w:r>
      <w:r w:rsidRPr="00E44380">
        <w:t>).</w:t>
      </w:r>
      <w:r w:rsidRPr="00E44380">
        <w:rPr>
          <w:vertAlign w:val="superscript"/>
        </w:rPr>
        <w:footnoteReference w:id="139"/>
      </w:r>
      <w:r w:rsidRPr="00E44380">
        <w:t xml:space="preserve"> </w:t>
      </w:r>
      <w:r w:rsidRPr="00EA3DE0">
        <w:t xml:space="preserve">While ambulatory baselines are an established </w:t>
      </w:r>
      <w:r>
        <w:t>international custom</w:t>
      </w:r>
      <w:r w:rsidRPr="00EA3DE0">
        <w:t xml:space="preserve"> </w:t>
      </w:r>
      <w:r w:rsidRPr="00EA3DE0">
        <w:rPr>
          <w:b/>
          <w:bCs/>
        </w:rPr>
        <w:t>[1],</w:t>
      </w:r>
      <w:r w:rsidRPr="00EA3DE0">
        <w:t xml:space="preserve"> no rule supporting fixed baselines exists at the international level, nor has a regional rule crystallized in the Paine Peninsula </w:t>
      </w:r>
      <w:r w:rsidRPr="00EA3DE0">
        <w:rPr>
          <w:b/>
          <w:bCs/>
        </w:rPr>
        <w:t>[</w:t>
      </w:r>
      <w:r w:rsidR="004941D1">
        <w:rPr>
          <w:b/>
          <w:bCs/>
        </w:rPr>
        <w:t>2</w:t>
      </w:r>
      <w:r w:rsidRPr="00EA3DE0">
        <w:rPr>
          <w:b/>
          <w:bCs/>
        </w:rPr>
        <w:t>]</w:t>
      </w:r>
      <w:r w:rsidRPr="00EA3DE0">
        <w:t xml:space="preserve">. Even if a custom is considered to have crystallized, Rovinia is a persistent objector and is not bound by the rule </w:t>
      </w:r>
      <w:r w:rsidRPr="00EA3DE0">
        <w:rPr>
          <w:b/>
          <w:bCs/>
        </w:rPr>
        <w:t>[</w:t>
      </w:r>
      <w:r w:rsidR="004941D1">
        <w:rPr>
          <w:b/>
          <w:bCs/>
        </w:rPr>
        <w:t>3</w:t>
      </w:r>
      <w:r w:rsidRPr="00EA3DE0">
        <w:rPr>
          <w:b/>
          <w:bCs/>
        </w:rPr>
        <w:t>]</w:t>
      </w:r>
      <w:r w:rsidRPr="00EA3DE0">
        <w:t xml:space="preserve">. </w:t>
      </w:r>
    </w:p>
    <w:p w14:paraId="362D211F" w14:textId="77777777" w:rsidR="002A4673" w:rsidRPr="002D79F1" w:rsidRDefault="002A4673" w:rsidP="00790B76">
      <w:pPr>
        <w:pStyle w:val="Heading4"/>
        <w:numPr>
          <w:ilvl w:val="0"/>
          <w:numId w:val="34"/>
        </w:numPr>
        <w:spacing w:before="0" w:after="160"/>
        <w:ind w:left="1440"/>
      </w:pPr>
      <w:bookmarkStart w:id="82" w:name="_Toc187529693"/>
      <w:bookmarkStart w:id="83" w:name="_Toc187757615"/>
      <w:r w:rsidRPr="00EA3DE0">
        <w:t>Baselines are ambulatory under customary international law</w:t>
      </w:r>
      <w:bookmarkEnd w:id="82"/>
      <w:bookmarkEnd w:id="83"/>
      <w:r w:rsidRPr="00EA3DE0">
        <w:t xml:space="preserve"> </w:t>
      </w:r>
    </w:p>
    <w:p w14:paraId="7C5C6ADD" w14:textId="6C175137" w:rsidR="002A4673" w:rsidRPr="00E44380" w:rsidRDefault="002A4673" w:rsidP="00790B76">
      <w:r w:rsidRPr="00E44380">
        <w:t xml:space="preserve">Coastal States have accepted the principle that baselines ambulate based on the recession or extension of </w:t>
      </w:r>
      <w:r w:rsidR="00212F35">
        <w:t>the</w:t>
      </w:r>
      <w:r w:rsidRPr="00E44380">
        <w:t xml:space="preserve"> low-water line. States have continuously deposited new coordinates of the low-water line that supersede previously recognized baselines,</w:t>
      </w:r>
      <w:r w:rsidRPr="00E44380">
        <w:rPr>
          <w:vertAlign w:val="superscript"/>
        </w:rPr>
        <w:footnoteReference w:id="140"/>
      </w:r>
      <w:r w:rsidRPr="00E44380">
        <w:t xml:space="preserve"> and have sought to change their entitlements via land reclamation.</w:t>
      </w:r>
      <w:r w:rsidRPr="00E44380">
        <w:rPr>
          <w:vertAlign w:val="superscript"/>
        </w:rPr>
        <w:footnoteReference w:id="141"/>
      </w:r>
      <w:r w:rsidRPr="00E44380">
        <w:t xml:space="preserve"> The </w:t>
      </w:r>
      <w:r w:rsidR="00212F35">
        <w:t>International Law Association’s</w:t>
      </w:r>
      <w:r w:rsidRPr="00E44380">
        <w:t xml:space="preserve"> Baselines Committee </w:t>
      </w:r>
      <w:r w:rsidRPr="00E44380">
        <w:lastRenderedPageBreak/>
        <w:t>notes that since states have consistently updated their baselines with expansions seaward, legal baselines must also change with contractions of the actual low-water line landward.</w:t>
      </w:r>
      <w:r w:rsidRPr="00E44380">
        <w:rPr>
          <w:vertAlign w:val="superscript"/>
        </w:rPr>
        <w:footnoteReference w:id="142"/>
      </w:r>
      <w:r w:rsidRPr="00E44380">
        <w:t xml:space="preserve"> </w:t>
      </w:r>
    </w:p>
    <w:p w14:paraId="007CA0DE" w14:textId="5593AD22" w:rsidR="002A4673" w:rsidRPr="00E44380" w:rsidRDefault="002A4673" w:rsidP="00790B76">
      <w:r w:rsidRPr="00E44380">
        <w:t xml:space="preserve">The adoption of domestic legislation referencing obligations to update baselines is evidence of </w:t>
      </w:r>
      <w:r w:rsidRPr="00E44380">
        <w:rPr>
          <w:i/>
          <w:iCs/>
        </w:rPr>
        <w:t>opinio juris</w:t>
      </w:r>
      <w:r w:rsidRPr="00E44380">
        <w:t>. The domestic legislation of all OCDP Member States, including Ambrosia, defined their baselines as ambulatory until 2015.</w:t>
      </w:r>
      <w:r w:rsidRPr="00E44380">
        <w:rPr>
          <w:vertAlign w:val="superscript"/>
        </w:rPr>
        <w:footnoteReference w:id="143"/>
      </w:r>
      <w:r w:rsidRPr="00E44380">
        <w:t xml:space="preserve"> Submissions to the ILC Study Group revealed widespread domestic adoption of “ambulatory baselines in accordance with [UNCLOS]”</w:t>
      </w:r>
      <w:r w:rsidRPr="00E44380">
        <w:rPr>
          <w:vertAlign w:val="superscript"/>
        </w:rPr>
        <w:footnoteReference w:id="144"/>
      </w:r>
      <w:r w:rsidRPr="00E44380">
        <w:rPr>
          <w:vertAlign w:val="superscript"/>
        </w:rPr>
        <w:t xml:space="preserve"> </w:t>
      </w:r>
      <w:r>
        <w:t>by</w:t>
      </w:r>
      <w:r w:rsidRPr="00E44380">
        <w:t xml:space="preserve"> State</w:t>
      </w:r>
      <w:r w:rsidR="00212F35">
        <w:t>s</w:t>
      </w:r>
      <w:r w:rsidRPr="00E44380">
        <w:t xml:space="preserve"> Parties including the United Kingdom, Nigeria, </w:t>
      </w:r>
      <w:r>
        <w:t xml:space="preserve">Bangladesh, </w:t>
      </w:r>
      <w:r w:rsidRPr="00E44380">
        <w:t xml:space="preserve">and the Netherlands, among others. The Australian High Court </w:t>
      </w:r>
      <w:r>
        <w:t>asserts</w:t>
      </w:r>
      <w:r w:rsidRPr="00E44380">
        <w:t xml:space="preserve"> that the low-water line “does not depend for its existence and significance upon any chart” but solely upon physical facts.</w:t>
      </w:r>
      <w:r w:rsidRPr="00E44380">
        <w:rPr>
          <w:vertAlign w:val="superscript"/>
        </w:rPr>
        <w:footnoteReference w:id="145"/>
      </w:r>
      <w:r w:rsidRPr="00E44380">
        <w:t xml:space="preserve"> This custom is observed even by non-signatories to UNCLOS.</w:t>
      </w:r>
      <w:r w:rsidRPr="00E44380">
        <w:rPr>
          <w:vertAlign w:val="superscript"/>
        </w:rPr>
        <w:footnoteReference w:id="146"/>
      </w:r>
      <w:r w:rsidRPr="00E44380">
        <w:t xml:space="preserve"> </w:t>
      </w:r>
    </w:p>
    <w:p w14:paraId="48340C6F" w14:textId="78323502" w:rsidR="002A4673" w:rsidRPr="002D79F1" w:rsidRDefault="002A4673" w:rsidP="00790B76">
      <w:pPr>
        <w:rPr>
          <w:lang w:val="en-US"/>
        </w:rPr>
      </w:pPr>
      <w:r w:rsidRPr="00E44380">
        <w:t>Such widespread State practice confirms a customary rule that both baselines, and the maritime zones measured from them, are ambulatory</w:t>
      </w:r>
      <w:r w:rsidR="007D48DD">
        <w:t>.</w:t>
      </w:r>
    </w:p>
    <w:p w14:paraId="0FCDE97A" w14:textId="559392CB" w:rsidR="002A4673" w:rsidRPr="00F76918" w:rsidRDefault="002A4673" w:rsidP="00790B76">
      <w:pPr>
        <w:pStyle w:val="Heading4"/>
        <w:spacing w:before="0" w:after="160"/>
      </w:pPr>
      <w:bookmarkStart w:id="84" w:name="_Toc187529694"/>
      <w:bookmarkStart w:id="85" w:name="_Toc187757616"/>
      <w:r w:rsidRPr="00EA3DE0">
        <w:t xml:space="preserve">No </w:t>
      </w:r>
      <w:r w:rsidR="007D48DD">
        <w:t xml:space="preserve">international or regional custom </w:t>
      </w:r>
      <w:r w:rsidRPr="00EA3DE0">
        <w:t>supports fixed baselines</w:t>
      </w:r>
      <w:bookmarkEnd w:id="84"/>
      <w:bookmarkEnd w:id="85"/>
    </w:p>
    <w:p w14:paraId="53A1A0CE" w14:textId="42E60F39" w:rsidR="002A4673" w:rsidRPr="00E44380" w:rsidRDefault="002A4673" w:rsidP="00790B76">
      <w:pPr>
        <w:rPr>
          <w:rFonts w:eastAsia="Arial"/>
        </w:rPr>
      </w:pPr>
      <w:r w:rsidRPr="00E44380">
        <w:t xml:space="preserve">The freezing of baselines fails to meet the requirements for a rule to be considered customary law. </w:t>
      </w:r>
      <w:r w:rsidRPr="00E44380">
        <w:rPr>
          <w:rFonts w:eastAsia="Arial"/>
        </w:rPr>
        <w:t>There is no evidence of widespread and virtually uniform State practice. Outside of the OCDP and Pacific Island</w:t>
      </w:r>
      <w:r>
        <w:rPr>
          <w:rFonts w:eastAsia="Arial"/>
        </w:rPr>
        <w:t>s</w:t>
      </w:r>
      <w:r w:rsidRPr="00E44380">
        <w:rPr>
          <w:rFonts w:eastAsia="Arial"/>
        </w:rPr>
        <w:t xml:space="preserve"> Forum </w:t>
      </w:r>
      <w:r w:rsidR="007D48DD">
        <w:rPr>
          <w:rFonts w:eastAsia="Arial"/>
        </w:rPr>
        <w:t>S</w:t>
      </w:r>
      <w:r w:rsidRPr="00E44380">
        <w:rPr>
          <w:rFonts w:eastAsia="Arial"/>
        </w:rPr>
        <w:t xml:space="preserve">tates, no other Coastal States out of over 150 have frozen their baselines despite facing a similarly high threat of climate change. </w:t>
      </w:r>
      <w:r w:rsidR="007D48DD">
        <w:t>Nor</w:t>
      </w:r>
      <w:r w:rsidRPr="00E44380">
        <w:t xml:space="preserve"> is there evidence of </w:t>
      </w:r>
      <w:r w:rsidRPr="00E44380">
        <w:rPr>
          <w:i/>
        </w:rPr>
        <w:t>opinio juris</w:t>
      </w:r>
      <w:r w:rsidRPr="00E44380">
        <w:t>. The Pacific Island</w:t>
      </w:r>
      <w:r>
        <w:t>s</w:t>
      </w:r>
      <w:r w:rsidRPr="00E44380">
        <w:t xml:space="preserve"> Forum based its proposal for fixed baselines on an argument that UNCLOS “imposes no affirmative obligation to keep baselines and outer limits of maritime zones under review,”</w:t>
      </w:r>
      <w:r w:rsidRPr="00E44380">
        <w:rPr>
          <w:vertAlign w:val="superscript"/>
        </w:rPr>
        <w:footnoteReference w:id="147"/>
      </w:r>
      <w:r w:rsidRPr="00E44380">
        <w:t xml:space="preserve"> which suggests it acted in the </w:t>
      </w:r>
      <w:r w:rsidRPr="00E44380">
        <w:rPr>
          <w:i/>
        </w:rPr>
        <w:t>absence</w:t>
      </w:r>
      <w:r w:rsidRPr="00E44380">
        <w:t xml:space="preserve"> of legal obligation. </w:t>
      </w:r>
      <w:r w:rsidRPr="00E44380">
        <w:rPr>
          <w:rFonts w:eastAsia="Arial"/>
        </w:rPr>
        <w:t xml:space="preserve">Nor has any rule of </w:t>
      </w:r>
      <w:r w:rsidRPr="00E44380">
        <w:rPr>
          <w:rFonts w:eastAsia="Arial"/>
        </w:rPr>
        <w:lastRenderedPageBreak/>
        <w:t xml:space="preserve">regional custom crystallized. </w:t>
      </w:r>
      <w:r w:rsidRPr="00E44380">
        <w:t xml:space="preserve">Regional custom requires long continued and uniform </w:t>
      </w:r>
      <w:r w:rsidR="004941D1">
        <w:t>S</w:t>
      </w:r>
      <w:r w:rsidRPr="00E44380">
        <w:t>tate practice within a specific region, accepted by States as regulating their relations.</w:t>
      </w:r>
      <w:r w:rsidRPr="00E44380">
        <w:rPr>
          <w:rFonts w:eastAsia="Arial"/>
          <w:vertAlign w:val="superscript"/>
        </w:rPr>
        <w:footnoteReference w:id="148"/>
      </w:r>
      <w:r w:rsidRPr="00E44380">
        <w:t xml:space="preserve"> It has been merely eight years since Ambrosia’s Freezing Law was announced. </w:t>
      </w:r>
      <w:r>
        <w:rPr>
          <w:rFonts w:eastAsia="Arial"/>
        </w:rPr>
        <w:t>A</w:t>
      </w:r>
      <w:r w:rsidRPr="00E44380">
        <w:t xml:space="preserve"> short time frame for the formation of regional custom requires virtual uniformity as an “indispensable requirement” within that period.</w:t>
      </w:r>
      <w:r w:rsidRPr="00E44380">
        <w:rPr>
          <w:rFonts w:eastAsia="Arial"/>
          <w:vertAlign w:val="superscript"/>
        </w:rPr>
        <w:footnoteReference w:id="149"/>
      </w:r>
      <w:r w:rsidRPr="00E44380">
        <w:t xml:space="preserve"> No regional custom could be crystallized in the Paine Peninsula because Rovinia, one of only seven </w:t>
      </w:r>
      <w:r w:rsidR="004941D1">
        <w:t>S</w:t>
      </w:r>
      <w:r w:rsidRPr="00E44380">
        <w:t>tates in the peninsula, consistently denied the legitimacy of the practice.</w:t>
      </w:r>
    </w:p>
    <w:p w14:paraId="7AA2EC87" w14:textId="77777777" w:rsidR="002A4673" w:rsidRDefault="002A4673" w:rsidP="00790B76">
      <w:r w:rsidRPr="00E44380">
        <w:t xml:space="preserve">Ambrosia’s own statements betray a lack of </w:t>
      </w:r>
      <w:r w:rsidRPr="00E44380">
        <w:rPr>
          <w:i/>
        </w:rPr>
        <w:t>opinio juris</w:t>
      </w:r>
      <w:r w:rsidRPr="00E44380">
        <w:rPr>
          <w:rFonts w:eastAsia="Arial"/>
        </w:rPr>
        <w:t>.</w:t>
      </w:r>
      <w:r w:rsidRPr="00E44380">
        <w:t xml:space="preserve"> </w:t>
      </w:r>
      <w:r w:rsidRPr="00E44380">
        <w:rPr>
          <w:rFonts w:eastAsia="Arial"/>
        </w:rPr>
        <w:t>The Ambrosian delegate in May 2016 described the “trailblazing role”</w:t>
      </w:r>
      <w:r w:rsidRPr="00E44380">
        <w:rPr>
          <w:rFonts w:eastAsia="Arial"/>
          <w:vertAlign w:val="superscript"/>
        </w:rPr>
        <w:footnoteReference w:id="150"/>
      </w:r>
      <w:r w:rsidRPr="00E44380">
        <w:rPr>
          <w:rFonts w:eastAsia="Arial"/>
        </w:rPr>
        <w:t xml:space="preserve"> of Ambrosia in pursuing fixed baselines, suggesting that it was not standard practice. He pleaded that </w:t>
      </w:r>
      <w:r w:rsidRPr="00E44380">
        <w:t xml:space="preserve">international law “must allow states” to address the changes wrought by climate change, confirming that the proposal was made </w:t>
      </w:r>
      <w:r w:rsidRPr="00E44380">
        <w:rPr>
          <w:i/>
        </w:rPr>
        <w:t>de lege ferenda</w:t>
      </w:r>
      <w:r w:rsidRPr="00E44380">
        <w:t xml:space="preserve">, and not </w:t>
      </w:r>
      <w:r w:rsidRPr="00E44380">
        <w:rPr>
          <w:i/>
        </w:rPr>
        <w:t>de lege lata</w:t>
      </w:r>
      <w:r w:rsidRPr="00E44380">
        <w:t>.</w:t>
      </w:r>
      <w:r w:rsidRPr="00E44380">
        <w:rPr>
          <w:vertAlign w:val="superscript"/>
        </w:rPr>
        <w:footnoteReference w:id="151"/>
      </w:r>
    </w:p>
    <w:p w14:paraId="5758F43F" w14:textId="7C537EFA" w:rsidR="002A4673" w:rsidRPr="00294E85" w:rsidRDefault="002A4673" w:rsidP="00790B76">
      <w:pPr>
        <w:pStyle w:val="Heading4"/>
        <w:numPr>
          <w:ilvl w:val="0"/>
          <w:numId w:val="33"/>
        </w:numPr>
        <w:spacing w:before="0" w:after="160"/>
      </w:pPr>
      <w:bookmarkStart w:id="86" w:name="_Toc187757617"/>
      <w:bookmarkStart w:id="87" w:name="_Toc187614594"/>
      <w:r w:rsidRPr="00EA3DE0">
        <w:t xml:space="preserve">Even if the freezing laws are reflective of custom, Rovinia is a persistent objector and is not bound by </w:t>
      </w:r>
      <w:r w:rsidR="004941D1">
        <w:t>the</w:t>
      </w:r>
      <w:r w:rsidRPr="00EA3DE0">
        <w:t xml:space="preserve"> rule</w:t>
      </w:r>
      <w:bookmarkEnd w:id="86"/>
      <w:r w:rsidRPr="00140121">
        <w:t xml:space="preserve"> </w:t>
      </w:r>
      <w:bookmarkEnd w:id="87"/>
    </w:p>
    <w:p w14:paraId="0A9F02CF" w14:textId="348DF63E" w:rsidR="002A4673" w:rsidRPr="00294E85" w:rsidRDefault="002A4673" w:rsidP="00790B76">
      <w:pPr>
        <w:rPr>
          <w:bCs/>
          <w:color w:val="000000"/>
        </w:rPr>
      </w:pPr>
      <w:r w:rsidRPr="00294E85">
        <w:rPr>
          <w:bCs/>
          <w:color w:val="000000"/>
          <w:lang w:val="en-US"/>
        </w:rPr>
        <w:t>I</w:t>
      </w:r>
      <w:r w:rsidRPr="00294E85">
        <w:rPr>
          <w:bCs/>
          <w:color w:val="000000"/>
        </w:rPr>
        <w:t>f a State has persistently objected to an emerging rule of customary international law, and maintains its objections after the rule has crystallized, it is not bound by it.</w:t>
      </w:r>
      <w:r w:rsidRPr="00294E85">
        <w:rPr>
          <w:bCs/>
          <w:color w:val="000000"/>
          <w:vertAlign w:val="superscript"/>
        </w:rPr>
        <w:footnoteReference w:id="152"/>
      </w:r>
      <w:r w:rsidRPr="00294E85">
        <w:rPr>
          <w:bCs/>
          <w:color w:val="000000"/>
        </w:rPr>
        <w:t xml:space="preserve"> Since March 2016, Rovinia has consistently protested the freezing laws through </w:t>
      </w:r>
      <w:r w:rsidRPr="004941D1">
        <w:rPr>
          <w:bCs/>
          <w:i/>
          <w:iCs/>
          <w:color w:val="000000"/>
        </w:rPr>
        <w:t>notes verbales</w:t>
      </w:r>
      <w:r w:rsidRPr="00294E85">
        <w:rPr>
          <w:bCs/>
          <w:color w:val="000000"/>
        </w:rPr>
        <w:t>,</w:t>
      </w:r>
      <w:r w:rsidRPr="00294E85">
        <w:rPr>
          <w:bCs/>
          <w:color w:val="000000"/>
          <w:vertAlign w:val="superscript"/>
        </w:rPr>
        <w:footnoteReference w:id="153"/>
      </w:r>
      <w:r w:rsidRPr="00294E85">
        <w:rPr>
          <w:bCs/>
          <w:color w:val="000000"/>
          <w:vertAlign w:val="superscript"/>
        </w:rPr>
        <w:t xml:space="preserve"> </w:t>
      </w:r>
      <w:r w:rsidRPr="00294E85">
        <w:rPr>
          <w:bCs/>
          <w:color w:val="000000"/>
        </w:rPr>
        <w:t>objections</w:t>
      </w:r>
      <w:r w:rsidR="004941D1">
        <w:rPr>
          <w:bCs/>
          <w:color w:val="000000"/>
        </w:rPr>
        <w:t>,</w:t>
      </w:r>
      <w:r w:rsidRPr="00294E85">
        <w:rPr>
          <w:bCs/>
          <w:color w:val="000000"/>
          <w:vertAlign w:val="superscript"/>
        </w:rPr>
        <w:footnoteReference w:id="154"/>
      </w:r>
      <w:r w:rsidRPr="00294E85">
        <w:rPr>
          <w:bCs/>
          <w:color w:val="000000"/>
        </w:rPr>
        <w:t xml:space="preserve"> and votes against resolutions in the OCDP Assembly.</w:t>
      </w:r>
      <w:r w:rsidRPr="00294E85">
        <w:rPr>
          <w:bCs/>
          <w:color w:val="000000"/>
          <w:vertAlign w:val="superscript"/>
        </w:rPr>
        <w:footnoteReference w:id="155"/>
      </w:r>
      <w:r w:rsidRPr="00294E85">
        <w:rPr>
          <w:bCs/>
          <w:color w:val="000000"/>
        </w:rPr>
        <w:t xml:space="preserve"> Rovinia's abstention from the OCDP resolution in March 2023 does not detract from its persistent objection. Rovinia abstained due to </w:t>
      </w:r>
      <w:r w:rsidRPr="00294E85">
        <w:rPr>
          <w:bCs/>
          <w:color w:val="000000"/>
        </w:rPr>
        <w:lastRenderedPageBreak/>
        <w:t>the urgent need to address the crisis in Dovilina, not due to the absence of objection to the fixed baselines approach.</w:t>
      </w:r>
      <w:r w:rsidR="004941D1" w:rsidRPr="00294E85">
        <w:rPr>
          <w:bCs/>
          <w:color w:val="000000"/>
          <w:vertAlign w:val="superscript"/>
        </w:rPr>
        <w:footnoteReference w:id="156"/>
      </w:r>
      <w:r w:rsidRPr="00294E85">
        <w:rPr>
          <w:bCs/>
          <w:color w:val="000000"/>
        </w:rPr>
        <w:t xml:space="preserve"> </w:t>
      </w:r>
    </w:p>
    <w:p w14:paraId="113B8496" w14:textId="77777777" w:rsidR="002A4673" w:rsidRDefault="002A4673" w:rsidP="00790B76">
      <w:pPr>
        <w:rPr>
          <w:color w:val="000000"/>
        </w:rPr>
      </w:pPr>
      <w:r w:rsidRPr="00E44380">
        <w:rPr>
          <w:bCs/>
          <w:color w:val="000000"/>
        </w:rPr>
        <w:t>This Court has held that refusing to ratify a convention that would have crystallized a custom is sufficient to be a persistent objector.</w:t>
      </w:r>
      <w:r w:rsidRPr="00E44380">
        <w:rPr>
          <w:bCs/>
          <w:color w:val="000000"/>
          <w:vertAlign w:val="superscript"/>
        </w:rPr>
        <w:footnoteReference w:id="157"/>
      </w:r>
      <w:r w:rsidRPr="00E44380">
        <w:rPr>
          <w:bCs/>
          <w:color w:val="000000"/>
        </w:rPr>
        <w:t xml:space="preserve"> Rovinia, on account of its far more </w:t>
      </w:r>
      <w:r w:rsidRPr="00294E85">
        <w:rPr>
          <w:bCs/>
          <w:color w:val="000000"/>
        </w:rPr>
        <w:t xml:space="preserve">sustained, </w:t>
      </w:r>
      <w:r w:rsidRPr="00E44380">
        <w:rPr>
          <w:bCs/>
          <w:color w:val="000000"/>
        </w:rPr>
        <w:t>explicit objections has exempted itself from any such emerging custom</w:t>
      </w:r>
      <w:r>
        <w:rPr>
          <w:color w:val="000000"/>
        </w:rPr>
        <w:t xml:space="preserve">. </w:t>
      </w:r>
    </w:p>
    <w:p w14:paraId="335A299D" w14:textId="77777777" w:rsidR="002A4673" w:rsidRPr="00E7382E" w:rsidRDefault="002A4673" w:rsidP="00790B76">
      <w:pPr>
        <w:pStyle w:val="Heading3"/>
        <w:numPr>
          <w:ilvl w:val="0"/>
          <w:numId w:val="32"/>
        </w:numPr>
        <w:spacing w:before="0" w:after="160"/>
        <w:ind w:left="1080"/>
      </w:pPr>
      <w:bookmarkStart w:id="88" w:name="_Toc187614588"/>
      <w:bookmarkStart w:id="89" w:name="_Toc187757618"/>
      <w:r w:rsidRPr="00BD2F6A">
        <w:t xml:space="preserve">Rovinia </w:t>
      </w:r>
      <w:r w:rsidRPr="00E7382E">
        <w:t>lawfully exercised its</w:t>
      </w:r>
      <w:r w:rsidRPr="00BD2F6A">
        <w:t xml:space="preserve"> high seas freedoms</w:t>
      </w:r>
      <w:bookmarkEnd w:id="88"/>
      <w:bookmarkEnd w:id="89"/>
    </w:p>
    <w:p w14:paraId="24FB2B94" w14:textId="7F84FF24" w:rsidR="002A4673" w:rsidRPr="00BD2F6A" w:rsidRDefault="002A4673" w:rsidP="00790B76">
      <w:r w:rsidRPr="00BD2F6A">
        <w:rPr>
          <w:rFonts w:eastAsia="MS Mincho"/>
        </w:rPr>
        <w:t xml:space="preserve">Freedom of fishing in the high seas is qualified only by the obligation that it be exercised with </w:t>
      </w:r>
      <w:r w:rsidRPr="00BD2F6A">
        <w:t>due regard for the interests of other States.</w:t>
      </w:r>
      <w:r w:rsidRPr="00BD2F6A">
        <w:rPr>
          <w:vertAlign w:val="superscript"/>
        </w:rPr>
        <w:footnoteReference w:id="158"/>
      </w:r>
      <w:r w:rsidRPr="00BD2F6A">
        <w:t xml:space="preserve"> “</w:t>
      </w:r>
      <w:r>
        <w:t>D</w:t>
      </w:r>
      <w:r w:rsidRPr="00BD2F6A">
        <w:t>ue regard” requires balancing competing interests, taking into account the nature and importance of the activities, potential harm to other States, and availability of alternative solutions.</w:t>
      </w:r>
      <w:r w:rsidRPr="00BD2F6A">
        <w:rPr>
          <w:vertAlign w:val="superscript"/>
        </w:rPr>
        <w:footnoteReference w:id="159"/>
      </w:r>
      <w:r w:rsidRPr="00BD2F6A">
        <w:t xml:space="preserve"> Rovinia’s issuance of fishing licenses complies fully with this duty, as it does not infringe on the rights of </w:t>
      </w:r>
      <w:r>
        <w:t>other</w:t>
      </w:r>
      <w:r w:rsidRPr="00BD2F6A">
        <w:t xml:space="preserve"> State</w:t>
      </w:r>
      <w:r>
        <w:t>s</w:t>
      </w:r>
      <w:r w:rsidRPr="00BD2F6A">
        <w:t xml:space="preserve">. Since there are no concerns about the conservation of yellowfin tuna, Rovinia is permitted to </w:t>
      </w:r>
      <w:r w:rsidR="00966FAC">
        <w:t xml:space="preserve">promote the </w:t>
      </w:r>
      <w:r w:rsidRPr="00BD2F6A">
        <w:t xml:space="preserve">“optimum utilization of such species throughout the region” and Ambrosia </w:t>
      </w:r>
      <w:r w:rsidR="00966FAC">
        <w:t>is obligated</w:t>
      </w:r>
      <w:r w:rsidRPr="00BD2F6A">
        <w:t xml:space="preserve"> to cooperate with Rovinia in doing so.</w:t>
      </w:r>
      <w:r w:rsidRPr="00BD2F6A">
        <w:rPr>
          <w:vertAlign w:val="superscript"/>
        </w:rPr>
        <w:footnoteReference w:id="160"/>
      </w:r>
      <w:r w:rsidRPr="00BD2F6A">
        <w:t xml:space="preserve"> </w:t>
      </w:r>
    </w:p>
    <w:p w14:paraId="52C38170" w14:textId="368FF2A5" w:rsidR="002A4673" w:rsidRDefault="002A4673" w:rsidP="00790B76">
      <w:pPr>
        <w:ind w:firstLine="360"/>
      </w:pPr>
      <w:r w:rsidRPr="00BD2F6A">
        <w:t>In fact, it is Ambrosia’s assertion of exclusive fishing rights that constitutes an interference with Rovinia’s high seas freedoms. States must avoid actions that would adversely affect the legitimate use of the high seas by others.</w:t>
      </w:r>
      <w:r w:rsidRPr="00BD2F6A">
        <w:rPr>
          <w:vertAlign w:val="superscript"/>
        </w:rPr>
        <w:footnoteReference w:id="161"/>
      </w:r>
      <w:r w:rsidRPr="00BD2F6A">
        <w:t xml:space="preserve"> Fish in the high seas are universal resources.</w:t>
      </w:r>
      <w:r w:rsidRPr="00FC30E7">
        <w:t xml:space="preserve"> </w:t>
      </w:r>
      <w:r w:rsidRPr="00BD2F6A">
        <w:t xml:space="preserve">This Court has emphasized the need for States to consider the dependence of others on shared fishing </w:t>
      </w:r>
      <w:r w:rsidRPr="00BD2F6A">
        <w:lastRenderedPageBreak/>
        <w:t>grounds.</w:t>
      </w:r>
      <w:r w:rsidRPr="00BD2F6A">
        <w:rPr>
          <w:vertAlign w:val="superscript"/>
        </w:rPr>
        <w:footnoteReference w:id="162"/>
      </w:r>
      <w:r w:rsidRPr="00BD2F6A">
        <w:t xml:space="preserve"> Rovinia’s economy, whose fishing sector comprises nearly 40 percent of its GDP,</w:t>
      </w:r>
      <w:r w:rsidR="00966FAC" w:rsidRPr="00294E85">
        <w:rPr>
          <w:bCs/>
          <w:color w:val="000000"/>
          <w:vertAlign w:val="superscript"/>
        </w:rPr>
        <w:footnoteReference w:id="163"/>
      </w:r>
      <w:r w:rsidRPr="00BD2F6A">
        <w:t xml:space="preserve"> would be crippled if </w:t>
      </w:r>
      <w:r w:rsidR="00966FAC">
        <w:t>S</w:t>
      </w:r>
      <w:r w:rsidRPr="00BD2F6A">
        <w:t xml:space="preserve">tates failed to respect the right to fish. </w:t>
      </w:r>
    </w:p>
    <w:p w14:paraId="31499A21" w14:textId="6BBEA591" w:rsidR="002A4673" w:rsidRPr="009D6F80" w:rsidRDefault="002A4673" w:rsidP="00790B76">
      <w:pPr>
        <w:ind w:firstLine="360"/>
      </w:pPr>
      <w:r w:rsidRPr="00E44380">
        <w:t>Therefore, Rovinia’s issuance of fishing licenses in the Triton Shoal</w:t>
      </w:r>
      <w:r>
        <w:t xml:space="preserve">, which is </w:t>
      </w:r>
      <w:r w:rsidR="00966FAC">
        <w:t>o</w:t>
      </w:r>
      <w:r>
        <w:t>n the high seas,</w:t>
      </w:r>
      <w:r w:rsidRPr="00E44380">
        <w:t xml:space="preserve"> is in accordance with international law. </w:t>
      </w:r>
    </w:p>
    <w:p w14:paraId="6FAAA1CD" w14:textId="5DB5E3EB" w:rsidR="002A4673" w:rsidRPr="00140121" w:rsidRDefault="003C39F0" w:rsidP="00790B76">
      <w:pPr>
        <w:pStyle w:val="Heading2"/>
        <w:spacing w:before="0" w:after="160"/>
      </w:pPr>
      <w:bookmarkStart w:id="90" w:name="_Toc187614595"/>
      <w:bookmarkStart w:id="91" w:name="_Toc187757619"/>
      <w:r w:rsidRPr="00140121">
        <w:t xml:space="preserve">Rovinia’s Judicial Seizure </w:t>
      </w:r>
      <w:r w:rsidR="00966FAC">
        <w:t>a</w:t>
      </w:r>
      <w:r w:rsidRPr="00140121">
        <w:t xml:space="preserve">nd Sale </w:t>
      </w:r>
      <w:r w:rsidR="00966FAC">
        <w:t>o</w:t>
      </w:r>
      <w:r w:rsidRPr="00140121">
        <w:t xml:space="preserve">f The Falcon </w:t>
      </w:r>
      <w:r w:rsidR="00966FAC">
        <w:t>o</w:t>
      </w:r>
      <w:r w:rsidRPr="00140121">
        <w:t xml:space="preserve">n </w:t>
      </w:r>
      <w:r w:rsidR="00966FAC">
        <w:t>t</w:t>
      </w:r>
      <w:r w:rsidRPr="00140121">
        <w:t xml:space="preserve">he Basis </w:t>
      </w:r>
      <w:r w:rsidR="00966FAC">
        <w:t>o</w:t>
      </w:r>
      <w:r w:rsidRPr="00140121">
        <w:t xml:space="preserve">f </w:t>
      </w:r>
      <w:r>
        <w:t>Ambrosia’s</w:t>
      </w:r>
      <w:r w:rsidRPr="00140121">
        <w:t xml:space="preserve"> Waiver </w:t>
      </w:r>
      <w:r w:rsidR="00966FAC">
        <w:t>o</w:t>
      </w:r>
      <w:r w:rsidRPr="00140121">
        <w:t xml:space="preserve">f Immunity Were </w:t>
      </w:r>
      <w:r w:rsidR="00966FAC">
        <w:t>i</w:t>
      </w:r>
      <w:r w:rsidRPr="00140121">
        <w:t xml:space="preserve">n Accordance </w:t>
      </w:r>
      <w:r w:rsidR="00966FAC">
        <w:t>w</w:t>
      </w:r>
      <w:r w:rsidRPr="00140121">
        <w:t>ith International Law</w:t>
      </w:r>
      <w:bookmarkEnd w:id="90"/>
      <w:bookmarkEnd w:id="91"/>
      <w:r w:rsidRPr="00140121">
        <w:t xml:space="preserve"> </w:t>
      </w:r>
    </w:p>
    <w:p w14:paraId="000E300F" w14:textId="199DF534" w:rsidR="002A4673" w:rsidRDefault="002A4673" w:rsidP="002A4673">
      <w:pPr>
        <w:rPr>
          <w:lang w:val="en-US"/>
        </w:rPr>
      </w:pPr>
      <w:r w:rsidRPr="00804557">
        <w:rPr>
          <w:lang w:val="en-US"/>
        </w:rPr>
        <w:t>Measures to enforce judicial decisions</w:t>
      </w:r>
      <w:r w:rsidRPr="00140121">
        <w:rPr>
          <w:lang w:val="en-US"/>
        </w:rPr>
        <w:t xml:space="preserve"> against State property are </w:t>
      </w:r>
      <w:r w:rsidRPr="00804557">
        <w:rPr>
          <w:lang w:val="en-US"/>
        </w:rPr>
        <w:t>lawful when</w:t>
      </w:r>
      <w:r w:rsidRPr="00140121">
        <w:rPr>
          <w:lang w:val="en-US"/>
        </w:rPr>
        <w:t xml:space="preserve"> the State expressly </w:t>
      </w:r>
      <w:r w:rsidRPr="00804557">
        <w:rPr>
          <w:lang w:val="en-US"/>
        </w:rPr>
        <w:t>consents</w:t>
      </w:r>
      <w:r w:rsidRPr="00140121">
        <w:rPr>
          <w:lang w:val="en-US"/>
        </w:rPr>
        <w:t xml:space="preserve"> to such actions.</w:t>
      </w:r>
      <w:r w:rsidRPr="00140121">
        <w:rPr>
          <w:vertAlign w:val="superscript"/>
          <w:lang w:val="en-US"/>
        </w:rPr>
        <w:footnoteReference w:id="164"/>
      </w:r>
      <w:r w:rsidRPr="00140121">
        <w:rPr>
          <w:lang w:val="en-US"/>
        </w:rPr>
        <w:t xml:space="preserve"> President Piretis, acting on behalf of the Transitional Council</w:t>
      </w:r>
      <w:r w:rsidRPr="00E47B36">
        <w:rPr>
          <w:lang w:val="en-US"/>
        </w:rPr>
        <w:t>, validly waived</w:t>
      </w:r>
      <w:r w:rsidRPr="00140121">
        <w:rPr>
          <w:lang w:val="en-US"/>
        </w:rPr>
        <w:t xml:space="preserve"> </w:t>
      </w:r>
      <w:r w:rsidR="00966FAC">
        <w:rPr>
          <w:lang w:val="en-US"/>
        </w:rPr>
        <w:t>T</w:t>
      </w:r>
      <w:r w:rsidRPr="00140121">
        <w:rPr>
          <w:lang w:val="en-US"/>
        </w:rPr>
        <w:t>he Falcon’s immunity.</w:t>
      </w:r>
      <w:r w:rsidRPr="00140121">
        <w:rPr>
          <w:vertAlign w:val="superscript"/>
          <w:lang w:val="en-US"/>
        </w:rPr>
        <w:footnoteReference w:id="165"/>
      </w:r>
      <w:r w:rsidRPr="00140121">
        <w:rPr>
          <w:lang w:val="en-US"/>
        </w:rPr>
        <w:t xml:space="preserve"> The Council was competent to </w:t>
      </w:r>
      <w:r w:rsidRPr="00836D0B">
        <w:rPr>
          <w:lang w:val="en-US"/>
        </w:rPr>
        <w:t>bind Ambrosia due to</w:t>
      </w:r>
      <w:r>
        <w:rPr>
          <w:lang w:val="en-US"/>
        </w:rPr>
        <w:t xml:space="preserve"> its effective control of Ambrosia</w:t>
      </w:r>
      <w:r w:rsidRPr="00140121">
        <w:rPr>
          <w:lang w:val="en-US"/>
        </w:rPr>
        <w:t xml:space="preserve"> </w:t>
      </w:r>
      <w:r w:rsidRPr="00140121">
        <w:rPr>
          <w:b/>
          <w:bCs/>
          <w:lang w:val="en-US"/>
        </w:rPr>
        <w:t>[A]</w:t>
      </w:r>
      <w:r w:rsidRPr="00140121">
        <w:rPr>
          <w:lang w:val="en-US"/>
        </w:rPr>
        <w:t xml:space="preserve">. </w:t>
      </w:r>
      <w:r>
        <w:rPr>
          <w:lang w:val="en-US"/>
        </w:rPr>
        <w:t xml:space="preserve">Regardless of </w:t>
      </w:r>
      <w:r w:rsidRPr="00A764D7">
        <w:rPr>
          <w:lang w:val="en-US"/>
        </w:rPr>
        <w:t xml:space="preserve">its </w:t>
      </w:r>
      <w:r>
        <w:rPr>
          <w:lang w:val="en-US"/>
        </w:rPr>
        <w:t>governmental status</w:t>
      </w:r>
      <w:r w:rsidRPr="00140121">
        <w:rPr>
          <w:lang w:val="en-US"/>
        </w:rPr>
        <w:t xml:space="preserve">, </w:t>
      </w:r>
      <w:r w:rsidRPr="00A764D7">
        <w:rPr>
          <w:lang w:val="en-US"/>
        </w:rPr>
        <w:t>the Council exercised</w:t>
      </w:r>
      <w:r w:rsidRPr="00140121">
        <w:rPr>
          <w:lang w:val="en-US"/>
        </w:rPr>
        <w:t xml:space="preserve"> elements of governmental authority in the absence of Ms. Zavala’s </w:t>
      </w:r>
      <w:r w:rsidRPr="00A764D7">
        <w:rPr>
          <w:lang w:val="en-US"/>
        </w:rPr>
        <w:t xml:space="preserve">administration, </w:t>
      </w:r>
      <w:r w:rsidR="00966FAC">
        <w:rPr>
          <w:lang w:val="en-US"/>
        </w:rPr>
        <w:t>making</w:t>
      </w:r>
      <w:r w:rsidRPr="00A764D7">
        <w:rPr>
          <w:lang w:val="en-US"/>
        </w:rPr>
        <w:t xml:space="preserve"> its waiver </w:t>
      </w:r>
      <w:r>
        <w:rPr>
          <w:lang w:val="en-US"/>
        </w:rPr>
        <w:t xml:space="preserve">attributable to the </w:t>
      </w:r>
      <w:r w:rsidR="00966FAC">
        <w:rPr>
          <w:lang w:val="en-US"/>
        </w:rPr>
        <w:t xml:space="preserve">Ambrosian </w:t>
      </w:r>
      <w:r>
        <w:rPr>
          <w:lang w:val="en-US"/>
        </w:rPr>
        <w:t>State</w:t>
      </w:r>
      <w:r w:rsidRPr="00140121">
        <w:rPr>
          <w:lang w:val="en-US"/>
        </w:rPr>
        <w:t xml:space="preserve"> </w:t>
      </w:r>
      <w:r w:rsidRPr="00140121">
        <w:rPr>
          <w:b/>
          <w:bCs/>
          <w:lang w:val="en-US"/>
        </w:rPr>
        <w:t>[B]</w:t>
      </w:r>
      <w:r w:rsidRPr="00140121">
        <w:rPr>
          <w:lang w:val="en-US"/>
        </w:rPr>
        <w:t>.</w:t>
      </w:r>
      <w:r w:rsidRPr="00140121">
        <w:rPr>
          <w:vertAlign w:val="superscript"/>
          <w:lang w:val="en-US"/>
        </w:rPr>
        <w:footnoteReference w:id="166"/>
      </w:r>
      <w:r w:rsidRPr="00140121">
        <w:rPr>
          <w:lang w:val="en-US"/>
        </w:rPr>
        <w:t xml:space="preserve"> </w:t>
      </w:r>
    </w:p>
    <w:p w14:paraId="4DC192D9" w14:textId="295BB79A" w:rsidR="003C39F0" w:rsidRPr="003C39F0" w:rsidRDefault="003C39F0" w:rsidP="003C39F0">
      <w:pPr>
        <w:pStyle w:val="Heading3"/>
        <w:numPr>
          <w:ilvl w:val="0"/>
          <w:numId w:val="35"/>
        </w:numPr>
        <w:rPr>
          <w:lang w:val="en-US"/>
        </w:rPr>
      </w:pPr>
      <w:bookmarkStart w:id="92" w:name="_Toc187757620"/>
      <w:r w:rsidRPr="003C39F0">
        <w:rPr>
          <w:lang w:val="en-US"/>
        </w:rPr>
        <w:t>The Council was competent to make binding commitments on behalf of the State on account of its effective control of Ambrosia</w:t>
      </w:r>
      <w:bookmarkEnd w:id="92"/>
      <w:r w:rsidRPr="003C39F0">
        <w:rPr>
          <w:lang w:val="en-US"/>
        </w:rPr>
        <w:t xml:space="preserve">   </w:t>
      </w:r>
    </w:p>
    <w:p w14:paraId="7D0F64E7" w14:textId="74F92049" w:rsidR="002A4673" w:rsidRDefault="002A4673" w:rsidP="002A4673">
      <w:pPr>
        <w:rPr>
          <w:lang w:val="en-US"/>
        </w:rPr>
      </w:pPr>
      <w:bookmarkStart w:id="93" w:name="_6aa07vtwycix"/>
      <w:bookmarkEnd w:id="93"/>
      <w:r>
        <w:rPr>
          <w:lang w:val="en-US"/>
        </w:rPr>
        <w:t xml:space="preserve">A government exercising effective control is competent to </w:t>
      </w:r>
      <w:r w:rsidRPr="00D87116">
        <w:rPr>
          <w:lang w:val="en-US"/>
        </w:rPr>
        <w:t xml:space="preserve">bind the State through its </w:t>
      </w:r>
      <w:r w:rsidR="00966FAC">
        <w:rPr>
          <w:lang w:val="en-US"/>
        </w:rPr>
        <w:t>acts</w:t>
      </w:r>
      <w:r>
        <w:rPr>
          <w:lang w:val="en-US"/>
        </w:rPr>
        <w:t xml:space="preserve"> </w:t>
      </w:r>
      <w:r>
        <w:rPr>
          <w:b/>
          <w:bCs/>
          <w:lang w:val="en-US"/>
        </w:rPr>
        <w:t>[1]</w:t>
      </w:r>
      <w:r>
        <w:rPr>
          <w:lang w:val="en-US"/>
        </w:rPr>
        <w:t xml:space="preserve">. </w:t>
      </w:r>
      <w:r w:rsidRPr="1DF2BDF2">
        <w:rPr>
          <w:lang w:val="en-US"/>
        </w:rPr>
        <w:t>The</w:t>
      </w:r>
      <w:r w:rsidRPr="007160BC">
        <w:rPr>
          <w:lang w:val="en-US"/>
        </w:rPr>
        <w:t xml:space="preserve"> Council exercised effective control over Ambrosia </w:t>
      </w:r>
      <w:r w:rsidRPr="00140121">
        <w:rPr>
          <w:b/>
          <w:bCs/>
          <w:lang w:val="en-US"/>
        </w:rPr>
        <w:t>[</w:t>
      </w:r>
      <w:r>
        <w:rPr>
          <w:b/>
          <w:bCs/>
          <w:lang w:val="en-US"/>
        </w:rPr>
        <w:t>2</w:t>
      </w:r>
      <w:r w:rsidRPr="00140121">
        <w:rPr>
          <w:b/>
          <w:bCs/>
          <w:lang w:val="en-US"/>
        </w:rPr>
        <w:t>]</w:t>
      </w:r>
      <w:r w:rsidRPr="00140121">
        <w:rPr>
          <w:lang w:val="en-US"/>
        </w:rPr>
        <w:t xml:space="preserve">. </w:t>
      </w:r>
      <w:r w:rsidRPr="00BA2B52">
        <w:rPr>
          <w:lang w:val="en-US"/>
        </w:rPr>
        <w:t xml:space="preserve">Its constitutionality is irrelevant to its authority to make binding </w:t>
      </w:r>
      <w:r w:rsidR="00966FAC">
        <w:rPr>
          <w:lang w:val="en-US"/>
        </w:rPr>
        <w:t>commitments</w:t>
      </w:r>
      <w:r w:rsidRPr="00BA2B52">
        <w:rPr>
          <w:lang w:val="en-US"/>
        </w:rPr>
        <w:t xml:space="preserve"> on behalf of the State</w:t>
      </w:r>
      <w:r>
        <w:rPr>
          <w:lang w:val="en-US"/>
        </w:rPr>
        <w:t xml:space="preserve">, </w:t>
      </w:r>
      <w:r w:rsidRPr="00140121">
        <w:rPr>
          <w:b/>
          <w:bCs/>
          <w:lang w:val="en-US"/>
        </w:rPr>
        <w:t>[</w:t>
      </w:r>
      <w:r>
        <w:rPr>
          <w:b/>
          <w:bCs/>
          <w:lang w:val="en-US"/>
        </w:rPr>
        <w:t>3</w:t>
      </w:r>
      <w:r w:rsidRPr="00140121">
        <w:rPr>
          <w:b/>
          <w:bCs/>
          <w:lang w:val="en-US"/>
        </w:rPr>
        <w:t>]</w:t>
      </w:r>
      <w:r>
        <w:rPr>
          <w:lang w:val="en-US"/>
        </w:rPr>
        <w:t xml:space="preserve"> </w:t>
      </w:r>
      <w:r w:rsidRPr="006B62E8">
        <w:rPr>
          <w:lang w:val="en-US"/>
        </w:rPr>
        <w:t>and it committed no acts sufficient to deny its right to represent Ambrosia</w:t>
      </w:r>
      <w:r>
        <w:rPr>
          <w:lang w:val="en-US"/>
        </w:rPr>
        <w:t xml:space="preserve"> </w:t>
      </w:r>
      <w:r w:rsidRPr="00140121">
        <w:rPr>
          <w:b/>
          <w:bCs/>
          <w:lang w:val="en-US"/>
        </w:rPr>
        <w:t>[</w:t>
      </w:r>
      <w:r>
        <w:rPr>
          <w:b/>
          <w:bCs/>
          <w:lang w:val="en-US"/>
        </w:rPr>
        <w:t>4</w:t>
      </w:r>
      <w:r w:rsidRPr="00140121">
        <w:rPr>
          <w:b/>
          <w:bCs/>
          <w:lang w:val="en-US"/>
        </w:rPr>
        <w:t>]</w:t>
      </w:r>
      <w:r w:rsidRPr="00140121">
        <w:rPr>
          <w:lang w:val="en-US"/>
        </w:rPr>
        <w:t xml:space="preserve">. </w:t>
      </w:r>
    </w:p>
    <w:p w14:paraId="3927CE05" w14:textId="3C24C276" w:rsidR="003C39F0" w:rsidRPr="003C39F0" w:rsidRDefault="003C39F0" w:rsidP="003C39F0">
      <w:pPr>
        <w:pStyle w:val="Heading4"/>
        <w:numPr>
          <w:ilvl w:val="0"/>
          <w:numId w:val="36"/>
        </w:numPr>
        <w:ind w:left="1440"/>
        <w:rPr>
          <w:lang w:val="en-US"/>
        </w:rPr>
      </w:pPr>
      <w:bookmarkStart w:id="94" w:name="_Toc187757621"/>
      <w:r w:rsidRPr="003C39F0">
        <w:rPr>
          <w:lang w:val="en-US"/>
        </w:rPr>
        <w:lastRenderedPageBreak/>
        <w:t>A government exercising effective control can make binding commitments on behalf of a State</w:t>
      </w:r>
      <w:bookmarkEnd w:id="94"/>
      <w:r w:rsidRPr="003C39F0">
        <w:rPr>
          <w:lang w:val="en-US"/>
        </w:rPr>
        <w:t xml:space="preserve">  </w:t>
      </w:r>
    </w:p>
    <w:p w14:paraId="3892CBCD" w14:textId="77777777" w:rsidR="002A4673" w:rsidRPr="00140121" w:rsidRDefault="002A4673" w:rsidP="002A4673">
      <w:pPr>
        <w:rPr>
          <w:lang w:val="en-US"/>
        </w:rPr>
      </w:pPr>
      <w:r w:rsidRPr="00470457">
        <w:rPr>
          <w:lang w:val="en-US"/>
        </w:rPr>
        <w:t>International</w:t>
      </w:r>
      <w:r w:rsidRPr="00140121">
        <w:rPr>
          <w:lang w:val="en-US"/>
        </w:rPr>
        <w:t xml:space="preserve"> courts are not tasked with determining the legitimate representative of a State and </w:t>
      </w:r>
      <w:r w:rsidRPr="00470457">
        <w:rPr>
          <w:lang w:val="en-US"/>
        </w:rPr>
        <w:t xml:space="preserve">lack the authority to </w:t>
      </w:r>
      <w:r w:rsidRPr="00140121">
        <w:rPr>
          <w:lang w:val="en-US"/>
        </w:rPr>
        <w:t xml:space="preserve">do so with </w:t>
      </w:r>
      <w:r w:rsidRPr="245CC68E">
        <w:rPr>
          <w:i/>
          <w:iCs/>
          <w:lang w:val="en-US"/>
        </w:rPr>
        <w:t>erga omnes</w:t>
      </w:r>
      <w:r w:rsidRPr="00140121">
        <w:rPr>
          <w:lang w:val="en-US"/>
        </w:rPr>
        <w:t xml:space="preserve"> effect.</w:t>
      </w:r>
      <w:r w:rsidRPr="00140121">
        <w:rPr>
          <w:vertAlign w:val="superscript"/>
          <w:lang w:val="en-US"/>
        </w:rPr>
        <w:footnoteReference w:id="167"/>
      </w:r>
      <w:r w:rsidRPr="00140121">
        <w:rPr>
          <w:lang w:val="en-US"/>
        </w:rPr>
        <w:t xml:space="preserve"> Rather, </w:t>
      </w:r>
      <w:r w:rsidRPr="009577CF">
        <w:rPr>
          <w:lang w:val="en-US"/>
        </w:rPr>
        <w:t>their</w:t>
      </w:r>
      <w:r w:rsidRPr="00140121">
        <w:rPr>
          <w:lang w:val="en-US"/>
        </w:rPr>
        <w:t xml:space="preserve"> role is to </w:t>
      </w:r>
      <w:r w:rsidRPr="009577CF">
        <w:rPr>
          <w:lang w:val="en-US"/>
        </w:rPr>
        <w:t>identify</w:t>
      </w:r>
      <w:r w:rsidRPr="00140121">
        <w:rPr>
          <w:lang w:val="en-US"/>
        </w:rPr>
        <w:t xml:space="preserve"> the entity capable of acting and speaking on behalf of the State in the </w:t>
      </w:r>
      <w:r w:rsidRPr="009577CF">
        <w:rPr>
          <w:lang w:val="en-US"/>
        </w:rPr>
        <w:t>specific</w:t>
      </w:r>
      <w:r w:rsidRPr="00140121">
        <w:rPr>
          <w:lang w:val="en-US"/>
        </w:rPr>
        <w:t xml:space="preserve"> context.</w:t>
      </w:r>
      <w:r w:rsidRPr="00140121">
        <w:rPr>
          <w:vertAlign w:val="superscript"/>
          <w:lang w:val="en-US"/>
        </w:rPr>
        <w:footnoteReference w:id="168"/>
      </w:r>
      <w:r w:rsidRPr="00140121">
        <w:rPr>
          <w:lang w:val="en-US"/>
        </w:rPr>
        <w:t xml:space="preserve"> </w:t>
      </w:r>
    </w:p>
    <w:p w14:paraId="72A14026" w14:textId="77777777" w:rsidR="002A4673" w:rsidRDefault="002A4673" w:rsidP="002A4673">
      <w:pPr>
        <w:rPr>
          <w:lang w:val="en-US"/>
        </w:rPr>
      </w:pPr>
      <w:bookmarkStart w:id="95" w:name="_s9ba5iw7woef"/>
      <w:bookmarkEnd w:id="95"/>
      <w:r w:rsidRPr="00140121">
        <w:rPr>
          <w:lang w:val="en-US"/>
        </w:rPr>
        <w:t xml:space="preserve">This principle, embodied in the Estrada Doctrine, </w:t>
      </w:r>
      <w:r w:rsidRPr="001E5FAE">
        <w:rPr>
          <w:lang w:val="en-US"/>
        </w:rPr>
        <w:t xml:space="preserve">emphasizes that </w:t>
      </w:r>
      <w:r w:rsidRPr="00140121">
        <w:rPr>
          <w:lang w:val="en-US"/>
        </w:rPr>
        <w:t xml:space="preserve">the international system </w:t>
      </w:r>
      <w:r w:rsidRPr="001E5FAE">
        <w:rPr>
          <w:lang w:val="en-US"/>
        </w:rPr>
        <w:t>should</w:t>
      </w:r>
      <w:r w:rsidRPr="00140121">
        <w:rPr>
          <w:lang w:val="en-US"/>
        </w:rPr>
        <w:t xml:space="preserve"> refrain from </w:t>
      </w:r>
      <w:r w:rsidRPr="001E5FAE">
        <w:rPr>
          <w:lang w:val="en-US"/>
        </w:rPr>
        <w:t>evaluating</w:t>
      </w:r>
      <w:r w:rsidRPr="00140121">
        <w:rPr>
          <w:lang w:val="en-US"/>
        </w:rPr>
        <w:t xml:space="preserve"> the legal capacity of foreign regimes, </w:t>
      </w:r>
      <w:r w:rsidRPr="001E5FAE">
        <w:rPr>
          <w:lang w:val="en-US"/>
        </w:rPr>
        <w:t xml:space="preserve">as </w:t>
      </w:r>
      <w:r w:rsidRPr="00140121">
        <w:rPr>
          <w:lang w:val="en-US"/>
        </w:rPr>
        <w:t xml:space="preserve">such </w:t>
      </w:r>
      <w:r w:rsidRPr="001E5FAE">
        <w:rPr>
          <w:lang w:val="en-US"/>
        </w:rPr>
        <w:t>assessments undermine</w:t>
      </w:r>
      <w:r w:rsidRPr="00140121">
        <w:rPr>
          <w:lang w:val="en-US"/>
        </w:rPr>
        <w:t xml:space="preserve"> sovereignty.</w:t>
      </w:r>
      <w:r w:rsidRPr="00140121">
        <w:rPr>
          <w:vertAlign w:val="superscript"/>
          <w:lang w:val="en-US"/>
        </w:rPr>
        <w:footnoteReference w:id="169"/>
      </w:r>
      <w:r w:rsidRPr="00140121">
        <w:rPr>
          <w:lang w:val="en-US"/>
        </w:rPr>
        <w:t xml:space="preserve"> </w:t>
      </w:r>
      <w:r>
        <w:rPr>
          <w:lang w:val="en-US"/>
        </w:rPr>
        <w:t xml:space="preserve">State practice </w:t>
      </w:r>
      <w:r w:rsidRPr="0031342D">
        <w:rPr>
          <w:lang w:val="en-US"/>
        </w:rPr>
        <w:t>prioritizes</w:t>
      </w:r>
      <w:r>
        <w:rPr>
          <w:lang w:val="en-US"/>
        </w:rPr>
        <w:t xml:space="preserve"> recognizing States</w:t>
      </w:r>
      <w:r w:rsidRPr="0031342D">
        <w:rPr>
          <w:lang w:val="en-US"/>
        </w:rPr>
        <w:t xml:space="preserve"> over</w:t>
      </w:r>
      <w:r>
        <w:rPr>
          <w:lang w:val="en-US"/>
        </w:rPr>
        <w:t xml:space="preserve"> governments</w:t>
      </w:r>
      <w:r w:rsidRPr="0031342D">
        <w:rPr>
          <w:lang w:val="en-US"/>
        </w:rPr>
        <w:t>,</w:t>
      </w:r>
      <w:r>
        <w:rPr>
          <w:rStyle w:val="FootnoteReference"/>
          <w:lang w:val="en-US"/>
        </w:rPr>
        <w:footnoteReference w:id="170"/>
      </w:r>
      <w:r w:rsidRPr="0031342D">
        <w:rPr>
          <w:lang w:val="en-US"/>
        </w:rPr>
        <w:t xml:space="preserve"> affirming</w:t>
      </w:r>
      <w:r w:rsidRPr="00140121">
        <w:rPr>
          <w:lang w:val="en-US"/>
        </w:rPr>
        <w:t xml:space="preserve"> the sovereign equality of all </w:t>
      </w:r>
      <w:r w:rsidRPr="0031342D">
        <w:rPr>
          <w:lang w:val="en-US"/>
        </w:rPr>
        <w:t>States</w:t>
      </w:r>
      <w:r w:rsidRPr="00140121">
        <w:rPr>
          <w:lang w:val="en-US"/>
        </w:rPr>
        <w:t xml:space="preserve"> and </w:t>
      </w:r>
      <w:r w:rsidRPr="0031342D">
        <w:rPr>
          <w:lang w:val="en-US"/>
        </w:rPr>
        <w:t>the principle</w:t>
      </w:r>
      <w:r w:rsidRPr="00140121">
        <w:rPr>
          <w:lang w:val="en-US"/>
        </w:rPr>
        <w:t xml:space="preserve"> that “governments </w:t>
      </w:r>
      <w:r w:rsidRPr="00966FAC">
        <w:rPr>
          <w:i/>
          <w:iCs/>
          <w:lang w:val="en-US"/>
        </w:rPr>
        <w:t>de facto</w:t>
      </w:r>
      <w:r w:rsidRPr="00140121">
        <w:rPr>
          <w:lang w:val="en-US"/>
        </w:rPr>
        <w:t xml:space="preserve"> are necessarily </w:t>
      </w:r>
      <w:r w:rsidRPr="00966FAC">
        <w:rPr>
          <w:i/>
          <w:iCs/>
          <w:lang w:val="en-US"/>
        </w:rPr>
        <w:t>de jure</w:t>
      </w:r>
      <w:r w:rsidRPr="00140121">
        <w:rPr>
          <w:lang w:val="en-US"/>
        </w:rPr>
        <w:t>.”</w:t>
      </w:r>
      <w:r w:rsidRPr="00140121">
        <w:rPr>
          <w:vertAlign w:val="superscript"/>
          <w:lang w:val="en-US"/>
        </w:rPr>
        <w:footnoteReference w:id="171"/>
      </w:r>
      <w:r w:rsidRPr="00140121">
        <w:rPr>
          <w:lang w:val="en-US"/>
        </w:rPr>
        <w:t xml:space="preserve"> </w:t>
      </w:r>
    </w:p>
    <w:p w14:paraId="2F26F95A" w14:textId="77777777" w:rsidR="002A4673" w:rsidRDefault="002A4673" w:rsidP="002A4673">
      <w:pPr>
        <w:rPr>
          <w:lang w:val="en-US"/>
        </w:rPr>
      </w:pPr>
      <w:r w:rsidRPr="00396096">
        <w:rPr>
          <w:lang w:val="en-US"/>
        </w:rPr>
        <w:t>When</w:t>
      </w:r>
      <w:r w:rsidRPr="00140121">
        <w:rPr>
          <w:lang w:val="en-US"/>
        </w:rPr>
        <w:t xml:space="preserve"> competing claims to authority</w:t>
      </w:r>
      <w:r w:rsidRPr="00396096">
        <w:rPr>
          <w:lang w:val="en-US"/>
        </w:rPr>
        <w:t xml:space="preserve"> arise, the </w:t>
      </w:r>
      <w:r>
        <w:rPr>
          <w:lang w:val="en-US"/>
        </w:rPr>
        <w:t xml:space="preserve">government </w:t>
      </w:r>
      <w:r w:rsidRPr="00396096">
        <w:rPr>
          <w:lang w:val="en-US"/>
        </w:rPr>
        <w:t>exercising</w:t>
      </w:r>
      <w:r>
        <w:rPr>
          <w:lang w:val="en-US"/>
        </w:rPr>
        <w:t xml:space="preserve"> effective control is competent to </w:t>
      </w:r>
      <w:r w:rsidRPr="00396096">
        <w:rPr>
          <w:lang w:val="en-US"/>
        </w:rPr>
        <w:t>represent</w:t>
      </w:r>
      <w:r>
        <w:rPr>
          <w:lang w:val="en-US"/>
        </w:rPr>
        <w:t xml:space="preserve"> the State</w:t>
      </w:r>
      <w:r w:rsidRPr="00140121">
        <w:rPr>
          <w:lang w:val="en-US"/>
        </w:rPr>
        <w:t>.</w:t>
      </w:r>
      <w:r w:rsidRPr="00140121">
        <w:rPr>
          <w:rStyle w:val="FootnoteReference"/>
          <w:lang w:val="en-US"/>
        </w:rPr>
        <w:footnoteReference w:id="172"/>
      </w:r>
      <w:r>
        <w:rPr>
          <w:lang w:val="en-US"/>
        </w:rPr>
        <w:t xml:space="preserve"> Indeed, international obligations can only be fulfilled by governments </w:t>
      </w:r>
      <w:r w:rsidRPr="001F170A">
        <w:rPr>
          <w:lang w:val="en-US"/>
        </w:rPr>
        <w:t>with</w:t>
      </w:r>
      <w:r>
        <w:rPr>
          <w:lang w:val="en-US"/>
        </w:rPr>
        <w:t xml:space="preserve"> the power to </w:t>
      </w:r>
      <w:r w:rsidRPr="001F170A">
        <w:rPr>
          <w:lang w:val="en-US"/>
        </w:rPr>
        <w:t>enforce them</w:t>
      </w:r>
      <w:r>
        <w:rPr>
          <w:lang w:val="en-US"/>
        </w:rPr>
        <w:t>.</w:t>
      </w:r>
      <w:r>
        <w:rPr>
          <w:rStyle w:val="FootnoteReference"/>
          <w:lang w:val="en-US"/>
        </w:rPr>
        <w:footnoteReference w:id="173"/>
      </w:r>
      <w:r>
        <w:rPr>
          <w:lang w:val="en-US"/>
        </w:rPr>
        <w:t xml:space="preserve"> </w:t>
      </w:r>
    </w:p>
    <w:p w14:paraId="0538BBCE" w14:textId="77777777" w:rsidR="002A4673" w:rsidRPr="00140121" w:rsidRDefault="002A4673" w:rsidP="002A4673">
      <w:pPr>
        <w:rPr>
          <w:lang w:val="en-US"/>
        </w:rPr>
      </w:pPr>
      <w:r>
        <w:rPr>
          <w:lang w:val="en-US"/>
        </w:rPr>
        <w:lastRenderedPageBreak/>
        <w:t xml:space="preserve">Foreign States may deal with a </w:t>
      </w:r>
      <w:r w:rsidRPr="4AEF1263">
        <w:rPr>
          <w:i/>
          <w:iCs/>
          <w:lang w:val="en-US"/>
        </w:rPr>
        <w:t>de facto</w:t>
      </w:r>
      <w:r>
        <w:rPr>
          <w:lang w:val="en-US"/>
        </w:rPr>
        <w:t xml:space="preserve"> government where it is sufficiently established, has a reasonable expectation of permanence, has the acquiescence of its population, and can fulfill both its internal duties and international obligations.</w:t>
      </w:r>
      <w:r>
        <w:rPr>
          <w:rStyle w:val="FootnoteReference"/>
          <w:lang w:val="en-US"/>
        </w:rPr>
        <w:footnoteReference w:id="174"/>
      </w:r>
    </w:p>
    <w:p w14:paraId="6C897399" w14:textId="050EA9F8" w:rsidR="002A4673" w:rsidRPr="00140121" w:rsidRDefault="002A4673" w:rsidP="003C39F0">
      <w:pPr>
        <w:pStyle w:val="Heading4"/>
        <w:numPr>
          <w:ilvl w:val="0"/>
          <w:numId w:val="36"/>
        </w:numPr>
        <w:ind w:left="1440"/>
      </w:pPr>
      <w:bookmarkStart w:id="96" w:name="_Toc187614598"/>
      <w:bookmarkStart w:id="97" w:name="_Toc187757622"/>
      <w:r w:rsidRPr="00140121">
        <w:t xml:space="preserve">The Council </w:t>
      </w:r>
      <w:r>
        <w:t>exercised effective control over</w:t>
      </w:r>
      <w:r w:rsidRPr="00140121">
        <w:t xml:space="preserve"> Ambrosia</w:t>
      </w:r>
      <w:bookmarkEnd w:id="96"/>
      <w:bookmarkEnd w:id="97"/>
      <w:r w:rsidRPr="00140121">
        <w:t xml:space="preserve"> </w:t>
      </w:r>
    </w:p>
    <w:p w14:paraId="7024A366" w14:textId="77777777" w:rsidR="002A4673" w:rsidRPr="00140121" w:rsidRDefault="002A4673" w:rsidP="002A4673">
      <w:pPr>
        <w:spacing w:before="360" w:after="240"/>
        <w:rPr>
          <w:lang w:val="en-US"/>
        </w:rPr>
      </w:pPr>
      <w:r>
        <w:rPr>
          <w:lang w:val="en-US"/>
        </w:rPr>
        <w:t xml:space="preserve">On 14 July 2023, the Permola court </w:t>
      </w:r>
      <w:r w:rsidRPr="00892C7B">
        <w:rPr>
          <w:lang w:val="en-US"/>
        </w:rPr>
        <w:t>upheld</w:t>
      </w:r>
      <w:r>
        <w:rPr>
          <w:lang w:val="en-US"/>
        </w:rPr>
        <w:t xml:space="preserve"> the </w:t>
      </w:r>
      <w:r w:rsidRPr="00892C7B">
        <w:rPr>
          <w:lang w:val="en-US"/>
        </w:rPr>
        <w:t xml:space="preserve">validity of the </w:t>
      </w:r>
      <w:r>
        <w:rPr>
          <w:lang w:val="en-US"/>
        </w:rPr>
        <w:t>waiver issued by President Piretis</w:t>
      </w:r>
      <w:r w:rsidRPr="00892C7B">
        <w:rPr>
          <w:lang w:val="en-US"/>
        </w:rPr>
        <w:t>,</w:t>
      </w:r>
      <w:r>
        <w:rPr>
          <w:rStyle w:val="FootnoteReference"/>
          <w:lang w:val="en-US"/>
        </w:rPr>
        <w:footnoteReference w:id="175"/>
      </w:r>
      <w:r>
        <w:rPr>
          <w:lang w:val="en-US"/>
        </w:rPr>
        <w:t xml:space="preserve"> </w:t>
      </w:r>
      <w:r w:rsidRPr="004737EE">
        <w:rPr>
          <w:lang w:val="en-US"/>
        </w:rPr>
        <w:t>as</w:t>
      </w:r>
      <w:r>
        <w:rPr>
          <w:lang w:val="en-US"/>
        </w:rPr>
        <w:t xml:space="preserve"> the T</w:t>
      </w:r>
      <w:r w:rsidRPr="00140121">
        <w:rPr>
          <w:lang w:val="en-US"/>
        </w:rPr>
        <w:t>ransitional Council</w:t>
      </w:r>
      <w:r>
        <w:rPr>
          <w:lang w:val="en-US"/>
        </w:rPr>
        <w:t xml:space="preserve"> exercised</w:t>
      </w:r>
      <w:r w:rsidRPr="00140121">
        <w:rPr>
          <w:lang w:val="en-US"/>
        </w:rPr>
        <w:t xml:space="preserve"> </w:t>
      </w:r>
      <w:r w:rsidRPr="004737EE">
        <w:rPr>
          <w:lang w:val="en-US"/>
        </w:rPr>
        <w:t xml:space="preserve">effective </w:t>
      </w:r>
      <w:r w:rsidRPr="00140121">
        <w:rPr>
          <w:lang w:val="en-US"/>
        </w:rPr>
        <w:t xml:space="preserve">control over </w:t>
      </w:r>
      <w:r w:rsidRPr="004737EE">
        <w:rPr>
          <w:lang w:val="en-US"/>
        </w:rPr>
        <w:t xml:space="preserve">Ambrosian </w:t>
      </w:r>
      <w:r>
        <w:rPr>
          <w:lang w:val="en-US"/>
        </w:rPr>
        <w:t xml:space="preserve">territory </w:t>
      </w:r>
      <w:r w:rsidRPr="00140121">
        <w:rPr>
          <w:b/>
          <w:bCs/>
          <w:lang w:val="en-US"/>
        </w:rPr>
        <w:t>[i]</w:t>
      </w:r>
      <w:r w:rsidRPr="00140121">
        <w:rPr>
          <w:lang w:val="en-US"/>
        </w:rPr>
        <w:t xml:space="preserve">, commanded the habitual obedience of the majority of </w:t>
      </w:r>
      <w:r w:rsidRPr="004737EE">
        <w:rPr>
          <w:lang w:val="en-US"/>
        </w:rPr>
        <w:t xml:space="preserve">its </w:t>
      </w:r>
      <w:r w:rsidRPr="00140121">
        <w:rPr>
          <w:lang w:val="en-US"/>
        </w:rPr>
        <w:t xml:space="preserve">population </w:t>
      </w:r>
      <w:r w:rsidRPr="00140121">
        <w:rPr>
          <w:b/>
          <w:bCs/>
          <w:lang w:val="en-US"/>
        </w:rPr>
        <w:t>[ii],</w:t>
      </w:r>
      <w:r w:rsidRPr="00140121">
        <w:rPr>
          <w:lang w:val="en-US"/>
        </w:rPr>
        <w:t xml:space="preserve"> and </w:t>
      </w:r>
      <w:r w:rsidRPr="004737EE">
        <w:rPr>
          <w:lang w:val="en-US"/>
        </w:rPr>
        <w:t>demonstrated</w:t>
      </w:r>
      <w:r w:rsidRPr="00140121">
        <w:rPr>
          <w:lang w:val="en-US"/>
        </w:rPr>
        <w:t xml:space="preserve"> a reasonable </w:t>
      </w:r>
      <w:r w:rsidRPr="004737EE">
        <w:rPr>
          <w:lang w:val="en-US"/>
        </w:rPr>
        <w:t>expectation</w:t>
      </w:r>
      <w:r w:rsidRPr="00140121">
        <w:rPr>
          <w:lang w:val="en-US"/>
        </w:rPr>
        <w:t xml:space="preserve"> of permanence in its authority</w:t>
      </w:r>
      <w:r w:rsidRPr="00140121">
        <w:rPr>
          <w:vertAlign w:val="superscript"/>
          <w:lang w:val="en-US"/>
        </w:rPr>
        <w:footnoteReference w:id="176"/>
      </w:r>
      <w:r w:rsidRPr="00140121">
        <w:rPr>
          <w:lang w:val="en-US"/>
        </w:rPr>
        <w:t xml:space="preserve"> </w:t>
      </w:r>
      <w:r w:rsidRPr="00140121">
        <w:rPr>
          <w:b/>
          <w:bCs/>
          <w:lang w:val="en-US"/>
        </w:rPr>
        <w:t>[iii]</w:t>
      </w:r>
      <w:r>
        <w:rPr>
          <w:b/>
          <w:bCs/>
          <w:lang w:val="en-US"/>
        </w:rPr>
        <w:t xml:space="preserve"> </w:t>
      </w:r>
      <w:r w:rsidRPr="00C54DC3">
        <w:rPr>
          <w:lang w:val="en-US"/>
        </w:rPr>
        <w:t>at the time of the court’s decision.</w:t>
      </w:r>
      <w:r w:rsidRPr="00140121">
        <w:rPr>
          <w:lang w:val="en-US"/>
        </w:rPr>
        <w:t xml:space="preserve">  </w:t>
      </w:r>
    </w:p>
    <w:p w14:paraId="489D72C5" w14:textId="77777777" w:rsidR="002A4673" w:rsidRPr="00140121" w:rsidRDefault="002A4673" w:rsidP="003C39F0">
      <w:pPr>
        <w:pStyle w:val="Heading5"/>
        <w:numPr>
          <w:ilvl w:val="2"/>
          <w:numId w:val="36"/>
        </w:numPr>
        <w:ind w:left="1800" w:hanging="360"/>
      </w:pPr>
      <w:bookmarkStart w:id="98" w:name="_isdr5f9v6icb"/>
      <w:bookmarkStart w:id="99" w:name="_Toc187614599"/>
      <w:bookmarkStart w:id="100" w:name="_Toc187757623"/>
      <w:bookmarkEnd w:id="98"/>
      <w:r w:rsidRPr="00140121">
        <w:t xml:space="preserve">The Council </w:t>
      </w:r>
      <w:r>
        <w:t>controlled Ambrosian</w:t>
      </w:r>
      <w:r w:rsidRPr="00140121">
        <w:t xml:space="preserve"> territory</w:t>
      </w:r>
      <w:bookmarkEnd w:id="99"/>
      <w:bookmarkEnd w:id="100"/>
      <w:r w:rsidRPr="00140121">
        <w:t xml:space="preserve"> </w:t>
      </w:r>
    </w:p>
    <w:p w14:paraId="5B48CD00" w14:textId="77777777" w:rsidR="002A4673" w:rsidRPr="00140121" w:rsidRDefault="002A4673" w:rsidP="002A4673">
      <w:pPr>
        <w:spacing w:before="360" w:after="240"/>
        <w:rPr>
          <w:lang w:val="en-US"/>
        </w:rPr>
      </w:pPr>
      <w:r>
        <w:rPr>
          <w:lang w:val="en-US"/>
        </w:rPr>
        <w:t xml:space="preserve">Effective control is determined by, </w:t>
      </w:r>
      <w:r w:rsidRPr="2B8104DE">
        <w:rPr>
          <w:i/>
          <w:iCs/>
          <w:lang w:val="en-US"/>
        </w:rPr>
        <w:t>inter alia</w:t>
      </w:r>
      <w:r>
        <w:rPr>
          <w:lang w:val="en-US"/>
        </w:rPr>
        <w:t xml:space="preserve">, </w:t>
      </w:r>
      <w:r w:rsidRPr="00051A8C">
        <w:rPr>
          <w:lang w:val="en-US"/>
        </w:rPr>
        <w:t xml:space="preserve">factors such as </w:t>
      </w:r>
      <w:r>
        <w:rPr>
          <w:lang w:val="en-US"/>
        </w:rPr>
        <w:t>c</w:t>
      </w:r>
      <w:r w:rsidRPr="00140121">
        <w:rPr>
          <w:lang w:val="en-US"/>
        </w:rPr>
        <w:t xml:space="preserve">ontrol </w:t>
      </w:r>
      <w:r w:rsidRPr="00051A8C">
        <w:rPr>
          <w:lang w:val="en-US"/>
        </w:rPr>
        <w:t>over</w:t>
      </w:r>
      <w:r w:rsidRPr="00140121">
        <w:rPr>
          <w:lang w:val="en-US"/>
        </w:rPr>
        <w:t xml:space="preserve"> </w:t>
      </w:r>
      <w:r>
        <w:rPr>
          <w:lang w:val="en-US"/>
        </w:rPr>
        <w:t xml:space="preserve">territory, </w:t>
      </w:r>
      <w:r w:rsidRPr="00140121">
        <w:rPr>
          <w:lang w:val="en-US"/>
        </w:rPr>
        <w:t>government ministries</w:t>
      </w:r>
      <w:r>
        <w:rPr>
          <w:lang w:val="en-US"/>
        </w:rPr>
        <w:t>,</w:t>
      </w:r>
      <w:r w:rsidRPr="00140121">
        <w:rPr>
          <w:lang w:val="en-US"/>
        </w:rPr>
        <w:t xml:space="preserve"> and </w:t>
      </w:r>
      <w:r>
        <w:rPr>
          <w:lang w:val="en-US"/>
        </w:rPr>
        <w:t xml:space="preserve">State </w:t>
      </w:r>
      <w:r w:rsidRPr="00140121">
        <w:rPr>
          <w:lang w:val="en-US"/>
        </w:rPr>
        <w:t>administrative</w:t>
      </w:r>
      <w:r>
        <w:rPr>
          <w:lang w:val="en-US"/>
        </w:rPr>
        <w:t xml:space="preserve"> machinery</w:t>
      </w:r>
      <w:r w:rsidRPr="00140121">
        <w:rPr>
          <w:lang w:val="en-US"/>
        </w:rPr>
        <w:t xml:space="preserve">, particularly security </w:t>
      </w:r>
      <w:r w:rsidRPr="00051A8C">
        <w:rPr>
          <w:lang w:val="en-US"/>
        </w:rPr>
        <w:t xml:space="preserve">forces like </w:t>
      </w:r>
      <w:r w:rsidRPr="00140121">
        <w:rPr>
          <w:lang w:val="en-US"/>
        </w:rPr>
        <w:t xml:space="preserve">the police and </w:t>
      </w:r>
      <w:r w:rsidRPr="00051A8C">
        <w:rPr>
          <w:lang w:val="en-US"/>
        </w:rPr>
        <w:t>military</w:t>
      </w:r>
      <w:r w:rsidRPr="00140121">
        <w:rPr>
          <w:lang w:val="en-US"/>
        </w:rPr>
        <w:t>.</w:t>
      </w:r>
      <w:r w:rsidRPr="00140121">
        <w:rPr>
          <w:vertAlign w:val="superscript"/>
          <w:lang w:val="en-US"/>
        </w:rPr>
        <w:footnoteReference w:id="177"/>
      </w:r>
      <w:r w:rsidRPr="00140121">
        <w:rPr>
          <w:lang w:val="en-US"/>
        </w:rPr>
        <w:t xml:space="preserve"> Even </w:t>
      </w:r>
      <w:r w:rsidRPr="00B77693">
        <w:rPr>
          <w:lang w:val="en-US"/>
        </w:rPr>
        <w:t>if</w:t>
      </w:r>
      <w:r w:rsidRPr="00140121">
        <w:rPr>
          <w:lang w:val="en-US"/>
        </w:rPr>
        <w:t xml:space="preserve"> control is not uniformly effective, a regime </w:t>
      </w:r>
      <w:r w:rsidRPr="00B77693">
        <w:rPr>
          <w:lang w:val="en-US"/>
        </w:rPr>
        <w:t>qualifies as exercising</w:t>
      </w:r>
      <w:r w:rsidRPr="00140121">
        <w:rPr>
          <w:lang w:val="en-US"/>
        </w:rPr>
        <w:t xml:space="preserve"> effective control </w:t>
      </w:r>
      <w:r w:rsidRPr="00B77693">
        <w:rPr>
          <w:lang w:val="en-US"/>
        </w:rPr>
        <w:t>if</w:t>
      </w:r>
      <w:r w:rsidRPr="00140121">
        <w:rPr>
          <w:lang w:val="en-US"/>
        </w:rPr>
        <w:t xml:space="preserve"> it is the primary authority performing governmental functions.</w:t>
      </w:r>
      <w:r w:rsidRPr="00140121">
        <w:rPr>
          <w:vertAlign w:val="superscript"/>
          <w:lang w:val="en-US"/>
        </w:rPr>
        <w:footnoteReference w:id="178"/>
      </w:r>
      <w:r w:rsidRPr="00140121">
        <w:rPr>
          <w:lang w:val="en-US"/>
        </w:rPr>
        <w:t xml:space="preserve"> </w:t>
      </w:r>
    </w:p>
    <w:p w14:paraId="12ED6640" w14:textId="322514D5" w:rsidR="002A4673" w:rsidRDefault="002A4673" w:rsidP="002A4673">
      <w:pPr>
        <w:spacing w:before="360" w:after="240"/>
        <w:rPr>
          <w:lang w:val="en-US"/>
        </w:rPr>
      </w:pPr>
      <w:r w:rsidRPr="00140121">
        <w:rPr>
          <w:lang w:val="en-US"/>
        </w:rPr>
        <w:t>The</w:t>
      </w:r>
      <w:r>
        <w:rPr>
          <w:lang w:val="en-US"/>
        </w:rPr>
        <w:t xml:space="preserve"> </w:t>
      </w:r>
      <w:r w:rsidRPr="00140121">
        <w:rPr>
          <w:lang w:val="en-US"/>
        </w:rPr>
        <w:t>Council exercised control over all parts of Ambrosian territory.</w:t>
      </w:r>
      <w:r w:rsidRPr="00140121">
        <w:rPr>
          <w:vertAlign w:val="superscript"/>
          <w:lang w:val="en-US"/>
        </w:rPr>
        <w:footnoteReference w:id="179"/>
      </w:r>
      <w:r w:rsidRPr="00140121">
        <w:rPr>
          <w:lang w:val="en-US"/>
        </w:rPr>
        <w:t xml:space="preserve"> </w:t>
      </w:r>
      <w:r w:rsidRPr="00BC7B61">
        <w:rPr>
          <w:lang w:val="en-US"/>
        </w:rPr>
        <w:t xml:space="preserve">It </w:t>
      </w:r>
      <w:r w:rsidRPr="00140121">
        <w:rPr>
          <w:lang w:val="en-US"/>
        </w:rPr>
        <w:t xml:space="preserve">exercised legislative </w:t>
      </w:r>
      <w:r w:rsidRPr="00BC7B61">
        <w:rPr>
          <w:lang w:val="en-US"/>
        </w:rPr>
        <w:t>authority by</w:t>
      </w:r>
      <w:r w:rsidRPr="00140121">
        <w:rPr>
          <w:lang w:val="en-US"/>
        </w:rPr>
        <w:t xml:space="preserve"> enacting the Reconstruction Bill and executive </w:t>
      </w:r>
      <w:r w:rsidRPr="00BC7B61">
        <w:rPr>
          <w:lang w:val="en-US"/>
        </w:rPr>
        <w:t xml:space="preserve">power by </w:t>
      </w:r>
      <w:r w:rsidR="00971839">
        <w:rPr>
          <w:lang w:val="en-US"/>
        </w:rPr>
        <w:t>disbursing</w:t>
      </w:r>
      <w:r w:rsidRPr="00BC7B61">
        <w:rPr>
          <w:lang w:val="en-US"/>
        </w:rPr>
        <w:t xml:space="preserve"> </w:t>
      </w:r>
      <w:r w:rsidRPr="00140121">
        <w:rPr>
          <w:lang w:val="en-US"/>
        </w:rPr>
        <w:lastRenderedPageBreak/>
        <w:t xml:space="preserve">reconstruction </w:t>
      </w:r>
      <w:r w:rsidRPr="00BC7B61">
        <w:rPr>
          <w:lang w:val="en-US"/>
        </w:rPr>
        <w:t xml:space="preserve">funds for </w:t>
      </w:r>
      <w:r w:rsidRPr="00140121">
        <w:rPr>
          <w:lang w:val="en-US"/>
        </w:rPr>
        <w:t>Dovilina.</w:t>
      </w:r>
      <w:r w:rsidRPr="00140121">
        <w:rPr>
          <w:vertAlign w:val="superscript"/>
          <w:lang w:val="en-US"/>
        </w:rPr>
        <w:footnoteReference w:id="180"/>
      </w:r>
      <w:r w:rsidRPr="00140121">
        <w:rPr>
          <w:lang w:val="en-US"/>
        </w:rPr>
        <w:t xml:space="preserve"> </w:t>
      </w:r>
      <w:r>
        <w:rPr>
          <w:lang w:val="en-US"/>
        </w:rPr>
        <w:t>T</w:t>
      </w:r>
      <w:r w:rsidRPr="003509DC">
        <w:rPr>
          <w:lang w:val="en-US"/>
        </w:rPr>
        <w:t>he Council managed</w:t>
      </w:r>
      <w:r w:rsidRPr="00140121">
        <w:rPr>
          <w:lang w:val="en-US"/>
        </w:rPr>
        <w:t xml:space="preserve"> the day-to-day </w:t>
      </w:r>
      <w:r w:rsidRPr="003509DC">
        <w:rPr>
          <w:lang w:val="en-US"/>
        </w:rPr>
        <w:t>administration</w:t>
      </w:r>
      <w:r w:rsidRPr="00140121">
        <w:rPr>
          <w:lang w:val="en-US"/>
        </w:rPr>
        <w:t xml:space="preserve">, with the police, armed forces, and intelligence </w:t>
      </w:r>
      <w:r w:rsidRPr="003509DC">
        <w:rPr>
          <w:lang w:val="en-US"/>
        </w:rPr>
        <w:t>agencies</w:t>
      </w:r>
      <w:r w:rsidRPr="00140121">
        <w:rPr>
          <w:lang w:val="en-US"/>
        </w:rPr>
        <w:t xml:space="preserve"> reporting directly to it.</w:t>
      </w:r>
      <w:r w:rsidRPr="00140121">
        <w:rPr>
          <w:rStyle w:val="FootnoteReference"/>
          <w:lang w:val="en-US"/>
        </w:rPr>
        <w:footnoteReference w:id="181"/>
      </w:r>
      <w:r w:rsidRPr="00140121">
        <w:rPr>
          <w:lang w:val="en-US"/>
        </w:rPr>
        <w:t xml:space="preserve"> </w:t>
      </w:r>
    </w:p>
    <w:p w14:paraId="38785248" w14:textId="77777777" w:rsidR="002A4673" w:rsidRDefault="002A4673" w:rsidP="002A4673">
      <w:pPr>
        <w:spacing w:before="360" w:after="240"/>
        <w:rPr>
          <w:lang w:val="en-US"/>
        </w:rPr>
      </w:pPr>
      <w:r>
        <w:rPr>
          <w:lang w:val="en-US"/>
        </w:rPr>
        <w:t xml:space="preserve">By contrast, Ms. Zavala remained outside the territory of Ambrosia for the entirety of the Council’s governance and exercised no governmental functions. </w:t>
      </w:r>
    </w:p>
    <w:p w14:paraId="7AF9745C" w14:textId="77777777" w:rsidR="002A4673" w:rsidRPr="00140121" w:rsidRDefault="002A4673" w:rsidP="003C39F0">
      <w:pPr>
        <w:pStyle w:val="Heading5"/>
        <w:numPr>
          <w:ilvl w:val="2"/>
          <w:numId w:val="36"/>
        </w:numPr>
        <w:ind w:left="1800" w:hanging="360"/>
      </w:pPr>
      <w:bookmarkStart w:id="101" w:name="_4rix2t6yzhnq"/>
      <w:bookmarkStart w:id="102" w:name="_Toc187614600"/>
      <w:bookmarkStart w:id="103" w:name="_Toc187757624"/>
      <w:bookmarkEnd w:id="101"/>
      <w:r w:rsidRPr="00140121">
        <w:t>The Council enjoyed the habitual obedience of the bulk of the population</w:t>
      </w:r>
      <w:bookmarkEnd w:id="102"/>
      <w:bookmarkEnd w:id="103"/>
      <w:r w:rsidRPr="00140121">
        <w:t xml:space="preserve"> </w:t>
      </w:r>
    </w:p>
    <w:p w14:paraId="4EF1F651" w14:textId="77777777" w:rsidR="002A4673" w:rsidRPr="00140121" w:rsidRDefault="002A4673" w:rsidP="002A4673">
      <w:pPr>
        <w:spacing w:before="360" w:after="240"/>
        <w:rPr>
          <w:lang w:val="en-US"/>
        </w:rPr>
      </w:pPr>
      <w:r w:rsidRPr="00140121">
        <w:rPr>
          <w:lang w:val="en-US"/>
        </w:rPr>
        <w:t xml:space="preserve">The Council </w:t>
      </w:r>
      <w:r w:rsidRPr="006045B3">
        <w:rPr>
          <w:lang w:val="en-US"/>
        </w:rPr>
        <w:t>commanded</w:t>
      </w:r>
      <w:r w:rsidRPr="00140121">
        <w:rPr>
          <w:lang w:val="en-US"/>
        </w:rPr>
        <w:t xml:space="preserve"> substantial support </w:t>
      </w:r>
      <w:r w:rsidRPr="006045B3">
        <w:rPr>
          <w:lang w:val="en-US"/>
        </w:rPr>
        <w:t>from</w:t>
      </w:r>
      <w:r w:rsidRPr="00140121">
        <w:rPr>
          <w:lang w:val="en-US"/>
        </w:rPr>
        <w:t xml:space="preserve"> the Ambrosian population</w:t>
      </w:r>
      <w:r w:rsidRPr="006045B3">
        <w:rPr>
          <w:lang w:val="en-US"/>
        </w:rPr>
        <w:t>, having been</w:t>
      </w:r>
      <w:r w:rsidRPr="00140121">
        <w:rPr>
          <w:lang w:val="en-US"/>
        </w:rPr>
        <w:t xml:space="preserve"> formed in response to widespread protests </w:t>
      </w:r>
      <w:r w:rsidRPr="006045B3">
        <w:rPr>
          <w:lang w:val="en-US"/>
        </w:rPr>
        <w:t>against</w:t>
      </w:r>
      <w:r w:rsidRPr="00140121">
        <w:rPr>
          <w:lang w:val="en-US"/>
        </w:rPr>
        <w:t xml:space="preserve"> the lack of </w:t>
      </w:r>
      <w:r w:rsidRPr="006045B3">
        <w:rPr>
          <w:lang w:val="en-US"/>
        </w:rPr>
        <w:t>governance</w:t>
      </w:r>
      <w:r>
        <w:rPr>
          <w:lang w:val="en-US"/>
        </w:rPr>
        <w:t xml:space="preserve"> by Ms. Zavala</w:t>
      </w:r>
      <w:r w:rsidRPr="00140121">
        <w:rPr>
          <w:lang w:val="en-US"/>
        </w:rPr>
        <w:t xml:space="preserve"> and </w:t>
      </w:r>
      <w:r w:rsidRPr="006045B3">
        <w:rPr>
          <w:lang w:val="en-US"/>
        </w:rPr>
        <w:t>calls</w:t>
      </w:r>
      <w:r w:rsidRPr="00140121">
        <w:rPr>
          <w:lang w:val="en-US"/>
        </w:rPr>
        <w:t xml:space="preserve"> for a new </w:t>
      </w:r>
      <w:r w:rsidRPr="006045B3">
        <w:rPr>
          <w:lang w:val="en-US"/>
        </w:rPr>
        <w:t>administration led</w:t>
      </w:r>
      <w:r w:rsidRPr="00140121">
        <w:rPr>
          <w:lang w:val="en-US"/>
        </w:rPr>
        <w:t xml:space="preserve"> by President Piretis. </w:t>
      </w:r>
      <w:r w:rsidRPr="009413FE">
        <w:rPr>
          <w:lang w:val="en-US"/>
        </w:rPr>
        <w:t>While opposition</w:t>
      </w:r>
      <w:r w:rsidRPr="00140121">
        <w:rPr>
          <w:lang w:val="en-US"/>
        </w:rPr>
        <w:t xml:space="preserve"> to the Council </w:t>
      </w:r>
      <w:r w:rsidRPr="009413FE">
        <w:rPr>
          <w:lang w:val="en-US"/>
        </w:rPr>
        <w:t>arose</w:t>
      </w:r>
      <w:r w:rsidRPr="00140121">
        <w:rPr>
          <w:lang w:val="en-US"/>
        </w:rPr>
        <w:t xml:space="preserve"> after the </w:t>
      </w:r>
      <w:r w:rsidRPr="009413FE">
        <w:rPr>
          <w:lang w:val="en-US"/>
        </w:rPr>
        <w:t>waiver’s issuance</w:t>
      </w:r>
      <w:r w:rsidRPr="00140121">
        <w:rPr>
          <w:lang w:val="en-US"/>
        </w:rPr>
        <w:t xml:space="preserve"> in March 2023,</w:t>
      </w:r>
      <w:r w:rsidRPr="00140121">
        <w:rPr>
          <w:rStyle w:val="FootnoteReference"/>
          <w:lang w:val="en-US"/>
        </w:rPr>
        <w:footnoteReference w:id="182"/>
      </w:r>
      <w:r w:rsidRPr="00140121">
        <w:rPr>
          <w:lang w:val="en-US"/>
        </w:rPr>
        <w:t xml:space="preserve"> </w:t>
      </w:r>
      <w:r w:rsidRPr="0097142F">
        <w:rPr>
          <w:lang w:val="en-US"/>
        </w:rPr>
        <w:t>pro-</w:t>
      </w:r>
      <w:r w:rsidRPr="00140121">
        <w:rPr>
          <w:lang w:val="en-US"/>
        </w:rPr>
        <w:t xml:space="preserve">Zavala </w:t>
      </w:r>
      <w:r w:rsidRPr="0097142F">
        <w:rPr>
          <w:lang w:val="en-US"/>
        </w:rPr>
        <w:t>demonstrations posed no threat to</w:t>
      </w:r>
      <w:r w:rsidRPr="00140121">
        <w:rPr>
          <w:lang w:val="en-US"/>
        </w:rPr>
        <w:t xml:space="preserve"> the </w:t>
      </w:r>
      <w:r w:rsidRPr="0097142F">
        <w:rPr>
          <w:lang w:val="en-US"/>
        </w:rPr>
        <w:t xml:space="preserve">Council’s </w:t>
      </w:r>
      <w:r w:rsidRPr="00140121">
        <w:rPr>
          <w:lang w:val="en-US"/>
        </w:rPr>
        <w:t xml:space="preserve">functioning </w:t>
      </w:r>
      <w:r w:rsidRPr="0097142F">
        <w:rPr>
          <w:lang w:val="en-US"/>
        </w:rPr>
        <w:t>or authority</w:t>
      </w:r>
      <w:r w:rsidRPr="00140121">
        <w:rPr>
          <w:vertAlign w:val="superscript"/>
          <w:lang w:val="en-US"/>
        </w:rPr>
        <w:footnoteReference w:id="183"/>
      </w:r>
      <w:r w:rsidRPr="00140121">
        <w:rPr>
          <w:lang w:val="en-US"/>
        </w:rPr>
        <w:t xml:space="preserve"> </w:t>
      </w:r>
      <w:r>
        <w:rPr>
          <w:lang w:val="en-US"/>
        </w:rPr>
        <w:t>and did not constitute “disorder of a revolutionary character.”</w:t>
      </w:r>
      <w:r>
        <w:rPr>
          <w:rStyle w:val="FootnoteReference"/>
          <w:lang w:val="en-US"/>
        </w:rPr>
        <w:footnoteReference w:id="184"/>
      </w:r>
    </w:p>
    <w:p w14:paraId="338355DF" w14:textId="77777777" w:rsidR="002A4673" w:rsidRPr="00140121" w:rsidRDefault="002A4673" w:rsidP="003C39F0">
      <w:pPr>
        <w:pStyle w:val="Heading5"/>
        <w:numPr>
          <w:ilvl w:val="2"/>
          <w:numId w:val="36"/>
        </w:numPr>
        <w:ind w:left="1800" w:hanging="360"/>
      </w:pPr>
      <w:bookmarkStart w:id="104" w:name="_duk7z8enfo7f"/>
      <w:bookmarkStart w:id="105" w:name="_Toc187614601"/>
      <w:bookmarkStart w:id="106" w:name="_Toc187757625"/>
      <w:bookmarkEnd w:id="104"/>
      <w:r w:rsidRPr="00140121">
        <w:t>The Council had a reasonable expectation of permanence</w:t>
      </w:r>
      <w:bookmarkEnd w:id="105"/>
      <w:bookmarkEnd w:id="106"/>
    </w:p>
    <w:p w14:paraId="50821AB0" w14:textId="77777777" w:rsidR="002A4673" w:rsidRDefault="002A4673" w:rsidP="002A4673">
      <w:pPr>
        <w:spacing w:before="360" w:after="240"/>
        <w:rPr>
          <w:lang w:val="en-US"/>
        </w:rPr>
      </w:pPr>
      <w:r w:rsidRPr="00140121">
        <w:rPr>
          <w:lang w:val="en-US"/>
        </w:rPr>
        <w:t xml:space="preserve">Heads of State, or </w:t>
      </w:r>
      <w:r w:rsidRPr="00A64396">
        <w:rPr>
          <w:lang w:val="en-US"/>
        </w:rPr>
        <w:t>interim</w:t>
      </w:r>
      <w:r w:rsidRPr="00140121">
        <w:rPr>
          <w:lang w:val="en-US"/>
        </w:rPr>
        <w:t xml:space="preserve"> </w:t>
      </w:r>
      <w:r w:rsidRPr="00A64396">
        <w:rPr>
          <w:lang w:val="en-US"/>
        </w:rPr>
        <w:t>leaders like</w:t>
      </w:r>
      <w:r w:rsidRPr="00140121">
        <w:rPr>
          <w:lang w:val="en-US"/>
        </w:rPr>
        <w:t xml:space="preserve"> President Piretis, are </w:t>
      </w:r>
      <w:r w:rsidRPr="00A64396">
        <w:rPr>
          <w:lang w:val="en-US"/>
        </w:rPr>
        <w:t>presumed</w:t>
      </w:r>
      <w:r w:rsidRPr="00140121">
        <w:rPr>
          <w:lang w:val="en-US"/>
        </w:rPr>
        <w:t xml:space="preserve"> to </w:t>
      </w:r>
      <w:r w:rsidRPr="00A64396">
        <w:rPr>
          <w:lang w:val="en-US"/>
        </w:rPr>
        <w:t>represent</w:t>
      </w:r>
      <w:r w:rsidRPr="00140121">
        <w:rPr>
          <w:lang w:val="en-US"/>
        </w:rPr>
        <w:t xml:space="preserve"> the State with full powers.</w:t>
      </w:r>
      <w:r w:rsidRPr="00140121">
        <w:rPr>
          <w:vertAlign w:val="superscript"/>
          <w:lang w:val="en-US"/>
        </w:rPr>
        <w:footnoteReference w:id="185"/>
      </w:r>
      <w:r w:rsidRPr="245CC68E">
        <w:rPr>
          <w:i/>
          <w:iCs/>
          <w:lang w:val="en-US"/>
        </w:rPr>
        <w:t xml:space="preserve"> </w:t>
      </w:r>
      <w:r>
        <w:rPr>
          <w:lang w:val="en-US"/>
        </w:rPr>
        <w:t>The Council</w:t>
      </w:r>
      <w:r w:rsidRPr="00676DC8">
        <w:rPr>
          <w:lang w:val="en-US"/>
        </w:rPr>
        <w:t xml:space="preserve">, acting </w:t>
      </w:r>
      <w:r>
        <w:rPr>
          <w:lang w:val="en-US"/>
        </w:rPr>
        <w:t>as the interim government</w:t>
      </w:r>
      <w:r w:rsidRPr="00140121">
        <w:rPr>
          <w:lang w:val="en-US"/>
        </w:rPr>
        <w:t xml:space="preserve"> </w:t>
      </w:r>
      <w:r>
        <w:rPr>
          <w:lang w:val="en-US"/>
        </w:rPr>
        <w:t>for President Derey</w:t>
      </w:r>
      <w:r w:rsidRPr="00676DC8">
        <w:rPr>
          <w:lang w:val="en-US"/>
        </w:rPr>
        <w:t>, maintained control over the State apparatus and faced no significant challenges to its authority</w:t>
      </w:r>
      <w:r>
        <w:rPr>
          <w:lang w:val="en-US"/>
        </w:rPr>
        <w:t xml:space="preserve">. Similar caretaker governments, </w:t>
      </w:r>
      <w:r w:rsidRPr="001F7129">
        <w:rPr>
          <w:lang w:val="en-US"/>
        </w:rPr>
        <w:t>composed</w:t>
      </w:r>
      <w:r>
        <w:rPr>
          <w:lang w:val="en-US"/>
        </w:rPr>
        <w:t xml:space="preserve"> of administrators from previous </w:t>
      </w:r>
      <w:r w:rsidRPr="001F7129">
        <w:rPr>
          <w:lang w:val="en-US"/>
        </w:rPr>
        <w:t>regimes committed</w:t>
      </w:r>
      <w:r>
        <w:rPr>
          <w:lang w:val="en-US"/>
        </w:rPr>
        <w:t xml:space="preserve"> to </w:t>
      </w:r>
      <w:r w:rsidRPr="001F7129">
        <w:rPr>
          <w:lang w:val="en-US"/>
        </w:rPr>
        <w:t>transitioning power</w:t>
      </w:r>
      <w:r>
        <w:rPr>
          <w:lang w:val="en-US"/>
        </w:rPr>
        <w:t xml:space="preserve">, have been </w:t>
      </w:r>
      <w:r w:rsidRPr="001F7129">
        <w:rPr>
          <w:lang w:val="en-US"/>
        </w:rPr>
        <w:t>recognized as exercising effective</w:t>
      </w:r>
      <w:r>
        <w:rPr>
          <w:lang w:val="en-US"/>
        </w:rPr>
        <w:t xml:space="preserve"> control</w:t>
      </w:r>
      <w:r w:rsidRPr="001F7129">
        <w:rPr>
          <w:lang w:val="en-US"/>
        </w:rPr>
        <w:t>, such as</w:t>
      </w:r>
      <w:r>
        <w:rPr>
          <w:lang w:val="en-US"/>
        </w:rPr>
        <w:t xml:space="preserve"> in Egypt </w:t>
      </w:r>
      <w:r w:rsidRPr="001F7129">
        <w:rPr>
          <w:lang w:val="en-US"/>
        </w:rPr>
        <w:t>following the 2011</w:t>
      </w:r>
      <w:r>
        <w:rPr>
          <w:lang w:val="en-US"/>
        </w:rPr>
        <w:t xml:space="preserve"> demonstrations against President Mubarak.</w:t>
      </w:r>
      <w:r>
        <w:rPr>
          <w:rStyle w:val="FootnoteReference"/>
          <w:lang w:val="en-US"/>
        </w:rPr>
        <w:footnoteReference w:id="186"/>
      </w:r>
      <w:r>
        <w:rPr>
          <w:lang w:val="en-US"/>
        </w:rPr>
        <w:t xml:space="preserve"> </w:t>
      </w:r>
    </w:p>
    <w:p w14:paraId="2A46A123" w14:textId="77777777" w:rsidR="002A4673" w:rsidRPr="00B37267" w:rsidRDefault="002A4673" w:rsidP="003C39F0">
      <w:pPr>
        <w:pStyle w:val="Heading4"/>
        <w:numPr>
          <w:ilvl w:val="0"/>
          <w:numId w:val="36"/>
        </w:numPr>
        <w:ind w:left="1440"/>
        <w:rPr>
          <w:rFonts w:ascii="Arial" w:eastAsia="Arial" w:hAnsi="Arial" w:cs="Arial"/>
          <w:sz w:val="22"/>
          <w:szCs w:val="22"/>
        </w:rPr>
      </w:pPr>
      <w:bookmarkStart w:id="107" w:name="_Toc187614602"/>
      <w:bookmarkStart w:id="108" w:name="_Toc187757626"/>
      <w:r w:rsidRPr="00B37267">
        <w:lastRenderedPageBreak/>
        <w:t xml:space="preserve">The binding nature of the Council’s conduct is not dependent on </w:t>
      </w:r>
      <w:r>
        <w:t>its</w:t>
      </w:r>
      <w:r w:rsidRPr="00B37267">
        <w:t xml:space="preserve"> constitutionality</w:t>
      </w:r>
      <w:bookmarkEnd w:id="107"/>
      <w:bookmarkEnd w:id="108"/>
      <w:r w:rsidRPr="00B37267">
        <w:t xml:space="preserve"> </w:t>
      </w:r>
    </w:p>
    <w:p w14:paraId="72A09554" w14:textId="48CDD077" w:rsidR="002A4673" w:rsidRDefault="002A4673" w:rsidP="002A4673">
      <w:pPr>
        <w:rPr>
          <w:lang w:val="en-US"/>
        </w:rPr>
      </w:pPr>
      <w:r w:rsidRPr="006A50BA">
        <w:rPr>
          <w:lang w:val="en-US"/>
        </w:rPr>
        <w:t xml:space="preserve">International courts and foreign </w:t>
      </w:r>
      <w:r w:rsidR="00971839">
        <w:rPr>
          <w:lang w:val="en-US"/>
        </w:rPr>
        <w:t>S</w:t>
      </w:r>
      <w:r w:rsidRPr="006A50BA">
        <w:rPr>
          <w:lang w:val="en-US"/>
        </w:rPr>
        <w:t>tates lack competence to adjudicate matters of domestic constitutional law</w:t>
      </w:r>
      <w:r w:rsidRPr="00140121">
        <w:rPr>
          <w:lang w:val="en-US"/>
        </w:rPr>
        <w:t>.</w:t>
      </w:r>
      <w:r w:rsidRPr="00140121">
        <w:rPr>
          <w:rStyle w:val="FootnoteReference"/>
          <w:lang w:val="en-US"/>
        </w:rPr>
        <w:footnoteReference w:id="187"/>
      </w:r>
      <w:r>
        <w:rPr>
          <w:lang w:val="en-US"/>
        </w:rPr>
        <w:t xml:space="preserve"> </w:t>
      </w:r>
      <w:r w:rsidRPr="00803E62">
        <w:rPr>
          <w:lang w:val="en-US"/>
        </w:rPr>
        <w:t xml:space="preserve">Requiring constitutionality as a condition for legitimacy </w:t>
      </w:r>
      <w:r w:rsidRPr="1DF77A5D">
        <w:rPr>
          <w:lang w:val="en-US"/>
        </w:rPr>
        <w:t>would undermine popular sovereignty by implying that opposition movements contrary to existing laws cannot establish a new government.</w:t>
      </w:r>
      <w:r w:rsidRPr="00140121">
        <w:rPr>
          <w:rStyle w:val="FootnoteReference"/>
          <w:lang w:val="en-US"/>
        </w:rPr>
        <w:footnoteReference w:id="188"/>
      </w:r>
      <w:r w:rsidRPr="00140121">
        <w:rPr>
          <w:lang w:val="en-US"/>
        </w:rPr>
        <w:t xml:space="preserve"> </w:t>
      </w:r>
      <w:r w:rsidRPr="0067261F">
        <w:rPr>
          <w:lang w:val="en-US"/>
        </w:rPr>
        <w:t xml:space="preserve">Constitutionality is thus “significant but not indispensable” if a government exercises </w:t>
      </w:r>
      <w:r w:rsidRPr="00971839">
        <w:rPr>
          <w:i/>
          <w:iCs/>
          <w:lang w:val="en-US"/>
        </w:rPr>
        <w:t>de facto</w:t>
      </w:r>
      <w:r w:rsidRPr="0067261F">
        <w:rPr>
          <w:lang w:val="en-US"/>
        </w:rPr>
        <w:t xml:space="preserve"> control</w:t>
      </w:r>
      <w:r w:rsidRPr="00140121">
        <w:rPr>
          <w:lang w:val="en-US"/>
        </w:rPr>
        <w:t>.</w:t>
      </w:r>
      <w:r w:rsidRPr="00140121">
        <w:rPr>
          <w:vertAlign w:val="superscript"/>
          <w:lang w:val="en-US"/>
        </w:rPr>
        <w:footnoteReference w:id="189"/>
      </w:r>
      <w:r>
        <w:rPr>
          <w:lang w:val="en-US"/>
        </w:rPr>
        <w:t xml:space="preserve"> </w:t>
      </w:r>
    </w:p>
    <w:p w14:paraId="747291C4" w14:textId="6CB6F112" w:rsidR="002A4673" w:rsidRPr="003C39F0" w:rsidRDefault="002A4673" w:rsidP="00285DE3">
      <w:pPr>
        <w:rPr>
          <w:lang w:val="en-US"/>
        </w:rPr>
      </w:pPr>
      <w:r>
        <w:rPr>
          <w:lang w:val="en-US"/>
        </w:rPr>
        <w:t>As</w:t>
      </w:r>
      <w:r w:rsidRPr="00140121">
        <w:rPr>
          <w:lang w:val="en-US"/>
        </w:rPr>
        <w:t xml:space="preserve"> the Council was competent to act and demonstrated control over Ambrosia to the diplomatic community, its obligations were binding regardless of its </w:t>
      </w:r>
      <w:r>
        <w:rPr>
          <w:lang w:val="en-US"/>
        </w:rPr>
        <w:t>constitutionality</w:t>
      </w:r>
      <w:r w:rsidRPr="00140121">
        <w:rPr>
          <w:lang w:val="en-US"/>
        </w:rPr>
        <w:t xml:space="preserve"> or origin.</w:t>
      </w:r>
      <w:r w:rsidRPr="00140121">
        <w:rPr>
          <w:vertAlign w:val="superscript"/>
          <w:lang w:val="en-US"/>
        </w:rPr>
        <w:footnoteReference w:id="190"/>
      </w:r>
    </w:p>
    <w:p w14:paraId="6A4F06A2" w14:textId="77777777" w:rsidR="002A4673" w:rsidRPr="00BF6DCC" w:rsidRDefault="002A4673" w:rsidP="00285DE3">
      <w:pPr>
        <w:pStyle w:val="Heading4"/>
        <w:numPr>
          <w:ilvl w:val="0"/>
          <w:numId w:val="36"/>
        </w:numPr>
        <w:spacing w:before="0" w:after="160"/>
        <w:ind w:left="1440"/>
      </w:pPr>
      <w:bookmarkStart w:id="109" w:name="_Toc187614603"/>
      <w:bookmarkStart w:id="110" w:name="_Toc187757627"/>
      <w:r>
        <w:t>The Transitional Council has not committed any acts sufficient to deny it a right of representation</w:t>
      </w:r>
      <w:bookmarkEnd w:id="109"/>
      <w:bookmarkEnd w:id="110"/>
      <w:r>
        <w:t xml:space="preserve"> </w:t>
      </w:r>
    </w:p>
    <w:p w14:paraId="74BE6D8F" w14:textId="75E5F3F1" w:rsidR="002A4673" w:rsidRPr="00783A74" w:rsidRDefault="002A4673" w:rsidP="00285DE3">
      <w:pPr>
        <w:rPr>
          <w:lang w:val="en-US"/>
        </w:rPr>
      </w:pPr>
      <w:r>
        <w:rPr>
          <w:lang w:val="en-US"/>
        </w:rPr>
        <w:t xml:space="preserve">A government may only be denied the right of representation if it </w:t>
      </w:r>
      <w:r w:rsidRPr="000678A9">
        <w:rPr>
          <w:lang w:val="en-US"/>
        </w:rPr>
        <w:t>violates</w:t>
      </w:r>
      <w:r>
        <w:rPr>
          <w:lang w:val="en-US"/>
        </w:rPr>
        <w:t xml:space="preserve"> a peremptory norm of international law or </w:t>
      </w:r>
      <w:r w:rsidRPr="000678A9">
        <w:rPr>
          <w:lang w:val="en-US"/>
        </w:rPr>
        <w:t>refuses</w:t>
      </w:r>
      <w:r>
        <w:rPr>
          <w:lang w:val="en-US"/>
        </w:rPr>
        <w:t xml:space="preserve"> to undertake its international obligations.</w:t>
      </w:r>
      <w:r w:rsidR="005C1825" w:rsidRPr="00140121">
        <w:rPr>
          <w:vertAlign w:val="superscript"/>
          <w:lang w:val="en-US"/>
        </w:rPr>
        <w:footnoteReference w:id="191"/>
      </w:r>
      <w:r>
        <w:rPr>
          <w:lang w:val="en-US"/>
        </w:rPr>
        <w:t xml:space="preserve"> </w:t>
      </w:r>
      <w:r w:rsidRPr="00D9044C">
        <w:rPr>
          <w:lang w:val="en-US"/>
        </w:rPr>
        <w:t>The Transitional</w:t>
      </w:r>
      <w:r>
        <w:rPr>
          <w:lang w:val="en-US"/>
        </w:rPr>
        <w:t xml:space="preserve"> Council has neither violated any peremptory norms </w:t>
      </w:r>
      <w:r>
        <w:rPr>
          <w:b/>
          <w:bCs/>
          <w:lang w:val="en-US"/>
        </w:rPr>
        <w:t>[i]</w:t>
      </w:r>
      <w:r>
        <w:rPr>
          <w:lang w:val="en-US"/>
        </w:rPr>
        <w:t xml:space="preserve">, nor </w:t>
      </w:r>
      <w:r w:rsidRPr="00D73A15">
        <w:rPr>
          <w:lang w:val="en-US"/>
        </w:rPr>
        <w:t>failed to fulfill</w:t>
      </w:r>
      <w:r>
        <w:rPr>
          <w:lang w:val="en-US"/>
        </w:rPr>
        <w:t xml:space="preserve"> its international obligations </w:t>
      </w:r>
      <w:r>
        <w:rPr>
          <w:b/>
          <w:bCs/>
          <w:lang w:val="en-US"/>
        </w:rPr>
        <w:t>[ii]</w:t>
      </w:r>
      <w:r>
        <w:rPr>
          <w:lang w:val="en-US"/>
        </w:rPr>
        <w:t xml:space="preserve">. </w:t>
      </w:r>
    </w:p>
    <w:p w14:paraId="487DF8B1" w14:textId="1034B691" w:rsidR="002A4673" w:rsidRPr="00B37267" w:rsidRDefault="002A4673" w:rsidP="00285DE3">
      <w:pPr>
        <w:pStyle w:val="Heading5"/>
        <w:spacing w:before="0" w:after="160"/>
      </w:pPr>
      <w:bookmarkStart w:id="111" w:name="_Toc187614604"/>
      <w:bookmarkStart w:id="112" w:name="_Toc187757628"/>
      <w:r w:rsidRPr="00B37267">
        <w:lastRenderedPageBreak/>
        <w:t xml:space="preserve">The Council did not seize power in </w:t>
      </w:r>
      <w:r>
        <w:t>violation of</w:t>
      </w:r>
      <w:r w:rsidRPr="00B37267">
        <w:t xml:space="preserve"> a peremptory norm of international law</w:t>
      </w:r>
      <w:bookmarkEnd w:id="111"/>
      <w:bookmarkEnd w:id="112"/>
      <w:r w:rsidRPr="00B37267">
        <w:t xml:space="preserve"> </w:t>
      </w:r>
    </w:p>
    <w:p w14:paraId="23BA6DF4" w14:textId="77777777" w:rsidR="002A4673" w:rsidRDefault="002A4673" w:rsidP="00285DE3">
      <w:pPr>
        <w:rPr>
          <w:lang w:val="en-US"/>
        </w:rPr>
      </w:pPr>
      <w:r w:rsidRPr="00DF65A1">
        <w:rPr>
          <w:lang w:val="en-US"/>
        </w:rPr>
        <w:t>Under</w:t>
      </w:r>
      <w:r>
        <w:rPr>
          <w:lang w:val="en-US"/>
        </w:rPr>
        <w:t xml:space="preserve"> the effective control doctrine, </w:t>
      </w:r>
      <w:r w:rsidRPr="00DF65A1">
        <w:rPr>
          <w:lang w:val="en-US"/>
        </w:rPr>
        <w:t xml:space="preserve">the only exception requiring </w:t>
      </w:r>
      <w:r w:rsidRPr="00140121">
        <w:rPr>
          <w:lang w:val="en-US"/>
        </w:rPr>
        <w:t xml:space="preserve">States </w:t>
      </w:r>
      <w:r w:rsidRPr="00DF65A1">
        <w:rPr>
          <w:lang w:val="en-US"/>
        </w:rPr>
        <w:t xml:space="preserve">to withhold recognition of </w:t>
      </w:r>
      <w:r>
        <w:rPr>
          <w:lang w:val="en-US"/>
        </w:rPr>
        <w:t xml:space="preserve">a government </w:t>
      </w:r>
      <w:r w:rsidRPr="00DF65A1">
        <w:rPr>
          <w:lang w:val="en-US"/>
        </w:rPr>
        <w:t xml:space="preserve">is </w:t>
      </w:r>
      <w:r>
        <w:rPr>
          <w:lang w:val="en-US"/>
        </w:rPr>
        <w:t xml:space="preserve">if </w:t>
      </w:r>
      <w:r w:rsidRPr="00DF65A1">
        <w:rPr>
          <w:lang w:val="en-US"/>
        </w:rPr>
        <w:t>its formation breaches</w:t>
      </w:r>
      <w:r>
        <w:rPr>
          <w:lang w:val="en-US"/>
        </w:rPr>
        <w:t xml:space="preserve"> a peremptory norm of international law,</w:t>
      </w:r>
      <w:r>
        <w:rPr>
          <w:rStyle w:val="FootnoteReference"/>
          <w:lang w:val="en-US"/>
        </w:rPr>
        <w:footnoteReference w:id="192"/>
      </w:r>
      <w:r>
        <w:rPr>
          <w:lang w:val="en-US"/>
        </w:rPr>
        <w:t xml:space="preserve"> and even this e</w:t>
      </w:r>
      <w:r w:rsidRPr="00300EDD">
        <w:rPr>
          <w:lang w:val="en-US"/>
        </w:rPr>
        <w:t xml:space="preserve">xception is </w:t>
      </w:r>
      <w:r>
        <w:rPr>
          <w:lang w:val="en-US"/>
        </w:rPr>
        <w:t>contested.</w:t>
      </w:r>
      <w:r>
        <w:rPr>
          <w:rStyle w:val="FootnoteReference"/>
          <w:lang w:val="en-US"/>
        </w:rPr>
        <w:footnoteReference w:id="193"/>
      </w:r>
    </w:p>
    <w:p w14:paraId="4218E057" w14:textId="7336631E" w:rsidR="002A4673" w:rsidRDefault="002A4673" w:rsidP="00285DE3">
      <w:pPr>
        <w:rPr>
          <w:lang w:val="en-US"/>
        </w:rPr>
      </w:pPr>
      <w:r w:rsidRPr="00140121">
        <w:rPr>
          <w:lang w:val="en-US"/>
        </w:rPr>
        <w:t xml:space="preserve">The Council’s formation did not </w:t>
      </w:r>
      <w:r w:rsidRPr="003D1ADF">
        <w:rPr>
          <w:lang w:val="en-US"/>
        </w:rPr>
        <w:t>breach any peremptory</w:t>
      </w:r>
      <w:r w:rsidRPr="00140121">
        <w:rPr>
          <w:lang w:val="en-US"/>
        </w:rPr>
        <w:t xml:space="preserve"> norms</w:t>
      </w:r>
      <w:r w:rsidRPr="003D1ADF">
        <w:rPr>
          <w:lang w:val="en-US"/>
        </w:rPr>
        <w:t xml:space="preserve"> of international law.</w:t>
      </w:r>
      <w:r w:rsidRPr="00140121">
        <w:rPr>
          <w:lang w:val="en-US"/>
        </w:rPr>
        <w:t xml:space="preserve"> </w:t>
      </w:r>
      <w:r w:rsidRPr="0094102E">
        <w:rPr>
          <w:lang w:val="en-US"/>
        </w:rPr>
        <w:t>After</w:t>
      </w:r>
      <w:r w:rsidRPr="00140121">
        <w:rPr>
          <w:lang w:val="en-US"/>
        </w:rPr>
        <w:t xml:space="preserve"> President Derey’s stroke, key cabinet members, including </w:t>
      </w:r>
      <w:r w:rsidR="00285DE3">
        <w:rPr>
          <w:lang w:val="en-US"/>
        </w:rPr>
        <w:t>the Ministers</w:t>
      </w:r>
      <w:r w:rsidRPr="0094102E">
        <w:rPr>
          <w:lang w:val="en-US"/>
        </w:rPr>
        <w:t xml:space="preserve"> </w:t>
      </w:r>
      <w:r w:rsidR="00285DE3">
        <w:rPr>
          <w:lang w:val="en-US"/>
        </w:rPr>
        <w:t>of</w:t>
      </w:r>
      <w:r w:rsidRPr="00140121">
        <w:rPr>
          <w:lang w:val="en-US"/>
        </w:rPr>
        <w:t xml:space="preserve"> Defense, Foreign Affairs, and Treasury, resigned to </w:t>
      </w:r>
      <w:r w:rsidRPr="0094102E">
        <w:rPr>
          <w:lang w:val="en-US"/>
        </w:rPr>
        <w:t>establish</w:t>
      </w:r>
      <w:r w:rsidRPr="00140121">
        <w:rPr>
          <w:lang w:val="en-US"/>
        </w:rPr>
        <w:t xml:space="preserve"> an interim government </w:t>
      </w:r>
      <w:r w:rsidRPr="0094102E">
        <w:rPr>
          <w:lang w:val="en-US"/>
        </w:rPr>
        <w:t xml:space="preserve">under </w:t>
      </w:r>
      <w:r w:rsidRPr="00140121">
        <w:rPr>
          <w:lang w:val="en-US"/>
        </w:rPr>
        <w:t>Ms. Piretis.</w:t>
      </w:r>
      <w:r w:rsidRPr="00140121">
        <w:rPr>
          <w:rStyle w:val="FootnoteReference"/>
          <w:lang w:val="en-US"/>
        </w:rPr>
        <w:footnoteReference w:id="194"/>
      </w:r>
      <w:r w:rsidRPr="00140121">
        <w:rPr>
          <w:lang w:val="en-US"/>
        </w:rPr>
        <w:t xml:space="preserve"> The Council </w:t>
      </w:r>
      <w:r w:rsidRPr="007C3C3F">
        <w:rPr>
          <w:lang w:val="en-US"/>
        </w:rPr>
        <w:t>governed</w:t>
      </w:r>
      <w:r w:rsidRPr="00140121">
        <w:rPr>
          <w:lang w:val="en-US"/>
        </w:rPr>
        <w:t xml:space="preserve"> peacefully, </w:t>
      </w:r>
      <w:r w:rsidRPr="007C3C3F">
        <w:rPr>
          <w:lang w:val="en-US"/>
        </w:rPr>
        <w:t>despite isolated</w:t>
      </w:r>
      <w:r w:rsidRPr="00140121">
        <w:rPr>
          <w:lang w:val="en-US"/>
        </w:rPr>
        <w:t xml:space="preserve"> violence during pro-Zavala demonstrations, and </w:t>
      </w:r>
      <w:r w:rsidRPr="007C3C3F">
        <w:rPr>
          <w:lang w:val="en-US"/>
        </w:rPr>
        <w:t>voluntarily relinquished power</w:t>
      </w:r>
      <w:r w:rsidRPr="00140121">
        <w:rPr>
          <w:lang w:val="en-US"/>
        </w:rPr>
        <w:t xml:space="preserve"> upon President Derey’s return.</w:t>
      </w:r>
      <w:r w:rsidRPr="00140121">
        <w:rPr>
          <w:rStyle w:val="FootnoteReference"/>
          <w:lang w:val="en-US"/>
        </w:rPr>
        <w:footnoteReference w:id="195"/>
      </w:r>
      <w:r w:rsidRPr="00140121">
        <w:rPr>
          <w:lang w:val="en-US"/>
        </w:rPr>
        <w:t xml:space="preserve"> </w:t>
      </w:r>
      <w:r>
        <w:rPr>
          <w:lang w:val="en-US"/>
        </w:rPr>
        <w:t xml:space="preserve">Thus, the Council </w:t>
      </w:r>
      <w:r w:rsidRPr="00143D57">
        <w:rPr>
          <w:lang w:val="en-US"/>
        </w:rPr>
        <w:t>retains</w:t>
      </w:r>
      <w:r>
        <w:rPr>
          <w:lang w:val="en-US"/>
        </w:rPr>
        <w:t xml:space="preserve"> the right to represent Ambrosia</w:t>
      </w:r>
      <w:r w:rsidRPr="00143D57">
        <w:rPr>
          <w:lang w:val="en-US"/>
        </w:rPr>
        <w:t>,</w:t>
      </w:r>
      <w:r>
        <w:rPr>
          <w:lang w:val="en-US"/>
        </w:rPr>
        <w:t xml:space="preserve"> and </w:t>
      </w:r>
      <w:r w:rsidRPr="00140121">
        <w:rPr>
          <w:lang w:val="en-US"/>
        </w:rPr>
        <w:t>Rovinia was under no obligation to withhold recognition.</w:t>
      </w:r>
    </w:p>
    <w:p w14:paraId="4F633402" w14:textId="4EA74987" w:rsidR="002A4673" w:rsidRPr="0053783D" w:rsidRDefault="002A4673" w:rsidP="00285DE3">
      <w:pPr>
        <w:pStyle w:val="Heading5"/>
        <w:spacing w:after="160"/>
      </w:pPr>
      <w:bookmarkStart w:id="113" w:name="_Toc187614605"/>
      <w:bookmarkStart w:id="114" w:name="_Toc187757629"/>
      <w:r>
        <w:t>The Council was willing and able to undertake international obligations</w:t>
      </w:r>
      <w:bookmarkEnd w:id="113"/>
      <w:bookmarkEnd w:id="114"/>
      <w:r>
        <w:t xml:space="preserve"> </w:t>
      </w:r>
    </w:p>
    <w:p w14:paraId="2BCF18BB" w14:textId="58486C9F" w:rsidR="002A4673" w:rsidRDefault="002A4673" w:rsidP="001D7EFE">
      <w:pPr>
        <w:rPr>
          <w:lang w:val="en-US"/>
        </w:rPr>
      </w:pPr>
      <w:r>
        <w:rPr>
          <w:lang w:val="en-US"/>
        </w:rPr>
        <w:t xml:space="preserve">The Council’s </w:t>
      </w:r>
      <w:r w:rsidRPr="00E65A2E">
        <w:rPr>
          <w:lang w:val="en-US"/>
        </w:rPr>
        <w:t>legitimacy</w:t>
      </w:r>
      <w:r>
        <w:rPr>
          <w:lang w:val="en-US"/>
        </w:rPr>
        <w:t xml:space="preserve"> is </w:t>
      </w:r>
      <w:r w:rsidRPr="00E65A2E">
        <w:rPr>
          <w:lang w:val="en-US"/>
        </w:rPr>
        <w:t>reinforced</w:t>
      </w:r>
      <w:r>
        <w:rPr>
          <w:lang w:val="en-US"/>
        </w:rPr>
        <w:t xml:space="preserve"> by its </w:t>
      </w:r>
      <w:r w:rsidRPr="00E65A2E">
        <w:rPr>
          <w:lang w:val="en-US"/>
        </w:rPr>
        <w:t xml:space="preserve">demonstrated </w:t>
      </w:r>
      <w:r w:rsidRPr="00140121">
        <w:rPr>
          <w:lang w:val="en-US"/>
        </w:rPr>
        <w:t xml:space="preserve">willingness and capacity to </w:t>
      </w:r>
      <w:r w:rsidRPr="00E65A2E">
        <w:rPr>
          <w:lang w:val="en-US"/>
        </w:rPr>
        <w:t>fulfill</w:t>
      </w:r>
      <w:r w:rsidRPr="00140121">
        <w:rPr>
          <w:lang w:val="en-US"/>
        </w:rPr>
        <w:t xml:space="preserve"> international obligations</w:t>
      </w:r>
      <w:r>
        <w:rPr>
          <w:lang w:val="en-US"/>
        </w:rPr>
        <w:t xml:space="preserve">, </w:t>
      </w:r>
      <w:r w:rsidRPr="00E65A2E">
        <w:rPr>
          <w:lang w:val="en-US"/>
        </w:rPr>
        <w:t xml:space="preserve">a criterion </w:t>
      </w:r>
      <w:r>
        <w:rPr>
          <w:lang w:val="en-US"/>
        </w:rPr>
        <w:t xml:space="preserve">increasingly recognized as </w:t>
      </w:r>
      <w:r w:rsidRPr="00E65A2E">
        <w:rPr>
          <w:lang w:val="en-US"/>
        </w:rPr>
        <w:t>essential for</w:t>
      </w:r>
      <w:r>
        <w:rPr>
          <w:lang w:val="en-US"/>
        </w:rPr>
        <w:t xml:space="preserve"> governmental status.</w:t>
      </w:r>
      <w:r w:rsidRPr="00140121">
        <w:rPr>
          <w:vertAlign w:val="superscript"/>
          <w:lang w:val="en-US"/>
        </w:rPr>
        <w:footnoteReference w:id="196"/>
      </w:r>
      <w:r w:rsidRPr="00091928">
        <w:rPr>
          <w:lang w:val="en-US"/>
        </w:rPr>
        <w:t xml:space="preserve"> </w:t>
      </w:r>
      <w:r w:rsidRPr="00140121">
        <w:rPr>
          <w:lang w:val="en-US"/>
        </w:rPr>
        <w:t xml:space="preserve">It agreed to Rovinia’s attachment of </w:t>
      </w:r>
      <w:r w:rsidR="00285DE3">
        <w:rPr>
          <w:lang w:val="en-US"/>
        </w:rPr>
        <w:t>T</w:t>
      </w:r>
      <w:r w:rsidRPr="00140121">
        <w:rPr>
          <w:lang w:val="en-US"/>
        </w:rPr>
        <w:t>he Falcon as an act of comity to resolve a long-standing legal dispute, signaling its commitment to international cooperation.</w:t>
      </w:r>
      <w:r w:rsidRPr="00140121">
        <w:rPr>
          <w:vertAlign w:val="superscript"/>
          <w:lang w:val="en-US"/>
        </w:rPr>
        <w:footnoteReference w:id="197"/>
      </w:r>
      <w:r w:rsidRPr="00091928">
        <w:rPr>
          <w:lang w:val="en-US"/>
        </w:rPr>
        <w:t xml:space="preserve"> </w:t>
      </w:r>
      <w:r w:rsidRPr="00140121">
        <w:rPr>
          <w:lang w:val="en-US"/>
        </w:rPr>
        <w:t xml:space="preserve">The Council </w:t>
      </w:r>
      <w:r>
        <w:rPr>
          <w:lang w:val="en-US"/>
        </w:rPr>
        <w:t xml:space="preserve">also </w:t>
      </w:r>
      <w:r w:rsidRPr="00140121">
        <w:rPr>
          <w:lang w:val="en-US"/>
        </w:rPr>
        <w:lastRenderedPageBreak/>
        <w:t>retained Ambrosia’s delegate at the General Assembly</w:t>
      </w:r>
      <w:r w:rsidRPr="00140121">
        <w:rPr>
          <w:vertAlign w:val="superscript"/>
          <w:lang w:val="en-US"/>
        </w:rPr>
        <w:footnoteReference w:id="198"/>
      </w:r>
      <w:r>
        <w:rPr>
          <w:lang w:val="en-US"/>
        </w:rPr>
        <w:t xml:space="preserve"> and established diplomatic relations with </w:t>
      </w:r>
      <w:r w:rsidR="00285DE3">
        <w:rPr>
          <w:lang w:val="en-US"/>
        </w:rPr>
        <w:t>25</w:t>
      </w:r>
      <w:r w:rsidRPr="00140121">
        <w:rPr>
          <w:lang w:val="en-US"/>
        </w:rPr>
        <w:t xml:space="preserve"> </w:t>
      </w:r>
      <w:r w:rsidR="00285DE3">
        <w:rPr>
          <w:lang w:val="en-US"/>
        </w:rPr>
        <w:t>S</w:t>
      </w:r>
      <w:r w:rsidRPr="00140121">
        <w:rPr>
          <w:lang w:val="en-US"/>
        </w:rPr>
        <w:t>tates</w:t>
      </w:r>
      <w:r>
        <w:rPr>
          <w:lang w:val="en-US"/>
        </w:rPr>
        <w:t xml:space="preserve"> that granted it recognition</w:t>
      </w:r>
      <w:r w:rsidRPr="00140121">
        <w:rPr>
          <w:lang w:val="en-US"/>
        </w:rPr>
        <w:t>.</w:t>
      </w:r>
      <w:r w:rsidRPr="00140121">
        <w:rPr>
          <w:rStyle w:val="FootnoteReference"/>
          <w:lang w:val="en-US"/>
        </w:rPr>
        <w:footnoteReference w:id="199"/>
      </w:r>
    </w:p>
    <w:p w14:paraId="42F475E8" w14:textId="7C6E185D" w:rsidR="002A4673" w:rsidRPr="00E8080C" w:rsidRDefault="002A4673" w:rsidP="001D7EFE">
      <w:pPr>
        <w:pStyle w:val="Heading3"/>
        <w:numPr>
          <w:ilvl w:val="0"/>
          <w:numId w:val="35"/>
        </w:numPr>
        <w:spacing w:before="0" w:after="160"/>
      </w:pPr>
      <w:bookmarkStart w:id="115" w:name="_Toc187614606"/>
      <w:bookmarkStart w:id="116" w:name="_Toc187757630"/>
      <w:r w:rsidRPr="00E8080C">
        <w:t>The Council’s waiver is attributable to the State regardless of its</w:t>
      </w:r>
      <w:r>
        <w:t xml:space="preserve"> governmental</w:t>
      </w:r>
      <w:r w:rsidRPr="00E8080C">
        <w:t xml:space="preserve"> status</w:t>
      </w:r>
      <w:bookmarkEnd w:id="115"/>
      <w:bookmarkEnd w:id="116"/>
      <w:r w:rsidRPr="00E8080C">
        <w:t xml:space="preserve">  </w:t>
      </w:r>
    </w:p>
    <w:p w14:paraId="375C130F" w14:textId="2F713942" w:rsidR="002A4673" w:rsidRDefault="002A4673" w:rsidP="001D7EFE">
      <w:pPr>
        <w:rPr>
          <w:lang w:val="en-US"/>
        </w:rPr>
      </w:pPr>
      <w:r>
        <w:rPr>
          <w:lang w:val="en-US"/>
        </w:rPr>
        <w:t>T</w:t>
      </w:r>
      <w:r w:rsidRPr="00140121">
        <w:rPr>
          <w:lang w:val="en-US"/>
        </w:rPr>
        <w:t xml:space="preserve">he </w:t>
      </w:r>
      <w:r w:rsidRPr="00224E37">
        <w:rPr>
          <w:lang w:val="en-US"/>
        </w:rPr>
        <w:t>actions</w:t>
      </w:r>
      <w:r w:rsidRPr="00140121">
        <w:rPr>
          <w:lang w:val="en-US"/>
        </w:rPr>
        <w:t xml:space="preserve"> of a group not </w:t>
      </w:r>
      <w:r w:rsidRPr="00224E37">
        <w:rPr>
          <w:lang w:val="en-US"/>
        </w:rPr>
        <w:t xml:space="preserve">formally </w:t>
      </w:r>
      <w:r w:rsidRPr="00140121">
        <w:rPr>
          <w:lang w:val="en-US"/>
        </w:rPr>
        <w:t xml:space="preserve">recognized as the government </w:t>
      </w:r>
      <w:r w:rsidRPr="00224E37">
        <w:rPr>
          <w:lang w:val="en-US"/>
        </w:rPr>
        <w:t>can</w:t>
      </w:r>
      <w:r>
        <w:rPr>
          <w:lang w:val="en-US"/>
        </w:rPr>
        <w:t xml:space="preserve"> </w:t>
      </w:r>
      <w:r w:rsidRPr="00140121">
        <w:rPr>
          <w:lang w:val="en-US"/>
        </w:rPr>
        <w:t xml:space="preserve">still be </w:t>
      </w:r>
      <w:r w:rsidRPr="00224E37">
        <w:rPr>
          <w:lang w:val="en-US"/>
        </w:rPr>
        <w:t>attributed</w:t>
      </w:r>
      <w:r w:rsidRPr="00140121">
        <w:rPr>
          <w:lang w:val="en-US"/>
        </w:rPr>
        <w:t xml:space="preserve"> to </w:t>
      </w:r>
      <w:r w:rsidRPr="00224E37">
        <w:rPr>
          <w:lang w:val="en-US"/>
        </w:rPr>
        <w:t>the</w:t>
      </w:r>
      <w:r w:rsidRPr="00140121">
        <w:rPr>
          <w:lang w:val="en-US"/>
        </w:rPr>
        <w:t xml:space="preserve"> State</w:t>
      </w:r>
      <w:r>
        <w:rPr>
          <w:lang w:val="en-US"/>
        </w:rPr>
        <w:t xml:space="preserve"> under </w:t>
      </w:r>
      <w:r w:rsidR="00285DE3">
        <w:rPr>
          <w:lang w:val="en-US"/>
        </w:rPr>
        <w:t>ARSIWA</w:t>
      </w:r>
      <w:r w:rsidRPr="00140121">
        <w:rPr>
          <w:lang w:val="en-US"/>
        </w:rPr>
        <w:t>.</w:t>
      </w:r>
      <w:r w:rsidRPr="00140121">
        <w:rPr>
          <w:rStyle w:val="FootnoteReference"/>
          <w:lang w:val="en-US"/>
        </w:rPr>
        <w:footnoteReference w:id="200"/>
      </w:r>
      <w:r w:rsidRPr="00140121">
        <w:rPr>
          <w:lang w:val="en-US"/>
        </w:rPr>
        <w:t xml:space="preserve"> Article 9</w:t>
      </w:r>
      <w:r w:rsidRPr="00286297">
        <w:rPr>
          <w:lang w:val="en-US"/>
        </w:rPr>
        <w:t xml:space="preserve"> provides that a group’s actions </w:t>
      </w:r>
      <w:r w:rsidRPr="00140121">
        <w:rPr>
          <w:lang w:val="en-US"/>
        </w:rPr>
        <w:t xml:space="preserve">are attributable to a State if </w:t>
      </w:r>
      <w:r>
        <w:rPr>
          <w:lang w:val="en-US"/>
        </w:rPr>
        <w:t>the group</w:t>
      </w:r>
      <w:r w:rsidRPr="00140121">
        <w:rPr>
          <w:lang w:val="en-US"/>
        </w:rPr>
        <w:t xml:space="preserve"> exercise</w:t>
      </w:r>
      <w:r>
        <w:rPr>
          <w:lang w:val="en-US"/>
        </w:rPr>
        <w:t>s</w:t>
      </w:r>
      <w:r w:rsidRPr="00140121">
        <w:rPr>
          <w:lang w:val="en-US"/>
        </w:rPr>
        <w:t xml:space="preserve"> elements of governmental authority in the absence or default of official authorities, </w:t>
      </w:r>
      <w:r w:rsidRPr="00286297">
        <w:rPr>
          <w:lang w:val="en-US"/>
        </w:rPr>
        <w:t>particularly in</w:t>
      </w:r>
      <w:r w:rsidRPr="00140121">
        <w:rPr>
          <w:lang w:val="en-US"/>
        </w:rPr>
        <w:t xml:space="preserve"> circumstances </w:t>
      </w:r>
      <w:r w:rsidRPr="00286297">
        <w:rPr>
          <w:lang w:val="en-US"/>
        </w:rPr>
        <w:t>necessitating</w:t>
      </w:r>
      <w:r w:rsidRPr="00140121">
        <w:rPr>
          <w:lang w:val="en-US"/>
        </w:rPr>
        <w:t xml:space="preserve"> such authority.</w:t>
      </w:r>
      <w:r w:rsidRPr="00140121">
        <w:rPr>
          <w:vertAlign w:val="superscript"/>
          <w:lang w:val="en-US"/>
        </w:rPr>
        <w:footnoteReference w:id="201"/>
      </w:r>
      <w:r w:rsidRPr="00140121">
        <w:rPr>
          <w:lang w:val="en-US"/>
        </w:rPr>
        <w:t xml:space="preserve"> </w:t>
      </w:r>
    </w:p>
    <w:p w14:paraId="6253EEC1" w14:textId="77777777" w:rsidR="002A4673" w:rsidRDefault="002A4673" w:rsidP="001D7EFE">
      <w:pPr>
        <w:rPr>
          <w:lang w:val="en-US"/>
        </w:rPr>
      </w:pPr>
      <w:r>
        <w:rPr>
          <w:lang w:val="en-US"/>
        </w:rPr>
        <w:t xml:space="preserve">First, the Transitional Council exercised elements of governmental authority, </w:t>
      </w:r>
      <w:r w:rsidRPr="001D5FDB">
        <w:rPr>
          <w:lang w:val="en-US"/>
        </w:rPr>
        <w:t>including</w:t>
      </w:r>
      <w:r>
        <w:rPr>
          <w:lang w:val="en-US"/>
        </w:rPr>
        <w:t xml:space="preserve"> enacting legislation, managing State administration, and controlling </w:t>
      </w:r>
      <w:r w:rsidRPr="001D5FDB">
        <w:rPr>
          <w:lang w:val="en-US"/>
        </w:rPr>
        <w:t xml:space="preserve">Ambrosian </w:t>
      </w:r>
      <w:r>
        <w:rPr>
          <w:lang w:val="en-US"/>
        </w:rPr>
        <w:t>territory.</w:t>
      </w:r>
      <w:r>
        <w:rPr>
          <w:rStyle w:val="FootnoteReference"/>
          <w:lang w:val="en-US"/>
        </w:rPr>
        <w:footnoteReference w:id="202"/>
      </w:r>
      <w:r>
        <w:rPr>
          <w:lang w:val="en-US"/>
        </w:rPr>
        <w:t xml:space="preserve"> </w:t>
      </w:r>
      <w:r w:rsidRPr="00140121">
        <w:rPr>
          <w:lang w:val="en-US"/>
        </w:rPr>
        <w:t xml:space="preserve">Article 9 </w:t>
      </w:r>
      <w:r w:rsidRPr="00256293">
        <w:rPr>
          <w:lang w:val="en-US"/>
        </w:rPr>
        <w:t xml:space="preserve">of ARSIWA </w:t>
      </w:r>
      <w:r>
        <w:rPr>
          <w:lang w:val="en-US"/>
        </w:rPr>
        <w:t>applies</w:t>
      </w:r>
      <w:r w:rsidRPr="00140121">
        <w:rPr>
          <w:lang w:val="en-US"/>
        </w:rPr>
        <w:t xml:space="preserve"> </w:t>
      </w:r>
      <w:r>
        <w:rPr>
          <w:lang w:val="en-US"/>
        </w:rPr>
        <w:t xml:space="preserve">even </w:t>
      </w:r>
      <w:r w:rsidRPr="00256293">
        <w:rPr>
          <w:lang w:val="en-US"/>
        </w:rPr>
        <w:t>when a</w:t>
      </w:r>
      <w:r w:rsidRPr="00140121">
        <w:rPr>
          <w:lang w:val="en-US"/>
        </w:rPr>
        <w:t xml:space="preserve"> </w:t>
      </w:r>
      <w:r w:rsidRPr="00256293">
        <w:rPr>
          <w:i/>
          <w:lang w:val="en-US"/>
        </w:rPr>
        <w:t>de facto</w:t>
      </w:r>
      <w:r w:rsidRPr="00140121">
        <w:rPr>
          <w:lang w:val="en-US"/>
        </w:rPr>
        <w:t xml:space="preserve"> government </w:t>
      </w:r>
      <w:r>
        <w:rPr>
          <w:lang w:val="en-US"/>
        </w:rPr>
        <w:t>co-</w:t>
      </w:r>
      <w:r w:rsidRPr="00140121">
        <w:rPr>
          <w:lang w:val="en-US"/>
        </w:rPr>
        <w:t xml:space="preserve">exists with a </w:t>
      </w:r>
      <w:r>
        <w:rPr>
          <w:lang w:val="en-US"/>
        </w:rPr>
        <w:t>constitutional</w:t>
      </w:r>
      <w:r w:rsidRPr="00140121">
        <w:rPr>
          <w:lang w:val="en-US"/>
        </w:rPr>
        <w:t xml:space="preserve"> government</w:t>
      </w:r>
      <w:r w:rsidRPr="00256293">
        <w:rPr>
          <w:lang w:val="en-US"/>
        </w:rPr>
        <w:t>, provided</w:t>
      </w:r>
      <w:r w:rsidRPr="00140121">
        <w:rPr>
          <w:lang w:val="en-US"/>
        </w:rPr>
        <w:t xml:space="preserve"> it controls territory in the absence of </w:t>
      </w:r>
      <w:r w:rsidRPr="00256293">
        <w:rPr>
          <w:lang w:val="en-US"/>
        </w:rPr>
        <w:t>the latter</w:t>
      </w:r>
      <w:r w:rsidRPr="00140121">
        <w:rPr>
          <w:lang w:val="en-US"/>
        </w:rPr>
        <w:t>.</w:t>
      </w:r>
      <w:r w:rsidRPr="00140121">
        <w:rPr>
          <w:rStyle w:val="FootnoteReference"/>
          <w:lang w:val="en-US"/>
        </w:rPr>
        <w:footnoteReference w:id="203"/>
      </w:r>
      <w:r w:rsidRPr="00140121">
        <w:rPr>
          <w:lang w:val="en-US"/>
        </w:rPr>
        <w:t xml:space="preserve"> </w:t>
      </w:r>
    </w:p>
    <w:p w14:paraId="48FB46D1" w14:textId="05612B78" w:rsidR="002A4673" w:rsidRDefault="002A4673" w:rsidP="001D7EFE">
      <w:r>
        <w:rPr>
          <w:lang w:val="en-US"/>
        </w:rPr>
        <w:t xml:space="preserve">Second, </w:t>
      </w:r>
      <w:r w:rsidRPr="00F4314F">
        <w:rPr>
          <w:lang w:val="en-US"/>
        </w:rPr>
        <w:t xml:space="preserve">the Council exercised </w:t>
      </w:r>
      <w:r w:rsidRPr="00140121">
        <w:rPr>
          <w:lang w:val="en-US"/>
        </w:rPr>
        <w:t xml:space="preserve">governmental authority in the absence and default of official authorities. Ms. Zavala remained outside Ambrosia </w:t>
      </w:r>
      <w:r w:rsidRPr="00047E7F">
        <w:rPr>
          <w:lang w:val="en-US"/>
        </w:rPr>
        <w:t>throughout</w:t>
      </w:r>
      <w:r w:rsidRPr="00140121">
        <w:rPr>
          <w:lang w:val="en-US"/>
        </w:rPr>
        <w:t xml:space="preserve"> the Council’s governance</w:t>
      </w:r>
      <w:r w:rsidRPr="00047E7F">
        <w:rPr>
          <w:lang w:val="en-US"/>
        </w:rPr>
        <w:t>, and</w:t>
      </w:r>
      <w:r>
        <w:rPr>
          <w:lang w:val="en-US"/>
        </w:rPr>
        <w:t xml:space="preserve"> neither she nor </w:t>
      </w:r>
      <w:r w:rsidRPr="00047E7F">
        <w:rPr>
          <w:lang w:val="en-US"/>
        </w:rPr>
        <w:t>her associates</w:t>
      </w:r>
      <w:r>
        <w:rPr>
          <w:lang w:val="en-US"/>
        </w:rPr>
        <w:t xml:space="preserve"> performed any governmental functions related to </w:t>
      </w:r>
      <w:r w:rsidR="0037034A">
        <w:rPr>
          <w:lang w:val="en-US"/>
        </w:rPr>
        <w:t>the domestic administration of</w:t>
      </w:r>
      <w:r w:rsidRPr="00EE721F">
        <w:rPr>
          <w:lang w:val="en-US"/>
        </w:rPr>
        <w:t xml:space="preserve"> Ambrosia</w:t>
      </w:r>
      <w:r w:rsidRPr="00140121">
        <w:rPr>
          <w:lang w:val="en-US"/>
        </w:rPr>
        <w:t>.</w:t>
      </w:r>
      <w:r w:rsidRPr="00140121">
        <w:rPr>
          <w:rStyle w:val="FootnoteReference"/>
          <w:lang w:val="en-US"/>
        </w:rPr>
        <w:footnoteReference w:id="204"/>
      </w:r>
      <w:r>
        <w:rPr>
          <w:lang w:val="en-US"/>
        </w:rPr>
        <w:t xml:space="preserve"> </w:t>
      </w:r>
    </w:p>
    <w:p w14:paraId="431EC67E" w14:textId="77777777" w:rsidR="00A63E48" w:rsidRDefault="002A4673" w:rsidP="001D7EFE">
      <w:pPr>
        <w:rPr>
          <w:lang w:val="en-US"/>
        </w:rPr>
      </w:pPr>
      <w:r>
        <w:rPr>
          <w:lang w:val="en-US"/>
        </w:rPr>
        <w:lastRenderedPageBreak/>
        <w:t>Third</w:t>
      </w:r>
      <w:r w:rsidRPr="00140121">
        <w:rPr>
          <w:lang w:val="en-US"/>
        </w:rPr>
        <w:t xml:space="preserve">, </w:t>
      </w:r>
      <w:r w:rsidRPr="0049002F">
        <w:rPr>
          <w:lang w:val="en-US"/>
        </w:rPr>
        <w:t xml:space="preserve">the </w:t>
      </w:r>
      <w:r w:rsidRPr="00140121">
        <w:rPr>
          <w:lang w:val="en-US"/>
        </w:rPr>
        <w:t xml:space="preserve">circumstances </w:t>
      </w:r>
      <w:r w:rsidRPr="0049002F">
        <w:rPr>
          <w:lang w:val="en-US"/>
        </w:rPr>
        <w:t>necessitated</w:t>
      </w:r>
      <w:r w:rsidRPr="00140121">
        <w:rPr>
          <w:lang w:val="en-US"/>
        </w:rPr>
        <w:t xml:space="preserve"> the exercise of governmental functions by the Council. </w:t>
      </w:r>
      <w:r>
        <w:rPr>
          <w:lang w:val="en-US"/>
        </w:rPr>
        <w:t>Such</w:t>
      </w:r>
      <w:r w:rsidRPr="00140121">
        <w:rPr>
          <w:lang w:val="en-US"/>
        </w:rPr>
        <w:t xml:space="preserve"> </w:t>
      </w:r>
      <w:r w:rsidRPr="004C4DE9">
        <w:rPr>
          <w:lang w:val="en-US"/>
        </w:rPr>
        <w:t>situations arise when</w:t>
      </w:r>
      <w:r w:rsidRPr="00140121">
        <w:rPr>
          <w:lang w:val="en-US"/>
        </w:rPr>
        <w:t xml:space="preserve"> regular authorities “are for the time being inoperative.”</w:t>
      </w:r>
      <w:r w:rsidRPr="00140121">
        <w:rPr>
          <w:rStyle w:val="FootnoteReference"/>
          <w:lang w:val="en-US"/>
        </w:rPr>
        <w:footnoteReference w:id="205"/>
      </w:r>
      <w:r>
        <w:rPr>
          <w:lang w:val="en-US"/>
        </w:rPr>
        <w:t xml:space="preserve"> </w:t>
      </w:r>
      <w:r w:rsidRPr="00140121">
        <w:rPr>
          <w:lang w:val="en-US"/>
        </w:rPr>
        <w:t xml:space="preserve">The Council </w:t>
      </w:r>
      <w:r w:rsidRPr="00595060">
        <w:rPr>
          <w:lang w:val="en-US"/>
        </w:rPr>
        <w:t xml:space="preserve">assumed public power in response to a governance vacuum created by Ms. </w:t>
      </w:r>
      <w:r w:rsidRPr="00140121">
        <w:rPr>
          <w:lang w:val="en-US"/>
        </w:rPr>
        <w:t xml:space="preserve">Zavala’s </w:t>
      </w:r>
      <w:r w:rsidRPr="00595060">
        <w:rPr>
          <w:lang w:val="en-US"/>
        </w:rPr>
        <w:t xml:space="preserve">abandonment of </w:t>
      </w:r>
      <w:r w:rsidRPr="00140121">
        <w:rPr>
          <w:lang w:val="en-US"/>
        </w:rPr>
        <w:t>all governmental functions.</w:t>
      </w:r>
      <w:r w:rsidRPr="00140121">
        <w:rPr>
          <w:rStyle w:val="FootnoteReference"/>
          <w:lang w:val="en-US"/>
        </w:rPr>
        <w:footnoteReference w:id="206"/>
      </w:r>
      <w:r w:rsidRPr="00140121">
        <w:rPr>
          <w:lang w:val="en-US"/>
        </w:rPr>
        <w:t xml:space="preserve"> </w:t>
      </w:r>
      <w:r w:rsidRPr="00AD726E">
        <w:rPr>
          <w:lang w:val="en-US"/>
        </w:rPr>
        <w:t>Under Article 9,</w:t>
      </w:r>
      <w:r w:rsidRPr="00140121">
        <w:rPr>
          <w:lang w:val="en-US"/>
        </w:rPr>
        <w:t xml:space="preserve"> attribution </w:t>
      </w:r>
      <w:r w:rsidRPr="00AD726E">
        <w:rPr>
          <w:lang w:val="en-US"/>
        </w:rPr>
        <w:t>arises</w:t>
      </w:r>
      <w:r w:rsidRPr="00140121">
        <w:rPr>
          <w:lang w:val="en-US"/>
        </w:rPr>
        <w:t xml:space="preserve"> from the absence of authorities and the necessity </w:t>
      </w:r>
      <w:r w:rsidRPr="00AD726E">
        <w:rPr>
          <w:lang w:val="en-US"/>
        </w:rPr>
        <w:t>for</w:t>
      </w:r>
      <w:r w:rsidRPr="00140121">
        <w:rPr>
          <w:lang w:val="en-US"/>
        </w:rPr>
        <w:t xml:space="preserve"> non-governmental </w:t>
      </w:r>
      <w:r w:rsidRPr="00AD726E">
        <w:rPr>
          <w:lang w:val="en-US"/>
        </w:rPr>
        <w:t>figures to “</w:t>
      </w:r>
      <w:r w:rsidRPr="00140121">
        <w:rPr>
          <w:lang w:val="en-US"/>
        </w:rPr>
        <w:t>act immediately by using the prerogatives that flow from public power.”</w:t>
      </w:r>
      <w:r w:rsidRPr="00140121">
        <w:rPr>
          <w:rStyle w:val="FootnoteReference"/>
          <w:lang w:val="en-US"/>
        </w:rPr>
        <w:footnoteReference w:id="207"/>
      </w:r>
      <w:r>
        <w:rPr>
          <w:lang w:val="en-US"/>
        </w:rPr>
        <w:t xml:space="preserve"> </w:t>
      </w:r>
      <w:r w:rsidRPr="007E78D1">
        <w:rPr>
          <w:lang w:val="en-US"/>
        </w:rPr>
        <w:t>Following</w:t>
      </w:r>
      <w:r w:rsidRPr="00140121">
        <w:rPr>
          <w:lang w:val="en-US"/>
        </w:rPr>
        <w:t xml:space="preserve"> Hurricane Luna, the worst natural disaster in the </w:t>
      </w:r>
      <w:r w:rsidR="00A63E48">
        <w:rPr>
          <w:lang w:val="en-US"/>
        </w:rPr>
        <w:t xml:space="preserve">northern </w:t>
      </w:r>
      <w:r w:rsidRPr="00140121">
        <w:rPr>
          <w:lang w:val="en-US"/>
        </w:rPr>
        <w:t>Paine Peninsula in decades</w:t>
      </w:r>
      <w:r>
        <w:rPr>
          <w:lang w:val="en-US"/>
        </w:rPr>
        <w:t>,</w:t>
      </w:r>
      <w:r w:rsidR="00A63E48" w:rsidRPr="00140121">
        <w:rPr>
          <w:rStyle w:val="FootnoteReference"/>
          <w:lang w:val="en-US"/>
        </w:rPr>
        <w:footnoteReference w:id="208"/>
      </w:r>
      <w:r>
        <w:rPr>
          <w:lang w:val="en-US"/>
        </w:rPr>
        <w:t xml:space="preserve"> </w:t>
      </w:r>
      <w:r w:rsidRPr="00140121">
        <w:rPr>
          <w:lang w:val="en-US"/>
        </w:rPr>
        <w:t xml:space="preserve">the Council </w:t>
      </w:r>
      <w:r w:rsidRPr="007E78D1">
        <w:rPr>
          <w:lang w:val="en-US"/>
        </w:rPr>
        <w:t xml:space="preserve">was compelled </w:t>
      </w:r>
      <w:r>
        <w:rPr>
          <w:lang w:val="en-US"/>
        </w:rPr>
        <w:t>to perform</w:t>
      </w:r>
      <w:r w:rsidRPr="00140121">
        <w:rPr>
          <w:lang w:val="en-US"/>
        </w:rPr>
        <w:t xml:space="preserve"> </w:t>
      </w:r>
      <w:r w:rsidRPr="007E78D1">
        <w:rPr>
          <w:lang w:val="en-US"/>
        </w:rPr>
        <w:t xml:space="preserve">critical </w:t>
      </w:r>
      <w:r w:rsidRPr="00140121">
        <w:rPr>
          <w:lang w:val="en-US"/>
        </w:rPr>
        <w:t xml:space="preserve">coordinative </w:t>
      </w:r>
      <w:r>
        <w:rPr>
          <w:lang w:val="en-US"/>
        </w:rPr>
        <w:t xml:space="preserve">and rebuilding </w:t>
      </w:r>
      <w:r w:rsidRPr="00140121">
        <w:rPr>
          <w:lang w:val="en-US"/>
        </w:rPr>
        <w:t xml:space="preserve">functions. </w:t>
      </w:r>
    </w:p>
    <w:p w14:paraId="6AD89E8F" w14:textId="39C7C528" w:rsidR="002A4673" w:rsidRPr="00F10487" w:rsidRDefault="002A4673" w:rsidP="001D7EFE">
      <w:pPr>
        <w:rPr>
          <w:vertAlign w:val="superscript"/>
          <w:lang w:val="en-US"/>
        </w:rPr>
      </w:pPr>
      <w:r>
        <w:rPr>
          <w:lang w:val="en-US"/>
        </w:rPr>
        <w:t xml:space="preserve">Thus, </w:t>
      </w:r>
      <w:r w:rsidRPr="00140121">
        <w:rPr>
          <w:lang w:val="en-US"/>
        </w:rPr>
        <w:t>The Falcon was validly seized pursuant to the Permola court’s lawful execution order</w:t>
      </w:r>
      <w:r w:rsidR="00A63E48">
        <w:rPr>
          <w:lang w:val="en-US"/>
        </w:rPr>
        <w:t xml:space="preserve"> and the Council’s waiver. </w:t>
      </w:r>
    </w:p>
    <w:p w14:paraId="1347BD9A" w14:textId="77777777" w:rsidR="002A4673" w:rsidRDefault="002A4673" w:rsidP="002A4673">
      <w:pPr>
        <w:rPr>
          <w:b/>
          <w:bCs/>
          <w:smallCaps/>
          <w:lang w:val="en-US"/>
        </w:rPr>
      </w:pPr>
      <w:r>
        <w:rPr>
          <w:b/>
          <w:bCs/>
          <w:smallCaps/>
          <w:lang w:val="en-US"/>
        </w:rPr>
        <w:br w:type="page"/>
      </w:r>
    </w:p>
    <w:p w14:paraId="424174EB" w14:textId="77777777" w:rsidR="002A4673" w:rsidRPr="00EE051A" w:rsidRDefault="002A4673" w:rsidP="002A4673">
      <w:pPr>
        <w:pStyle w:val="Heading1"/>
      </w:pPr>
      <w:bookmarkStart w:id="117" w:name="_Toc187757631"/>
      <w:r w:rsidRPr="00EE051A">
        <w:lastRenderedPageBreak/>
        <w:t>PRAYER FOR RELIEF</w:t>
      </w:r>
      <w:bookmarkEnd w:id="117"/>
    </w:p>
    <w:p w14:paraId="091AFD23" w14:textId="77777777" w:rsidR="001C35C2" w:rsidRDefault="001C35C2" w:rsidP="00C42DDE">
      <w:pPr>
        <w:ind w:firstLine="0"/>
        <w:rPr>
          <w:lang w:val="en-US"/>
        </w:rPr>
      </w:pPr>
    </w:p>
    <w:p w14:paraId="642F2925" w14:textId="163BA44E" w:rsidR="002A4673" w:rsidRDefault="00C42DDE" w:rsidP="00C42DDE">
      <w:pPr>
        <w:ind w:firstLine="0"/>
        <w:rPr>
          <w:lang w:val="en-US"/>
        </w:rPr>
      </w:pPr>
      <w:r>
        <w:rPr>
          <w:lang w:val="en-US"/>
        </w:rPr>
        <w:t>For the aforementioned reasons, t</w:t>
      </w:r>
      <w:r w:rsidR="002A4673">
        <w:rPr>
          <w:lang w:val="en-US"/>
        </w:rPr>
        <w:t>he Republic of Rovinia</w:t>
      </w:r>
      <w:r>
        <w:rPr>
          <w:lang w:val="en-US"/>
        </w:rPr>
        <w:t>, the Respondent,</w:t>
      </w:r>
      <w:r w:rsidR="002A4673">
        <w:rPr>
          <w:lang w:val="en-US"/>
        </w:rPr>
        <w:t xml:space="preserve"> respectfully </w:t>
      </w:r>
      <w:r>
        <w:rPr>
          <w:lang w:val="en-US"/>
        </w:rPr>
        <w:t xml:space="preserve">prays that this Honorable </w:t>
      </w:r>
      <w:r w:rsidR="002A4673">
        <w:rPr>
          <w:lang w:val="en-US"/>
        </w:rPr>
        <w:t xml:space="preserve">Court: </w:t>
      </w:r>
    </w:p>
    <w:p w14:paraId="004A5F1D" w14:textId="478BC415" w:rsidR="002A4673" w:rsidRDefault="002A4673" w:rsidP="00C42DDE">
      <w:pPr>
        <w:pStyle w:val="ListParagraph"/>
        <w:numPr>
          <w:ilvl w:val="0"/>
          <w:numId w:val="26"/>
        </w:numPr>
        <w:rPr>
          <w:lang w:val="en-US"/>
        </w:rPr>
      </w:pPr>
      <w:r w:rsidRPr="003F18FD">
        <w:rPr>
          <w:b/>
          <w:bCs/>
          <w:lang w:val="en-US"/>
        </w:rPr>
        <w:t>DECLARE THAT</w:t>
      </w:r>
      <w:r>
        <w:rPr>
          <w:lang w:val="en-US"/>
        </w:rPr>
        <w:t xml:space="preserve"> </w:t>
      </w:r>
      <w:r w:rsidR="001C35C2">
        <w:rPr>
          <w:lang w:val="en-US"/>
        </w:rPr>
        <w:t xml:space="preserve">the </w:t>
      </w:r>
      <w:r>
        <w:rPr>
          <w:lang w:val="en-US"/>
        </w:rPr>
        <w:t xml:space="preserve">Court lacks jurisdiction to entertain Ambrosia’s submission (II) because it is outside the scope of the compromissory clause of the OCDP Charter; </w:t>
      </w:r>
    </w:p>
    <w:p w14:paraId="402F99E0" w14:textId="77777777" w:rsidR="002A4673" w:rsidRDefault="002A4673" w:rsidP="00C42DDE">
      <w:pPr>
        <w:pStyle w:val="ListParagraph"/>
        <w:numPr>
          <w:ilvl w:val="0"/>
          <w:numId w:val="26"/>
        </w:numPr>
        <w:rPr>
          <w:lang w:val="en-US"/>
        </w:rPr>
      </w:pPr>
      <w:r w:rsidRPr="003F18FD">
        <w:rPr>
          <w:b/>
          <w:bCs/>
          <w:lang w:val="en-US"/>
        </w:rPr>
        <w:t>DECLARE THAT</w:t>
      </w:r>
      <w:r>
        <w:rPr>
          <w:lang w:val="en-US"/>
        </w:rPr>
        <w:t xml:space="preserve"> Rovinia’s assertion of criminal jurisdiction over Ms. Cross, and her arrest and prosecution does not violate international law; </w:t>
      </w:r>
    </w:p>
    <w:p w14:paraId="7D2F0502" w14:textId="6AFF5452" w:rsidR="002A4673" w:rsidRDefault="002A4673" w:rsidP="00C42DDE">
      <w:pPr>
        <w:pStyle w:val="ListParagraph"/>
        <w:numPr>
          <w:ilvl w:val="0"/>
          <w:numId w:val="26"/>
        </w:numPr>
        <w:rPr>
          <w:lang w:val="en-US"/>
        </w:rPr>
      </w:pPr>
      <w:r w:rsidRPr="003F18FD">
        <w:rPr>
          <w:b/>
          <w:bCs/>
          <w:lang w:val="en-US"/>
        </w:rPr>
        <w:t>DECLARE THAT</w:t>
      </w:r>
      <w:r>
        <w:rPr>
          <w:lang w:val="en-US"/>
        </w:rPr>
        <w:t xml:space="preserve"> the issuance of licenses in the entirety of the Triton Shoal, which is </w:t>
      </w:r>
      <w:r w:rsidR="001C35C2">
        <w:rPr>
          <w:lang w:val="en-US"/>
        </w:rPr>
        <w:t>o</w:t>
      </w:r>
      <w:r>
        <w:rPr>
          <w:lang w:val="en-US"/>
        </w:rPr>
        <w:t xml:space="preserve">n the high seas, does not violate Rovinia’s international maritime obligations, and Rovinia is not obligated to cease issuing fishing licenses in the Triton Shoal; and </w:t>
      </w:r>
    </w:p>
    <w:p w14:paraId="0FE015C4" w14:textId="60935F07" w:rsidR="002A4673" w:rsidRDefault="002A4673" w:rsidP="00C42DDE">
      <w:pPr>
        <w:pStyle w:val="ListParagraph"/>
        <w:numPr>
          <w:ilvl w:val="0"/>
          <w:numId w:val="26"/>
        </w:numPr>
        <w:rPr>
          <w:lang w:val="en-US"/>
        </w:rPr>
      </w:pPr>
      <w:r w:rsidRPr="003F18FD">
        <w:rPr>
          <w:b/>
          <w:bCs/>
          <w:lang w:val="en-US"/>
        </w:rPr>
        <w:t>DECLARE THAT</w:t>
      </w:r>
      <w:r>
        <w:rPr>
          <w:lang w:val="en-US"/>
        </w:rPr>
        <w:t xml:space="preserve"> Rovinia’s judicial seizure and sale of The Falcon on the basis of the Transition</w:t>
      </w:r>
      <w:r w:rsidR="001C35C2">
        <w:rPr>
          <w:lang w:val="en-US"/>
        </w:rPr>
        <w:t>al</w:t>
      </w:r>
      <w:r>
        <w:rPr>
          <w:lang w:val="en-US"/>
        </w:rPr>
        <w:t xml:space="preserve"> Council’s waiver of immunity did not violate international law. </w:t>
      </w:r>
    </w:p>
    <w:p w14:paraId="7E8D2A22" w14:textId="77777777" w:rsidR="00C42DDE" w:rsidRDefault="00C42DDE" w:rsidP="00C42DDE">
      <w:pPr>
        <w:pStyle w:val="ListParagraph"/>
        <w:ind w:left="1440" w:firstLine="0"/>
        <w:rPr>
          <w:lang w:val="en-US"/>
        </w:rPr>
      </w:pPr>
    </w:p>
    <w:p w14:paraId="5000B762" w14:textId="2A273869" w:rsidR="00C42DDE" w:rsidRDefault="00C42DDE" w:rsidP="001C35C2">
      <w:pPr>
        <w:ind w:firstLine="0"/>
        <w:jc w:val="right"/>
        <w:rPr>
          <w:lang w:val="en-US"/>
        </w:rPr>
      </w:pPr>
      <w:r>
        <w:rPr>
          <w:lang w:val="en-US"/>
        </w:rPr>
        <w:t>Respectfully submitted,</w:t>
      </w:r>
    </w:p>
    <w:p w14:paraId="07AA902A" w14:textId="6F71A5A0" w:rsidR="00C42DDE" w:rsidRDefault="00C42DDE" w:rsidP="001C35C2">
      <w:pPr>
        <w:ind w:firstLine="0"/>
        <w:jc w:val="right"/>
        <w:rPr>
          <w:lang w:val="en-US"/>
        </w:rPr>
      </w:pPr>
      <w:r>
        <w:rPr>
          <w:lang w:val="en-US"/>
        </w:rPr>
        <w:t>14 January 2025</w:t>
      </w:r>
    </w:p>
    <w:p w14:paraId="74BE7DB5" w14:textId="3A140562" w:rsidR="00C42DDE" w:rsidRPr="00C42DDE" w:rsidRDefault="00C42DDE" w:rsidP="001C35C2">
      <w:pPr>
        <w:ind w:firstLine="0"/>
        <w:jc w:val="right"/>
        <w:rPr>
          <w:lang w:val="en-US"/>
        </w:rPr>
      </w:pPr>
      <w:r>
        <w:rPr>
          <w:lang w:val="en-US"/>
        </w:rPr>
        <w:t>Agents for Rovinia</w:t>
      </w:r>
    </w:p>
    <w:p w14:paraId="22AFB362" w14:textId="77777777" w:rsidR="002A4673" w:rsidRPr="00140121" w:rsidRDefault="002A4673" w:rsidP="002A4673">
      <w:pPr>
        <w:spacing w:before="360" w:after="240"/>
        <w:ind w:firstLine="0"/>
        <w:rPr>
          <w:lang w:val="en-US"/>
        </w:rPr>
      </w:pPr>
    </w:p>
    <w:p w14:paraId="49816C66" w14:textId="77777777" w:rsidR="000D4050" w:rsidRDefault="000D4050" w:rsidP="002A4673">
      <w:pPr>
        <w:ind w:firstLine="0"/>
      </w:pPr>
    </w:p>
    <w:sectPr w:rsidR="000D4050" w:rsidSect="003E4C29">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48438" w14:textId="77777777" w:rsidR="00240C3E" w:rsidRDefault="00240C3E" w:rsidP="002A4673">
      <w:pPr>
        <w:spacing w:after="0" w:line="240" w:lineRule="auto"/>
      </w:pPr>
      <w:r>
        <w:separator/>
      </w:r>
    </w:p>
  </w:endnote>
  <w:endnote w:type="continuationSeparator" w:id="0">
    <w:p w14:paraId="21AC8E74" w14:textId="77777777" w:rsidR="00240C3E" w:rsidRDefault="00240C3E" w:rsidP="002A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pleSystemUIFon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4873215"/>
      <w:docPartObj>
        <w:docPartGallery w:val="Page Numbers (Bottom of Page)"/>
        <w:docPartUnique/>
      </w:docPartObj>
    </w:sdtPr>
    <w:sdtContent>
      <w:p w14:paraId="6790DFD4" w14:textId="460A1D3D" w:rsidR="00314196" w:rsidRDefault="00314196" w:rsidP="005768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9B3D71" w14:textId="77777777" w:rsidR="00314196" w:rsidRDefault="00314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4306952"/>
      <w:docPartObj>
        <w:docPartGallery w:val="Page Numbers (Bottom of Page)"/>
        <w:docPartUnique/>
      </w:docPartObj>
    </w:sdtPr>
    <w:sdtContent>
      <w:p w14:paraId="288ABECD" w14:textId="7C9BCD74" w:rsidR="00314196" w:rsidRDefault="00314196" w:rsidP="00314196">
        <w:pPr>
          <w:pStyle w:val="Footer"/>
          <w:framePr w:wrap="none" w:vAnchor="text" w:hAnchor="margin" w:xAlign="center" w:y="1"/>
          <w:ind w:firstLine="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6F08329E" w14:textId="77777777" w:rsidR="00314196" w:rsidRDefault="00314196" w:rsidP="00314196">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A891C" w14:textId="77777777" w:rsidR="00240C3E" w:rsidRDefault="00240C3E" w:rsidP="002A4673">
      <w:pPr>
        <w:spacing w:after="0" w:line="240" w:lineRule="auto"/>
      </w:pPr>
      <w:r>
        <w:separator/>
      </w:r>
    </w:p>
  </w:footnote>
  <w:footnote w:type="continuationSeparator" w:id="0">
    <w:p w14:paraId="61A50A63" w14:textId="77777777" w:rsidR="00240C3E" w:rsidRDefault="00240C3E" w:rsidP="002A4673">
      <w:pPr>
        <w:spacing w:after="0" w:line="240" w:lineRule="auto"/>
      </w:pPr>
      <w:r>
        <w:continuationSeparator/>
      </w:r>
    </w:p>
  </w:footnote>
  <w:footnote w:id="1">
    <w:p w14:paraId="2F0C13A4"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rPr>
        <w:t>Armed Activities on the Territory of the Congo</w:t>
      </w:r>
      <w:r w:rsidRPr="0047063B">
        <w:t xml:space="preserve"> </w:t>
      </w:r>
      <w:r w:rsidRPr="0047063B">
        <w:rPr>
          <w:i/>
        </w:rPr>
        <w:t>(</w:t>
      </w:r>
      <w:r w:rsidRPr="0047063B">
        <w:rPr>
          <w:i/>
          <w:iCs/>
        </w:rPr>
        <w:t xml:space="preserve">New Application: 2002) </w:t>
      </w:r>
      <w:r w:rsidRPr="0047063B">
        <w:t>(Dem. Rep. Congo v. Rwanda), Judgment, 2006 I.C.J. 39, ¶88 (Feb. 3)</w:t>
      </w:r>
      <w:r w:rsidRPr="0047063B">
        <w:fldChar w:fldCharType="begin"/>
      </w:r>
      <w:r w:rsidRPr="0047063B">
        <w:instrText xml:space="preserve"> TA \l "</w:instrText>
      </w:r>
      <w:r w:rsidRPr="0047063B">
        <w:rPr>
          <w:i/>
        </w:rPr>
        <w:instrText>Armed Activities on the Territory of the Congo</w:instrText>
      </w:r>
      <w:r w:rsidRPr="0047063B">
        <w:instrText xml:space="preserve"> </w:instrText>
      </w:r>
      <w:r w:rsidRPr="0047063B">
        <w:rPr>
          <w:i/>
        </w:rPr>
        <w:instrText>(</w:instrText>
      </w:r>
      <w:r w:rsidRPr="0047063B">
        <w:rPr>
          <w:i/>
          <w:iCs/>
        </w:rPr>
        <w:instrText xml:space="preserve">New Application: 2002) </w:instrText>
      </w:r>
      <w:r w:rsidRPr="0047063B">
        <w:instrText xml:space="preserve">(Dem. Rep. Congo v. Rwanda), Judgment, 2006 I.C.J. 39 (Feb. 3)" \s "Armed Activities" \c 2 </w:instrText>
      </w:r>
      <w:r w:rsidRPr="0047063B">
        <w:fldChar w:fldCharType="end"/>
      </w:r>
      <w:r w:rsidRPr="0047063B">
        <w:t xml:space="preserve">. </w:t>
      </w:r>
    </w:p>
  </w:footnote>
  <w:footnote w:id="2">
    <w:p w14:paraId="7D5A3937" w14:textId="77777777" w:rsidR="002A4673" w:rsidRPr="0047063B" w:rsidRDefault="002A4673" w:rsidP="0047063B">
      <w:pPr>
        <w:spacing w:line="240" w:lineRule="auto"/>
        <w:ind w:firstLine="0"/>
      </w:pPr>
      <w:r w:rsidRPr="0047063B">
        <w:rPr>
          <w:vertAlign w:val="superscript"/>
        </w:rPr>
        <w:footnoteRef/>
      </w:r>
      <w:r w:rsidRPr="0047063B">
        <w:t xml:space="preserve"> M</w:t>
      </w:r>
      <w:r w:rsidRPr="0047063B">
        <w:rPr>
          <w:smallCaps/>
        </w:rPr>
        <w:t>alcolm Shaw</w:t>
      </w:r>
      <w:r w:rsidRPr="0047063B">
        <w:t xml:space="preserve">, </w:t>
      </w:r>
      <w:r w:rsidRPr="0047063B">
        <w:rPr>
          <w:i/>
        </w:rPr>
        <w:t xml:space="preserve">The International Court of </w:t>
      </w:r>
      <w:r w:rsidRPr="0047063B">
        <w:rPr>
          <w:i/>
          <w:iCs/>
        </w:rPr>
        <w:t>Justice</w:t>
      </w:r>
      <w:r w:rsidRPr="0047063B">
        <w:t xml:space="preserve">, </w:t>
      </w:r>
      <w:r w:rsidRPr="0047063B">
        <w:rPr>
          <w:i/>
        </w:rPr>
        <w:t xml:space="preserve">in </w:t>
      </w:r>
      <w:r w:rsidRPr="0047063B">
        <w:rPr>
          <w:smallCaps/>
        </w:rPr>
        <w:t>International Law</w:t>
      </w:r>
      <w:r w:rsidRPr="0047063B">
        <w:t xml:space="preserve"> 924, 941 (9th ed. 2021)</w:t>
      </w:r>
      <w:r w:rsidRPr="0047063B">
        <w:fldChar w:fldCharType="begin"/>
      </w:r>
      <w:r w:rsidRPr="0047063B">
        <w:instrText xml:space="preserve"> TA \l "M</w:instrText>
      </w:r>
      <w:r w:rsidRPr="0047063B">
        <w:rPr>
          <w:smallCaps/>
        </w:rPr>
        <w:instrText>alcolm Shaw</w:instrText>
      </w:r>
      <w:r w:rsidRPr="0047063B">
        <w:instrText xml:space="preserve">, </w:instrText>
      </w:r>
      <w:r w:rsidRPr="0047063B">
        <w:rPr>
          <w:i/>
          <w:iCs/>
        </w:rPr>
        <w:instrText>The International Court of Justice</w:instrText>
      </w:r>
      <w:r w:rsidRPr="0047063B">
        <w:instrText xml:space="preserve">, </w:instrText>
      </w:r>
      <w:r w:rsidRPr="0047063B">
        <w:rPr>
          <w:i/>
        </w:rPr>
        <w:instrText xml:space="preserve">in </w:instrText>
      </w:r>
      <w:r w:rsidRPr="0047063B">
        <w:rPr>
          <w:smallCaps/>
        </w:rPr>
        <w:instrText>International Law</w:instrText>
      </w:r>
      <w:r w:rsidRPr="0047063B">
        <w:instrText xml:space="preserve"> 924 (9th ed. 2021)" \s "Malcolm Shaw, The International Court of Justice, in International Law 924, 941 (9th ed. 2021)" \c 6 </w:instrText>
      </w:r>
      <w:r w:rsidRPr="0047063B">
        <w:fldChar w:fldCharType="end"/>
      </w:r>
      <w:r w:rsidRPr="0047063B">
        <w:t>; J</w:t>
      </w:r>
      <w:r w:rsidRPr="0047063B">
        <w:rPr>
          <w:smallCaps/>
        </w:rPr>
        <w:t>ames</w:t>
      </w:r>
      <w:r w:rsidRPr="0047063B">
        <w:t xml:space="preserve"> C</w:t>
      </w:r>
      <w:r w:rsidRPr="0047063B">
        <w:rPr>
          <w:smallCaps/>
        </w:rPr>
        <w:t>rawford</w:t>
      </w:r>
      <w:r w:rsidRPr="0047063B">
        <w:t xml:space="preserve">, </w:t>
      </w:r>
      <w:r w:rsidRPr="0047063B">
        <w:rPr>
          <w:i/>
          <w:iCs/>
        </w:rPr>
        <w:t>Sovereignty and Equality of States</w:t>
      </w:r>
      <w:r w:rsidRPr="0047063B">
        <w:rPr>
          <w:smallCaps/>
        </w:rPr>
        <w:t xml:space="preserve">, </w:t>
      </w:r>
      <w:r w:rsidRPr="0047063B">
        <w:rPr>
          <w:i/>
        </w:rPr>
        <w:t>in</w:t>
      </w:r>
      <w:r w:rsidRPr="0047063B">
        <w:rPr>
          <w:i/>
          <w:smallCaps/>
        </w:rPr>
        <w:t xml:space="preserve"> </w:t>
      </w:r>
      <w:r w:rsidRPr="0047063B">
        <w:rPr>
          <w:smallCaps/>
        </w:rPr>
        <w:t xml:space="preserve">Brownlie’s Principles of Public International Law 431, 431 </w:t>
      </w:r>
      <w:r w:rsidRPr="0047063B">
        <w:t>(9th ed. 2019)</w:t>
      </w:r>
      <w:r w:rsidRPr="0047063B">
        <w:fldChar w:fldCharType="begin"/>
      </w:r>
      <w:r w:rsidRPr="0047063B">
        <w:instrText xml:space="preserve"> TA \l "J</w:instrText>
      </w:r>
      <w:r w:rsidRPr="0047063B">
        <w:rPr>
          <w:smallCaps/>
        </w:rPr>
        <w:instrText>ames</w:instrText>
      </w:r>
      <w:r w:rsidRPr="0047063B">
        <w:instrText xml:space="preserve"> C</w:instrText>
      </w:r>
      <w:r w:rsidRPr="0047063B">
        <w:rPr>
          <w:smallCaps/>
        </w:rPr>
        <w:instrText>rawford</w:instrText>
      </w:r>
      <w:r w:rsidRPr="0047063B">
        <w:instrText xml:space="preserve">, </w:instrText>
      </w:r>
      <w:r w:rsidRPr="0047063B">
        <w:rPr>
          <w:i/>
          <w:iCs/>
        </w:rPr>
        <w:instrText>Sovereignty and Equality of States</w:instrText>
      </w:r>
      <w:r w:rsidRPr="0047063B">
        <w:rPr>
          <w:smallCaps/>
        </w:rPr>
        <w:instrText xml:space="preserve">, </w:instrText>
      </w:r>
      <w:r w:rsidRPr="0047063B">
        <w:rPr>
          <w:i/>
          <w:iCs/>
        </w:rPr>
        <w:instrText>in</w:instrText>
      </w:r>
      <w:r w:rsidRPr="0047063B">
        <w:rPr>
          <w:i/>
          <w:iCs/>
          <w:smallCaps/>
        </w:rPr>
        <w:instrText xml:space="preserve"> </w:instrText>
      </w:r>
      <w:r w:rsidRPr="0047063B">
        <w:rPr>
          <w:smallCaps/>
        </w:rPr>
        <w:instrText xml:space="preserve">Brownlie’s Principles of Public International Law 431 </w:instrText>
      </w:r>
      <w:r w:rsidRPr="0047063B">
        <w:instrText xml:space="preserve">(9th ed. 2019)" \s "James Crawford, Sovereignty and Equality of States, in Brownlie’s Principles of Public International Law 431 (9th ed. 2019)" \c 6 </w:instrText>
      </w:r>
      <w:r w:rsidRPr="0047063B">
        <w:fldChar w:fldCharType="end"/>
      </w:r>
      <w:r w:rsidRPr="0047063B">
        <w:t>.</w:t>
      </w:r>
    </w:p>
  </w:footnote>
  <w:footnote w:id="3">
    <w:p w14:paraId="0951ED7E" w14:textId="77777777" w:rsidR="002A4673" w:rsidRPr="0047063B" w:rsidRDefault="002A4673" w:rsidP="0047063B">
      <w:pPr>
        <w:spacing w:line="240" w:lineRule="auto"/>
        <w:ind w:firstLine="0"/>
      </w:pPr>
      <w:r w:rsidRPr="0047063B">
        <w:rPr>
          <w:vertAlign w:val="superscript"/>
        </w:rPr>
        <w:footnoteRef/>
      </w:r>
      <w:r w:rsidRPr="0047063B">
        <w:t xml:space="preserve"> Statement of Agreed Facts [“</w:t>
      </w:r>
      <w:r w:rsidRPr="0047063B">
        <w:rPr>
          <w:b/>
        </w:rPr>
        <w:t>Facts</w:t>
      </w:r>
      <w:r w:rsidRPr="0047063B">
        <w:t>”], ¶12.</w:t>
      </w:r>
    </w:p>
  </w:footnote>
  <w:footnote w:id="4">
    <w:p w14:paraId="2710ADA7" w14:textId="77777777" w:rsidR="002A4673" w:rsidRPr="0047063B" w:rsidRDefault="002A4673" w:rsidP="0047063B">
      <w:pPr>
        <w:spacing w:line="240" w:lineRule="auto"/>
        <w:ind w:firstLine="0"/>
      </w:pPr>
      <w:r w:rsidRPr="0047063B">
        <w:rPr>
          <w:vertAlign w:val="superscript"/>
        </w:rPr>
        <w:footnoteRef/>
      </w:r>
      <w:r w:rsidRPr="0047063B">
        <w:t xml:space="preserve"> </w:t>
      </w:r>
      <w:r w:rsidR="00DB2576" w:rsidRPr="0047063B">
        <w:rPr>
          <w:iCs/>
        </w:rPr>
        <w:t>Facts,</w:t>
      </w:r>
      <w:r w:rsidRPr="0047063B">
        <w:t xml:space="preserve"> ¶¶69–70. </w:t>
      </w:r>
    </w:p>
  </w:footnote>
  <w:footnote w:id="5">
    <w:p w14:paraId="45E29FF5" w14:textId="77777777" w:rsidR="002A4673" w:rsidRPr="0047063B" w:rsidRDefault="002A4673" w:rsidP="0047063B">
      <w:pPr>
        <w:spacing w:line="240" w:lineRule="auto"/>
        <w:ind w:firstLine="0"/>
      </w:pPr>
      <w:r w:rsidRPr="0047063B">
        <w:rPr>
          <w:vertAlign w:val="superscript"/>
        </w:rPr>
        <w:footnoteRef/>
      </w:r>
      <w:r w:rsidRPr="0047063B">
        <w:rPr>
          <w:i/>
          <w:iCs/>
        </w:rPr>
        <w:t xml:space="preserve"> Right of Passage over Indian Territory</w:t>
      </w:r>
      <w:r w:rsidRPr="0047063B">
        <w:t xml:space="preserve"> (Port. v. India), Judgment, 1960 I.C.J. 6, at 35 (Apr. 12)</w:t>
      </w:r>
      <w:r w:rsidRPr="0047063B">
        <w:fldChar w:fldCharType="begin"/>
      </w:r>
      <w:r w:rsidRPr="0047063B">
        <w:instrText xml:space="preserve"> TA \l "</w:instrText>
      </w:r>
      <w:r w:rsidRPr="0047063B">
        <w:rPr>
          <w:i/>
          <w:iCs/>
        </w:rPr>
        <w:instrText>Right of Passage over Indian Territory</w:instrText>
      </w:r>
      <w:r w:rsidRPr="0047063B">
        <w:instrText xml:space="preserve"> (Port. v. India), Judgment, 1960 I.C.J. 6 (Apr. 12)" \s "Right of Passage" \c 2 </w:instrText>
      </w:r>
      <w:r w:rsidRPr="0047063B">
        <w:fldChar w:fldCharType="end"/>
      </w:r>
      <w:r w:rsidRPr="0047063B">
        <w:t xml:space="preserve"> [“</w:t>
      </w:r>
      <w:r w:rsidRPr="0047063B">
        <w:rPr>
          <w:b/>
          <w:bCs/>
        </w:rPr>
        <w:t>Right of Passage</w:t>
      </w:r>
      <w:r w:rsidRPr="0047063B">
        <w:t>”].</w:t>
      </w:r>
    </w:p>
  </w:footnote>
  <w:footnote w:id="6">
    <w:p w14:paraId="221F4E00"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rPr>
        <w:t>Id</w:t>
      </w:r>
      <w:r w:rsidR="009F6FD6" w:rsidRPr="0047063B">
        <w:rPr>
          <w:i/>
        </w:rPr>
        <w:fldChar w:fldCharType="begin"/>
      </w:r>
      <w:r w:rsidR="009F6FD6" w:rsidRPr="0047063B">
        <w:instrText xml:space="preserve"> TA \s "Right of Passage" </w:instrText>
      </w:r>
      <w:r w:rsidR="009F6FD6" w:rsidRPr="0047063B">
        <w:rPr>
          <w:i/>
        </w:rPr>
        <w:fldChar w:fldCharType="end"/>
      </w:r>
      <w:r w:rsidRPr="0047063B">
        <w:t xml:space="preserve">. See also </w:t>
      </w:r>
      <w:r w:rsidRPr="0047063B">
        <w:rPr>
          <w:i/>
        </w:rPr>
        <w:t xml:space="preserve">Phosphates in Morocco </w:t>
      </w:r>
      <w:r w:rsidRPr="0047063B">
        <w:t>(It. v. Fr.), Judgment, 1938 P.C.I.J. (ser. A/B) No. 74, at 24 (June 14)</w:t>
      </w:r>
      <w:r w:rsidRPr="0047063B">
        <w:fldChar w:fldCharType="begin"/>
      </w:r>
      <w:r w:rsidRPr="0047063B">
        <w:instrText xml:space="preserve"> TA \l "</w:instrText>
      </w:r>
      <w:r w:rsidRPr="0047063B">
        <w:rPr>
          <w:i/>
        </w:rPr>
        <w:instrText xml:space="preserve">Phosphates in Morocco </w:instrText>
      </w:r>
      <w:r w:rsidRPr="0047063B">
        <w:instrText xml:space="preserve">(It. v. Fr.), Judgment, 1938 P.C.I.J. (ser. A/B) No. 74 (June 14)" \s "Phosphates" \c 2 </w:instrText>
      </w:r>
      <w:r w:rsidRPr="0047063B">
        <w:fldChar w:fldCharType="end"/>
      </w:r>
      <w:r w:rsidRPr="0047063B">
        <w:t xml:space="preserve"> [“</w:t>
      </w:r>
      <w:r w:rsidRPr="0047063B">
        <w:rPr>
          <w:b/>
        </w:rPr>
        <w:t>Phosphates</w:t>
      </w:r>
      <w:r w:rsidRPr="0047063B">
        <w:t xml:space="preserve">”]; </w:t>
      </w:r>
      <w:r w:rsidRPr="0047063B">
        <w:rPr>
          <w:i/>
        </w:rPr>
        <w:t>Electricity Company of Sofia and Bulgaria</w:t>
      </w:r>
      <w:r w:rsidRPr="0047063B">
        <w:t xml:space="preserve"> (Belg. v. Bulg.), Judgment, 1939 P.C.I.J. (ser. A/B) No. 77, at 82 (Apr. 4)</w:t>
      </w:r>
      <w:r w:rsidRPr="0047063B">
        <w:fldChar w:fldCharType="begin"/>
      </w:r>
      <w:r w:rsidRPr="0047063B">
        <w:instrText xml:space="preserve"> TA \l "</w:instrText>
      </w:r>
      <w:r w:rsidRPr="0047063B">
        <w:rPr>
          <w:i/>
        </w:rPr>
        <w:instrText>Electricity Company of Sofia and Bulgaria</w:instrText>
      </w:r>
      <w:r w:rsidRPr="0047063B">
        <w:instrText xml:space="preserve"> (Belg. v. Bulg.), Judgment, 1939 P.C.I.J. (ser. A/B) No. 77 (Apr. 4)" \s "Electricity Company" \c 2 </w:instrText>
      </w:r>
      <w:r w:rsidRPr="0047063B">
        <w:fldChar w:fldCharType="end"/>
      </w:r>
      <w:r w:rsidRPr="0047063B">
        <w:t xml:space="preserve"> [“</w:t>
      </w:r>
      <w:r w:rsidRPr="0047063B">
        <w:rPr>
          <w:b/>
        </w:rPr>
        <w:t>Electricity Company</w:t>
      </w:r>
      <w:r w:rsidRPr="0047063B">
        <w:t xml:space="preserve">”]; </w:t>
      </w:r>
      <w:r w:rsidRPr="0047063B">
        <w:rPr>
          <w:i/>
          <w:iCs/>
        </w:rPr>
        <w:t>Certain Property</w:t>
      </w:r>
      <w:r w:rsidRPr="0047063B">
        <w:t xml:space="preserve"> (Liech. v. Ger.), Judgment, 2005 I.C.J. 6, ¶44 (Feb. 10)</w:t>
      </w:r>
      <w:r w:rsidRPr="0047063B">
        <w:fldChar w:fldCharType="begin"/>
      </w:r>
      <w:r w:rsidRPr="0047063B">
        <w:instrText xml:space="preserve"> TA \l "</w:instrText>
      </w:r>
      <w:r w:rsidRPr="0047063B">
        <w:rPr>
          <w:i/>
          <w:iCs/>
        </w:rPr>
        <w:instrText>Certain Property</w:instrText>
      </w:r>
      <w:r w:rsidRPr="0047063B">
        <w:instrText xml:space="preserve"> (Liech. v. Ger.), Judgment, 2005 I.C.J. 6 (Feb. 10)" \s "Certain Property" \c 2 </w:instrText>
      </w:r>
      <w:r w:rsidRPr="0047063B">
        <w:fldChar w:fldCharType="end"/>
      </w:r>
      <w:r w:rsidRPr="0047063B">
        <w:t xml:space="preserve"> [“</w:t>
      </w:r>
      <w:r w:rsidRPr="0047063B">
        <w:rPr>
          <w:b/>
          <w:bCs/>
        </w:rPr>
        <w:t>Certain Property</w:t>
      </w:r>
      <w:r w:rsidRPr="0047063B">
        <w:t xml:space="preserve">”]; and </w:t>
      </w:r>
      <w:r w:rsidRPr="0047063B">
        <w:rPr>
          <w:i/>
        </w:rPr>
        <w:t>Jurisdictional Immunities of the State</w:t>
      </w:r>
      <w:r w:rsidRPr="0047063B">
        <w:t xml:space="preserve"> (Ger. v. It.: Greece intervening), Judgment, 2012 I.C.J. 99, ¶44 (Feb. 3)</w:t>
      </w:r>
      <w:r w:rsidRPr="0047063B">
        <w:fldChar w:fldCharType="begin"/>
      </w:r>
      <w:r w:rsidRPr="0047063B">
        <w:instrText xml:space="preserve"> TA \l "</w:instrText>
      </w:r>
      <w:r w:rsidRPr="0047063B">
        <w:rPr>
          <w:i/>
        </w:rPr>
        <w:instrText>Jurisdictional Immunities of the State</w:instrText>
      </w:r>
      <w:r w:rsidRPr="0047063B">
        <w:instrText xml:space="preserve"> (Ger. v. It.: Greece intervening), Judgment, 2012 I.C.J. 99 (Feb. 3)" \s "Jurisdictional Immunities" \c 2 </w:instrText>
      </w:r>
      <w:r w:rsidRPr="0047063B">
        <w:fldChar w:fldCharType="end"/>
      </w:r>
      <w:r w:rsidRPr="0047063B">
        <w:t xml:space="preserve"> [“</w:t>
      </w:r>
      <w:r w:rsidRPr="0047063B">
        <w:rPr>
          <w:b/>
        </w:rPr>
        <w:t>Jurisdictional Immunities</w:t>
      </w:r>
      <w:r w:rsidRPr="0047063B">
        <w:t xml:space="preserve">”]. </w:t>
      </w:r>
    </w:p>
  </w:footnote>
  <w:footnote w:id="7">
    <w:p w14:paraId="2600213B"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rPr>
        <w:t>Electricity Company</w:t>
      </w:r>
      <w:r w:rsidRPr="0047063B">
        <w:rPr>
          <w:i/>
        </w:rPr>
        <w:fldChar w:fldCharType="begin"/>
      </w:r>
      <w:r w:rsidRPr="0047063B">
        <w:instrText xml:space="preserve"> TA \s "Electricity Company" </w:instrText>
      </w:r>
      <w:r w:rsidRPr="0047063B">
        <w:rPr>
          <w:i/>
        </w:rPr>
        <w:fldChar w:fldCharType="end"/>
      </w:r>
      <w:r w:rsidRPr="0047063B">
        <w:t xml:space="preserve">, 1939 P.C.I.J., at 82. </w:t>
      </w:r>
    </w:p>
  </w:footnote>
  <w:footnote w:id="8">
    <w:p w14:paraId="6E0795FE" w14:textId="77777777" w:rsidR="002A4673" w:rsidRPr="0047063B" w:rsidRDefault="002A4673" w:rsidP="0047063B">
      <w:pPr>
        <w:spacing w:line="240" w:lineRule="auto"/>
        <w:ind w:firstLine="0"/>
      </w:pPr>
      <w:r w:rsidRPr="0047063B">
        <w:rPr>
          <w:vertAlign w:val="superscript"/>
        </w:rPr>
        <w:footnoteRef/>
      </w:r>
      <w:r w:rsidRPr="0047063B">
        <w:t xml:space="preserve"> Christian Tomuschat,</w:t>
      </w:r>
      <w:r w:rsidRPr="0047063B">
        <w:rPr>
          <w:i/>
        </w:rPr>
        <w:t xml:space="preserve"> Article 36</w:t>
      </w:r>
      <w:r w:rsidRPr="0047063B">
        <w:t xml:space="preserve">, </w:t>
      </w:r>
      <w:r w:rsidRPr="0047063B">
        <w:rPr>
          <w:i/>
        </w:rPr>
        <w:t xml:space="preserve">in </w:t>
      </w:r>
      <w:r w:rsidRPr="0047063B">
        <w:rPr>
          <w:smallCaps/>
        </w:rPr>
        <w:t>The Statute of the International Court of Justice: A Commentary</w:t>
      </w:r>
      <w:r w:rsidRPr="0047063B">
        <w:t xml:space="preserve"> 712, ¶94 (Andreas Zimmermann et al. eds., 3d ed. 2019)</w:t>
      </w:r>
      <w:r w:rsidRPr="0047063B">
        <w:fldChar w:fldCharType="begin"/>
      </w:r>
      <w:r w:rsidRPr="0047063B">
        <w:instrText xml:space="preserve"> TA \l "Christian Tomuschat,</w:instrText>
      </w:r>
      <w:r w:rsidRPr="0047063B">
        <w:rPr>
          <w:i/>
        </w:rPr>
        <w:instrText xml:space="preserve"> Article 36</w:instrText>
      </w:r>
      <w:r w:rsidRPr="0047063B">
        <w:instrText xml:space="preserve">, </w:instrText>
      </w:r>
      <w:r w:rsidRPr="0047063B">
        <w:rPr>
          <w:i/>
        </w:rPr>
        <w:instrText xml:space="preserve">in </w:instrText>
      </w:r>
      <w:r w:rsidRPr="0047063B">
        <w:rPr>
          <w:smallCaps/>
        </w:rPr>
        <w:instrText>The Statute of the International Court of Justice: A Commentary</w:instrText>
      </w:r>
      <w:r w:rsidRPr="0047063B">
        <w:instrText xml:space="preserve"> 712 (Andreas Zimmermann et al. eds., 3d ed. 2019)" \s "Christian Tomuschat, Article 36, in The Statute of the International Court of Justice: A Commentary 712 (Andreas Zimmermann et al. eds., 3d ed. 2019)" \c 6 </w:instrText>
      </w:r>
      <w:r w:rsidRPr="0047063B">
        <w:fldChar w:fldCharType="end"/>
      </w:r>
      <w:r w:rsidRPr="0047063B">
        <w:t xml:space="preserve">. </w:t>
      </w:r>
      <w:r w:rsidRPr="0047063B">
        <w:rPr>
          <w:i/>
        </w:rPr>
        <w:t>See also</w:t>
      </w:r>
      <w:r w:rsidRPr="0047063B">
        <w:t xml:space="preserve"> Hisashi Owada, President, Int’l Ct. of Just., Introductory Remarks at the Seminar on the Contentious Jurisdiction of the International Court of Justice (Oct. 26, 2010)</w:t>
      </w:r>
      <w:r w:rsidRPr="0047063B">
        <w:fldChar w:fldCharType="begin"/>
      </w:r>
      <w:r w:rsidRPr="0047063B">
        <w:instrText xml:space="preserve"> TA \l "Hisashi Owada, President, Int’l Ct. of Just., Introductory Remarks at the Seminar on the Contentious Jurisdiction of the International Court of Justice (Oct. 26, 2010)" \s "Hisashi Owada, President, Int’l Ct. of Just., Introductory Remarks at the Seminar on the Contentious Jurisdiction of the International Court of Justice (Oct. 26, 2010)" \c 9 </w:instrText>
      </w:r>
      <w:r w:rsidRPr="0047063B">
        <w:fldChar w:fldCharType="end"/>
      </w:r>
      <w:r w:rsidRPr="0047063B">
        <w:t xml:space="preserve">. </w:t>
      </w:r>
    </w:p>
  </w:footnote>
  <w:footnote w:id="9">
    <w:p w14:paraId="34122F01" w14:textId="77777777" w:rsidR="002A4673" w:rsidRPr="0047063B" w:rsidRDefault="002A4673" w:rsidP="0047063B">
      <w:pPr>
        <w:spacing w:line="240" w:lineRule="auto"/>
        <w:ind w:firstLine="0"/>
      </w:pPr>
      <w:r w:rsidRPr="0047063B">
        <w:rPr>
          <w:vertAlign w:val="superscript"/>
        </w:rPr>
        <w:footnoteRef/>
      </w:r>
      <w:r w:rsidRPr="0047063B">
        <w:rPr>
          <w:i/>
          <w:iCs/>
        </w:rPr>
        <w:t xml:space="preserve"> Phosphates</w:t>
      </w:r>
      <w:r w:rsidRPr="0047063B">
        <w:rPr>
          <w:i/>
          <w:iCs/>
        </w:rPr>
        <w:fldChar w:fldCharType="begin"/>
      </w:r>
      <w:r w:rsidRPr="0047063B">
        <w:instrText xml:space="preserve"> TA \s "Phosphates" </w:instrText>
      </w:r>
      <w:r w:rsidRPr="0047063B">
        <w:rPr>
          <w:i/>
          <w:iCs/>
        </w:rPr>
        <w:fldChar w:fldCharType="end"/>
      </w:r>
      <w:r w:rsidRPr="0047063B">
        <w:t xml:space="preserve">, 1938 P.C.I.J. at 23; </w:t>
      </w:r>
      <w:r w:rsidRPr="0047063B">
        <w:rPr>
          <w:i/>
          <w:iCs/>
        </w:rPr>
        <w:t xml:space="preserve">see </w:t>
      </w:r>
      <w:r w:rsidR="009F6FD6" w:rsidRPr="0047063B">
        <w:rPr>
          <w:i/>
          <w:iCs/>
        </w:rPr>
        <w:t>generally</w:t>
      </w:r>
      <w:r w:rsidRPr="0047063B">
        <w:rPr>
          <w:i/>
        </w:rPr>
        <w:t xml:space="preserve"> </w:t>
      </w:r>
      <w:r w:rsidRPr="0047063B">
        <w:t>R</w:t>
      </w:r>
      <w:r w:rsidRPr="0047063B">
        <w:rPr>
          <w:smallCaps/>
        </w:rPr>
        <w:t>osalind</w:t>
      </w:r>
      <w:r w:rsidRPr="0047063B">
        <w:t xml:space="preserve"> H</w:t>
      </w:r>
      <w:r w:rsidRPr="0047063B">
        <w:rPr>
          <w:smallCaps/>
        </w:rPr>
        <w:t xml:space="preserve">iggins, </w:t>
      </w:r>
      <w:r w:rsidRPr="0047063B">
        <w:rPr>
          <w:i/>
          <w:iCs/>
        </w:rPr>
        <w:t>Time and the Law: International Perspectives on an Old Problem</w:t>
      </w:r>
      <w:r w:rsidRPr="0047063B">
        <w:rPr>
          <w:smallCaps/>
        </w:rPr>
        <w:t xml:space="preserve">, </w:t>
      </w:r>
      <w:r w:rsidRPr="0047063B">
        <w:rPr>
          <w:i/>
          <w:iCs/>
        </w:rPr>
        <w:t xml:space="preserve">in </w:t>
      </w:r>
      <w:r w:rsidRPr="0047063B">
        <w:rPr>
          <w:smallCaps/>
        </w:rPr>
        <w:t xml:space="preserve">Themes and Theories: Selected Essays, Speeches, and Writings in International Law </w:t>
      </w:r>
      <w:r w:rsidRPr="0047063B">
        <w:t>875</w:t>
      </w:r>
      <w:r w:rsidR="009F6FD6" w:rsidRPr="0047063B">
        <w:t xml:space="preserve"> </w:t>
      </w:r>
      <w:r w:rsidRPr="0047063B">
        <w:t>(2009)</w:t>
      </w:r>
      <w:r w:rsidRPr="0047063B">
        <w:fldChar w:fldCharType="begin"/>
      </w:r>
      <w:r w:rsidRPr="0047063B">
        <w:instrText xml:space="preserve"> TA \l "R</w:instrText>
      </w:r>
      <w:r w:rsidRPr="0047063B">
        <w:rPr>
          <w:smallCaps/>
        </w:rPr>
        <w:instrText>osalind</w:instrText>
      </w:r>
      <w:r w:rsidRPr="0047063B">
        <w:instrText xml:space="preserve"> H</w:instrText>
      </w:r>
      <w:r w:rsidRPr="0047063B">
        <w:rPr>
          <w:smallCaps/>
        </w:rPr>
        <w:instrText xml:space="preserve">iggins, </w:instrText>
      </w:r>
      <w:r w:rsidRPr="0047063B">
        <w:rPr>
          <w:i/>
          <w:iCs/>
        </w:rPr>
        <w:instrText>Time and the Law: International Perspectives on an Old Problem</w:instrText>
      </w:r>
      <w:r w:rsidRPr="0047063B">
        <w:rPr>
          <w:smallCaps/>
        </w:rPr>
        <w:instrText xml:space="preserve">, </w:instrText>
      </w:r>
      <w:r w:rsidRPr="0047063B">
        <w:rPr>
          <w:i/>
          <w:iCs/>
        </w:rPr>
        <w:instrText xml:space="preserve">in </w:instrText>
      </w:r>
      <w:r w:rsidRPr="0047063B">
        <w:rPr>
          <w:smallCaps/>
        </w:rPr>
        <w:instrText xml:space="preserve">Themes and Theories: Selected Essays, Speeches, and Writings in International Law </w:instrText>
      </w:r>
      <w:r w:rsidRPr="0047063B">
        <w:instrText xml:space="preserve">875 (2009)" \s "Rosalind Higgins, Time and the Law: International Perspectives on an Old Problem, in Themes and Theories: Selected Essays, Speeches, and Writings in International Law 875 (2009)" \c 6 </w:instrText>
      </w:r>
      <w:r w:rsidRPr="0047063B">
        <w:fldChar w:fldCharType="end"/>
      </w:r>
      <w:r w:rsidRPr="0047063B">
        <w:t xml:space="preserve">. </w:t>
      </w:r>
    </w:p>
  </w:footnote>
  <w:footnote w:id="10">
    <w:p w14:paraId="38A20B69"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iCs/>
        </w:rPr>
        <w:t>Phosphates</w:t>
      </w:r>
      <w:r w:rsidRPr="0047063B">
        <w:rPr>
          <w:i/>
        </w:rPr>
        <w:fldChar w:fldCharType="begin"/>
      </w:r>
      <w:r w:rsidRPr="0047063B">
        <w:instrText xml:space="preserve"> TA \s "Phosphates" </w:instrText>
      </w:r>
      <w:r w:rsidRPr="0047063B">
        <w:rPr>
          <w:i/>
        </w:rPr>
        <w:fldChar w:fldCharType="end"/>
      </w:r>
      <w:r w:rsidRPr="0047063B">
        <w:t xml:space="preserve">, 1938 P.C.I.J. at 26. </w:t>
      </w:r>
    </w:p>
  </w:footnote>
  <w:footnote w:id="11">
    <w:p w14:paraId="3B9C9103"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iCs/>
        </w:rPr>
        <w:t>Right of Passage</w:t>
      </w:r>
      <w:r w:rsidRPr="0047063B">
        <w:rPr>
          <w:i/>
        </w:rPr>
        <w:fldChar w:fldCharType="begin"/>
      </w:r>
      <w:r w:rsidRPr="0047063B">
        <w:instrText xml:space="preserve"> TA \s "Right of Passage" </w:instrText>
      </w:r>
      <w:r w:rsidRPr="0047063B">
        <w:rPr>
          <w:i/>
        </w:rPr>
        <w:fldChar w:fldCharType="end"/>
      </w:r>
      <w:r w:rsidRPr="0047063B">
        <w:t>, 1960 I.C.J. at 36.</w:t>
      </w:r>
    </w:p>
  </w:footnote>
  <w:footnote w:id="12">
    <w:p w14:paraId="00740014"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rPr>
        <w:t>Certain Property</w:t>
      </w:r>
      <w:r w:rsidRPr="0047063B">
        <w:rPr>
          <w:i/>
        </w:rPr>
        <w:fldChar w:fldCharType="begin"/>
      </w:r>
      <w:r w:rsidRPr="0047063B">
        <w:instrText xml:space="preserve"> TA \s "Certain Property" </w:instrText>
      </w:r>
      <w:r w:rsidRPr="0047063B">
        <w:rPr>
          <w:i/>
        </w:rPr>
        <w:fldChar w:fldCharType="end"/>
      </w:r>
      <w:r w:rsidRPr="0047063B">
        <w:t>, 2005 I.C.J., ¶51.</w:t>
      </w:r>
    </w:p>
  </w:footnote>
  <w:footnote w:id="13">
    <w:p w14:paraId="7D33A686"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iCs/>
        </w:rPr>
        <w:t>Phosphates</w:t>
      </w:r>
      <w:r w:rsidRPr="0047063B">
        <w:rPr>
          <w:i/>
          <w:iCs/>
        </w:rPr>
        <w:fldChar w:fldCharType="begin"/>
      </w:r>
      <w:r w:rsidRPr="0047063B">
        <w:instrText xml:space="preserve"> TA \s "Phosphates" </w:instrText>
      </w:r>
      <w:r w:rsidRPr="0047063B">
        <w:rPr>
          <w:i/>
          <w:iCs/>
        </w:rPr>
        <w:fldChar w:fldCharType="end"/>
      </w:r>
      <w:r w:rsidRPr="0047063B">
        <w:t xml:space="preserve">, 1938 P.C.I.J. at 25–27. </w:t>
      </w:r>
    </w:p>
  </w:footnote>
  <w:footnote w:id="14">
    <w:p w14:paraId="418869C7" w14:textId="77777777" w:rsidR="002A4673" w:rsidRPr="0047063B" w:rsidRDefault="002A4673" w:rsidP="0047063B">
      <w:pPr>
        <w:pStyle w:val="FootnoteText"/>
        <w:spacing w:after="160"/>
        <w:ind w:firstLine="0"/>
        <w:rPr>
          <w:i/>
          <w:sz w:val="24"/>
          <w:szCs w:val="24"/>
        </w:rPr>
      </w:pPr>
      <w:r w:rsidRPr="0047063B">
        <w:rPr>
          <w:rStyle w:val="FootnoteReference"/>
          <w:sz w:val="24"/>
          <w:szCs w:val="24"/>
        </w:rPr>
        <w:footnoteRef/>
      </w:r>
      <w:r w:rsidRPr="0047063B">
        <w:rPr>
          <w:sz w:val="24"/>
          <w:szCs w:val="24"/>
        </w:rPr>
        <w:t xml:space="preserve"> </w:t>
      </w:r>
      <w:r w:rsidRPr="0047063B">
        <w:rPr>
          <w:i/>
          <w:sz w:val="24"/>
          <w:szCs w:val="24"/>
        </w:rPr>
        <w:t>Electricity Company</w:t>
      </w:r>
      <w:r w:rsidRPr="0047063B">
        <w:rPr>
          <w:i/>
          <w:iCs/>
          <w:sz w:val="24"/>
          <w:szCs w:val="24"/>
        </w:rPr>
        <w:fldChar w:fldCharType="begin"/>
      </w:r>
      <w:r w:rsidRPr="0047063B">
        <w:rPr>
          <w:sz w:val="24"/>
          <w:szCs w:val="24"/>
        </w:rPr>
        <w:instrText xml:space="preserve"> TA \s "Electricity Company" </w:instrText>
      </w:r>
      <w:r w:rsidRPr="0047063B">
        <w:rPr>
          <w:i/>
          <w:iCs/>
          <w:sz w:val="24"/>
          <w:szCs w:val="24"/>
        </w:rPr>
        <w:fldChar w:fldCharType="end"/>
      </w:r>
      <w:r w:rsidRPr="0047063B">
        <w:rPr>
          <w:sz w:val="24"/>
          <w:szCs w:val="24"/>
        </w:rPr>
        <w:t>, 1939 P.C.I.J. at 82.</w:t>
      </w:r>
    </w:p>
  </w:footnote>
  <w:footnote w:id="15">
    <w:p w14:paraId="294EC97E" w14:textId="77777777" w:rsidR="002A4673" w:rsidRPr="0047063B" w:rsidRDefault="002A4673" w:rsidP="0047063B">
      <w:pPr>
        <w:spacing w:line="240" w:lineRule="auto"/>
        <w:ind w:firstLine="0"/>
      </w:pPr>
      <w:r w:rsidRPr="0047063B">
        <w:rPr>
          <w:vertAlign w:val="superscript"/>
        </w:rPr>
        <w:footnoteRef/>
      </w:r>
      <w:r w:rsidRPr="0047063B">
        <w:t xml:space="preserve"> Facts, ¶12. </w:t>
      </w:r>
    </w:p>
  </w:footnote>
  <w:footnote w:id="16">
    <w:p w14:paraId="4E94A437" w14:textId="77777777" w:rsidR="002A4673" w:rsidRPr="0047063B" w:rsidRDefault="002A4673" w:rsidP="0047063B">
      <w:pPr>
        <w:spacing w:line="240" w:lineRule="auto"/>
        <w:ind w:firstLine="0"/>
      </w:pPr>
      <w:r w:rsidRPr="0047063B">
        <w:rPr>
          <w:vertAlign w:val="superscript"/>
        </w:rPr>
        <w:footnoteRef/>
      </w:r>
      <w:r w:rsidRPr="0047063B">
        <w:t xml:space="preserve"> For the substantive issues of jurisdiction and immunity, </w:t>
      </w:r>
      <w:r w:rsidRPr="0047063B">
        <w:rPr>
          <w:i/>
          <w:iCs/>
        </w:rPr>
        <w:t>see infra</w:t>
      </w:r>
      <w:r w:rsidRPr="0047063B">
        <w:t xml:space="preserve"> §II.</w:t>
      </w:r>
    </w:p>
  </w:footnote>
  <w:footnote w:id="17">
    <w:p w14:paraId="376CA9B9" w14:textId="77777777" w:rsidR="002A4673" w:rsidRPr="0047063B" w:rsidRDefault="002A4673" w:rsidP="0047063B">
      <w:pPr>
        <w:spacing w:line="240" w:lineRule="auto"/>
        <w:ind w:firstLine="0"/>
      </w:pPr>
      <w:r w:rsidRPr="0047063B">
        <w:rPr>
          <w:vertAlign w:val="superscript"/>
        </w:rPr>
        <w:footnoteRef/>
      </w:r>
      <w:r w:rsidRPr="0047063B">
        <w:t xml:space="preserve"> International Convention for the Protection of All Persons from Enforced Disappearance art</w:t>
      </w:r>
      <w:r w:rsidR="001E12B1" w:rsidRPr="0047063B">
        <w:t>s</w:t>
      </w:r>
      <w:r w:rsidRPr="0047063B">
        <w:t xml:space="preserve">. </w:t>
      </w:r>
      <w:r w:rsidR="001E12B1" w:rsidRPr="0047063B">
        <w:t>9–11</w:t>
      </w:r>
      <w:r w:rsidRPr="0047063B">
        <w:t>, Dec. 23, 2010, 2716 U.N.T.S 3</w:t>
      </w:r>
      <w:r w:rsidRPr="0047063B">
        <w:fldChar w:fldCharType="begin"/>
      </w:r>
      <w:r w:rsidRPr="0047063B">
        <w:instrText xml:space="preserve"> TA \l "International Convention for the Protection of All Persons from Enforced Disappearance, Dec. 23, 2010, 2716 U.N.T.S 3" \s "ICPPED" \c 1 </w:instrText>
      </w:r>
      <w:r w:rsidRPr="0047063B">
        <w:fldChar w:fldCharType="end"/>
      </w:r>
      <w:r w:rsidRPr="0047063B">
        <w:t xml:space="preserve"> [</w:t>
      </w:r>
      <w:r w:rsidRPr="0047063B">
        <w:rPr>
          <w:b/>
        </w:rPr>
        <w:t>“ICPPED”</w:t>
      </w:r>
      <w:r w:rsidRPr="0047063B">
        <w:t xml:space="preserve">]. </w:t>
      </w:r>
    </w:p>
  </w:footnote>
  <w:footnote w:id="18">
    <w:p w14:paraId="5EB7EC95" w14:textId="77777777" w:rsidR="002A4673" w:rsidRPr="0047063B" w:rsidRDefault="002A4673" w:rsidP="0047063B">
      <w:pPr>
        <w:spacing w:line="240" w:lineRule="auto"/>
        <w:ind w:firstLine="0"/>
      </w:pPr>
      <w:r w:rsidRPr="0047063B">
        <w:rPr>
          <w:vertAlign w:val="superscript"/>
        </w:rPr>
        <w:footnoteRef/>
      </w:r>
      <w:r w:rsidRPr="0047063B">
        <w:t xml:space="preserve"> ICPPED</w:t>
      </w:r>
      <w:r w:rsidRPr="0047063B">
        <w:fldChar w:fldCharType="begin"/>
      </w:r>
      <w:r w:rsidRPr="0047063B">
        <w:instrText xml:space="preserve"> TA \s "ICPPED" </w:instrText>
      </w:r>
      <w:r w:rsidRPr="0047063B">
        <w:fldChar w:fldCharType="end"/>
      </w:r>
      <w:r w:rsidRPr="0047063B">
        <w:t xml:space="preserve"> art. 9(1). </w:t>
      </w:r>
    </w:p>
  </w:footnote>
  <w:footnote w:id="19">
    <w:p w14:paraId="50FBE9D1"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Cs/>
        </w:rPr>
        <w:t>ICPPED</w:t>
      </w:r>
      <w:r w:rsidRPr="0047063B">
        <w:rPr>
          <w:iCs/>
        </w:rPr>
        <w:fldChar w:fldCharType="begin"/>
      </w:r>
      <w:r w:rsidRPr="0047063B">
        <w:instrText xml:space="preserve"> TA \s "ICPPED" </w:instrText>
      </w:r>
      <w:r w:rsidRPr="0047063B">
        <w:rPr>
          <w:iCs/>
        </w:rPr>
        <w:fldChar w:fldCharType="end"/>
      </w:r>
      <w:r w:rsidRPr="0047063B">
        <w:t xml:space="preserve">, art. 10(2). </w:t>
      </w:r>
    </w:p>
  </w:footnote>
  <w:footnote w:id="20">
    <w:p w14:paraId="6B45E106"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Cs/>
        </w:rPr>
        <w:t>ICPPED</w:t>
      </w:r>
      <w:r w:rsidRPr="0047063B">
        <w:rPr>
          <w:iCs/>
        </w:rPr>
        <w:fldChar w:fldCharType="begin"/>
      </w:r>
      <w:r w:rsidRPr="0047063B">
        <w:instrText xml:space="preserve"> TA \s "ICPPED" </w:instrText>
      </w:r>
      <w:r w:rsidRPr="0047063B">
        <w:rPr>
          <w:iCs/>
        </w:rPr>
        <w:fldChar w:fldCharType="end"/>
      </w:r>
      <w:r w:rsidRPr="0047063B">
        <w:t>, arts</w:t>
      </w:r>
      <w:r w:rsidR="001E12B1" w:rsidRPr="0047063B">
        <w:t>.</w:t>
      </w:r>
      <w:r w:rsidRPr="0047063B">
        <w:t xml:space="preserve"> 2, 5, 6(1).</w:t>
      </w:r>
    </w:p>
  </w:footnote>
  <w:footnote w:id="21">
    <w:p w14:paraId="72D684CF" w14:textId="77777777" w:rsidR="002A4673" w:rsidRPr="0047063B" w:rsidRDefault="002A4673" w:rsidP="0047063B">
      <w:pPr>
        <w:spacing w:line="240" w:lineRule="auto"/>
        <w:ind w:firstLine="0"/>
      </w:pPr>
      <w:r w:rsidRPr="0047063B">
        <w:rPr>
          <w:vertAlign w:val="superscript"/>
        </w:rPr>
        <w:footnoteRef/>
      </w:r>
      <w:r w:rsidRPr="0047063B">
        <w:t xml:space="preserve"> Facts, ¶¶8, 25–28, 50.  </w:t>
      </w:r>
    </w:p>
  </w:footnote>
  <w:footnote w:id="22">
    <w:p w14:paraId="2AB1ED1D" w14:textId="77777777" w:rsidR="002A4673" w:rsidRPr="0047063B" w:rsidRDefault="002A4673" w:rsidP="0047063B">
      <w:pPr>
        <w:spacing w:line="240" w:lineRule="auto"/>
        <w:ind w:firstLine="0"/>
      </w:pPr>
      <w:r w:rsidRPr="0047063B">
        <w:rPr>
          <w:vertAlign w:val="superscript"/>
        </w:rPr>
        <w:footnoteRef/>
      </w:r>
      <w:r w:rsidRPr="0047063B">
        <w:t xml:space="preserve"> For treatment of jurisdiction, </w:t>
      </w:r>
      <w:r w:rsidRPr="0047063B">
        <w:rPr>
          <w:i/>
          <w:iCs/>
        </w:rPr>
        <w:t>see infra</w:t>
      </w:r>
      <w:r w:rsidRPr="0047063B">
        <w:t xml:space="preserve"> §II.A.</w:t>
      </w:r>
    </w:p>
  </w:footnote>
  <w:footnote w:id="23">
    <w:p w14:paraId="06E24B61"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rPr>
        <w:t>Jurisdictional Immunities</w:t>
      </w:r>
      <w:r w:rsidRPr="0047063B">
        <w:rPr>
          <w:i/>
        </w:rPr>
        <w:fldChar w:fldCharType="begin"/>
      </w:r>
      <w:r w:rsidRPr="0047063B">
        <w:instrText xml:space="preserve"> TA \s "Jurisdictional Immunities" </w:instrText>
      </w:r>
      <w:r w:rsidRPr="0047063B">
        <w:rPr>
          <w:i/>
        </w:rPr>
        <w:fldChar w:fldCharType="end"/>
      </w:r>
      <w:r w:rsidRPr="0047063B">
        <w:t>, 2012 I.C.J., ¶¶42–44.</w:t>
      </w:r>
    </w:p>
  </w:footnote>
  <w:footnote w:id="24">
    <w:p w14:paraId="3272738C"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rPr>
        <w:t>Id</w:t>
      </w:r>
      <w:r w:rsidRPr="0047063B">
        <w:t>.</w:t>
      </w:r>
      <w:r w:rsidRPr="0047063B">
        <w:fldChar w:fldCharType="begin"/>
      </w:r>
      <w:r w:rsidRPr="0047063B">
        <w:instrText xml:space="preserve"> TA \s "Jurisdictional Immunities" </w:instrText>
      </w:r>
      <w:r w:rsidRPr="0047063B">
        <w:fldChar w:fldCharType="end"/>
      </w:r>
      <w:r w:rsidRPr="0047063B">
        <w:t xml:space="preserve"> ¶44.</w:t>
      </w:r>
    </w:p>
  </w:footnote>
  <w:footnote w:id="25">
    <w:p w14:paraId="6BC79B3F" w14:textId="77777777" w:rsidR="002A4673" w:rsidRPr="0047063B" w:rsidRDefault="002A4673" w:rsidP="0047063B">
      <w:pPr>
        <w:spacing w:line="240" w:lineRule="auto"/>
        <w:ind w:firstLine="0"/>
      </w:pPr>
      <w:r w:rsidRPr="0047063B">
        <w:rPr>
          <w:vertAlign w:val="superscript"/>
        </w:rPr>
        <w:footnoteRef/>
      </w:r>
      <w:r w:rsidRPr="0047063B">
        <w:t xml:space="preserve"> Although the subject matter related to reparations for German actions during WWII, the complaint did not involve the substantive treatment of that matter by the Italian courts. </w:t>
      </w:r>
      <w:r w:rsidRPr="0047063B">
        <w:rPr>
          <w:i/>
          <w:iCs/>
        </w:rPr>
        <w:t>Id</w:t>
      </w:r>
      <w:r w:rsidRPr="0047063B">
        <w:rPr>
          <w:i/>
          <w:iCs/>
        </w:rPr>
        <w:fldChar w:fldCharType="begin"/>
      </w:r>
      <w:r w:rsidRPr="0047063B">
        <w:instrText xml:space="preserve"> TA \s "Jurisdictional Immunities" </w:instrText>
      </w:r>
      <w:r w:rsidRPr="0047063B">
        <w:rPr>
          <w:i/>
          <w:iCs/>
        </w:rPr>
        <w:fldChar w:fldCharType="end"/>
      </w:r>
      <w:r w:rsidRPr="0047063B">
        <w:t>.</w:t>
      </w:r>
    </w:p>
  </w:footnote>
  <w:footnote w:id="26">
    <w:p w14:paraId="639BB479" w14:textId="77777777" w:rsidR="002A4673" w:rsidRPr="0047063B" w:rsidRDefault="002A4673" w:rsidP="0047063B">
      <w:pPr>
        <w:spacing w:line="240" w:lineRule="auto"/>
        <w:ind w:firstLine="0"/>
      </w:pPr>
      <w:r w:rsidRPr="0047063B">
        <w:rPr>
          <w:vertAlign w:val="superscript"/>
        </w:rPr>
        <w:footnoteRef/>
      </w:r>
      <w:r w:rsidRPr="0047063B">
        <w:t xml:space="preserve"> For treatment of immunity, </w:t>
      </w:r>
      <w:r w:rsidRPr="0047063B">
        <w:rPr>
          <w:i/>
          <w:iCs/>
        </w:rPr>
        <w:t>see infra</w:t>
      </w:r>
      <w:r w:rsidRPr="0047063B">
        <w:t xml:space="preserve"> §II.B. </w:t>
      </w:r>
    </w:p>
  </w:footnote>
  <w:footnote w:id="27">
    <w:p w14:paraId="67677812" w14:textId="77777777" w:rsidR="002A4673" w:rsidRPr="0047063B" w:rsidRDefault="002A4673" w:rsidP="0047063B">
      <w:pPr>
        <w:spacing w:line="240" w:lineRule="auto"/>
        <w:ind w:firstLine="0"/>
        <w:rPr>
          <w:highlight w:val="yellow"/>
        </w:rPr>
      </w:pPr>
      <w:r w:rsidRPr="0047063B">
        <w:rPr>
          <w:vertAlign w:val="superscript"/>
        </w:rPr>
        <w:footnoteRef/>
      </w:r>
      <w:r w:rsidRPr="0047063B">
        <w:t xml:space="preserve"> </w:t>
      </w:r>
      <w:r w:rsidRPr="0047063B">
        <w:rPr>
          <w:i/>
          <w:iCs/>
        </w:rPr>
        <w:t>See infra</w:t>
      </w:r>
      <w:r w:rsidRPr="0047063B">
        <w:t xml:space="preserve"> §II.B.2.</w:t>
      </w:r>
    </w:p>
  </w:footnote>
  <w:footnote w:id="28">
    <w:p w14:paraId="07763CE2" w14:textId="77777777" w:rsidR="002A4673" w:rsidRPr="0047063B" w:rsidRDefault="002A4673" w:rsidP="0047063B">
      <w:pPr>
        <w:spacing w:line="240" w:lineRule="auto"/>
        <w:ind w:firstLine="0"/>
      </w:pPr>
      <w:r w:rsidRPr="0047063B">
        <w:rPr>
          <w:vertAlign w:val="superscript"/>
        </w:rPr>
        <w:footnoteRef/>
      </w:r>
      <w:r w:rsidRPr="0047063B">
        <w:t xml:space="preserve"> Facts, ¶¶25–28, 50, 60. </w:t>
      </w:r>
    </w:p>
  </w:footnote>
  <w:footnote w:id="29">
    <w:p w14:paraId="5E0A649E" w14:textId="77777777" w:rsidR="002A4673" w:rsidRPr="0047063B" w:rsidRDefault="002A4673" w:rsidP="0047063B">
      <w:pPr>
        <w:spacing w:line="240" w:lineRule="auto"/>
        <w:ind w:firstLine="0"/>
      </w:pPr>
      <w:r w:rsidRPr="0047063B">
        <w:rPr>
          <w:vertAlign w:val="superscript"/>
        </w:rPr>
        <w:footnoteRef/>
      </w:r>
      <w:r w:rsidRPr="0047063B">
        <w:t xml:space="preserve"> </w:t>
      </w:r>
      <w:r w:rsidR="001E12B1" w:rsidRPr="0047063B">
        <w:rPr>
          <w:iCs/>
        </w:rPr>
        <w:t>Facts</w:t>
      </w:r>
      <w:r w:rsidR="001E12B1" w:rsidRPr="0047063B">
        <w:t>,</w:t>
      </w:r>
      <w:r w:rsidRPr="0047063B">
        <w:rPr>
          <w:i/>
        </w:rPr>
        <w:t xml:space="preserve"> </w:t>
      </w:r>
      <w:r w:rsidRPr="0047063B">
        <w:t xml:space="preserve">¶8. </w:t>
      </w:r>
    </w:p>
  </w:footnote>
  <w:footnote w:id="30">
    <w:p w14:paraId="4FC2FC48" w14:textId="77777777" w:rsidR="002A4673" w:rsidRPr="0047063B" w:rsidRDefault="002A4673" w:rsidP="0047063B">
      <w:pPr>
        <w:spacing w:line="240" w:lineRule="auto"/>
        <w:ind w:firstLine="0"/>
      </w:pPr>
      <w:r w:rsidRPr="0047063B">
        <w:rPr>
          <w:vertAlign w:val="superscript"/>
        </w:rPr>
        <w:footnoteRef/>
      </w:r>
      <w:r w:rsidRPr="0047063B">
        <w:t xml:space="preserve"> </w:t>
      </w:r>
      <w:r w:rsidR="001E12B1" w:rsidRPr="0047063B">
        <w:rPr>
          <w:iCs/>
        </w:rPr>
        <w:t>Facts</w:t>
      </w:r>
      <w:r w:rsidR="001E12B1" w:rsidRPr="0047063B">
        <w:t>,</w:t>
      </w:r>
      <w:r w:rsidRPr="0047063B">
        <w:t xml:space="preserve"> ¶12.</w:t>
      </w:r>
    </w:p>
  </w:footnote>
  <w:footnote w:id="31">
    <w:p w14:paraId="06552BCE" w14:textId="77777777" w:rsidR="00FC0C1B" w:rsidRPr="0047063B" w:rsidRDefault="00FC0C1B"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w:t>
      </w:r>
      <w:r w:rsidRPr="0047063B">
        <w:rPr>
          <w:i/>
          <w:iCs/>
          <w:sz w:val="24"/>
          <w:szCs w:val="24"/>
          <w:lang w:val="en-US"/>
        </w:rPr>
        <w:t>Id</w:t>
      </w:r>
      <w:r w:rsidRPr="0047063B">
        <w:rPr>
          <w:sz w:val="24"/>
          <w:szCs w:val="24"/>
          <w:lang w:val="en-US"/>
        </w:rPr>
        <w:t>.</w:t>
      </w:r>
    </w:p>
  </w:footnote>
  <w:footnote w:id="32">
    <w:p w14:paraId="0C7E228E" w14:textId="77777777" w:rsidR="002A4673" w:rsidRPr="0047063B" w:rsidRDefault="002A4673" w:rsidP="0047063B">
      <w:pPr>
        <w:spacing w:line="240" w:lineRule="auto"/>
        <w:ind w:firstLine="0"/>
      </w:pPr>
      <w:r w:rsidRPr="0047063B">
        <w:rPr>
          <w:vertAlign w:val="superscript"/>
        </w:rPr>
        <w:footnoteRef/>
      </w:r>
      <w:r w:rsidRPr="0047063B">
        <w:t xml:space="preserve"> Vienna Convention on the Law of Treaties art. 31, Jan. 27, 1980, 1155 U.N.T.S. 331</w:t>
      </w:r>
      <w:r w:rsidRPr="0047063B">
        <w:fldChar w:fldCharType="begin"/>
      </w:r>
      <w:r w:rsidRPr="0047063B">
        <w:instrText xml:space="preserve"> TA \l "Vienna Convention on the Law of Treaties, Jan. 27, 1980, 1155 U.N.T.S. 331" \s "VCLT" \c 1 </w:instrText>
      </w:r>
      <w:r w:rsidRPr="0047063B">
        <w:fldChar w:fldCharType="end"/>
      </w:r>
      <w:r w:rsidRPr="0047063B">
        <w:t xml:space="preserve"> [“</w:t>
      </w:r>
      <w:r w:rsidRPr="0047063B">
        <w:rPr>
          <w:b/>
        </w:rPr>
        <w:t>VCLT</w:t>
      </w:r>
      <w:r w:rsidRPr="0047063B">
        <w:t>”].</w:t>
      </w:r>
    </w:p>
  </w:footnote>
  <w:footnote w:id="33">
    <w:p w14:paraId="5E005536"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rPr>
        <w:t xml:space="preserve">See </w:t>
      </w:r>
      <w:r w:rsidRPr="0047063B">
        <w:t>Facts, ¶11.</w:t>
      </w:r>
    </w:p>
  </w:footnote>
  <w:footnote w:id="34">
    <w:p w14:paraId="4DD1D83A" w14:textId="77777777" w:rsidR="002A4673" w:rsidRPr="0047063B" w:rsidRDefault="002A4673" w:rsidP="0047063B">
      <w:pPr>
        <w:spacing w:line="240" w:lineRule="auto"/>
        <w:ind w:firstLine="0"/>
      </w:pPr>
      <w:r w:rsidRPr="0047063B">
        <w:rPr>
          <w:vertAlign w:val="superscript"/>
        </w:rPr>
        <w:footnoteRef/>
      </w:r>
      <w:r w:rsidRPr="0047063B">
        <w:t xml:space="preserve"> VCLT</w:t>
      </w:r>
      <w:r w:rsidRPr="0047063B">
        <w:fldChar w:fldCharType="begin"/>
      </w:r>
      <w:r w:rsidRPr="0047063B">
        <w:instrText xml:space="preserve"> TA \s "VCLT" </w:instrText>
      </w:r>
      <w:r w:rsidRPr="0047063B">
        <w:fldChar w:fldCharType="end"/>
      </w:r>
      <w:r w:rsidRPr="0047063B">
        <w:t xml:space="preserve"> art. 31(1). </w:t>
      </w:r>
    </w:p>
  </w:footnote>
  <w:footnote w:id="35">
    <w:p w14:paraId="0660FA39"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rPr>
        <w:t xml:space="preserve">Competence of Assembly regarding admission to the United Nations, </w:t>
      </w:r>
      <w:r w:rsidRPr="0047063B">
        <w:t>Advisory Opinion, 1950 I.C.J. 4, at 8 (Mar. 3)</w:t>
      </w:r>
      <w:r w:rsidRPr="0047063B">
        <w:fldChar w:fldCharType="begin"/>
      </w:r>
      <w:r w:rsidRPr="0047063B">
        <w:instrText xml:space="preserve"> TA \l "</w:instrText>
      </w:r>
      <w:r w:rsidRPr="0047063B">
        <w:rPr>
          <w:i/>
        </w:rPr>
        <w:instrText xml:space="preserve">Competence of Assembly regarding admission to the United Nations, </w:instrText>
      </w:r>
      <w:r w:rsidRPr="0047063B">
        <w:instrText xml:space="preserve">Advisory Opinion, 1950 I.C.J. 4 (Mar. 3)" \s "State Admission" \c 2 </w:instrText>
      </w:r>
      <w:r w:rsidRPr="0047063B">
        <w:fldChar w:fldCharType="end"/>
      </w:r>
      <w:r w:rsidRPr="0047063B">
        <w:t>.</w:t>
      </w:r>
    </w:p>
  </w:footnote>
  <w:footnote w:id="36">
    <w:p w14:paraId="516C0551" w14:textId="77777777" w:rsidR="002A4673" w:rsidRPr="0047063B" w:rsidRDefault="002A4673" w:rsidP="0047063B">
      <w:pPr>
        <w:spacing w:line="240" w:lineRule="auto"/>
        <w:ind w:firstLine="0"/>
      </w:pPr>
      <w:r w:rsidRPr="0047063B">
        <w:rPr>
          <w:vertAlign w:val="superscript"/>
        </w:rPr>
        <w:footnoteRef/>
      </w:r>
      <w:r w:rsidRPr="0047063B">
        <w:t xml:space="preserve"> Facts, ¶12.</w:t>
      </w:r>
      <w:r w:rsidR="00A9278F" w:rsidRPr="0047063B">
        <w:rPr>
          <w:lang w:val="en-US"/>
        </w:rPr>
        <w:t xml:space="preserve"> (emphasis added).</w:t>
      </w:r>
    </w:p>
  </w:footnote>
  <w:footnote w:id="37">
    <w:p w14:paraId="3814DF80" w14:textId="77777777" w:rsidR="002A4673" w:rsidRPr="0047063B" w:rsidRDefault="002A4673" w:rsidP="0047063B">
      <w:pPr>
        <w:spacing w:line="240" w:lineRule="auto"/>
        <w:ind w:firstLine="0"/>
      </w:pPr>
      <w:r w:rsidRPr="0047063B">
        <w:rPr>
          <w:vertAlign w:val="superscript"/>
        </w:rPr>
        <w:footnoteRef/>
      </w:r>
      <w:r w:rsidRPr="0047063B">
        <w:t xml:space="preserve"> Enforced disappearance is incorporated into the Rovinian Criminal Code. Facts, ¶61. </w:t>
      </w:r>
    </w:p>
  </w:footnote>
  <w:footnote w:id="38">
    <w:p w14:paraId="13CEFAA2"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w:t>
      </w:r>
      <w:r w:rsidRPr="0047063B">
        <w:rPr>
          <w:i/>
          <w:iCs/>
          <w:sz w:val="24"/>
          <w:szCs w:val="24"/>
        </w:rPr>
        <w:t>See</w:t>
      </w:r>
      <w:r w:rsidRPr="0047063B">
        <w:rPr>
          <w:i/>
          <w:sz w:val="24"/>
          <w:szCs w:val="24"/>
        </w:rPr>
        <w:t xml:space="preserve"> </w:t>
      </w:r>
      <w:r w:rsidRPr="0047063B">
        <w:rPr>
          <w:sz w:val="24"/>
          <w:szCs w:val="24"/>
        </w:rPr>
        <w:t xml:space="preserve">D.D. Ntanda Nsereko, </w:t>
      </w:r>
      <w:r w:rsidRPr="0047063B">
        <w:rPr>
          <w:i/>
          <w:sz w:val="24"/>
          <w:szCs w:val="24"/>
        </w:rPr>
        <w:t>The International Criminal Court: Jurisdictional and Related Issues</w:t>
      </w:r>
      <w:r w:rsidRPr="0047063B">
        <w:rPr>
          <w:sz w:val="24"/>
          <w:szCs w:val="24"/>
        </w:rPr>
        <w:t xml:space="preserve">, 10 </w:t>
      </w:r>
      <w:r w:rsidRPr="0047063B">
        <w:rPr>
          <w:smallCaps/>
          <w:sz w:val="24"/>
          <w:szCs w:val="24"/>
        </w:rPr>
        <w:t>Crim. L. F.</w:t>
      </w:r>
      <w:r w:rsidRPr="0047063B">
        <w:rPr>
          <w:sz w:val="24"/>
          <w:szCs w:val="24"/>
        </w:rPr>
        <w:t xml:space="preserve"> 87, 114 (1999)</w:t>
      </w:r>
      <w:r w:rsidRPr="0047063B">
        <w:rPr>
          <w:sz w:val="24"/>
          <w:szCs w:val="24"/>
        </w:rPr>
        <w:fldChar w:fldCharType="begin"/>
      </w:r>
      <w:r w:rsidRPr="0047063B">
        <w:rPr>
          <w:sz w:val="24"/>
          <w:szCs w:val="24"/>
        </w:rPr>
        <w:instrText xml:space="preserve"> TA \l "D.D. Ntanda Nsereko, </w:instrText>
      </w:r>
      <w:r w:rsidRPr="0047063B">
        <w:rPr>
          <w:i/>
          <w:iCs/>
          <w:sz w:val="24"/>
          <w:szCs w:val="24"/>
        </w:rPr>
        <w:instrText>The International Criminal Court: Jurisdictional and Related Issues</w:instrText>
      </w:r>
      <w:r w:rsidRPr="0047063B">
        <w:rPr>
          <w:sz w:val="24"/>
          <w:szCs w:val="24"/>
        </w:rPr>
        <w:instrText xml:space="preserve">, 10 </w:instrText>
      </w:r>
      <w:r w:rsidRPr="0047063B">
        <w:rPr>
          <w:smallCaps/>
          <w:sz w:val="24"/>
          <w:szCs w:val="24"/>
        </w:rPr>
        <w:instrText>Crim. L. F.</w:instrText>
      </w:r>
      <w:r w:rsidRPr="0047063B">
        <w:rPr>
          <w:sz w:val="24"/>
          <w:szCs w:val="24"/>
        </w:rPr>
        <w:instrText xml:space="preserve"> 87 (1999)" \s "D.D. Ntanda Nsereko, The International Criminal Court: Jurisdictional and Related Issues, 10 Crim. L. F. 87 (1999)" \c 6 </w:instrText>
      </w:r>
      <w:r w:rsidRPr="0047063B">
        <w:rPr>
          <w:sz w:val="24"/>
          <w:szCs w:val="24"/>
        </w:rPr>
        <w:fldChar w:fldCharType="end"/>
      </w:r>
      <w:r w:rsidRPr="0047063B">
        <w:rPr>
          <w:sz w:val="24"/>
          <w:szCs w:val="24"/>
        </w:rPr>
        <w:t>.</w:t>
      </w:r>
    </w:p>
  </w:footnote>
  <w:footnote w:id="39">
    <w:p w14:paraId="0671D71F" w14:textId="77777777" w:rsidR="002A4673" w:rsidRPr="0047063B" w:rsidRDefault="002A4673" w:rsidP="0047063B">
      <w:pPr>
        <w:spacing w:line="240" w:lineRule="auto"/>
        <w:ind w:firstLine="0"/>
      </w:pPr>
      <w:r w:rsidRPr="0047063B">
        <w:rPr>
          <w:vertAlign w:val="superscript"/>
        </w:rPr>
        <w:footnoteRef/>
      </w:r>
      <w:r w:rsidRPr="0047063B">
        <w:t xml:space="preserve"> Markus Benzing, </w:t>
      </w:r>
      <w:r w:rsidRPr="0047063B">
        <w:rPr>
          <w:i/>
          <w:iCs/>
        </w:rPr>
        <w:t>The Complementarity Regime of the International Criminal Court: International Criminal Justice between State Sovereignty and the Fight Against Impunity</w:t>
      </w:r>
      <w:r w:rsidRPr="0047063B">
        <w:t xml:space="preserve">, </w:t>
      </w:r>
      <w:r w:rsidRPr="0047063B">
        <w:rPr>
          <w:i/>
        </w:rPr>
        <w:t xml:space="preserve">in </w:t>
      </w:r>
      <w:r w:rsidRPr="0047063B">
        <w:rPr>
          <w:smallCaps/>
        </w:rPr>
        <w:t xml:space="preserve">Max Planck Yearbook of United Nations Law </w:t>
      </w:r>
      <w:r w:rsidRPr="0047063B">
        <w:t>591, 595 (7th ed. 2003)</w:t>
      </w:r>
      <w:r w:rsidRPr="0047063B">
        <w:fldChar w:fldCharType="begin"/>
      </w:r>
      <w:r w:rsidRPr="0047063B">
        <w:instrText xml:space="preserve"> TA \l "Markus Benzing, </w:instrText>
      </w:r>
      <w:r w:rsidRPr="0047063B">
        <w:rPr>
          <w:i/>
          <w:iCs/>
        </w:rPr>
        <w:instrText>The Complementarity Regime of the International Criminal Court: International Criminal Justice between State Sovereignty and the Fight Against Impunity</w:instrText>
      </w:r>
      <w:r w:rsidRPr="0047063B">
        <w:instrText xml:space="preserve">, </w:instrText>
      </w:r>
      <w:r w:rsidRPr="0047063B">
        <w:rPr>
          <w:i/>
          <w:iCs/>
        </w:rPr>
        <w:instrText xml:space="preserve">in </w:instrText>
      </w:r>
      <w:r w:rsidRPr="0047063B">
        <w:rPr>
          <w:smallCaps/>
        </w:rPr>
        <w:instrText xml:space="preserve">Max Planck Yearbook of United Nations Law </w:instrText>
      </w:r>
      <w:r w:rsidRPr="0047063B">
        <w:instrText xml:space="preserve">591 (7th ed. 2003)" \s "Markus Benzing, The Complementarity Regime of the International Criminal Court: International Criminal Justice between State Sovereignty and the Fight Against Impunity, in Max Planck Yearbook of United Nations Law 591 (7th ed. 2003)" \c 6 </w:instrText>
      </w:r>
      <w:r w:rsidRPr="0047063B">
        <w:fldChar w:fldCharType="end"/>
      </w:r>
      <w:r w:rsidRPr="0047063B">
        <w:t>.</w:t>
      </w:r>
    </w:p>
  </w:footnote>
  <w:footnote w:id="40">
    <w:p w14:paraId="58567190" w14:textId="77777777" w:rsidR="002A4673" w:rsidRPr="0047063B" w:rsidRDefault="002A4673" w:rsidP="0047063B">
      <w:pPr>
        <w:spacing w:line="240" w:lineRule="auto"/>
        <w:ind w:firstLine="0"/>
      </w:pPr>
      <w:r w:rsidRPr="0047063B">
        <w:rPr>
          <w:vertAlign w:val="superscript"/>
        </w:rPr>
        <w:footnoteRef/>
      </w:r>
      <w:r w:rsidRPr="0047063B">
        <w:t xml:space="preserve"> VCLT</w:t>
      </w:r>
      <w:r w:rsidRPr="0047063B">
        <w:fldChar w:fldCharType="begin"/>
      </w:r>
      <w:r w:rsidRPr="0047063B">
        <w:instrText xml:space="preserve"> TA \s "VCLT" </w:instrText>
      </w:r>
      <w:r w:rsidRPr="0047063B">
        <w:fldChar w:fldCharType="end"/>
      </w:r>
      <w:r w:rsidRPr="0047063B">
        <w:t xml:space="preserve"> art. 32(1)(a). </w:t>
      </w:r>
    </w:p>
  </w:footnote>
  <w:footnote w:id="41">
    <w:p w14:paraId="074F8F16" w14:textId="77777777" w:rsidR="002A4673" w:rsidRPr="0047063B" w:rsidRDefault="002A4673" w:rsidP="0047063B">
      <w:pPr>
        <w:spacing w:line="240" w:lineRule="auto"/>
        <w:ind w:firstLine="0"/>
      </w:pPr>
      <w:r w:rsidRPr="0047063B">
        <w:rPr>
          <w:vertAlign w:val="superscript"/>
        </w:rPr>
        <w:footnoteRef/>
      </w:r>
      <w:r w:rsidRPr="0047063B">
        <w:t xml:space="preserve"> VCLT </w:t>
      </w:r>
      <w:r w:rsidRPr="0047063B">
        <w:fldChar w:fldCharType="begin"/>
      </w:r>
      <w:r w:rsidRPr="0047063B">
        <w:instrText xml:space="preserve"> TA \s "VCLT" </w:instrText>
      </w:r>
      <w:r w:rsidRPr="0047063B">
        <w:fldChar w:fldCharType="end"/>
      </w:r>
      <w:r w:rsidRPr="0047063B">
        <w:t>art. 32.</w:t>
      </w:r>
    </w:p>
  </w:footnote>
  <w:footnote w:id="42">
    <w:p w14:paraId="1230F671" w14:textId="77777777" w:rsidR="002A4673" w:rsidRPr="0047063B" w:rsidRDefault="002A4673" w:rsidP="0047063B">
      <w:pPr>
        <w:spacing w:line="240" w:lineRule="auto"/>
        <w:ind w:firstLine="0"/>
      </w:pPr>
      <w:r w:rsidRPr="0047063B">
        <w:rPr>
          <w:vertAlign w:val="superscript"/>
        </w:rPr>
        <w:footnoteRef/>
      </w:r>
      <w:r w:rsidRPr="0047063B">
        <w:t xml:space="preserve"> Facts, ¶11. </w:t>
      </w:r>
    </w:p>
  </w:footnote>
  <w:footnote w:id="43">
    <w:p w14:paraId="7B6B1068" w14:textId="77777777" w:rsidR="002A4673" w:rsidRPr="0047063B" w:rsidRDefault="002A4673" w:rsidP="0047063B">
      <w:pPr>
        <w:spacing w:line="240" w:lineRule="auto"/>
        <w:ind w:firstLine="0"/>
        <w:rPr>
          <w:highlight w:val="yellow"/>
        </w:rPr>
      </w:pPr>
      <w:r w:rsidRPr="0047063B">
        <w:rPr>
          <w:vertAlign w:val="superscript"/>
        </w:rPr>
        <w:footnoteRef/>
      </w:r>
      <w:r w:rsidRPr="0047063B">
        <w:t xml:space="preserve"> </w:t>
      </w:r>
      <w:r w:rsidRPr="0047063B">
        <w:rPr>
          <w:i/>
          <w:iCs/>
        </w:rPr>
        <w:t>Right of Passage</w:t>
      </w:r>
      <w:r w:rsidRPr="0047063B">
        <w:rPr>
          <w:i/>
          <w:iCs/>
        </w:rPr>
        <w:fldChar w:fldCharType="begin"/>
      </w:r>
      <w:r w:rsidRPr="0047063B">
        <w:instrText xml:space="preserve"> TA \s "Right of Passage" </w:instrText>
      </w:r>
      <w:r w:rsidRPr="0047063B">
        <w:rPr>
          <w:i/>
          <w:iCs/>
        </w:rPr>
        <w:fldChar w:fldCharType="end"/>
      </w:r>
      <w:r w:rsidRPr="0047063B">
        <w:t>, 1960 I.C.J. at 33.</w:t>
      </w:r>
    </w:p>
  </w:footnote>
  <w:footnote w:id="44">
    <w:p w14:paraId="5561714C" w14:textId="77777777" w:rsidR="002A4673" w:rsidRPr="0047063B" w:rsidRDefault="002A4673" w:rsidP="0047063B">
      <w:pPr>
        <w:spacing w:line="240" w:lineRule="auto"/>
        <w:ind w:firstLine="0"/>
      </w:pPr>
      <w:r w:rsidRPr="0047063B">
        <w:rPr>
          <w:vertAlign w:val="superscript"/>
        </w:rPr>
        <w:footnoteRef/>
      </w:r>
      <w:r w:rsidRPr="0047063B">
        <w:t xml:space="preserve"> Facts, ¶11.</w:t>
      </w:r>
    </w:p>
  </w:footnote>
  <w:footnote w:id="45">
    <w:p w14:paraId="164452D8" w14:textId="77777777" w:rsidR="002A4673" w:rsidRPr="0047063B" w:rsidRDefault="002A4673" w:rsidP="0047063B">
      <w:pPr>
        <w:spacing w:line="240" w:lineRule="auto"/>
        <w:ind w:firstLine="0"/>
        <w:rPr>
          <w:smallCaps/>
        </w:rPr>
      </w:pPr>
      <w:r w:rsidRPr="0047063B">
        <w:rPr>
          <w:vertAlign w:val="superscript"/>
        </w:rPr>
        <w:footnoteRef/>
      </w:r>
      <w:r w:rsidRPr="0047063B">
        <w:t xml:space="preserve"> C</w:t>
      </w:r>
      <w:r w:rsidRPr="0047063B">
        <w:rPr>
          <w:smallCaps/>
        </w:rPr>
        <w:t>rawford</w:t>
      </w:r>
      <w:r w:rsidRPr="0047063B">
        <w:t xml:space="preserve">, </w:t>
      </w:r>
      <w:r w:rsidRPr="0047063B">
        <w:rPr>
          <w:i/>
          <w:iCs/>
        </w:rPr>
        <w:t>Jurisdictional Competence</w:t>
      </w:r>
      <w:r w:rsidR="00421710" w:rsidRPr="0047063B">
        <w:rPr>
          <w:i/>
          <w:iCs/>
        </w:rPr>
        <w:fldChar w:fldCharType="begin"/>
      </w:r>
      <w:r w:rsidR="00421710" w:rsidRPr="0047063B">
        <w:instrText xml:space="preserve"> TA \l "</w:instrText>
      </w:r>
      <w:r w:rsidR="00421710" w:rsidRPr="0047063B">
        <w:rPr>
          <w:smallCaps/>
        </w:rPr>
        <w:instrText>James Crawford</w:instrText>
      </w:r>
      <w:r w:rsidR="00421710" w:rsidRPr="0047063B">
        <w:instrText xml:space="preserve">, </w:instrText>
      </w:r>
      <w:r w:rsidR="00421710" w:rsidRPr="0047063B">
        <w:rPr>
          <w:i/>
          <w:iCs/>
        </w:rPr>
        <w:instrText>Jurisdictional Competence</w:instrText>
      </w:r>
      <w:r w:rsidR="00421710" w:rsidRPr="0047063B">
        <w:instrText xml:space="preserve">, </w:instrText>
      </w:r>
      <w:r w:rsidR="00421710" w:rsidRPr="0047063B">
        <w:rPr>
          <w:i/>
          <w:iCs/>
        </w:rPr>
        <w:instrText>in</w:instrText>
      </w:r>
      <w:r w:rsidR="00421710" w:rsidRPr="0047063B">
        <w:instrText xml:space="preserve"> </w:instrText>
      </w:r>
      <w:r w:rsidR="00421710" w:rsidRPr="0047063B">
        <w:rPr>
          <w:smallCaps/>
        </w:rPr>
        <w:instrText>Brownlie’s Principles of Public International Law</w:instrText>
      </w:r>
      <w:r w:rsidR="00421710" w:rsidRPr="0047063B">
        <w:instrText xml:space="preserve"> 440 (9th ed. 2019)" \s "James Crawford, Jurisdictional Competence" \c 6 </w:instrText>
      </w:r>
      <w:r w:rsidR="00421710" w:rsidRPr="0047063B">
        <w:rPr>
          <w:i/>
          <w:iCs/>
        </w:rPr>
        <w:fldChar w:fldCharType="end"/>
      </w:r>
      <w:r w:rsidRPr="0047063B">
        <w:rPr>
          <w:smallCaps/>
        </w:rPr>
        <w:t xml:space="preserve">, </w:t>
      </w:r>
      <w:r w:rsidRPr="0047063B">
        <w:rPr>
          <w:i/>
          <w:iCs/>
        </w:rPr>
        <w:t>supra</w:t>
      </w:r>
      <w:r w:rsidRPr="0047063B">
        <w:t xml:space="preserve"> note</w:t>
      </w:r>
      <w:r w:rsidRPr="0047063B">
        <w:rPr>
          <w:smallCaps/>
        </w:rPr>
        <w:t xml:space="preserve"> 2, 440. </w:t>
      </w:r>
    </w:p>
  </w:footnote>
  <w:footnote w:id="46">
    <w:p w14:paraId="562AE0F7" w14:textId="77777777" w:rsidR="002A4673" w:rsidRPr="0047063B" w:rsidRDefault="002A4673" w:rsidP="0047063B">
      <w:pPr>
        <w:spacing w:line="240" w:lineRule="auto"/>
        <w:ind w:firstLine="0"/>
        <w:rPr>
          <w:highlight w:val="yellow"/>
        </w:rPr>
      </w:pPr>
      <w:r w:rsidRPr="0047063B">
        <w:rPr>
          <w:vertAlign w:val="superscript"/>
        </w:rPr>
        <w:footnoteRef/>
      </w:r>
      <w:r w:rsidRPr="0047063B">
        <w:t xml:space="preserve"> Facts, ¶61. </w:t>
      </w:r>
    </w:p>
  </w:footnote>
  <w:footnote w:id="47">
    <w:p w14:paraId="46053BEC" w14:textId="77777777" w:rsidR="002A4673" w:rsidRPr="0047063B" w:rsidRDefault="002A4673" w:rsidP="0047063B">
      <w:pPr>
        <w:spacing w:line="240" w:lineRule="auto"/>
        <w:ind w:firstLine="0"/>
        <w:rPr>
          <w:highlight w:val="yellow"/>
        </w:rPr>
      </w:pPr>
      <w:r w:rsidRPr="0047063B">
        <w:rPr>
          <w:vertAlign w:val="superscript"/>
        </w:rPr>
        <w:footnoteRef/>
      </w:r>
      <w:r w:rsidRPr="0047063B">
        <w:t xml:space="preserve"> </w:t>
      </w:r>
      <w:r w:rsidRPr="0047063B">
        <w:rPr>
          <w:i/>
          <w:iCs/>
        </w:rPr>
        <w:t>See generally</w:t>
      </w:r>
      <w:r w:rsidRPr="0047063B">
        <w:t xml:space="preserve"> Michael Newton, </w:t>
      </w:r>
      <w:r w:rsidRPr="0047063B">
        <w:rPr>
          <w:i/>
        </w:rPr>
        <w:t>Comparative Complementarity: Domestic Jurisdiction Consistent with the Rome Statute of the International Criminal Court</w:t>
      </w:r>
      <w:r w:rsidRPr="0047063B">
        <w:t xml:space="preserve">, 167 </w:t>
      </w:r>
      <w:r w:rsidRPr="0047063B">
        <w:rPr>
          <w:smallCaps/>
        </w:rPr>
        <w:t>Mil. L. Rev.</w:t>
      </w:r>
      <w:r w:rsidRPr="0047063B">
        <w:t xml:space="preserve"> 20 (2001)</w:t>
      </w:r>
      <w:r w:rsidRPr="0047063B">
        <w:fldChar w:fldCharType="begin"/>
      </w:r>
      <w:r w:rsidRPr="0047063B">
        <w:instrText xml:space="preserve"> TA \l "Michael Newton, </w:instrText>
      </w:r>
      <w:r w:rsidRPr="0047063B">
        <w:rPr>
          <w:i/>
        </w:rPr>
        <w:instrText xml:space="preserve">Comparative Complementarity: Domestic Jurisdiction Consistent with the Rome Statute of the International Criminal </w:instrText>
      </w:r>
      <w:r w:rsidRPr="0047063B">
        <w:rPr>
          <w:i/>
          <w:iCs/>
        </w:rPr>
        <w:instrText>Court</w:instrText>
      </w:r>
      <w:r w:rsidRPr="0047063B">
        <w:instrText xml:space="preserve">, 167 </w:instrText>
      </w:r>
      <w:r w:rsidRPr="0047063B">
        <w:rPr>
          <w:smallCaps/>
        </w:rPr>
        <w:instrText>Mil. L. Rev.</w:instrText>
      </w:r>
      <w:r w:rsidRPr="0047063B">
        <w:instrText xml:space="preserve"> 20 (2001)" \s "Michael Newton, Comparative Complementarity: Domestic Jurisdiction Consistent with the Rome Statute of the International Criminal Court, 167 Mil. L. Rev. 20 (2001)" \c 6 </w:instrText>
      </w:r>
      <w:r w:rsidRPr="0047063B">
        <w:fldChar w:fldCharType="end"/>
      </w:r>
      <w:r w:rsidRPr="0047063B">
        <w:t>.</w:t>
      </w:r>
    </w:p>
  </w:footnote>
  <w:footnote w:id="48">
    <w:p w14:paraId="51D89E8E" w14:textId="77777777" w:rsidR="002A4673" w:rsidRPr="0047063B" w:rsidRDefault="002A4673" w:rsidP="0047063B">
      <w:pPr>
        <w:spacing w:line="240" w:lineRule="auto"/>
        <w:ind w:firstLine="0"/>
      </w:pPr>
      <w:r w:rsidRPr="0047063B">
        <w:rPr>
          <w:vertAlign w:val="superscript"/>
        </w:rPr>
        <w:footnoteRef/>
      </w:r>
      <w:r w:rsidRPr="0047063B">
        <w:t xml:space="preserve"> W</w:t>
      </w:r>
      <w:r w:rsidRPr="0047063B">
        <w:rPr>
          <w:smallCaps/>
        </w:rPr>
        <w:t>illiam</w:t>
      </w:r>
      <w:r w:rsidRPr="0047063B">
        <w:t xml:space="preserve"> S</w:t>
      </w:r>
      <w:r w:rsidRPr="0047063B">
        <w:rPr>
          <w:smallCaps/>
        </w:rPr>
        <w:t>chabas</w:t>
      </w:r>
      <w:r w:rsidRPr="0047063B">
        <w:t xml:space="preserve">, </w:t>
      </w:r>
      <w:r w:rsidRPr="0047063B">
        <w:rPr>
          <w:i/>
          <w:iCs/>
        </w:rPr>
        <w:t>Preamble</w:t>
      </w:r>
      <w:r w:rsidRPr="0047063B">
        <w:rPr>
          <w:i/>
        </w:rPr>
        <w:t>/</w:t>
      </w:r>
      <w:r w:rsidRPr="0047063B">
        <w:rPr>
          <w:i/>
          <w:iCs/>
        </w:rPr>
        <w:t>Préambule</w:t>
      </w:r>
      <w:r w:rsidRPr="0047063B">
        <w:t xml:space="preserve">, </w:t>
      </w:r>
      <w:r w:rsidRPr="0047063B">
        <w:rPr>
          <w:i/>
        </w:rPr>
        <w:t xml:space="preserve">in </w:t>
      </w:r>
      <w:r w:rsidRPr="0047063B">
        <w:rPr>
          <w:smallCaps/>
        </w:rPr>
        <w:t xml:space="preserve">The International Criminal Court: A Commentary on the Rome Statute 31, </w:t>
      </w:r>
      <w:r w:rsidRPr="0047063B">
        <w:t>34–35, 48, 56 (2d ed. 2016)</w:t>
      </w:r>
      <w:r w:rsidRPr="0047063B">
        <w:fldChar w:fldCharType="begin"/>
      </w:r>
      <w:r w:rsidRPr="0047063B">
        <w:instrText xml:space="preserve"> TA \l "W</w:instrText>
      </w:r>
      <w:r w:rsidRPr="0047063B">
        <w:rPr>
          <w:smallCaps/>
        </w:rPr>
        <w:instrText>illiam</w:instrText>
      </w:r>
      <w:r w:rsidRPr="0047063B">
        <w:instrText xml:space="preserve"> S</w:instrText>
      </w:r>
      <w:r w:rsidRPr="0047063B">
        <w:rPr>
          <w:smallCaps/>
        </w:rPr>
        <w:instrText>chabas</w:instrText>
      </w:r>
      <w:r w:rsidRPr="0047063B">
        <w:instrText xml:space="preserve">, </w:instrText>
      </w:r>
      <w:r w:rsidRPr="0047063B">
        <w:rPr>
          <w:i/>
          <w:iCs/>
        </w:rPr>
        <w:instrText>Preamble/Préambule</w:instrText>
      </w:r>
      <w:r w:rsidRPr="0047063B">
        <w:instrText xml:space="preserve">, </w:instrText>
      </w:r>
      <w:r w:rsidRPr="0047063B">
        <w:rPr>
          <w:i/>
          <w:iCs/>
        </w:rPr>
        <w:instrText>in</w:instrText>
      </w:r>
      <w:r w:rsidRPr="0047063B">
        <w:rPr>
          <w:i/>
        </w:rPr>
        <w:instrText xml:space="preserve"> </w:instrText>
      </w:r>
      <w:r w:rsidRPr="0047063B">
        <w:rPr>
          <w:smallCaps/>
        </w:rPr>
        <w:instrText>The International Criminal Court: A Commentary on the Rome Statute 31</w:instrText>
      </w:r>
      <w:r w:rsidRPr="0047063B">
        <w:instrText xml:space="preserve"> (2d ed. 2016)" \s "William Schabas, Preamble/Préambule, in The International Criminal Court: A Commentary on the Rome Statute 31 (2d ed. 2016)" \c 6 </w:instrText>
      </w:r>
      <w:r w:rsidRPr="0047063B">
        <w:fldChar w:fldCharType="end"/>
      </w:r>
      <w:r w:rsidRPr="0047063B">
        <w:t>.</w:t>
      </w:r>
    </w:p>
  </w:footnote>
  <w:footnote w:id="49">
    <w:p w14:paraId="7E4794E9"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iCs/>
          <w:color w:val="000000" w:themeColor="text1"/>
          <w:lang w:val="en-US"/>
        </w:rPr>
        <w:t>Nationality Decrees Issued in Tunis and Morocco</w:t>
      </w:r>
      <w:r w:rsidRPr="0047063B">
        <w:rPr>
          <w:color w:val="000000" w:themeColor="text1"/>
          <w:lang w:val="en-US"/>
        </w:rPr>
        <w:t>, Advisory Opinion, 1923 P.C.I.J. (ser. B) No. 4, at 24 (Feb. 7)</w:t>
      </w:r>
      <w:r w:rsidRPr="0047063B">
        <w:rPr>
          <w:color w:val="000000" w:themeColor="text1"/>
          <w:lang w:val="en-US"/>
        </w:rPr>
        <w:fldChar w:fldCharType="begin"/>
      </w:r>
      <w:r w:rsidRPr="0047063B">
        <w:instrText xml:space="preserve"> TA \l "</w:instrText>
      </w:r>
      <w:r w:rsidRPr="0047063B">
        <w:rPr>
          <w:i/>
          <w:iCs/>
          <w:color w:val="000000" w:themeColor="text1"/>
          <w:lang w:val="en-US"/>
        </w:rPr>
        <w:instrText>Nationality Decrees Issued in Tunis and Morocco</w:instrText>
      </w:r>
      <w:r w:rsidRPr="0047063B">
        <w:rPr>
          <w:color w:val="000000" w:themeColor="text1"/>
          <w:lang w:val="en-US"/>
        </w:rPr>
        <w:instrText>, Advisory Opinion, 1923 P.C.I.J. (ser. B) No. 4 (Feb. 7)</w:instrText>
      </w:r>
      <w:r w:rsidRPr="0047063B">
        <w:instrText xml:space="preserve">" \s "Nationality Decrees" \c 2 </w:instrText>
      </w:r>
      <w:r w:rsidRPr="0047063B">
        <w:rPr>
          <w:color w:val="000000" w:themeColor="text1"/>
          <w:lang w:val="en-US"/>
        </w:rPr>
        <w:fldChar w:fldCharType="end"/>
      </w:r>
      <w:r w:rsidRPr="0047063B">
        <w:rPr>
          <w:color w:val="000000" w:themeColor="text1"/>
          <w:lang w:val="en-US"/>
        </w:rPr>
        <w:t>;</w:t>
      </w:r>
      <w:r w:rsidRPr="0047063B">
        <w:t xml:space="preserve"> Georg Nolte, </w:t>
      </w:r>
      <w:r w:rsidRPr="0047063B">
        <w:rPr>
          <w:i/>
        </w:rPr>
        <w:t>Article 2(7)</w:t>
      </w:r>
      <w:r w:rsidRPr="0047063B">
        <w:t xml:space="preserve">, </w:t>
      </w:r>
      <w:r w:rsidRPr="0047063B">
        <w:rPr>
          <w:i/>
        </w:rPr>
        <w:t xml:space="preserve">in </w:t>
      </w:r>
      <w:r w:rsidRPr="0047063B">
        <w:rPr>
          <w:smallCaps/>
        </w:rPr>
        <w:t>The Charter of the United Nations: A Commentary</w:t>
      </w:r>
      <w:r w:rsidRPr="0047063B">
        <w:t xml:space="preserve"> 241, 431–33 (Bruno Simma et al. eds., 4th ed. 2024)</w:t>
      </w:r>
      <w:r w:rsidRPr="0047063B">
        <w:fldChar w:fldCharType="begin"/>
      </w:r>
      <w:r w:rsidRPr="0047063B">
        <w:instrText xml:space="preserve"> TA \l "Georg Nolte, </w:instrText>
      </w:r>
      <w:r w:rsidRPr="0047063B">
        <w:rPr>
          <w:i/>
        </w:rPr>
        <w:instrText>Article 2(7)</w:instrText>
      </w:r>
      <w:r w:rsidRPr="0047063B">
        <w:instrText xml:space="preserve">, </w:instrText>
      </w:r>
      <w:r w:rsidRPr="0047063B">
        <w:rPr>
          <w:i/>
        </w:rPr>
        <w:instrText xml:space="preserve">in </w:instrText>
      </w:r>
      <w:r w:rsidRPr="0047063B">
        <w:rPr>
          <w:smallCaps/>
        </w:rPr>
        <w:instrText>The Charter of the United Nations: A Commentary</w:instrText>
      </w:r>
      <w:r w:rsidRPr="0047063B">
        <w:instrText xml:space="preserve"> 241 (Bruno Simma et al. eds., 4th ed. 2024)" \s "Georg Nolte, Article 2(7), in The Charter of the United Nations: A Commentary 241 (Bruno Simma et al. eds., 4th ed. 2024)" \c 6 </w:instrText>
      </w:r>
      <w:r w:rsidRPr="0047063B">
        <w:fldChar w:fldCharType="end"/>
      </w:r>
      <w:r w:rsidRPr="0047063B">
        <w:t>.</w:t>
      </w:r>
    </w:p>
  </w:footnote>
  <w:footnote w:id="50">
    <w:p w14:paraId="1B289AFE" w14:textId="63BF760B" w:rsidR="002A4673" w:rsidRPr="0047063B" w:rsidRDefault="002A4673" w:rsidP="0047063B">
      <w:pPr>
        <w:spacing w:line="240" w:lineRule="auto"/>
        <w:ind w:firstLine="0"/>
      </w:pPr>
      <w:r w:rsidRPr="0047063B">
        <w:rPr>
          <w:vertAlign w:val="superscript"/>
        </w:rPr>
        <w:footnoteRef/>
      </w:r>
      <w:r w:rsidRPr="0047063B">
        <w:t xml:space="preserve"> </w:t>
      </w:r>
      <w:r w:rsidRPr="0047063B">
        <w:rPr>
          <w:smallCaps/>
        </w:rPr>
        <w:t xml:space="preserve">Goronwy Jones, The United Nations and the Domestic Jurisdiction of States: Interpretations and Applications of the Non-Intervention Principle </w:t>
      </w:r>
      <w:r w:rsidRPr="0047063B">
        <w:t>1, 26 (1979).</w:t>
      </w:r>
      <w:r w:rsidRPr="0047063B">
        <w:fldChar w:fldCharType="begin"/>
      </w:r>
      <w:r w:rsidRPr="0047063B">
        <w:instrText xml:space="preserve"> TA \l "</w:instrText>
      </w:r>
      <w:r w:rsidRPr="0047063B">
        <w:rPr>
          <w:smallCaps/>
        </w:rPr>
        <w:instrText>Goronwy Jones, The United Nations and the Domestic Jurisdiction of States: Interpretations and Applications of the Non-Intervention Principle</w:instrText>
      </w:r>
      <w:r w:rsidRPr="0047063B">
        <w:instrText xml:space="preserve"> (1979)." \s "Goronwy Jones, The United Nations and the Domestic Jurisdiction of States: Interpretations and Applications of the Non-Intervention Principle (1979)." \c 6 </w:instrText>
      </w:r>
      <w:r w:rsidRPr="0047063B">
        <w:fldChar w:fldCharType="end"/>
      </w:r>
      <w:r w:rsidRPr="0047063B">
        <w:t xml:space="preserve"> </w:t>
      </w:r>
    </w:p>
  </w:footnote>
  <w:footnote w:id="51">
    <w:p w14:paraId="7FCECEEC" w14:textId="77777777" w:rsidR="002A4673" w:rsidRPr="0047063B" w:rsidRDefault="002A4673" w:rsidP="0047063B">
      <w:pPr>
        <w:spacing w:line="240" w:lineRule="auto"/>
        <w:ind w:firstLine="0"/>
      </w:pPr>
      <w:r w:rsidRPr="0047063B">
        <w:rPr>
          <w:vertAlign w:val="superscript"/>
        </w:rPr>
        <w:footnoteRef/>
      </w:r>
      <w:r w:rsidRPr="0047063B">
        <w:t xml:space="preserve"> Lawrence Preuss, </w:t>
      </w:r>
      <w:r w:rsidRPr="0047063B">
        <w:rPr>
          <w:i/>
        </w:rPr>
        <w:t>Article 2(7) of the Charter of the United Nations and Matters of Domestic Jurisdiction</w:t>
      </w:r>
      <w:r w:rsidRPr="0047063B">
        <w:t xml:space="preserve">, 74 </w:t>
      </w:r>
      <w:r w:rsidRPr="0047063B">
        <w:rPr>
          <w:smallCaps/>
        </w:rPr>
        <w:t>Recueil Des Cours</w:t>
      </w:r>
      <w:r w:rsidRPr="0047063B">
        <w:t xml:space="preserve"> 547, 568 (1949).</w:t>
      </w:r>
      <w:r w:rsidRPr="0047063B">
        <w:fldChar w:fldCharType="begin"/>
      </w:r>
      <w:r w:rsidRPr="0047063B">
        <w:instrText xml:space="preserve"> TA \l "Lawrence Preuss, </w:instrText>
      </w:r>
      <w:r w:rsidRPr="0047063B">
        <w:rPr>
          <w:i/>
        </w:rPr>
        <w:instrText xml:space="preserve">Article 2(7) of the Charter of the United Nations and Matters of Domestic </w:instrText>
      </w:r>
      <w:r w:rsidRPr="0047063B">
        <w:rPr>
          <w:i/>
          <w:iCs/>
        </w:rPr>
        <w:instrText>Jurisdiction</w:instrText>
      </w:r>
      <w:r w:rsidRPr="0047063B">
        <w:instrText xml:space="preserve">, 74 </w:instrText>
      </w:r>
      <w:r w:rsidRPr="0047063B">
        <w:rPr>
          <w:smallCaps/>
        </w:rPr>
        <w:instrText>Recueil Des Cours</w:instrText>
      </w:r>
      <w:r w:rsidRPr="0047063B">
        <w:instrText xml:space="preserve"> 547 (1949)." \s "Lawrence Preuss, Article 2(7) of the Charter of the United Nations and Matters of Domestic Jurisdiction, 74 Recueil Des Cours 547 (1949)." \c 6 </w:instrText>
      </w:r>
      <w:r w:rsidRPr="0047063B">
        <w:fldChar w:fldCharType="end"/>
      </w:r>
      <w:r w:rsidRPr="0047063B">
        <w:t xml:space="preserve"> </w:t>
      </w:r>
    </w:p>
  </w:footnote>
  <w:footnote w:id="52">
    <w:p w14:paraId="3BE52CF8" w14:textId="77777777" w:rsidR="002A4673" w:rsidRPr="0047063B" w:rsidRDefault="002A4673" w:rsidP="0047063B">
      <w:pPr>
        <w:spacing w:line="240" w:lineRule="auto"/>
        <w:ind w:firstLine="0"/>
      </w:pPr>
      <w:r w:rsidRPr="0047063B">
        <w:rPr>
          <w:vertAlign w:val="superscript"/>
        </w:rPr>
        <w:footnoteRef/>
      </w:r>
      <w:r w:rsidRPr="0047063B">
        <w:t xml:space="preserve"> ICPPED</w:t>
      </w:r>
      <w:r w:rsidRPr="0047063B">
        <w:fldChar w:fldCharType="begin"/>
      </w:r>
      <w:r w:rsidRPr="0047063B">
        <w:instrText xml:space="preserve"> TA \s "ICPPED" </w:instrText>
      </w:r>
      <w:r w:rsidRPr="0047063B">
        <w:fldChar w:fldCharType="end"/>
      </w:r>
      <w:r w:rsidRPr="0047063B">
        <w:t xml:space="preserve"> art. 11. </w:t>
      </w:r>
    </w:p>
  </w:footnote>
  <w:footnote w:id="53">
    <w:p w14:paraId="61FAFC09" w14:textId="77777777" w:rsidR="002A4673" w:rsidRPr="0047063B" w:rsidRDefault="002A4673" w:rsidP="0047063B">
      <w:pPr>
        <w:spacing w:line="240" w:lineRule="auto"/>
        <w:ind w:firstLine="0"/>
      </w:pPr>
      <w:r w:rsidRPr="0047063B">
        <w:rPr>
          <w:vertAlign w:val="superscript"/>
        </w:rPr>
        <w:footnoteRef/>
      </w:r>
      <w:r w:rsidRPr="0047063B">
        <w:t xml:space="preserve"> Facts, ¶68.</w:t>
      </w:r>
    </w:p>
  </w:footnote>
  <w:footnote w:id="54">
    <w:p w14:paraId="74A3CC38" w14:textId="77777777" w:rsidR="002A4673" w:rsidRPr="0047063B" w:rsidRDefault="002A4673" w:rsidP="0047063B">
      <w:pPr>
        <w:spacing w:line="240" w:lineRule="auto"/>
        <w:ind w:firstLine="0"/>
      </w:pPr>
      <w:r w:rsidRPr="0047063B">
        <w:rPr>
          <w:vertAlign w:val="superscript"/>
        </w:rPr>
        <w:footnoteRef/>
      </w:r>
      <w:r w:rsidRPr="0047063B">
        <w:t xml:space="preserve"> Facts, ¶¶50, 60–61; ICPPED </w:t>
      </w:r>
      <w:r w:rsidR="00E11095" w:rsidRPr="0047063B">
        <w:fldChar w:fldCharType="begin"/>
      </w:r>
      <w:r w:rsidR="00E11095" w:rsidRPr="0047063B">
        <w:instrText xml:space="preserve"> TA \s "ICPPED" </w:instrText>
      </w:r>
      <w:r w:rsidR="00E11095" w:rsidRPr="0047063B">
        <w:fldChar w:fldCharType="end"/>
      </w:r>
      <w:r w:rsidRPr="0047063B">
        <w:t xml:space="preserve">arts. 1–2 (discussing elements of enforced disappearance). </w:t>
      </w:r>
    </w:p>
  </w:footnote>
  <w:footnote w:id="55">
    <w:p w14:paraId="4ADE7036" w14:textId="77777777" w:rsidR="002A4673" w:rsidRPr="0047063B" w:rsidRDefault="002A4673" w:rsidP="0047063B">
      <w:pPr>
        <w:spacing w:line="240" w:lineRule="auto"/>
        <w:ind w:firstLine="0"/>
      </w:pPr>
      <w:r w:rsidRPr="0047063B">
        <w:rPr>
          <w:vertAlign w:val="superscript"/>
        </w:rPr>
        <w:footnoteRef/>
      </w:r>
      <w:r w:rsidRPr="0047063B">
        <w:t xml:space="preserve"> ICPPED art. 9. </w:t>
      </w:r>
      <w:r w:rsidRPr="0047063B">
        <w:fldChar w:fldCharType="begin"/>
      </w:r>
      <w:r w:rsidRPr="0047063B">
        <w:instrText xml:space="preserve"> TA \s "ICPPED" </w:instrText>
      </w:r>
      <w:r w:rsidRPr="0047063B">
        <w:fldChar w:fldCharType="end"/>
      </w:r>
    </w:p>
  </w:footnote>
  <w:footnote w:id="56">
    <w:p w14:paraId="5283A8CC"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Facts, ¶61.</w:t>
      </w:r>
    </w:p>
  </w:footnote>
  <w:footnote w:id="57">
    <w:p w14:paraId="1FEF8A81" w14:textId="77777777" w:rsidR="002A4673" w:rsidRPr="0047063B" w:rsidRDefault="002A4673" w:rsidP="0047063B">
      <w:pPr>
        <w:spacing w:line="240" w:lineRule="auto"/>
        <w:ind w:firstLine="0"/>
      </w:pPr>
      <w:r w:rsidRPr="0047063B">
        <w:rPr>
          <w:vertAlign w:val="superscript"/>
        </w:rPr>
        <w:footnoteRef/>
      </w:r>
      <w:r w:rsidRPr="0047063B">
        <w:t xml:space="preserve"> ICPPED art. 10.  </w:t>
      </w:r>
      <w:r w:rsidRPr="0047063B">
        <w:fldChar w:fldCharType="begin"/>
      </w:r>
      <w:r w:rsidRPr="0047063B">
        <w:instrText xml:space="preserve"> TA \s "ICPPED" </w:instrText>
      </w:r>
      <w:r w:rsidRPr="0047063B">
        <w:fldChar w:fldCharType="end"/>
      </w:r>
    </w:p>
  </w:footnote>
  <w:footnote w:id="58">
    <w:p w14:paraId="43A13C06"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Facts, ¶50.</w:t>
      </w:r>
    </w:p>
  </w:footnote>
  <w:footnote w:id="59">
    <w:p w14:paraId="1B887EC2" w14:textId="77777777" w:rsidR="002A4673" w:rsidRPr="0047063B" w:rsidRDefault="002A4673" w:rsidP="0047063B">
      <w:pPr>
        <w:spacing w:line="240" w:lineRule="auto"/>
        <w:ind w:firstLine="0"/>
      </w:pPr>
      <w:r w:rsidRPr="0047063B">
        <w:rPr>
          <w:vertAlign w:val="superscript"/>
        </w:rPr>
        <w:footnoteRef/>
      </w:r>
      <w:r w:rsidRPr="0047063B">
        <w:t xml:space="preserve"> ICPPED art. 11. </w:t>
      </w:r>
      <w:r w:rsidRPr="0047063B">
        <w:fldChar w:fldCharType="begin"/>
      </w:r>
      <w:r w:rsidRPr="0047063B">
        <w:instrText xml:space="preserve"> TA \s "ICPPED" </w:instrText>
      </w:r>
      <w:r w:rsidRPr="0047063B">
        <w:fldChar w:fldCharType="end"/>
      </w:r>
    </w:p>
  </w:footnote>
  <w:footnote w:id="60">
    <w:p w14:paraId="5E73A461"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Facts, ¶61.</w:t>
      </w:r>
    </w:p>
  </w:footnote>
  <w:footnote w:id="61">
    <w:p w14:paraId="1575F728" w14:textId="313FBE17" w:rsidR="002A4673" w:rsidRPr="0047063B" w:rsidRDefault="002A4673" w:rsidP="0047063B">
      <w:pPr>
        <w:spacing w:line="240" w:lineRule="auto"/>
        <w:ind w:firstLine="0"/>
      </w:pPr>
      <w:r w:rsidRPr="0047063B">
        <w:rPr>
          <w:vertAlign w:val="superscript"/>
        </w:rPr>
        <w:footnoteRef/>
      </w:r>
      <w:r w:rsidRPr="0047063B">
        <w:t xml:space="preserve"> The provisions in both the Convention Against Torture and the ICPPED are based off the “Hague Formula.” Int’l Law Comm’n [“</w:t>
      </w:r>
      <w:r w:rsidRPr="0047063B">
        <w:rPr>
          <w:b/>
          <w:bCs/>
        </w:rPr>
        <w:t>ILC</w:t>
      </w:r>
      <w:r w:rsidRPr="0047063B">
        <w:t xml:space="preserve">”], Rep. </w:t>
      </w:r>
      <w:r w:rsidR="00183F70">
        <w:t>on the Work of</w:t>
      </w:r>
      <w:r w:rsidRPr="0047063B">
        <w:t xml:space="preserve"> Its Sixty-Sixth Session, U.N. Doc. A/69/10, at ¶¶15–16 (2014)</w:t>
      </w:r>
      <w:r w:rsidRPr="0047063B">
        <w:fldChar w:fldCharType="begin"/>
      </w:r>
      <w:r w:rsidRPr="0047063B">
        <w:instrText xml:space="preserve"> TA \l "</w:instrText>
      </w:r>
      <w:r w:rsidR="00EE55CD" w:rsidRPr="00EE55CD">
        <w:rPr>
          <w:noProof/>
        </w:rPr>
        <w:instrText xml:space="preserve"> </w:instrText>
      </w:r>
      <w:r w:rsidR="00EE55CD" w:rsidRPr="005F0C69">
        <w:rPr>
          <w:noProof/>
        </w:rPr>
        <w:instrText>Int’l L</w:instrText>
      </w:r>
      <w:r w:rsidR="00183F70">
        <w:rPr>
          <w:noProof/>
        </w:rPr>
        <w:instrText>aw</w:instrText>
      </w:r>
      <w:r w:rsidR="00EE55CD" w:rsidRPr="005F0C69">
        <w:rPr>
          <w:noProof/>
        </w:rPr>
        <w:instrText xml:space="preserve"> Comm’n</w:instrText>
      </w:r>
      <w:r w:rsidRPr="0047063B">
        <w:instrText xml:space="preserve">, Rep. </w:instrText>
      </w:r>
      <w:r w:rsidR="00183F70">
        <w:instrText>on the Work of</w:instrText>
      </w:r>
      <w:r w:rsidRPr="0047063B">
        <w:instrText xml:space="preserve"> </w:instrText>
      </w:r>
      <w:r w:rsidR="00183F70">
        <w:instrText>I</w:instrText>
      </w:r>
      <w:r w:rsidRPr="0047063B">
        <w:instrText>ts Sixty-Sixth Session, U.N. Doc</w:instrText>
      </w:r>
      <w:r w:rsidR="00E11095" w:rsidRPr="0047063B">
        <w:instrText>.</w:instrText>
      </w:r>
      <w:r w:rsidRPr="0047063B">
        <w:instrText xml:space="preserve"> A/69/10 (2014)" \s "ILC Final Report" \c 4 </w:instrText>
      </w:r>
      <w:r w:rsidRPr="0047063B">
        <w:fldChar w:fldCharType="end"/>
      </w:r>
      <w:r w:rsidRPr="0047063B">
        <w:t xml:space="preserve"> [“</w:t>
      </w:r>
      <w:r w:rsidRPr="0047063B">
        <w:rPr>
          <w:b/>
          <w:bCs/>
        </w:rPr>
        <w:t>ILC Final Report</w:t>
      </w:r>
      <w:r w:rsidRPr="0047063B">
        <w:t xml:space="preserve">”]. </w:t>
      </w:r>
    </w:p>
  </w:footnote>
  <w:footnote w:id="62">
    <w:p w14:paraId="69976BCE" w14:textId="6EBF23E6" w:rsidR="002A4673" w:rsidRPr="0047063B" w:rsidRDefault="002A4673" w:rsidP="0047063B">
      <w:pPr>
        <w:spacing w:line="240" w:lineRule="auto"/>
        <w:ind w:firstLine="0"/>
      </w:pPr>
      <w:r w:rsidRPr="0047063B">
        <w:rPr>
          <w:vertAlign w:val="superscript"/>
        </w:rPr>
        <w:footnoteRef/>
      </w:r>
      <w:r w:rsidRPr="0047063B">
        <w:rPr>
          <w:i/>
        </w:rPr>
        <w:t xml:space="preserve"> </w:t>
      </w:r>
      <w:r w:rsidRPr="0047063B">
        <w:rPr>
          <w:i/>
          <w:iCs/>
        </w:rPr>
        <w:t xml:space="preserve">Questions relating to the </w:t>
      </w:r>
      <w:r w:rsidRPr="0047063B">
        <w:rPr>
          <w:i/>
        </w:rPr>
        <w:t>Obligation to Prosecute</w:t>
      </w:r>
      <w:r w:rsidRPr="0047063B">
        <w:rPr>
          <w:i/>
          <w:iCs/>
        </w:rPr>
        <w:t xml:space="preserve"> or Extradite</w:t>
      </w:r>
      <w:r w:rsidRPr="0047063B">
        <w:t xml:space="preserve"> (Belg. v. Sen.), Judgment, 2012 I.C.J. 422, ¶95 (July 20)</w:t>
      </w:r>
      <w:r w:rsidRPr="0047063B">
        <w:fldChar w:fldCharType="begin"/>
      </w:r>
      <w:r w:rsidRPr="0047063B">
        <w:instrText xml:space="preserve"> TA \l "</w:instrText>
      </w:r>
      <w:r w:rsidRPr="0047063B">
        <w:rPr>
          <w:i/>
          <w:iCs/>
        </w:rPr>
        <w:instrText xml:space="preserve">Questions relating to the </w:instrText>
      </w:r>
      <w:r w:rsidRPr="0047063B">
        <w:rPr>
          <w:i/>
        </w:rPr>
        <w:instrText>Obligation to Prosecute</w:instrText>
      </w:r>
      <w:r w:rsidRPr="0047063B">
        <w:rPr>
          <w:i/>
          <w:iCs/>
        </w:rPr>
        <w:instrText xml:space="preserve"> or Extradite</w:instrText>
      </w:r>
      <w:r w:rsidRPr="0047063B">
        <w:instrText xml:space="preserve"> (Belg. v. Sen.), Judgment, 2012 I.C.J. 422 (July 20)" \s "Obligation to Prosecute" \c 2 </w:instrText>
      </w:r>
      <w:r w:rsidRPr="0047063B">
        <w:fldChar w:fldCharType="end"/>
      </w:r>
      <w:r w:rsidRPr="0047063B">
        <w:t xml:space="preserve"> [“</w:t>
      </w:r>
      <w:r w:rsidRPr="0047063B">
        <w:rPr>
          <w:b/>
          <w:bCs/>
        </w:rPr>
        <w:t>Obligation to Prosecute</w:t>
      </w:r>
      <w:r w:rsidRPr="0047063B">
        <w:t xml:space="preserve">”]; </w:t>
      </w:r>
      <w:r w:rsidRPr="0047063B">
        <w:rPr>
          <w:i/>
        </w:rPr>
        <w:t>see also</w:t>
      </w:r>
      <w:r w:rsidRPr="0047063B">
        <w:t xml:space="preserve"> K</w:t>
      </w:r>
      <w:r w:rsidRPr="0047063B">
        <w:rPr>
          <w:smallCaps/>
        </w:rPr>
        <w:t xml:space="preserve">riangsak </w:t>
      </w:r>
      <w:r w:rsidRPr="0047063B">
        <w:t>K</w:t>
      </w:r>
      <w:r w:rsidRPr="0047063B">
        <w:rPr>
          <w:smallCaps/>
        </w:rPr>
        <w:t>ittichaisaree</w:t>
      </w:r>
      <w:r w:rsidRPr="0047063B">
        <w:t xml:space="preserve">, </w:t>
      </w:r>
      <w:r w:rsidRPr="0047063B">
        <w:rPr>
          <w:smallCaps/>
        </w:rPr>
        <w:t>The Obligation to Extradite or Prosecute</w:t>
      </w:r>
      <w:r w:rsidRPr="0047063B">
        <w:t xml:space="preserve"> 234</w:t>
      </w:r>
      <w:r w:rsidR="006F2027" w:rsidRPr="0047063B">
        <w:t xml:space="preserve"> </w:t>
      </w:r>
      <w:r w:rsidRPr="0047063B">
        <w:t>(2018)</w:t>
      </w:r>
      <w:r w:rsidRPr="0047063B">
        <w:fldChar w:fldCharType="begin"/>
      </w:r>
      <w:r w:rsidRPr="0047063B">
        <w:instrText xml:space="preserve"> TA \l "K</w:instrText>
      </w:r>
      <w:r w:rsidRPr="0047063B">
        <w:rPr>
          <w:smallCaps/>
        </w:rPr>
        <w:instrText xml:space="preserve">riangsak </w:instrText>
      </w:r>
      <w:r w:rsidRPr="0047063B">
        <w:instrText>K</w:instrText>
      </w:r>
      <w:r w:rsidRPr="0047063B">
        <w:rPr>
          <w:smallCaps/>
        </w:rPr>
        <w:instrText>ittichaisaree</w:instrText>
      </w:r>
      <w:r w:rsidRPr="0047063B">
        <w:instrText xml:space="preserve">, </w:instrText>
      </w:r>
      <w:r w:rsidRPr="0047063B">
        <w:rPr>
          <w:smallCaps/>
        </w:rPr>
        <w:instrText>The Obligation to Extradite or Prosecute</w:instrText>
      </w:r>
      <w:r w:rsidRPr="0047063B">
        <w:instrText xml:space="preserve"> (2018)" \s "Kriangsak Kittichaisaree, The Obligation to Extradite or Prosecute 234 (2018)" \c </w:instrText>
      </w:r>
      <w:r w:rsidR="004762A9">
        <w:instrText>6</w:instrText>
      </w:r>
      <w:r w:rsidRPr="0047063B">
        <w:instrText xml:space="preserve"> </w:instrText>
      </w:r>
      <w:r w:rsidRPr="0047063B">
        <w:fldChar w:fldCharType="end"/>
      </w:r>
      <w:r w:rsidRPr="0047063B">
        <w:t>; ILC Final Report</w:t>
      </w:r>
      <w:r w:rsidRPr="0047063B">
        <w:fldChar w:fldCharType="begin"/>
      </w:r>
      <w:r w:rsidRPr="0047063B">
        <w:instrText xml:space="preserve"> TA \s "ILC Final Report" </w:instrText>
      </w:r>
      <w:r w:rsidRPr="0047063B">
        <w:fldChar w:fldCharType="end"/>
      </w:r>
      <w:r w:rsidRPr="0047063B">
        <w:t xml:space="preserve">, ¶¶41–42. </w:t>
      </w:r>
    </w:p>
  </w:footnote>
  <w:footnote w:id="63">
    <w:p w14:paraId="710FB977" w14:textId="77777777" w:rsidR="002A4673" w:rsidRPr="0047063B" w:rsidRDefault="002A4673" w:rsidP="0047063B">
      <w:pPr>
        <w:spacing w:line="240" w:lineRule="auto"/>
        <w:ind w:firstLine="0"/>
      </w:pPr>
      <w:r w:rsidRPr="0047063B">
        <w:rPr>
          <w:vertAlign w:val="superscript"/>
        </w:rPr>
        <w:footnoteRef/>
      </w:r>
      <w:r w:rsidRPr="0047063B">
        <w:t xml:space="preserve"> Comm. Against Torture Dec. 181/2001, U.N. Doc. CAT/C/36/D/181/2001, at §9.7 (May, 19 2006)</w:t>
      </w:r>
      <w:r w:rsidRPr="0047063B">
        <w:fldChar w:fldCharType="begin"/>
      </w:r>
      <w:r w:rsidRPr="0047063B">
        <w:instrText xml:space="preserve"> TA \l "Comm. Against Torture Dec. 181/2001, U.N. Doc. CAT/C/36/D/181/2001 (May, 19 2006)" \s "Comm. Against Torture Dec. 181/2001, U.N. Doc. CAT/C/36/D/181/2001 (May, 19 2006)" \c 5 </w:instrText>
      </w:r>
      <w:r w:rsidRPr="0047063B">
        <w:fldChar w:fldCharType="end"/>
      </w:r>
      <w:r w:rsidRPr="0047063B">
        <w:t>.</w:t>
      </w:r>
    </w:p>
  </w:footnote>
  <w:footnote w:id="64">
    <w:p w14:paraId="034AFF33" w14:textId="5A404185"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w:t>
      </w:r>
      <w:r w:rsidRPr="0047063B">
        <w:rPr>
          <w:i/>
          <w:iCs/>
          <w:sz w:val="24"/>
          <w:szCs w:val="24"/>
        </w:rPr>
        <w:t>Summary</w:t>
      </w:r>
      <w:r w:rsidRPr="0047063B">
        <w:rPr>
          <w:i/>
          <w:sz w:val="24"/>
          <w:szCs w:val="24"/>
        </w:rPr>
        <w:t xml:space="preserve"> of </w:t>
      </w:r>
      <w:r w:rsidRPr="0047063B">
        <w:rPr>
          <w:i/>
          <w:iCs/>
          <w:sz w:val="24"/>
          <w:szCs w:val="24"/>
        </w:rPr>
        <w:t>Records</w:t>
      </w:r>
      <w:r w:rsidRPr="0047063B">
        <w:rPr>
          <w:i/>
          <w:sz w:val="24"/>
          <w:szCs w:val="24"/>
        </w:rPr>
        <w:t xml:space="preserve"> of the 3148th </w:t>
      </w:r>
      <w:r w:rsidRPr="0047063B">
        <w:rPr>
          <w:i/>
          <w:iCs/>
          <w:sz w:val="24"/>
          <w:szCs w:val="24"/>
        </w:rPr>
        <w:t>Meeting</w:t>
      </w:r>
      <w:r w:rsidRPr="0047063B">
        <w:rPr>
          <w:sz w:val="24"/>
          <w:szCs w:val="24"/>
        </w:rPr>
        <w:t>, [2012] 1 Y.B. ILC 135, ¶100, U.N. Doc. A/CN.4/SR.3148 (ICJ President Tomka)</w:t>
      </w:r>
      <w:r w:rsidRPr="0047063B">
        <w:rPr>
          <w:sz w:val="24"/>
          <w:szCs w:val="24"/>
        </w:rPr>
        <w:fldChar w:fldCharType="begin"/>
      </w:r>
      <w:r w:rsidRPr="0047063B">
        <w:rPr>
          <w:sz w:val="24"/>
          <w:szCs w:val="24"/>
        </w:rPr>
        <w:instrText xml:space="preserve"> TA \l "</w:instrText>
      </w:r>
      <w:r w:rsidRPr="0047063B">
        <w:rPr>
          <w:i/>
          <w:iCs/>
          <w:sz w:val="24"/>
          <w:szCs w:val="24"/>
        </w:rPr>
        <w:instrText>Summary</w:instrText>
      </w:r>
      <w:r w:rsidRPr="0047063B">
        <w:rPr>
          <w:i/>
          <w:sz w:val="24"/>
          <w:szCs w:val="24"/>
        </w:rPr>
        <w:instrText xml:space="preserve"> of </w:instrText>
      </w:r>
      <w:r w:rsidRPr="0047063B">
        <w:rPr>
          <w:i/>
          <w:iCs/>
          <w:sz w:val="24"/>
          <w:szCs w:val="24"/>
        </w:rPr>
        <w:instrText>Records</w:instrText>
      </w:r>
      <w:r w:rsidRPr="0047063B">
        <w:rPr>
          <w:i/>
          <w:sz w:val="24"/>
          <w:szCs w:val="24"/>
        </w:rPr>
        <w:instrText xml:space="preserve"> of the 3148th </w:instrText>
      </w:r>
      <w:r w:rsidRPr="0047063B">
        <w:rPr>
          <w:i/>
          <w:iCs/>
          <w:sz w:val="24"/>
          <w:szCs w:val="24"/>
        </w:rPr>
        <w:instrText>Meeting</w:instrText>
      </w:r>
      <w:r w:rsidRPr="0047063B">
        <w:rPr>
          <w:sz w:val="24"/>
          <w:szCs w:val="24"/>
        </w:rPr>
        <w:instrText>, [2012] 1 Y.B. Int’l L</w:instrText>
      </w:r>
      <w:r w:rsidR="00183F70">
        <w:rPr>
          <w:sz w:val="24"/>
          <w:szCs w:val="24"/>
        </w:rPr>
        <w:instrText>aw</w:instrText>
      </w:r>
      <w:r w:rsidRPr="0047063B">
        <w:rPr>
          <w:sz w:val="24"/>
          <w:szCs w:val="24"/>
        </w:rPr>
        <w:instrText xml:space="preserve"> Comm’n 135, U.N. Doc. A/CN.4/SR.3148 (ICJ President Tomka)" \s "Summary of Records of the 3148th Meeting, [2012] 1 Y.B. Int’l L. Comm’n 135, U.N. Doc. A/CN.4/SR.3148 (ICJ President Tomka)" \c 4 </w:instrText>
      </w:r>
      <w:r w:rsidRPr="0047063B">
        <w:rPr>
          <w:sz w:val="24"/>
          <w:szCs w:val="24"/>
        </w:rPr>
        <w:fldChar w:fldCharType="end"/>
      </w:r>
      <w:r w:rsidRPr="0047063B">
        <w:rPr>
          <w:sz w:val="24"/>
          <w:szCs w:val="24"/>
        </w:rPr>
        <w:t xml:space="preserve">; </w:t>
      </w:r>
      <w:r w:rsidRPr="0047063B">
        <w:rPr>
          <w:i/>
          <w:iCs/>
          <w:sz w:val="24"/>
          <w:szCs w:val="24"/>
        </w:rPr>
        <w:t>Obligation to Prosecute</w:t>
      </w:r>
      <w:r w:rsidRPr="0047063B">
        <w:rPr>
          <w:sz w:val="24"/>
          <w:szCs w:val="24"/>
        </w:rPr>
        <w:t>, Judgment</w:t>
      </w:r>
      <w:r w:rsidRPr="0047063B">
        <w:rPr>
          <w:sz w:val="24"/>
          <w:szCs w:val="24"/>
        </w:rPr>
        <w:fldChar w:fldCharType="begin"/>
      </w:r>
      <w:r w:rsidRPr="0047063B">
        <w:rPr>
          <w:sz w:val="24"/>
          <w:szCs w:val="24"/>
        </w:rPr>
        <w:instrText xml:space="preserve"> TA \l "</w:instrText>
      </w:r>
      <w:r w:rsidRPr="0047063B">
        <w:rPr>
          <w:i/>
          <w:iCs/>
          <w:sz w:val="24"/>
          <w:szCs w:val="24"/>
        </w:rPr>
        <w:instrText xml:space="preserve">Questions relating to the </w:instrText>
      </w:r>
      <w:r w:rsidRPr="0047063B">
        <w:rPr>
          <w:i/>
          <w:sz w:val="24"/>
          <w:szCs w:val="24"/>
        </w:rPr>
        <w:instrText>Obligation to Prosecute</w:instrText>
      </w:r>
      <w:r w:rsidRPr="0047063B">
        <w:rPr>
          <w:i/>
          <w:iCs/>
          <w:sz w:val="24"/>
          <w:szCs w:val="24"/>
        </w:rPr>
        <w:instrText xml:space="preserve"> or Extradite</w:instrText>
      </w:r>
      <w:r w:rsidRPr="0047063B">
        <w:rPr>
          <w:sz w:val="24"/>
          <w:szCs w:val="24"/>
        </w:rPr>
        <w:instrText xml:space="preserve"> (Belg. v. Sen.), Judgment, 2012 I.C.J. 584 (July 20) (declaration by Donoghue, J.)" \s "Obligation to Prosecute (declaration by Donoghue, J.)" \c 2 </w:instrText>
      </w:r>
      <w:r w:rsidRPr="0047063B">
        <w:rPr>
          <w:sz w:val="24"/>
          <w:szCs w:val="24"/>
        </w:rPr>
        <w:fldChar w:fldCharType="end"/>
      </w:r>
      <w:r w:rsidRPr="0047063B">
        <w:rPr>
          <w:sz w:val="24"/>
          <w:szCs w:val="24"/>
        </w:rPr>
        <w:t>, 2012 I.C.J. 584, ¶3 (July 20) (declaration by Donoghue, J.).</w:t>
      </w:r>
    </w:p>
  </w:footnote>
  <w:footnote w:id="65">
    <w:p w14:paraId="6F2CE978" w14:textId="77777777" w:rsidR="002A4673" w:rsidRPr="0047063B" w:rsidRDefault="002A4673" w:rsidP="0047063B">
      <w:pPr>
        <w:spacing w:line="240" w:lineRule="auto"/>
        <w:ind w:firstLine="0"/>
      </w:pPr>
      <w:r w:rsidRPr="0047063B">
        <w:rPr>
          <w:vertAlign w:val="superscript"/>
        </w:rPr>
        <w:footnoteRef/>
      </w:r>
      <w:r w:rsidRPr="0047063B">
        <w:t xml:space="preserve"> ILC Final Report</w:t>
      </w:r>
      <w:r w:rsidRPr="0047063B">
        <w:fldChar w:fldCharType="begin"/>
      </w:r>
      <w:r w:rsidRPr="0047063B">
        <w:instrText xml:space="preserve"> TA \s "ILC Final Report" </w:instrText>
      </w:r>
      <w:r w:rsidRPr="0047063B">
        <w:fldChar w:fldCharType="end"/>
      </w:r>
      <w:r w:rsidRPr="0047063B">
        <w:t>, ¶43.</w:t>
      </w:r>
    </w:p>
  </w:footnote>
  <w:footnote w:id="66">
    <w:p w14:paraId="2905854D" w14:textId="77777777" w:rsidR="002A4673" w:rsidRPr="0047063B" w:rsidRDefault="002A4673" w:rsidP="0047063B">
      <w:pPr>
        <w:spacing w:line="240" w:lineRule="auto"/>
        <w:ind w:firstLine="0"/>
      </w:pPr>
      <w:r w:rsidRPr="0047063B">
        <w:rPr>
          <w:vertAlign w:val="superscript"/>
        </w:rPr>
        <w:footnoteRef/>
      </w:r>
      <w:r w:rsidRPr="0047063B">
        <w:t xml:space="preserve"> K</w:t>
      </w:r>
      <w:r w:rsidRPr="0047063B">
        <w:rPr>
          <w:smallCaps/>
        </w:rPr>
        <w:t>ittichaisaree</w:t>
      </w:r>
      <w:r w:rsidRPr="0047063B">
        <w:rPr>
          <w:smallCaps/>
        </w:rPr>
        <w:fldChar w:fldCharType="begin"/>
      </w:r>
      <w:r w:rsidRPr="0047063B">
        <w:instrText xml:space="preserve"> TA \s "Kriangsak Kittichaisaree, The Obligation to Extradite or Prosecute 234 (2018)" </w:instrText>
      </w:r>
      <w:r w:rsidRPr="0047063B">
        <w:rPr>
          <w:smallCaps/>
        </w:rPr>
        <w:fldChar w:fldCharType="end"/>
      </w:r>
      <w:r w:rsidRPr="0047063B">
        <w:rPr>
          <w:smallCaps/>
        </w:rPr>
        <w:t>, The Obligation to Extradite or Prosecute</w:t>
      </w:r>
      <w:r w:rsidRPr="0047063B">
        <w:t>,</w:t>
      </w:r>
      <w:r w:rsidRPr="0047063B">
        <w:rPr>
          <w:i/>
          <w:iCs/>
        </w:rPr>
        <w:t xml:space="preserve"> supra </w:t>
      </w:r>
      <w:r w:rsidRPr="0047063B">
        <w:t>note 62, 14.</w:t>
      </w:r>
    </w:p>
  </w:footnote>
  <w:footnote w:id="67">
    <w:p w14:paraId="53D7AA52" w14:textId="77777777" w:rsidR="002A4673" w:rsidRPr="0047063B" w:rsidRDefault="002A4673" w:rsidP="0047063B">
      <w:pPr>
        <w:spacing w:line="240" w:lineRule="auto"/>
        <w:ind w:firstLine="0"/>
      </w:pPr>
      <w:r w:rsidRPr="0047063B">
        <w:rPr>
          <w:vertAlign w:val="superscript"/>
        </w:rPr>
        <w:footnoteRef/>
      </w:r>
      <w:r w:rsidRPr="0047063B">
        <w:t xml:space="preserve"> ICPPED</w:t>
      </w:r>
      <w:r w:rsidRPr="0047063B">
        <w:fldChar w:fldCharType="begin"/>
      </w:r>
      <w:r w:rsidRPr="0047063B">
        <w:instrText xml:space="preserve"> TA \s "ICPPED" </w:instrText>
      </w:r>
      <w:r w:rsidRPr="0047063B">
        <w:fldChar w:fldCharType="end"/>
      </w:r>
      <w:r w:rsidRPr="0047063B">
        <w:t xml:space="preserve"> pmbl.  </w:t>
      </w:r>
    </w:p>
  </w:footnote>
  <w:footnote w:id="68">
    <w:p w14:paraId="13ADF358" w14:textId="77777777" w:rsidR="002A4673" w:rsidRPr="0047063B" w:rsidRDefault="002A4673" w:rsidP="0047063B">
      <w:pPr>
        <w:spacing w:line="240" w:lineRule="auto"/>
        <w:ind w:firstLine="0"/>
      </w:pPr>
      <w:r w:rsidRPr="0047063B">
        <w:rPr>
          <w:vertAlign w:val="superscript"/>
        </w:rPr>
        <w:footnoteRef/>
      </w:r>
      <w:r w:rsidRPr="0047063B">
        <w:t xml:space="preserve"> K</w:t>
      </w:r>
      <w:r w:rsidRPr="0047063B">
        <w:rPr>
          <w:smallCaps/>
        </w:rPr>
        <w:t xml:space="preserve">ittichaisaree, </w:t>
      </w:r>
      <w:r w:rsidRPr="0047063B">
        <w:rPr>
          <w:smallCaps/>
        </w:rPr>
        <w:fldChar w:fldCharType="begin"/>
      </w:r>
      <w:r w:rsidRPr="0047063B">
        <w:instrText xml:space="preserve"> TA \s "Kriangsak Kittichaisaree, The Obligation to Extradite or Prosecute 234 (2018)" </w:instrText>
      </w:r>
      <w:r w:rsidRPr="0047063B">
        <w:rPr>
          <w:smallCaps/>
        </w:rPr>
        <w:fldChar w:fldCharType="end"/>
      </w:r>
      <w:r w:rsidRPr="0047063B">
        <w:rPr>
          <w:smallCaps/>
        </w:rPr>
        <w:t>The Obligation to Extradite or Prosecute,</w:t>
      </w:r>
      <w:r w:rsidRPr="0047063B">
        <w:rPr>
          <w:i/>
          <w:iCs/>
        </w:rPr>
        <w:t xml:space="preserve"> supra </w:t>
      </w:r>
      <w:r w:rsidRPr="0047063B">
        <w:t xml:space="preserve">note 62, 232. </w:t>
      </w:r>
    </w:p>
  </w:footnote>
  <w:footnote w:id="69">
    <w:p w14:paraId="135D2B7F" w14:textId="77777777" w:rsidR="002A4673" w:rsidRPr="0047063B" w:rsidRDefault="002A4673" w:rsidP="0047063B">
      <w:pPr>
        <w:spacing w:line="240" w:lineRule="auto"/>
        <w:ind w:firstLine="0"/>
      </w:pPr>
      <w:r w:rsidRPr="0047063B">
        <w:rPr>
          <w:vertAlign w:val="superscript"/>
        </w:rPr>
        <w:footnoteRef/>
      </w:r>
      <w:r w:rsidRPr="0047063B">
        <w:t xml:space="preserve"> ILC Final Report</w:t>
      </w:r>
      <w:r w:rsidRPr="0047063B">
        <w:fldChar w:fldCharType="begin"/>
      </w:r>
      <w:r w:rsidRPr="0047063B">
        <w:instrText xml:space="preserve"> TA \s "ILC Final Report" </w:instrText>
      </w:r>
      <w:r w:rsidRPr="0047063B">
        <w:fldChar w:fldCharType="end"/>
      </w:r>
      <w:r w:rsidRPr="0047063B">
        <w:t xml:space="preserve">, ¶23; </w:t>
      </w:r>
      <w:r w:rsidRPr="0047063B">
        <w:rPr>
          <w:i/>
        </w:rPr>
        <w:t>Obligation to Prosecute</w:t>
      </w:r>
      <w:r w:rsidRPr="0047063B">
        <w:rPr>
          <w:i/>
        </w:rPr>
        <w:fldChar w:fldCharType="begin"/>
      </w:r>
      <w:r w:rsidRPr="0047063B">
        <w:instrText xml:space="preserve"> TA \s "Obligation to Prosecute" </w:instrText>
      </w:r>
      <w:r w:rsidRPr="0047063B">
        <w:rPr>
          <w:i/>
        </w:rPr>
        <w:fldChar w:fldCharType="end"/>
      </w:r>
      <w:r w:rsidRPr="0047063B">
        <w:t xml:space="preserve">, 2012 I.C.J. at ¶86. </w:t>
      </w:r>
    </w:p>
  </w:footnote>
  <w:footnote w:id="70">
    <w:p w14:paraId="785A6746"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Facts, ¶50.</w:t>
      </w:r>
    </w:p>
  </w:footnote>
  <w:footnote w:id="71">
    <w:p w14:paraId="3F38D4DA" w14:textId="77777777" w:rsidR="002A4673" w:rsidRPr="0047063B" w:rsidRDefault="002A4673" w:rsidP="0047063B">
      <w:pPr>
        <w:pStyle w:val="FootnoteText"/>
        <w:spacing w:after="160"/>
        <w:ind w:firstLine="0"/>
        <w:rPr>
          <w:sz w:val="24"/>
          <w:szCs w:val="24"/>
          <w:highlight w:val="yellow"/>
        </w:rPr>
      </w:pPr>
      <w:r w:rsidRPr="0047063B">
        <w:rPr>
          <w:rStyle w:val="FootnoteReference"/>
          <w:sz w:val="24"/>
          <w:szCs w:val="24"/>
        </w:rPr>
        <w:footnoteRef/>
      </w:r>
      <w:r w:rsidRPr="0047063B">
        <w:rPr>
          <w:sz w:val="24"/>
          <w:szCs w:val="24"/>
        </w:rPr>
        <w:t xml:space="preserve"> Facts, ¶¶8, 57.</w:t>
      </w:r>
    </w:p>
  </w:footnote>
  <w:footnote w:id="72">
    <w:p w14:paraId="024A82BF" w14:textId="77777777" w:rsidR="002A4673" w:rsidRPr="0047063B" w:rsidRDefault="002A4673" w:rsidP="0047063B">
      <w:pPr>
        <w:spacing w:line="240" w:lineRule="auto"/>
        <w:ind w:firstLine="0"/>
      </w:pPr>
      <w:r w:rsidRPr="0047063B">
        <w:rPr>
          <w:vertAlign w:val="superscript"/>
        </w:rPr>
        <w:footnoteRef/>
      </w:r>
      <w:r w:rsidRPr="0047063B">
        <w:t xml:space="preserve"> Clarifications, ¶5.</w:t>
      </w:r>
    </w:p>
  </w:footnote>
  <w:footnote w:id="73">
    <w:p w14:paraId="7F867ACD" w14:textId="77777777" w:rsidR="002A4673" w:rsidRPr="0047063B" w:rsidRDefault="002A4673" w:rsidP="0047063B">
      <w:pPr>
        <w:spacing w:line="240" w:lineRule="auto"/>
        <w:ind w:firstLine="0"/>
      </w:pPr>
      <w:r w:rsidRPr="0047063B">
        <w:rPr>
          <w:vertAlign w:val="superscript"/>
        </w:rPr>
        <w:footnoteRef/>
      </w:r>
      <w:r w:rsidRPr="0047063B">
        <w:t xml:space="preserve"> K</w:t>
      </w:r>
      <w:r w:rsidRPr="0047063B">
        <w:rPr>
          <w:smallCaps/>
        </w:rPr>
        <w:t>ittichaisaree</w:t>
      </w:r>
      <w:r w:rsidRPr="0047063B">
        <w:rPr>
          <w:smallCaps/>
        </w:rPr>
        <w:fldChar w:fldCharType="begin"/>
      </w:r>
      <w:r w:rsidRPr="0047063B">
        <w:instrText xml:space="preserve"> TA \s "Kriangsak Kittichaisaree, The Obligation to Extradite or Prosecute 234 (2018)" </w:instrText>
      </w:r>
      <w:r w:rsidRPr="0047063B">
        <w:rPr>
          <w:smallCaps/>
        </w:rPr>
        <w:fldChar w:fldCharType="end"/>
      </w:r>
      <w:r w:rsidRPr="0047063B">
        <w:t xml:space="preserve">, </w:t>
      </w:r>
      <w:r w:rsidRPr="0047063B">
        <w:rPr>
          <w:smallCaps/>
        </w:rPr>
        <w:t>The Obligation to Extradite or Prosecute,</w:t>
      </w:r>
      <w:r w:rsidRPr="0047063B">
        <w:rPr>
          <w:i/>
          <w:iCs/>
        </w:rPr>
        <w:t xml:space="preserve"> supra </w:t>
      </w:r>
      <w:r w:rsidRPr="0047063B">
        <w:t>note 62, 234.</w:t>
      </w:r>
    </w:p>
  </w:footnote>
  <w:footnote w:id="74">
    <w:p w14:paraId="65220B20" w14:textId="77777777" w:rsidR="002A4673" w:rsidRPr="0047063B" w:rsidRDefault="002A4673" w:rsidP="0047063B">
      <w:pPr>
        <w:spacing w:line="240" w:lineRule="auto"/>
        <w:ind w:firstLine="0"/>
        <w:rPr>
          <w:highlight w:val="yellow"/>
        </w:rPr>
      </w:pPr>
      <w:r w:rsidRPr="0047063B">
        <w:rPr>
          <w:vertAlign w:val="superscript"/>
        </w:rPr>
        <w:footnoteRef/>
      </w:r>
      <w:r w:rsidRPr="0047063B">
        <w:t xml:space="preserve"> </w:t>
      </w:r>
      <w:r w:rsidRPr="0047063B">
        <w:rPr>
          <w:lang w:val="en-US"/>
        </w:rPr>
        <w:t xml:space="preserve">U.N. Secretary-General, </w:t>
      </w:r>
      <w:r w:rsidRPr="0047063B">
        <w:rPr>
          <w:i/>
          <w:lang w:val="en-US"/>
        </w:rPr>
        <w:t xml:space="preserve">The Scope and Application of the Principle of Universal </w:t>
      </w:r>
      <w:r w:rsidRPr="0047063B">
        <w:rPr>
          <w:i/>
          <w:iCs/>
          <w:lang w:val="en-US"/>
        </w:rPr>
        <w:t>Jurisdiction</w:t>
      </w:r>
      <w:r w:rsidRPr="0047063B">
        <w:rPr>
          <w:lang w:val="en-US"/>
        </w:rPr>
        <w:t>, ¶10, U.N. Doc. A/79/269 (Aug. 1, 2024)</w:t>
      </w:r>
      <w:r w:rsidRPr="0047063B">
        <w:rPr>
          <w:lang w:val="en-US"/>
        </w:rPr>
        <w:fldChar w:fldCharType="begin"/>
      </w:r>
      <w:r w:rsidRPr="0047063B">
        <w:instrText xml:space="preserve"> TA \l "</w:instrText>
      </w:r>
      <w:r w:rsidRPr="0047063B">
        <w:rPr>
          <w:lang w:val="en-US"/>
        </w:rPr>
        <w:instrText xml:space="preserve">U.N. Secretary-General, </w:instrText>
      </w:r>
      <w:r w:rsidRPr="0047063B">
        <w:rPr>
          <w:i/>
          <w:lang w:val="en-US"/>
        </w:rPr>
        <w:instrText xml:space="preserve">The Scope and Application of the Principle of Universal </w:instrText>
      </w:r>
      <w:r w:rsidRPr="0047063B">
        <w:rPr>
          <w:i/>
          <w:iCs/>
          <w:lang w:val="en-US"/>
        </w:rPr>
        <w:instrText>Jurisdiction</w:instrText>
      </w:r>
      <w:r w:rsidRPr="0047063B">
        <w:rPr>
          <w:lang w:val="en-US"/>
        </w:rPr>
        <w:instrText>, U.N. Doc</w:instrText>
      </w:r>
      <w:r w:rsidR="006F2027" w:rsidRPr="0047063B">
        <w:rPr>
          <w:lang w:val="en-US"/>
        </w:rPr>
        <w:instrText>.</w:instrText>
      </w:r>
      <w:r w:rsidRPr="0047063B">
        <w:rPr>
          <w:lang w:val="en-US"/>
        </w:rPr>
        <w:instrText xml:space="preserve"> A/79/269 (Aug. 1, 2024)</w:instrText>
      </w:r>
      <w:r w:rsidRPr="0047063B">
        <w:instrText xml:space="preserve">" \s "UNGA Report" \c 5 </w:instrText>
      </w:r>
      <w:r w:rsidRPr="0047063B">
        <w:rPr>
          <w:lang w:val="en-US"/>
        </w:rPr>
        <w:fldChar w:fldCharType="end"/>
      </w:r>
      <w:r w:rsidRPr="0047063B">
        <w:t xml:space="preserve"> [“</w:t>
      </w:r>
      <w:r w:rsidRPr="0047063B">
        <w:rPr>
          <w:b/>
        </w:rPr>
        <w:t>UNGA Report</w:t>
      </w:r>
      <w:r w:rsidRPr="0047063B">
        <w:t xml:space="preserve">”]; </w:t>
      </w:r>
      <w:r w:rsidRPr="0047063B">
        <w:rPr>
          <w:i/>
        </w:rPr>
        <w:t>see also</w:t>
      </w:r>
      <w:r w:rsidRPr="0047063B">
        <w:t xml:space="preserve"> </w:t>
      </w:r>
      <w:r w:rsidRPr="0047063B">
        <w:rPr>
          <w:i/>
        </w:rPr>
        <w:t>Prosecutor v</w:t>
      </w:r>
      <w:r w:rsidRPr="0047063B">
        <w:rPr>
          <w:i/>
          <w:iCs/>
        </w:rPr>
        <w:t>.</w:t>
      </w:r>
      <w:r w:rsidRPr="0047063B">
        <w:rPr>
          <w:i/>
        </w:rPr>
        <w:t xml:space="preserve"> Tadić</w:t>
      </w:r>
      <w:r w:rsidRPr="0047063B">
        <w:t>, Case No. IT-94-1-I, Decision on the Defence Motion for Interlocutory Appeal on Jurisdiction, ¶62 (ICTY Oct. 2, 1995)</w:t>
      </w:r>
      <w:r w:rsidRPr="0047063B">
        <w:fldChar w:fldCharType="begin"/>
      </w:r>
      <w:r w:rsidRPr="0047063B">
        <w:instrText xml:space="preserve"> TA \l "</w:instrText>
      </w:r>
      <w:r w:rsidRPr="0047063B">
        <w:rPr>
          <w:i/>
          <w:iCs/>
        </w:rPr>
        <w:instrText>Prosecutor v. Tadić</w:instrText>
      </w:r>
      <w:r w:rsidRPr="0047063B">
        <w:instrText xml:space="preserve">, Case No. IT-94-1-I, Decision on the Defence Motion for Interlocutory Appeal on Jurisdiction (ICTY Oct. 2, 1995)" \s "Prosecutor v. Tadić" \c 3 </w:instrText>
      </w:r>
      <w:r w:rsidRPr="0047063B">
        <w:fldChar w:fldCharType="end"/>
      </w:r>
      <w:r w:rsidRPr="0047063B">
        <w:t xml:space="preserve">; </w:t>
      </w:r>
      <w:r w:rsidRPr="0047063B">
        <w:rPr>
          <w:i/>
        </w:rPr>
        <w:t>Prosecutor v</w:t>
      </w:r>
      <w:r w:rsidRPr="0047063B">
        <w:rPr>
          <w:i/>
          <w:iCs/>
        </w:rPr>
        <w:t>.</w:t>
      </w:r>
      <w:r w:rsidRPr="0047063B">
        <w:rPr>
          <w:i/>
        </w:rPr>
        <w:t xml:space="preserve"> Furundžija</w:t>
      </w:r>
      <w:r w:rsidRPr="0047063B">
        <w:t>, Case No. IT-95-17/1-T, Judgment, ¶156 (ICTY Dec. 10, 1998)</w:t>
      </w:r>
      <w:r w:rsidRPr="0047063B">
        <w:fldChar w:fldCharType="begin"/>
      </w:r>
      <w:r w:rsidRPr="0047063B">
        <w:instrText xml:space="preserve"> TA \l "</w:instrText>
      </w:r>
      <w:r w:rsidRPr="0047063B">
        <w:rPr>
          <w:i/>
          <w:iCs/>
        </w:rPr>
        <w:instrText>Prosecutor v. Furundžija</w:instrText>
      </w:r>
      <w:r w:rsidRPr="0047063B">
        <w:instrText xml:space="preserve">, Case No. IT-95-17/1-T, Judgment (ICTY Dec. 10, 1998)" \s "Prosecutor v. Furundžija" \c 3 </w:instrText>
      </w:r>
      <w:r w:rsidRPr="0047063B">
        <w:fldChar w:fldCharType="end"/>
      </w:r>
      <w:r w:rsidRPr="0047063B">
        <w:t xml:space="preserve">. </w:t>
      </w:r>
    </w:p>
  </w:footnote>
  <w:footnote w:id="75">
    <w:p w14:paraId="6611B6BF" w14:textId="77777777" w:rsidR="002A4673" w:rsidRPr="0047063B" w:rsidRDefault="002A4673" w:rsidP="0047063B">
      <w:pPr>
        <w:spacing w:line="240" w:lineRule="auto"/>
        <w:ind w:firstLine="0"/>
      </w:pPr>
      <w:r w:rsidRPr="0047063B">
        <w:rPr>
          <w:vertAlign w:val="superscript"/>
        </w:rPr>
        <w:footnoteRef/>
      </w:r>
      <w:r w:rsidRPr="0047063B">
        <w:t xml:space="preserve"> Roger O’Keefe, </w:t>
      </w:r>
      <w:r w:rsidRPr="0047063B">
        <w:rPr>
          <w:i/>
        </w:rPr>
        <w:t xml:space="preserve">Universal Jurisdiction: Clarifying the Basic </w:t>
      </w:r>
      <w:r w:rsidRPr="0047063B">
        <w:rPr>
          <w:i/>
          <w:iCs/>
        </w:rPr>
        <w:t>Concept</w:t>
      </w:r>
      <w:r w:rsidRPr="0047063B">
        <w:t xml:space="preserve">, 2 </w:t>
      </w:r>
      <w:r w:rsidRPr="0047063B">
        <w:rPr>
          <w:smallCaps/>
        </w:rPr>
        <w:t>J. Int’l Crim. Just.</w:t>
      </w:r>
      <w:r w:rsidRPr="0047063B">
        <w:t xml:space="preserve"> 735, 744–45 (2004)</w:t>
      </w:r>
      <w:r w:rsidRPr="0047063B">
        <w:fldChar w:fldCharType="begin"/>
      </w:r>
      <w:r w:rsidRPr="0047063B">
        <w:instrText xml:space="preserve"> TA \l "Roger O’Keefe, </w:instrText>
      </w:r>
      <w:r w:rsidRPr="0047063B">
        <w:rPr>
          <w:i/>
        </w:rPr>
        <w:instrText xml:space="preserve">Universal Jurisdiction: Clarifying the Basic </w:instrText>
      </w:r>
      <w:r w:rsidRPr="0047063B">
        <w:rPr>
          <w:i/>
          <w:iCs/>
        </w:rPr>
        <w:instrText>Concept</w:instrText>
      </w:r>
      <w:r w:rsidRPr="0047063B">
        <w:instrText xml:space="preserve">, 2 </w:instrText>
      </w:r>
      <w:r w:rsidRPr="0047063B">
        <w:rPr>
          <w:smallCaps/>
        </w:rPr>
        <w:instrText>J. Int’l Crim. Just.</w:instrText>
      </w:r>
      <w:r w:rsidRPr="0047063B">
        <w:instrText xml:space="preserve"> 735 (2004)" \s "Roger O’Keefe, Universal Jurisdiction: Clarifying the Basic Concept, 2 J. Int’l Crim. Just. 735 (2004)" \c 6 </w:instrText>
      </w:r>
      <w:r w:rsidRPr="0047063B">
        <w:fldChar w:fldCharType="end"/>
      </w:r>
      <w:r w:rsidRPr="0047063B">
        <w:t xml:space="preserve">; </w:t>
      </w:r>
      <w:r w:rsidRPr="0047063B">
        <w:rPr>
          <w:smallCaps/>
        </w:rPr>
        <w:t>Crawford</w:t>
      </w:r>
      <w:r w:rsidRPr="0047063B">
        <w:t xml:space="preserve">, </w:t>
      </w:r>
      <w:r w:rsidRPr="0047063B">
        <w:rPr>
          <w:i/>
          <w:iCs/>
        </w:rPr>
        <w:t>Jurisdictional Competence</w:t>
      </w:r>
      <w:r w:rsidR="006F2027" w:rsidRPr="0047063B">
        <w:rPr>
          <w:i/>
          <w:iCs/>
        </w:rPr>
        <w:fldChar w:fldCharType="begin"/>
      </w:r>
      <w:r w:rsidR="006F2027" w:rsidRPr="0047063B">
        <w:instrText xml:space="preserve"> TA \s "James Crawford, Jurisdictional Competence" </w:instrText>
      </w:r>
      <w:r w:rsidR="006F2027" w:rsidRPr="0047063B">
        <w:rPr>
          <w:i/>
          <w:iCs/>
        </w:rPr>
        <w:fldChar w:fldCharType="end"/>
      </w:r>
      <w:r w:rsidRPr="0047063B">
        <w:t xml:space="preserve">, </w:t>
      </w:r>
      <w:r w:rsidRPr="0047063B">
        <w:rPr>
          <w:i/>
        </w:rPr>
        <w:t xml:space="preserve">supra </w:t>
      </w:r>
      <w:r w:rsidRPr="0047063B">
        <w:t xml:space="preserve">note </w:t>
      </w:r>
      <w:r w:rsidR="006F2027" w:rsidRPr="0047063B">
        <w:t>2</w:t>
      </w:r>
      <w:r w:rsidRPr="0047063B">
        <w:t>, 451.</w:t>
      </w:r>
    </w:p>
  </w:footnote>
  <w:footnote w:id="76">
    <w:p w14:paraId="509C9B59" w14:textId="366657B7" w:rsidR="002A4673" w:rsidRPr="0047063B" w:rsidRDefault="002A4673" w:rsidP="0047063B">
      <w:pPr>
        <w:spacing w:line="240" w:lineRule="auto"/>
        <w:ind w:firstLine="0"/>
      </w:pPr>
      <w:r w:rsidRPr="0047063B">
        <w:rPr>
          <w:vertAlign w:val="superscript"/>
        </w:rPr>
        <w:footnoteRef/>
      </w:r>
      <w:r w:rsidRPr="0047063B">
        <w:t xml:space="preserve"> UNGA Report</w:t>
      </w:r>
      <w:r w:rsidRPr="0047063B">
        <w:fldChar w:fldCharType="begin"/>
      </w:r>
      <w:r w:rsidRPr="0047063B">
        <w:instrText xml:space="preserve"> TA \s "UNGA Report" </w:instrText>
      </w:r>
      <w:r w:rsidRPr="0047063B">
        <w:fldChar w:fldCharType="end"/>
      </w:r>
      <w:r w:rsidRPr="0047063B">
        <w:t xml:space="preserve">, ¶16; </w:t>
      </w:r>
      <w:r w:rsidRPr="0047063B">
        <w:rPr>
          <w:i/>
        </w:rPr>
        <w:t xml:space="preserve">see </w:t>
      </w:r>
      <w:r w:rsidRPr="0047063B">
        <w:rPr>
          <w:i/>
          <w:iCs/>
        </w:rPr>
        <w:t>generally</w:t>
      </w:r>
      <w:r w:rsidRPr="0047063B">
        <w:rPr>
          <w:i/>
        </w:rPr>
        <w:t xml:space="preserve"> </w:t>
      </w:r>
      <w:r w:rsidRPr="0047063B">
        <w:t xml:space="preserve">Máximo Langer &amp; Mackenzie Eason, </w:t>
      </w:r>
      <w:r w:rsidRPr="0047063B">
        <w:rPr>
          <w:i/>
        </w:rPr>
        <w:t xml:space="preserve">The Quiet Expansion of Universal </w:t>
      </w:r>
      <w:r w:rsidRPr="0047063B">
        <w:rPr>
          <w:i/>
          <w:iCs/>
        </w:rPr>
        <w:t>Jurisdiction</w:t>
      </w:r>
      <w:r w:rsidRPr="0047063B">
        <w:t xml:space="preserve">, 30 </w:t>
      </w:r>
      <w:r w:rsidRPr="0047063B">
        <w:rPr>
          <w:smallCaps/>
        </w:rPr>
        <w:t>Eur</w:t>
      </w:r>
      <w:r w:rsidR="004F4E5F">
        <w:rPr>
          <w:smallCaps/>
        </w:rPr>
        <w:t>.</w:t>
      </w:r>
      <w:r w:rsidRPr="0047063B">
        <w:rPr>
          <w:smallCaps/>
        </w:rPr>
        <w:t xml:space="preserve"> J</w:t>
      </w:r>
      <w:r w:rsidR="004F4E5F">
        <w:rPr>
          <w:smallCaps/>
        </w:rPr>
        <w:t>.</w:t>
      </w:r>
      <w:r w:rsidRPr="0047063B">
        <w:rPr>
          <w:smallCaps/>
        </w:rPr>
        <w:t xml:space="preserve"> Int</w:t>
      </w:r>
      <w:r w:rsidR="004F4E5F">
        <w:rPr>
          <w:smallCaps/>
        </w:rPr>
        <w:t>’l</w:t>
      </w:r>
      <w:r w:rsidRPr="0047063B">
        <w:rPr>
          <w:smallCaps/>
        </w:rPr>
        <w:t xml:space="preserve"> L</w:t>
      </w:r>
      <w:r w:rsidR="004F4E5F">
        <w:rPr>
          <w:smallCaps/>
        </w:rPr>
        <w:t>.</w:t>
      </w:r>
      <w:r w:rsidRPr="0047063B">
        <w:t xml:space="preserve"> 779 (2019)</w:t>
      </w:r>
      <w:r w:rsidRPr="0047063B">
        <w:fldChar w:fldCharType="begin"/>
      </w:r>
      <w:r w:rsidRPr="0047063B">
        <w:instrText xml:space="preserve"> TA \l "Máximo Langer &amp; Mackenzie Eason, </w:instrText>
      </w:r>
      <w:r w:rsidRPr="0047063B">
        <w:rPr>
          <w:i/>
        </w:rPr>
        <w:instrText xml:space="preserve">The Quiet Expansion of Universal </w:instrText>
      </w:r>
      <w:r w:rsidRPr="0047063B">
        <w:rPr>
          <w:i/>
          <w:iCs/>
        </w:rPr>
        <w:instrText>Jurisdiction</w:instrText>
      </w:r>
      <w:r w:rsidRPr="0047063B">
        <w:instrText xml:space="preserve">, 30 </w:instrText>
      </w:r>
      <w:r w:rsidR="004F4E5F" w:rsidRPr="0047063B">
        <w:rPr>
          <w:smallCaps/>
        </w:rPr>
        <w:instrText>Eur</w:instrText>
      </w:r>
      <w:r w:rsidR="004F4E5F">
        <w:rPr>
          <w:smallCaps/>
        </w:rPr>
        <w:instrText>.</w:instrText>
      </w:r>
      <w:r w:rsidR="004F4E5F" w:rsidRPr="0047063B">
        <w:rPr>
          <w:smallCaps/>
        </w:rPr>
        <w:instrText xml:space="preserve"> J</w:instrText>
      </w:r>
      <w:r w:rsidR="004F4E5F">
        <w:rPr>
          <w:smallCaps/>
        </w:rPr>
        <w:instrText>.</w:instrText>
      </w:r>
      <w:r w:rsidR="004F4E5F" w:rsidRPr="0047063B">
        <w:rPr>
          <w:smallCaps/>
        </w:rPr>
        <w:instrText xml:space="preserve"> Int</w:instrText>
      </w:r>
      <w:r w:rsidR="004F4E5F">
        <w:rPr>
          <w:smallCaps/>
        </w:rPr>
        <w:instrText>’l</w:instrText>
      </w:r>
      <w:r w:rsidR="004F4E5F" w:rsidRPr="0047063B">
        <w:rPr>
          <w:smallCaps/>
        </w:rPr>
        <w:instrText xml:space="preserve"> L</w:instrText>
      </w:r>
      <w:r w:rsidR="004F4E5F">
        <w:rPr>
          <w:smallCaps/>
        </w:rPr>
        <w:instrText>.</w:instrText>
      </w:r>
      <w:r w:rsidR="004F4E5F" w:rsidRPr="0047063B">
        <w:instrText xml:space="preserve"> </w:instrText>
      </w:r>
      <w:r w:rsidRPr="0047063B">
        <w:instrText xml:space="preserve">779 (2019)" \s "Máximo Langer &amp; Mackenzie Eason, The Quiet Expansion of Universal Jurisdiction, 30 European Journal of International Law 779 (2019)" \c 6 </w:instrText>
      </w:r>
      <w:r w:rsidRPr="0047063B">
        <w:fldChar w:fldCharType="end"/>
      </w:r>
      <w:r w:rsidRPr="0047063B">
        <w:t xml:space="preserve">. </w:t>
      </w:r>
      <w:r w:rsidRPr="0047063B">
        <w:rPr>
          <w:i/>
        </w:rPr>
        <w:t xml:space="preserve"> </w:t>
      </w:r>
    </w:p>
  </w:footnote>
  <w:footnote w:id="77">
    <w:p w14:paraId="230076A2" w14:textId="77777777" w:rsidR="002A4673" w:rsidRPr="0047063B" w:rsidRDefault="002A4673"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w:t>
      </w:r>
      <w:r w:rsidRPr="0047063B">
        <w:rPr>
          <w:i/>
          <w:sz w:val="24"/>
          <w:szCs w:val="24"/>
        </w:rPr>
        <w:t xml:space="preserve">Arrest Warrant of 11 April 2000 </w:t>
      </w:r>
      <w:r w:rsidRPr="0047063B">
        <w:rPr>
          <w:sz w:val="24"/>
          <w:szCs w:val="24"/>
        </w:rPr>
        <w:t>(Dem. Rep. Congo v. Belg.), Judgment, 2002 I.C.J. 63, ¶¶46, 49 (Feb. 14) (separate opinion by Higgins, J. et al.)</w:t>
      </w:r>
      <w:r w:rsidRPr="0047063B">
        <w:rPr>
          <w:sz w:val="24"/>
          <w:szCs w:val="24"/>
        </w:rPr>
        <w:fldChar w:fldCharType="begin"/>
      </w:r>
      <w:r w:rsidRPr="0047063B">
        <w:rPr>
          <w:sz w:val="24"/>
          <w:szCs w:val="24"/>
        </w:rPr>
        <w:instrText xml:space="preserve"> TA \l "</w:instrText>
      </w:r>
      <w:r w:rsidRPr="0047063B">
        <w:rPr>
          <w:i/>
          <w:sz w:val="24"/>
          <w:szCs w:val="24"/>
        </w:rPr>
        <w:instrText xml:space="preserve">Arrest Warrant of 11 April 2000 </w:instrText>
      </w:r>
      <w:r w:rsidRPr="0047063B">
        <w:rPr>
          <w:sz w:val="24"/>
          <w:szCs w:val="24"/>
        </w:rPr>
        <w:instrText xml:space="preserve">(Dem. Rep. Congo v. Belg.), Judgment, 2002 I.C.J. 63 (Feb. 14) (separate opinion by Higgins, J. et al.)" \s "Arrest Warrant (separate opinion by Higgins, J. et al.)" \c 2 </w:instrText>
      </w:r>
      <w:r w:rsidRPr="0047063B">
        <w:rPr>
          <w:sz w:val="24"/>
          <w:szCs w:val="24"/>
        </w:rPr>
        <w:fldChar w:fldCharType="end"/>
      </w:r>
      <w:r w:rsidRPr="0047063B">
        <w:rPr>
          <w:sz w:val="24"/>
          <w:szCs w:val="24"/>
        </w:rPr>
        <w:t xml:space="preserve"> [“</w:t>
      </w:r>
      <w:r w:rsidRPr="0047063B">
        <w:rPr>
          <w:b/>
          <w:bCs/>
          <w:sz w:val="24"/>
          <w:szCs w:val="24"/>
        </w:rPr>
        <w:t>Arrest Warrant</w:t>
      </w:r>
      <w:r w:rsidRPr="0047063B">
        <w:rPr>
          <w:sz w:val="24"/>
          <w:szCs w:val="24"/>
        </w:rPr>
        <w:t>”].</w:t>
      </w:r>
    </w:p>
  </w:footnote>
  <w:footnote w:id="78">
    <w:p w14:paraId="63D3DB66" w14:textId="77777777" w:rsidR="002A4673" w:rsidRPr="0047063B" w:rsidRDefault="002A4673"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w:t>
      </w:r>
      <w:r w:rsidRPr="0047063B">
        <w:rPr>
          <w:i/>
          <w:sz w:val="24"/>
          <w:szCs w:val="24"/>
        </w:rPr>
        <w:t>Id</w:t>
      </w:r>
      <w:r w:rsidRPr="0047063B">
        <w:rPr>
          <w:i/>
          <w:iCs/>
          <w:sz w:val="24"/>
          <w:szCs w:val="24"/>
        </w:rPr>
        <w:fldChar w:fldCharType="begin"/>
      </w:r>
      <w:r w:rsidRPr="0047063B">
        <w:rPr>
          <w:sz w:val="24"/>
          <w:szCs w:val="24"/>
        </w:rPr>
        <w:instrText xml:space="preserve"> TA \s "Arrest Warrant (separate opinion by Higgins, J. et al.)" </w:instrText>
      </w:r>
      <w:r w:rsidRPr="0047063B">
        <w:rPr>
          <w:i/>
          <w:iCs/>
          <w:sz w:val="24"/>
          <w:szCs w:val="24"/>
        </w:rPr>
        <w:fldChar w:fldCharType="end"/>
      </w:r>
      <w:r w:rsidRPr="0047063B">
        <w:rPr>
          <w:i/>
          <w:iCs/>
          <w:sz w:val="24"/>
          <w:szCs w:val="24"/>
        </w:rPr>
        <w:t>.</w:t>
      </w:r>
      <w:r w:rsidRPr="0047063B">
        <w:rPr>
          <w:sz w:val="24"/>
          <w:szCs w:val="24"/>
        </w:rPr>
        <w:t xml:space="preserve"> ¶52. </w:t>
      </w:r>
    </w:p>
  </w:footnote>
  <w:footnote w:id="79">
    <w:p w14:paraId="5194BAE2" w14:textId="77777777" w:rsidR="002A4673" w:rsidRPr="0047063B" w:rsidRDefault="002A4673" w:rsidP="0047063B">
      <w:pPr>
        <w:spacing w:line="240" w:lineRule="auto"/>
        <w:ind w:firstLine="0"/>
      </w:pPr>
      <w:r w:rsidRPr="0047063B">
        <w:rPr>
          <w:vertAlign w:val="superscript"/>
        </w:rPr>
        <w:footnoteRef/>
      </w:r>
      <w:r w:rsidRPr="0047063B">
        <w:t xml:space="preserve"> UNGA Report</w:t>
      </w:r>
      <w:r w:rsidRPr="0047063B">
        <w:fldChar w:fldCharType="begin"/>
      </w:r>
      <w:r w:rsidRPr="0047063B">
        <w:instrText xml:space="preserve"> TA \s "UNGA Report" </w:instrText>
      </w:r>
      <w:r w:rsidRPr="0047063B">
        <w:fldChar w:fldCharType="end"/>
      </w:r>
      <w:r w:rsidRPr="0047063B">
        <w:t>, ¶10, annex (citing domestic codes in Argentina, Armenia, Australia, Austria, Azerbaijan, Bahrain, Belarus, Belgium, Bulgaria, Burkina Faso, Canada, Chile, Costa Rica, Croatia, Cuba, Cyprus, Czechia, Denmark, Dominican Republic, El Salvador, Estonia, Finland, Georgia, Germany, Greece, Hungary, Ireland, Italy, Lithuania, Malta, Morocco, Netherlands, New Zealand, Norway, Panama, Portugal, Republic of Korea, Moldova, Senegal, Spain, Sweden, Switzerland, Togo, Türkiye, Turkmenistan, and Ukraine).</w:t>
      </w:r>
    </w:p>
  </w:footnote>
  <w:footnote w:id="80">
    <w:p w14:paraId="51D26058"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Anne Lagerwall &amp; Marie-Laurence Hébert-Dolbec, </w:t>
      </w:r>
      <w:r w:rsidRPr="0047063B">
        <w:rPr>
          <w:i/>
          <w:iCs/>
          <w:sz w:val="24"/>
          <w:szCs w:val="24"/>
        </w:rPr>
        <w:t>Universal</w:t>
      </w:r>
      <w:r w:rsidRPr="0047063B">
        <w:rPr>
          <w:sz w:val="24"/>
          <w:szCs w:val="24"/>
        </w:rPr>
        <w:t xml:space="preserve"> </w:t>
      </w:r>
      <w:r w:rsidRPr="0047063B">
        <w:rPr>
          <w:i/>
          <w:iCs/>
          <w:sz w:val="24"/>
          <w:szCs w:val="24"/>
        </w:rPr>
        <w:t>Jurisdiction</w:t>
      </w:r>
      <w:r w:rsidRPr="0047063B">
        <w:rPr>
          <w:sz w:val="24"/>
          <w:szCs w:val="24"/>
        </w:rPr>
        <w:t xml:space="preserve">, </w:t>
      </w:r>
      <w:r w:rsidRPr="0047063B">
        <w:rPr>
          <w:i/>
          <w:sz w:val="24"/>
          <w:szCs w:val="24"/>
        </w:rPr>
        <w:t>in</w:t>
      </w:r>
      <w:r w:rsidRPr="0047063B">
        <w:rPr>
          <w:sz w:val="24"/>
          <w:szCs w:val="24"/>
        </w:rPr>
        <w:t xml:space="preserve"> </w:t>
      </w:r>
      <w:r w:rsidRPr="0047063B">
        <w:rPr>
          <w:smallCaps/>
          <w:sz w:val="24"/>
          <w:szCs w:val="24"/>
        </w:rPr>
        <w:t xml:space="preserve">Max Planck Encyclopedia of International Law, </w:t>
      </w:r>
      <w:r w:rsidRPr="0047063B">
        <w:rPr>
          <w:sz w:val="24"/>
          <w:szCs w:val="24"/>
        </w:rPr>
        <w:t>¶24 (July 2022)</w:t>
      </w:r>
      <w:r w:rsidRPr="0047063B">
        <w:rPr>
          <w:sz w:val="24"/>
          <w:szCs w:val="24"/>
        </w:rPr>
        <w:fldChar w:fldCharType="begin"/>
      </w:r>
      <w:r w:rsidRPr="0047063B">
        <w:rPr>
          <w:sz w:val="24"/>
          <w:szCs w:val="24"/>
        </w:rPr>
        <w:instrText xml:space="preserve"> TA \l "Anne Lagerwall &amp; Marie-Laurence Hébert-Dolbec, </w:instrText>
      </w:r>
      <w:r w:rsidRPr="0047063B">
        <w:rPr>
          <w:i/>
          <w:iCs/>
          <w:sz w:val="24"/>
          <w:szCs w:val="24"/>
        </w:rPr>
        <w:instrText>Universal</w:instrText>
      </w:r>
      <w:r w:rsidRPr="0047063B">
        <w:rPr>
          <w:sz w:val="24"/>
          <w:szCs w:val="24"/>
        </w:rPr>
        <w:instrText xml:space="preserve"> </w:instrText>
      </w:r>
      <w:r w:rsidRPr="0047063B">
        <w:rPr>
          <w:i/>
          <w:iCs/>
          <w:sz w:val="24"/>
          <w:szCs w:val="24"/>
        </w:rPr>
        <w:instrText>Jurisdiction</w:instrText>
      </w:r>
      <w:r w:rsidRPr="0047063B">
        <w:rPr>
          <w:sz w:val="24"/>
          <w:szCs w:val="24"/>
        </w:rPr>
        <w:instrText xml:space="preserve">, </w:instrText>
      </w:r>
      <w:r w:rsidRPr="0047063B">
        <w:rPr>
          <w:i/>
          <w:sz w:val="24"/>
          <w:szCs w:val="24"/>
        </w:rPr>
        <w:instrText>in</w:instrText>
      </w:r>
      <w:r w:rsidRPr="0047063B">
        <w:rPr>
          <w:sz w:val="24"/>
          <w:szCs w:val="24"/>
        </w:rPr>
        <w:instrText xml:space="preserve"> </w:instrText>
      </w:r>
      <w:r w:rsidRPr="0047063B">
        <w:rPr>
          <w:smallCaps/>
          <w:sz w:val="24"/>
          <w:szCs w:val="24"/>
        </w:rPr>
        <w:instrText>Max Planck Encyclopedia of International Law</w:instrText>
      </w:r>
      <w:r w:rsidRPr="0047063B">
        <w:rPr>
          <w:sz w:val="24"/>
          <w:szCs w:val="24"/>
        </w:rPr>
        <w:instrText xml:space="preserve"> (July 2022)" \s "Anne Lagerwall &amp; Marie-Laurence Hébert-Dolbec, Universal Jurisdiction, in Max Planck Encyclopedia of International Law (July 2022)" \c 6 </w:instrText>
      </w:r>
      <w:r w:rsidRPr="0047063B">
        <w:rPr>
          <w:sz w:val="24"/>
          <w:szCs w:val="24"/>
        </w:rPr>
        <w:fldChar w:fldCharType="end"/>
      </w:r>
      <w:r w:rsidRPr="0047063B">
        <w:rPr>
          <w:sz w:val="24"/>
          <w:szCs w:val="24"/>
        </w:rPr>
        <w:t xml:space="preserve">. </w:t>
      </w:r>
    </w:p>
  </w:footnote>
  <w:footnote w:id="81">
    <w:p w14:paraId="0EC6ED8F"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Rome Statute of the </w:t>
      </w:r>
      <w:r w:rsidR="004C5FFB" w:rsidRPr="0047063B">
        <w:rPr>
          <w:sz w:val="24"/>
          <w:szCs w:val="24"/>
        </w:rPr>
        <w:t>International Criminal Court</w:t>
      </w:r>
      <w:r w:rsidRPr="0047063B">
        <w:rPr>
          <w:sz w:val="24"/>
          <w:szCs w:val="24"/>
        </w:rPr>
        <w:t xml:space="preserve"> art. 58(1)(a), July 17, 1998, 2187 U.N.T.S. 90</w:t>
      </w:r>
      <w:r w:rsidRPr="0047063B">
        <w:rPr>
          <w:sz w:val="24"/>
          <w:szCs w:val="24"/>
        </w:rPr>
        <w:fldChar w:fldCharType="begin"/>
      </w:r>
      <w:r w:rsidRPr="0047063B">
        <w:rPr>
          <w:sz w:val="24"/>
          <w:szCs w:val="24"/>
        </w:rPr>
        <w:instrText xml:space="preserve"> TA \l "Rome Statute of the </w:instrText>
      </w:r>
      <w:r w:rsidR="004C5FFB" w:rsidRPr="0047063B">
        <w:rPr>
          <w:sz w:val="24"/>
          <w:szCs w:val="24"/>
        </w:rPr>
        <w:instrText>International Criminal Court</w:instrText>
      </w:r>
      <w:r w:rsidRPr="0047063B">
        <w:rPr>
          <w:sz w:val="24"/>
          <w:szCs w:val="24"/>
        </w:rPr>
        <w:instrText xml:space="preserve">, July 17, 1998, 2187 U.N.T.S. 90" \s "Rome Statute" \c 1 </w:instrText>
      </w:r>
      <w:r w:rsidRPr="0047063B">
        <w:rPr>
          <w:sz w:val="24"/>
          <w:szCs w:val="24"/>
        </w:rPr>
        <w:fldChar w:fldCharType="end"/>
      </w:r>
      <w:r w:rsidRPr="0047063B">
        <w:rPr>
          <w:sz w:val="24"/>
          <w:szCs w:val="24"/>
        </w:rPr>
        <w:t xml:space="preserve"> [“</w:t>
      </w:r>
      <w:r w:rsidRPr="0047063B">
        <w:rPr>
          <w:b/>
          <w:bCs/>
          <w:sz w:val="24"/>
          <w:szCs w:val="24"/>
        </w:rPr>
        <w:t>Rome Statute</w:t>
      </w:r>
      <w:r w:rsidRPr="0047063B">
        <w:rPr>
          <w:sz w:val="24"/>
          <w:szCs w:val="24"/>
        </w:rPr>
        <w:t xml:space="preserve">”]. </w:t>
      </w:r>
    </w:p>
  </w:footnote>
  <w:footnote w:id="82">
    <w:p w14:paraId="00943569" w14:textId="77777777" w:rsidR="002A4673" w:rsidRPr="0047063B" w:rsidRDefault="002A4673" w:rsidP="0047063B">
      <w:pPr>
        <w:spacing w:line="240" w:lineRule="auto"/>
        <w:ind w:firstLine="0"/>
        <w:rPr>
          <w:smallCaps/>
        </w:rPr>
      </w:pPr>
      <w:r w:rsidRPr="0047063B">
        <w:rPr>
          <w:vertAlign w:val="superscript"/>
        </w:rPr>
        <w:footnoteRef/>
      </w:r>
      <w:r w:rsidRPr="0047063B">
        <w:t xml:space="preserve"> ICPPED</w:t>
      </w:r>
      <w:r w:rsidRPr="0047063B">
        <w:fldChar w:fldCharType="begin"/>
      </w:r>
      <w:r w:rsidRPr="0047063B">
        <w:instrText xml:space="preserve"> TA \s "ICPPED" </w:instrText>
      </w:r>
      <w:r w:rsidRPr="0047063B">
        <w:fldChar w:fldCharType="end"/>
      </w:r>
      <w:r w:rsidRPr="0047063B">
        <w:t xml:space="preserve"> art. 5; </w:t>
      </w:r>
      <w:r w:rsidRPr="0047063B">
        <w:rPr>
          <w:i/>
        </w:rPr>
        <w:t>see also</w:t>
      </w:r>
      <w:r w:rsidRPr="0047063B">
        <w:rPr>
          <w:smallCaps/>
        </w:rPr>
        <w:t xml:space="preserve"> </w:t>
      </w:r>
      <w:r w:rsidRPr="0047063B">
        <w:t>W</w:t>
      </w:r>
      <w:r w:rsidRPr="0047063B">
        <w:rPr>
          <w:smallCaps/>
        </w:rPr>
        <w:t>illiam</w:t>
      </w:r>
      <w:r w:rsidRPr="0047063B">
        <w:t xml:space="preserve"> S</w:t>
      </w:r>
      <w:r w:rsidRPr="0047063B">
        <w:rPr>
          <w:smallCaps/>
        </w:rPr>
        <w:t>chabas</w:t>
      </w:r>
      <w:r w:rsidRPr="0047063B">
        <w:t xml:space="preserve">, </w:t>
      </w:r>
      <w:r w:rsidRPr="0047063B">
        <w:rPr>
          <w:i/>
          <w:iCs/>
        </w:rPr>
        <w:t>Crimes against humanity/Crimes contre l‘humanité</w:t>
      </w:r>
      <w:r w:rsidRPr="0047063B">
        <w:t xml:space="preserve">, </w:t>
      </w:r>
      <w:r w:rsidRPr="0047063B">
        <w:rPr>
          <w:i/>
          <w:iCs/>
        </w:rPr>
        <w:t>in</w:t>
      </w:r>
      <w:r w:rsidRPr="0047063B">
        <w:rPr>
          <w:i/>
        </w:rPr>
        <w:t xml:space="preserve"> </w:t>
      </w:r>
      <w:r w:rsidRPr="0047063B">
        <w:rPr>
          <w:smallCaps/>
        </w:rPr>
        <w:t xml:space="preserve">The International Criminal Court: A Commentary on the Rome Statute 145, </w:t>
      </w:r>
      <w:r w:rsidRPr="0047063B">
        <w:t>164 (2d ed. 2016)</w:t>
      </w:r>
      <w:r w:rsidRPr="0047063B">
        <w:fldChar w:fldCharType="begin"/>
      </w:r>
      <w:r w:rsidRPr="0047063B">
        <w:instrText xml:space="preserve"> TA \l "W</w:instrText>
      </w:r>
      <w:r w:rsidRPr="0047063B">
        <w:rPr>
          <w:smallCaps/>
        </w:rPr>
        <w:instrText>illiam</w:instrText>
      </w:r>
      <w:r w:rsidRPr="0047063B">
        <w:instrText xml:space="preserve"> S</w:instrText>
      </w:r>
      <w:r w:rsidRPr="0047063B">
        <w:rPr>
          <w:smallCaps/>
        </w:rPr>
        <w:instrText>chabas</w:instrText>
      </w:r>
      <w:r w:rsidRPr="0047063B">
        <w:instrText xml:space="preserve">, </w:instrText>
      </w:r>
      <w:r w:rsidRPr="0047063B">
        <w:rPr>
          <w:i/>
          <w:iCs/>
        </w:rPr>
        <w:instrText>Crimes against humanity/Crimes contre l‘humanité</w:instrText>
      </w:r>
      <w:r w:rsidRPr="0047063B">
        <w:instrText xml:space="preserve">, </w:instrText>
      </w:r>
      <w:r w:rsidRPr="0047063B">
        <w:rPr>
          <w:i/>
          <w:iCs/>
        </w:rPr>
        <w:instrText>in</w:instrText>
      </w:r>
      <w:r w:rsidRPr="0047063B">
        <w:rPr>
          <w:i/>
        </w:rPr>
        <w:instrText xml:space="preserve"> </w:instrText>
      </w:r>
      <w:r w:rsidRPr="0047063B">
        <w:rPr>
          <w:smallCaps/>
        </w:rPr>
        <w:instrText xml:space="preserve">The International Criminal Court: A Commentary on the Rome Statute 145 </w:instrText>
      </w:r>
      <w:r w:rsidRPr="0047063B">
        <w:instrText xml:space="preserve">(2d ed. 2016)" \s "William Schabas, Crimes against humanity/Crimes contre l‘humanité, in The International Criminal Court: A Commentary on the Rome Statute 145 (2d ed. 2016)" \c 6 </w:instrText>
      </w:r>
      <w:r w:rsidRPr="0047063B">
        <w:fldChar w:fldCharType="end"/>
      </w:r>
      <w:r w:rsidRPr="0047063B">
        <w:rPr>
          <w:smallCaps/>
        </w:rPr>
        <w:t xml:space="preserve">; Guénaël Mettraux, </w:t>
      </w:r>
      <w:r w:rsidRPr="0047063B">
        <w:rPr>
          <w:i/>
          <w:iCs/>
        </w:rPr>
        <w:t>Chapeau or Contextual Elements</w:t>
      </w:r>
      <w:r w:rsidRPr="0047063B">
        <w:t xml:space="preserve">, </w:t>
      </w:r>
      <w:r w:rsidRPr="004F4E5F">
        <w:rPr>
          <w:i/>
          <w:iCs/>
        </w:rPr>
        <w:t>in</w:t>
      </w:r>
      <w:r w:rsidRPr="0047063B">
        <w:rPr>
          <w:smallCaps/>
        </w:rPr>
        <w:t xml:space="preserve"> International Crimes: Law and Practice; Vol. II: Crimes Against Humanity</w:t>
      </w:r>
      <w:r w:rsidRPr="0047063B">
        <w:t xml:space="preserve"> 194, 270–77 (2020)</w:t>
      </w:r>
      <w:r w:rsidRPr="0047063B">
        <w:fldChar w:fldCharType="begin"/>
      </w:r>
      <w:r w:rsidRPr="0047063B">
        <w:instrText xml:space="preserve"> TA \l "</w:instrText>
      </w:r>
      <w:r w:rsidRPr="0047063B">
        <w:rPr>
          <w:smallCaps/>
        </w:rPr>
        <w:instrText xml:space="preserve">Guénaël Mettraux, </w:instrText>
      </w:r>
      <w:r w:rsidRPr="0047063B">
        <w:rPr>
          <w:i/>
          <w:iCs/>
        </w:rPr>
        <w:instrText>Chapeau or Contextual Elements</w:instrText>
      </w:r>
      <w:r w:rsidRPr="0047063B">
        <w:instrText xml:space="preserve">, </w:instrText>
      </w:r>
      <w:r w:rsidRPr="004F4E5F">
        <w:rPr>
          <w:i/>
          <w:iCs/>
        </w:rPr>
        <w:instrText>in</w:instrText>
      </w:r>
      <w:r w:rsidRPr="0047063B">
        <w:rPr>
          <w:smallCaps/>
        </w:rPr>
        <w:instrText xml:space="preserve"> International Crimes: Law and Practice; Vol. II: Crimes Against Humanity</w:instrText>
      </w:r>
      <w:r w:rsidRPr="0047063B">
        <w:instrText xml:space="preserve"> 194 (2020)" \s "Guénaël Mettraux, Chapeau or Contextual Elements, in International Crimes: Law and Practice; Vol. II: Crimes Against Humanity 194 (2020)" \c 6 </w:instrText>
      </w:r>
      <w:r w:rsidRPr="0047063B">
        <w:fldChar w:fldCharType="end"/>
      </w:r>
      <w:r w:rsidRPr="0047063B">
        <w:t>.</w:t>
      </w:r>
    </w:p>
  </w:footnote>
  <w:footnote w:id="83">
    <w:p w14:paraId="50D1A1EF" w14:textId="77777777" w:rsidR="002A4673" w:rsidRPr="0047063B" w:rsidRDefault="002A4673" w:rsidP="0047063B">
      <w:pPr>
        <w:pStyle w:val="FootnoteText"/>
        <w:spacing w:after="160"/>
        <w:ind w:firstLine="0"/>
        <w:rPr>
          <w:sz w:val="24"/>
          <w:szCs w:val="24"/>
          <w:highlight w:val="yellow"/>
        </w:rPr>
      </w:pPr>
      <w:r w:rsidRPr="0047063B">
        <w:rPr>
          <w:rStyle w:val="FootnoteReference"/>
          <w:sz w:val="24"/>
          <w:szCs w:val="24"/>
        </w:rPr>
        <w:footnoteRef/>
      </w:r>
      <w:r w:rsidRPr="0047063B">
        <w:rPr>
          <w:sz w:val="24"/>
          <w:szCs w:val="24"/>
        </w:rPr>
        <w:t xml:space="preserve"> Facts, ¶25.</w:t>
      </w:r>
    </w:p>
  </w:footnote>
  <w:footnote w:id="84">
    <w:p w14:paraId="153E2EC9"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w:t>
      </w:r>
      <w:r w:rsidRPr="0047063B">
        <w:rPr>
          <w:i/>
          <w:iCs/>
          <w:sz w:val="24"/>
          <w:szCs w:val="24"/>
        </w:rPr>
        <w:t>Id.</w:t>
      </w:r>
    </w:p>
  </w:footnote>
  <w:footnote w:id="85">
    <w:p w14:paraId="0D95959C" w14:textId="77777777" w:rsidR="002A4673" w:rsidRPr="0047063B" w:rsidRDefault="002A4673" w:rsidP="0047063B">
      <w:pPr>
        <w:pStyle w:val="FootnoteText"/>
        <w:spacing w:after="160"/>
        <w:ind w:firstLine="0"/>
        <w:rPr>
          <w:smallCaps/>
          <w:sz w:val="24"/>
          <w:szCs w:val="24"/>
        </w:rPr>
      </w:pPr>
      <w:r w:rsidRPr="0047063B">
        <w:rPr>
          <w:rStyle w:val="FootnoteReference"/>
          <w:sz w:val="24"/>
          <w:szCs w:val="24"/>
        </w:rPr>
        <w:footnoteRef/>
      </w:r>
      <w:r w:rsidRPr="0047063B">
        <w:rPr>
          <w:smallCaps/>
          <w:sz w:val="24"/>
          <w:szCs w:val="24"/>
        </w:rPr>
        <w:t xml:space="preserve"> Mettraux</w:t>
      </w:r>
      <w:r w:rsidRPr="0047063B">
        <w:rPr>
          <w:smallCaps/>
          <w:sz w:val="24"/>
          <w:szCs w:val="24"/>
        </w:rPr>
        <w:fldChar w:fldCharType="begin"/>
      </w:r>
      <w:r w:rsidRPr="0047063B">
        <w:rPr>
          <w:sz w:val="24"/>
          <w:szCs w:val="24"/>
        </w:rPr>
        <w:instrText xml:space="preserve"> TA \s "Guénaël Mettraux, Chapeau or Contextual Elements, in International Crimes: Law and Practice; Vol. II: Crimes Against Humanity 194 (2020)" </w:instrText>
      </w:r>
      <w:r w:rsidRPr="0047063B">
        <w:rPr>
          <w:smallCaps/>
          <w:sz w:val="24"/>
          <w:szCs w:val="24"/>
        </w:rPr>
        <w:fldChar w:fldCharType="end"/>
      </w:r>
      <w:r w:rsidRPr="0047063B">
        <w:rPr>
          <w:smallCaps/>
          <w:sz w:val="24"/>
          <w:szCs w:val="24"/>
        </w:rPr>
        <w:t>,</w:t>
      </w:r>
      <w:r w:rsidRPr="0047063B">
        <w:rPr>
          <w:sz w:val="24"/>
          <w:szCs w:val="24"/>
        </w:rPr>
        <w:t xml:space="preserve"> </w:t>
      </w:r>
      <w:r w:rsidRPr="0047063B">
        <w:rPr>
          <w:i/>
          <w:iCs/>
          <w:sz w:val="24"/>
          <w:szCs w:val="24"/>
        </w:rPr>
        <w:t>supra</w:t>
      </w:r>
      <w:r w:rsidRPr="0047063B">
        <w:rPr>
          <w:sz w:val="24"/>
          <w:szCs w:val="24"/>
        </w:rPr>
        <w:t xml:space="preserve"> note 82, at 271–72, n. 331. </w:t>
      </w:r>
    </w:p>
  </w:footnote>
  <w:footnote w:id="86">
    <w:p w14:paraId="3E994B2D"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w:t>
      </w:r>
      <w:r w:rsidRPr="0047063B">
        <w:rPr>
          <w:i/>
          <w:sz w:val="24"/>
          <w:szCs w:val="24"/>
        </w:rPr>
        <w:t>Prosecutor v. Bemba</w:t>
      </w:r>
      <w:r w:rsidRPr="0047063B">
        <w:rPr>
          <w:sz w:val="24"/>
          <w:szCs w:val="24"/>
        </w:rPr>
        <w:t>, ICC-01/05-01/08-424, Decision on Charges, ¶151 (June 15, 2009).</w:t>
      </w:r>
      <w:r w:rsidRPr="0047063B">
        <w:rPr>
          <w:sz w:val="24"/>
          <w:szCs w:val="24"/>
        </w:rPr>
        <w:fldChar w:fldCharType="begin"/>
      </w:r>
      <w:r w:rsidRPr="0047063B">
        <w:rPr>
          <w:sz w:val="24"/>
          <w:szCs w:val="24"/>
        </w:rPr>
        <w:instrText xml:space="preserve"> TA \l "</w:instrText>
      </w:r>
      <w:r w:rsidRPr="0047063B">
        <w:rPr>
          <w:i/>
          <w:sz w:val="24"/>
          <w:szCs w:val="24"/>
        </w:rPr>
        <w:instrText>Prosecutor v. Bemba</w:instrText>
      </w:r>
      <w:r w:rsidRPr="0047063B">
        <w:rPr>
          <w:sz w:val="24"/>
          <w:szCs w:val="24"/>
        </w:rPr>
        <w:instrText xml:space="preserve">, ICC-01/05-01/08-424, Decision on Charges (June 15, 2009)." \s "Prosecutor v. Bemba" \c 3 </w:instrText>
      </w:r>
      <w:r w:rsidRPr="0047063B">
        <w:rPr>
          <w:sz w:val="24"/>
          <w:szCs w:val="24"/>
        </w:rPr>
        <w:fldChar w:fldCharType="end"/>
      </w:r>
    </w:p>
  </w:footnote>
  <w:footnote w:id="87">
    <w:p w14:paraId="19E5DE75"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Facts, ¶¶8, 25.</w:t>
      </w:r>
    </w:p>
  </w:footnote>
  <w:footnote w:id="88">
    <w:p w14:paraId="2293F191"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w:t>
      </w:r>
      <w:r w:rsidRPr="0047063B">
        <w:rPr>
          <w:smallCaps/>
          <w:sz w:val="24"/>
          <w:szCs w:val="24"/>
        </w:rPr>
        <w:t>Mettraux</w:t>
      </w:r>
      <w:r w:rsidRPr="0047063B">
        <w:rPr>
          <w:smallCaps/>
          <w:sz w:val="24"/>
          <w:szCs w:val="24"/>
        </w:rPr>
        <w:fldChar w:fldCharType="begin"/>
      </w:r>
      <w:r w:rsidRPr="0047063B">
        <w:rPr>
          <w:sz w:val="24"/>
          <w:szCs w:val="24"/>
        </w:rPr>
        <w:instrText xml:space="preserve"> TA \s "Guénaël Mettraux, Chapeau or Contextual Elements, in International Crimes: Law and Practice; Vol. II: Crimes Against Humanity 194 (2020)" </w:instrText>
      </w:r>
      <w:r w:rsidRPr="0047063B">
        <w:rPr>
          <w:smallCaps/>
          <w:sz w:val="24"/>
          <w:szCs w:val="24"/>
        </w:rPr>
        <w:fldChar w:fldCharType="end"/>
      </w:r>
      <w:r w:rsidRPr="0047063B">
        <w:rPr>
          <w:smallCaps/>
          <w:sz w:val="24"/>
          <w:szCs w:val="24"/>
        </w:rPr>
        <w:t>,</w:t>
      </w:r>
      <w:r w:rsidRPr="0047063B">
        <w:rPr>
          <w:sz w:val="24"/>
          <w:szCs w:val="24"/>
        </w:rPr>
        <w:t xml:space="preserve"> </w:t>
      </w:r>
      <w:r w:rsidRPr="0047063B">
        <w:rPr>
          <w:i/>
          <w:iCs/>
          <w:sz w:val="24"/>
          <w:szCs w:val="24"/>
        </w:rPr>
        <w:t>supra</w:t>
      </w:r>
      <w:r w:rsidRPr="0047063B">
        <w:rPr>
          <w:sz w:val="24"/>
          <w:szCs w:val="24"/>
        </w:rPr>
        <w:t xml:space="preserve"> note 82, </w:t>
      </w:r>
      <w:r w:rsidR="00BA3E79" w:rsidRPr="0047063B">
        <w:rPr>
          <w:sz w:val="24"/>
          <w:szCs w:val="24"/>
        </w:rPr>
        <w:t xml:space="preserve">at </w:t>
      </w:r>
      <w:r w:rsidRPr="0047063B">
        <w:rPr>
          <w:sz w:val="24"/>
          <w:szCs w:val="24"/>
        </w:rPr>
        <w:t xml:space="preserve">271. </w:t>
      </w:r>
    </w:p>
  </w:footnote>
  <w:footnote w:id="89">
    <w:p w14:paraId="20A710F5" w14:textId="77777777" w:rsidR="002A4673" w:rsidRPr="0047063B" w:rsidRDefault="002A4673" w:rsidP="0047063B">
      <w:pPr>
        <w:spacing w:line="240" w:lineRule="auto"/>
        <w:ind w:firstLine="0"/>
      </w:pPr>
      <w:r w:rsidRPr="0047063B">
        <w:rPr>
          <w:vertAlign w:val="superscript"/>
        </w:rPr>
        <w:footnoteRef/>
      </w:r>
      <w:r w:rsidRPr="0047063B">
        <w:t xml:space="preserve"> UNGA Report</w:t>
      </w:r>
      <w:r w:rsidRPr="0047063B">
        <w:fldChar w:fldCharType="begin"/>
      </w:r>
      <w:r w:rsidRPr="0047063B">
        <w:instrText xml:space="preserve"> TA \s "UNGA Report" </w:instrText>
      </w:r>
      <w:r w:rsidRPr="0047063B">
        <w:fldChar w:fldCharType="end"/>
      </w:r>
      <w:r w:rsidRPr="0047063B">
        <w:t xml:space="preserve">, annex. (Argentina, Colombia, France, Kyrgyzstan, Morocco, Netherlands, Panama, Thailand, Ukraine, Greece, and Spain expressly provide for universal jurisdiction over enforced disappearances). </w:t>
      </w:r>
    </w:p>
  </w:footnote>
  <w:footnote w:id="90">
    <w:p w14:paraId="44425335" w14:textId="77777777" w:rsidR="002A4673" w:rsidRPr="0047063B" w:rsidRDefault="002A4673" w:rsidP="0047063B">
      <w:pPr>
        <w:spacing w:line="240" w:lineRule="auto"/>
        <w:ind w:firstLine="0"/>
      </w:pPr>
      <w:r w:rsidRPr="0047063B">
        <w:rPr>
          <w:vertAlign w:val="superscript"/>
        </w:rPr>
        <w:footnoteRef/>
      </w:r>
      <w:r w:rsidRPr="0047063B">
        <w:t xml:space="preserve"> C</w:t>
      </w:r>
      <w:r w:rsidRPr="0047063B">
        <w:rPr>
          <w:smallCaps/>
        </w:rPr>
        <w:t>rawford</w:t>
      </w:r>
      <w:r w:rsidRPr="0047063B">
        <w:t xml:space="preserve">, </w:t>
      </w:r>
      <w:r w:rsidRPr="0047063B">
        <w:rPr>
          <w:i/>
          <w:iCs/>
        </w:rPr>
        <w:t>Privileges and Immunities of Foreign States</w:t>
      </w:r>
      <w:r w:rsidRPr="0047063B">
        <w:rPr>
          <w:smallCaps/>
        </w:rPr>
        <w:t xml:space="preserve">, </w:t>
      </w:r>
      <w:r w:rsidR="00BA3E79" w:rsidRPr="0047063B">
        <w:rPr>
          <w:i/>
          <w:iCs/>
        </w:rPr>
        <w:t xml:space="preserve">supra </w:t>
      </w:r>
      <w:r w:rsidR="00BA3E79" w:rsidRPr="0047063B">
        <w:t>note</w:t>
      </w:r>
      <w:r w:rsidR="00BA3E79" w:rsidRPr="0047063B">
        <w:rPr>
          <w:smallCaps/>
        </w:rPr>
        <w:t xml:space="preserve"> 2</w:t>
      </w:r>
      <w:r w:rsidRPr="0047063B">
        <w:rPr>
          <w:smallCaps/>
        </w:rPr>
        <w:t>, 477–78</w:t>
      </w:r>
      <w:r w:rsidRPr="0047063B">
        <w:fldChar w:fldCharType="begin"/>
      </w:r>
      <w:r w:rsidRPr="0047063B">
        <w:instrText xml:space="preserve"> TA \l "J</w:instrText>
      </w:r>
      <w:r w:rsidRPr="0047063B">
        <w:rPr>
          <w:smallCaps/>
        </w:rPr>
        <w:instrText>ames</w:instrText>
      </w:r>
      <w:r w:rsidRPr="0047063B">
        <w:instrText xml:space="preserve"> C</w:instrText>
      </w:r>
      <w:r w:rsidRPr="0047063B">
        <w:rPr>
          <w:smallCaps/>
        </w:rPr>
        <w:instrText>rawford</w:instrText>
      </w:r>
      <w:r w:rsidRPr="0047063B">
        <w:instrText xml:space="preserve">, </w:instrText>
      </w:r>
      <w:r w:rsidRPr="0047063B">
        <w:rPr>
          <w:i/>
          <w:iCs/>
        </w:rPr>
        <w:instrText>Privileges and Immunities of Foreign States</w:instrText>
      </w:r>
      <w:r w:rsidRPr="0047063B">
        <w:rPr>
          <w:smallCaps/>
        </w:rPr>
        <w:instrText xml:space="preserve">, </w:instrText>
      </w:r>
      <w:r w:rsidRPr="0047063B">
        <w:rPr>
          <w:i/>
          <w:iCs/>
        </w:rPr>
        <w:instrText>in</w:instrText>
      </w:r>
      <w:r w:rsidRPr="0047063B">
        <w:rPr>
          <w:i/>
          <w:iCs/>
          <w:smallCaps/>
        </w:rPr>
        <w:instrText xml:space="preserve"> </w:instrText>
      </w:r>
      <w:r w:rsidRPr="0047063B">
        <w:rPr>
          <w:smallCaps/>
        </w:rPr>
        <w:instrText xml:space="preserve">Brownlie’s Principles of Public International Law 470 </w:instrText>
      </w:r>
      <w:r w:rsidRPr="0047063B">
        <w:instrText xml:space="preserve">(9th ed. 2019)" \s "James Crawford, Privileges and Immunities of Foreign States, in Brownlie’s Principles of Public International Law 470 (9th ed. 2019)" \c 6 </w:instrText>
      </w:r>
      <w:r w:rsidRPr="0047063B">
        <w:fldChar w:fldCharType="end"/>
      </w:r>
      <w:r w:rsidRPr="0047063B">
        <w:t xml:space="preserve">; </w:t>
      </w:r>
      <w:r w:rsidRPr="0047063B">
        <w:rPr>
          <w:i/>
        </w:rPr>
        <w:t>see also</w:t>
      </w:r>
      <w:r w:rsidRPr="0047063B">
        <w:t xml:space="preserve"> </w:t>
      </w:r>
      <w:r w:rsidRPr="0047063B">
        <w:rPr>
          <w:smallCaps/>
        </w:rPr>
        <w:t>Joanne Foakes</w:t>
      </w:r>
      <w:r w:rsidRPr="0047063B">
        <w:t xml:space="preserve">, </w:t>
      </w:r>
      <w:r w:rsidRPr="0047063B">
        <w:rPr>
          <w:smallCaps/>
        </w:rPr>
        <w:t xml:space="preserve">The Position of Heads of State and Senior Officials in International Law </w:t>
      </w:r>
      <w:r w:rsidRPr="0047063B">
        <w:t>7</w:t>
      </w:r>
      <w:r w:rsidRPr="0047063B">
        <w:rPr>
          <w:smallCaps/>
        </w:rPr>
        <w:t xml:space="preserve"> </w:t>
      </w:r>
      <w:r w:rsidRPr="0047063B">
        <w:t>(2014)</w:t>
      </w:r>
      <w:r w:rsidRPr="0047063B">
        <w:fldChar w:fldCharType="begin"/>
      </w:r>
      <w:r w:rsidRPr="0047063B">
        <w:instrText xml:space="preserve"> TA \l "</w:instrText>
      </w:r>
      <w:r w:rsidRPr="0047063B">
        <w:rPr>
          <w:smallCaps/>
        </w:rPr>
        <w:instrText>Joanne Foakes</w:instrText>
      </w:r>
      <w:r w:rsidRPr="0047063B">
        <w:instrText xml:space="preserve">, </w:instrText>
      </w:r>
      <w:r w:rsidRPr="0047063B">
        <w:rPr>
          <w:smallCaps/>
        </w:rPr>
        <w:instrText xml:space="preserve">The Position of Heads of State and Senior Officials in International Law </w:instrText>
      </w:r>
      <w:r w:rsidRPr="0047063B">
        <w:instrText>7</w:instrText>
      </w:r>
      <w:r w:rsidRPr="0047063B">
        <w:rPr>
          <w:smallCaps/>
        </w:rPr>
        <w:instrText xml:space="preserve"> </w:instrText>
      </w:r>
      <w:r w:rsidRPr="0047063B">
        <w:instrText xml:space="preserve">(2014)" \s "Joanne Foakes, The Position of Heads of State and Senior Officials in International Law 7 (2014)" \c 6 </w:instrText>
      </w:r>
      <w:r w:rsidRPr="0047063B">
        <w:fldChar w:fldCharType="end"/>
      </w:r>
      <w:r w:rsidRPr="0047063B">
        <w:t xml:space="preserve">; </w:t>
      </w:r>
      <w:r w:rsidRPr="0047063B">
        <w:rPr>
          <w:smallCaps/>
        </w:rPr>
        <w:t xml:space="preserve">Rosanne van Alebeek, The Immunity of States and Their Officials in International Criminal Law and International Human Rights Law </w:t>
      </w:r>
      <w:r w:rsidRPr="0047063B">
        <w:t>158–99 (2008)</w:t>
      </w:r>
      <w:r w:rsidRPr="0047063B">
        <w:fldChar w:fldCharType="begin"/>
      </w:r>
      <w:r w:rsidRPr="0047063B">
        <w:instrText xml:space="preserve"> TA \l "</w:instrText>
      </w:r>
      <w:r w:rsidRPr="0047063B">
        <w:rPr>
          <w:smallCaps/>
        </w:rPr>
        <w:instrText xml:space="preserve">Rosanne van Alebeek, The Immunity of States and Their Officials in International Criminal Law and International Human Rights Law </w:instrText>
      </w:r>
      <w:r w:rsidRPr="0047063B">
        <w:instrText xml:space="preserve">(2008)" \s "Rosanne van Alebeek, The Immunity of States and Their Officials in International Criminal Law and International Human Rights Law (2008)" \c 6 </w:instrText>
      </w:r>
      <w:r w:rsidRPr="0047063B">
        <w:fldChar w:fldCharType="end"/>
      </w:r>
      <w:r w:rsidRPr="0047063B">
        <w:t>.</w:t>
      </w:r>
    </w:p>
  </w:footnote>
  <w:footnote w:id="91">
    <w:p w14:paraId="3F7EE7AE" w14:textId="60A5F096" w:rsidR="002A4673" w:rsidRPr="0047063B" w:rsidRDefault="002A4673" w:rsidP="0047063B">
      <w:pPr>
        <w:spacing w:line="240" w:lineRule="auto"/>
        <w:ind w:firstLine="0"/>
      </w:pPr>
      <w:r w:rsidRPr="0047063B">
        <w:rPr>
          <w:vertAlign w:val="superscript"/>
        </w:rPr>
        <w:footnoteRef/>
      </w:r>
      <w:r w:rsidRPr="0047063B">
        <w:t xml:space="preserve"> ILC, Rep. on the Work of Its Seventy-Third Session, U.N. Doc. A/77/10, at 190 (2022)</w:t>
      </w:r>
      <w:r w:rsidR="00BA3E79" w:rsidRPr="0047063B">
        <w:t xml:space="preserve"> </w:t>
      </w:r>
      <w:r w:rsidR="00BA3E79" w:rsidRPr="0047063B">
        <w:fldChar w:fldCharType="begin"/>
      </w:r>
      <w:r w:rsidR="00BA3E79" w:rsidRPr="0047063B">
        <w:instrText xml:space="preserve"> TA \l "</w:instrText>
      </w:r>
      <w:r w:rsidR="00EE55CD" w:rsidRPr="00EE55CD">
        <w:rPr>
          <w:noProof/>
        </w:rPr>
        <w:instrText xml:space="preserve"> </w:instrText>
      </w:r>
      <w:r w:rsidR="00EE55CD" w:rsidRPr="005F0C69">
        <w:rPr>
          <w:noProof/>
        </w:rPr>
        <w:instrText>Int’l L</w:instrText>
      </w:r>
      <w:r w:rsidR="00183F70">
        <w:rPr>
          <w:noProof/>
        </w:rPr>
        <w:instrText>aw</w:instrText>
      </w:r>
      <w:r w:rsidR="00EE55CD" w:rsidRPr="005F0C69">
        <w:rPr>
          <w:noProof/>
        </w:rPr>
        <w:instrText xml:space="preserve"> Comm’n</w:instrText>
      </w:r>
      <w:r w:rsidR="00BA3E79" w:rsidRPr="0047063B">
        <w:instrText xml:space="preserve">, Rep. on the Work of Its Seventy-Third Session, U.N. Doc. A/77/10 (2022)" \s "ILC Draft Articles on Immunities" \c 4 </w:instrText>
      </w:r>
      <w:r w:rsidR="00BA3E79" w:rsidRPr="0047063B">
        <w:fldChar w:fldCharType="end"/>
      </w:r>
      <w:r w:rsidRPr="0047063B">
        <w:t xml:space="preserve"> [“</w:t>
      </w:r>
      <w:r w:rsidRPr="0047063B">
        <w:rPr>
          <w:b/>
          <w:bCs/>
        </w:rPr>
        <w:t>ILC Draft Articles on Immunities</w:t>
      </w:r>
      <w:r w:rsidRPr="0047063B">
        <w:t>”].</w:t>
      </w:r>
    </w:p>
  </w:footnote>
  <w:footnote w:id="92">
    <w:p w14:paraId="028AC65F"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rPr>
        <w:t>Certain Questions of Mutual Assistance in Criminal Matters</w:t>
      </w:r>
      <w:r w:rsidRPr="0047063B">
        <w:t xml:space="preserve"> (Djib. v. Fr.), Judgment, 2008 I.C.J. 177, ¶170</w:t>
      </w:r>
      <w:r w:rsidRPr="0047063B">
        <w:fldChar w:fldCharType="begin"/>
      </w:r>
      <w:r w:rsidRPr="0047063B">
        <w:instrText xml:space="preserve"> TA \l "</w:instrText>
      </w:r>
      <w:r w:rsidRPr="0047063B">
        <w:rPr>
          <w:i/>
        </w:rPr>
        <w:instrText>Certain Questions of Mutual Assistance in Criminal Matters</w:instrText>
      </w:r>
      <w:r w:rsidRPr="0047063B">
        <w:instrText xml:space="preserve"> (Djib. v. Fr.), Judgment, 2008 I.C.J. 177" \s "Questions of Mutual Assistance" \c 2 </w:instrText>
      </w:r>
      <w:r w:rsidRPr="0047063B">
        <w:fldChar w:fldCharType="end"/>
      </w:r>
      <w:r w:rsidRPr="0047063B">
        <w:t xml:space="preserve"> [“</w:t>
      </w:r>
      <w:r w:rsidRPr="0047063B">
        <w:rPr>
          <w:b/>
        </w:rPr>
        <w:t>Questions of Mutual Assistance</w:t>
      </w:r>
      <w:r w:rsidRPr="0047063B">
        <w:t>”].</w:t>
      </w:r>
    </w:p>
  </w:footnote>
  <w:footnote w:id="93">
    <w:p w14:paraId="20E8DAEB" w14:textId="77777777" w:rsidR="002A4673" w:rsidRPr="0047063B" w:rsidRDefault="002A4673" w:rsidP="0047063B">
      <w:pPr>
        <w:spacing w:line="240" w:lineRule="auto"/>
        <w:ind w:firstLine="0"/>
      </w:pPr>
      <w:r w:rsidRPr="0047063B">
        <w:rPr>
          <w:vertAlign w:val="superscript"/>
        </w:rPr>
        <w:footnoteRef/>
      </w:r>
      <w:r w:rsidRPr="0047063B">
        <w:t xml:space="preserve"> ILC Draft Articles on Immunities</w:t>
      </w:r>
      <w:r w:rsidRPr="0047063B">
        <w:fldChar w:fldCharType="begin"/>
      </w:r>
      <w:r w:rsidRPr="0047063B">
        <w:instrText xml:space="preserve"> TA \s "ILC Draft Articles on Immunities" </w:instrText>
      </w:r>
      <w:r w:rsidRPr="0047063B">
        <w:fldChar w:fldCharType="end"/>
      </w:r>
      <w:r w:rsidRPr="0047063B">
        <w:t>, at 215.</w:t>
      </w:r>
    </w:p>
  </w:footnote>
  <w:footnote w:id="94">
    <w:p w14:paraId="202329E4"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iCs/>
        </w:rPr>
        <w:t>Id</w:t>
      </w:r>
      <w:r w:rsidRPr="0047063B">
        <w:t>.</w:t>
      </w:r>
      <w:r w:rsidRPr="0047063B">
        <w:fldChar w:fldCharType="begin"/>
      </w:r>
      <w:r w:rsidRPr="0047063B">
        <w:instrText xml:space="preserve"> TA \s "ILC Draft Articles on Immunities" </w:instrText>
      </w:r>
      <w:r w:rsidRPr="0047063B">
        <w:fldChar w:fldCharType="end"/>
      </w:r>
      <w:r w:rsidRPr="0047063B">
        <w:t xml:space="preserve"> at 190. </w:t>
      </w:r>
    </w:p>
  </w:footnote>
  <w:footnote w:id="95">
    <w:p w14:paraId="000AC302" w14:textId="77777777" w:rsidR="002A4673" w:rsidRPr="0047063B" w:rsidRDefault="002A4673" w:rsidP="0047063B">
      <w:pPr>
        <w:spacing w:line="240" w:lineRule="auto"/>
        <w:ind w:firstLine="0"/>
      </w:pPr>
      <w:r w:rsidRPr="0047063B">
        <w:rPr>
          <w:vertAlign w:val="superscript"/>
        </w:rPr>
        <w:footnoteRef/>
      </w:r>
      <w:r w:rsidRPr="0047063B">
        <w:t xml:space="preserve"> Claudio Grossman Guiloff (Special Rapporteur), </w:t>
      </w:r>
      <w:r w:rsidRPr="0047063B">
        <w:rPr>
          <w:i/>
        </w:rPr>
        <w:t xml:space="preserve">First </w:t>
      </w:r>
      <w:r w:rsidRPr="0047063B">
        <w:rPr>
          <w:i/>
          <w:iCs/>
        </w:rPr>
        <w:t>Rep.</w:t>
      </w:r>
      <w:r w:rsidRPr="0047063B">
        <w:rPr>
          <w:i/>
        </w:rPr>
        <w:t xml:space="preserve"> on immunity of State officials from foreign criminal jurisdiction</w:t>
      </w:r>
      <w:r w:rsidRPr="0047063B">
        <w:t>, U.N. Doc. A/CN.4/775, ¶104 (May 3, 2024)</w:t>
      </w:r>
      <w:r w:rsidRPr="0047063B">
        <w:fldChar w:fldCharType="begin"/>
      </w:r>
      <w:r w:rsidRPr="0047063B">
        <w:instrText xml:space="preserve"> TA \l "Claudio Grossman Guiloff (Special Rapporteur), </w:instrText>
      </w:r>
      <w:r w:rsidRPr="0047063B">
        <w:rPr>
          <w:i/>
        </w:rPr>
        <w:instrText xml:space="preserve">First </w:instrText>
      </w:r>
      <w:r w:rsidRPr="0047063B">
        <w:rPr>
          <w:i/>
          <w:iCs/>
        </w:rPr>
        <w:instrText>Rep.</w:instrText>
      </w:r>
      <w:r w:rsidRPr="0047063B">
        <w:rPr>
          <w:i/>
        </w:rPr>
        <w:instrText xml:space="preserve"> on immunity of State officials from foreign criminal jurisdiction</w:instrText>
      </w:r>
      <w:r w:rsidRPr="0047063B">
        <w:instrText xml:space="preserve">, U.N. Doc. A/CN.4/775 (May 3, 2024)" \s "Special Rapporteur Report 2024" \c 4 </w:instrText>
      </w:r>
      <w:r w:rsidRPr="0047063B">
        <w:fldChar w:fldCharType="end"/>
      </w:r>
      <w:r w:rsidRPr="0047063B">
        <w:t xml:space="preserve"> [“</w:t>
      </w:r>
      <w:r w:rsidRPr="0047063B">
        <w:rPr>
          <w:b/>
        </w:rPr>
        <w:t>Special Rapporteur Report 2024</w:t>
      </w:r>
      <w:r w:rsidRPr="0047063B">
        <w:t xml:space="preserve">”]. </w:t>
      </w:r>
    </w:p>
  </w:footnote>
  <w:footnote w:id="96">
    <w:p w14:paraId="37E7D987" w14:textId="49AAE2A2" w:rsidR="002A4673" w:rsidRPr="0047063B" w:rsidRDefault="002A4673" w:rsidP="0047063B">
      <w:pPr>
        <w:spacing w:line="240" w:lineRule="auto"/>
        <w:ind w:firstLine="0"/>
        <w:rPr>
          <w:highlight w:val="yellow"/>
        </w:rPr>
      </w:pPr>
      <w:r w:rsidRPr="0047063B">
        <w:rPr>
          <w:vertAlign w:val="superscript"/>
        </w:rPr>
        <w:footnoteRef/>
      </w:r>
      <w:r w:rsidRPr="0047063B">
        <w:t xml:space="preserve"> </w:t>
      </w:r>
      <w:r w:rsidRPr="0047063B">
        <w:rPr>
          <w:i/>
        </w:rPr>
        <w:t>Arrest Warrant</w:t>
      </w:r>
      <w:r w:rsidRPr="0047063B">
        <w:rPr>
          <w:i/>
          <w:iCs/>
        </w:rPr>
        <w:fldChar w:fldCharType="begin"/>
      </w:r>
      <w:r w:rsidRPr="0047063B">
        <w:instrText xml:space="preserve"> TA \l "</w:instrText>
      </w:r>
      <w:r w:rsidRPr="0047063B">
        <w:rPr>
          <w:i/>
        </w:rPr>
        <w:instrText xml:space="preserve"> Arrest Warrant of 11 April 2000 </w:instrText>
      </w:r>
      <w:r w:rsidRPr="0047063B">
        <w:instrText xml:space="preserve">(Dem. Rep. Congo v. Belg.), Judgment, 2002 I.C.J. 3 (Feb. 14)" \s "Arrest Warrant" \c </w:instrText>
      </w:r>
      <w:r w:rsidR="00EE55CD">
        <w:instrText>2</w:instrText>
      </w:r>
      <w:r w:rsidRPr="0047063B">
        <w:instrText xml:space="preserve"> </w:instrText>
      </w:r>
      <w:r w:rsidRPr="0047063B">
        <w:rPr>
          <w:i/>
          <w:iCs/>
        </w:rPr>
        <w:fldChar w:fldCharType="end"/>
      </w:r>
      <w:r w:rsidRPr="0047063B">
        <w:t>,</w:t>
      </w:r>
      <w:r w:rsidRPr="0047063B">
        <w:rPr>
          <w:i/>
          <w:iCs/>
        </w:rPr>
        <w:t xml:space="preserve"> </w:t>
      </w:r>
      <w:r w:rsidRPr="0047063B">
        <w:t>2002 I.C.J., ¶61.</w:t>
      </w:r>
    </w:p>
  </w:footnote>
  <w:footnote w:id="97">
    <w:p w14:paraId="5490D38E" w14:textId="77777777" w:rsidR="002A4673" w:rsidRPr="0047063B" w:rsidRDefault="002A4673" w:rsidP="0047063B">
      <w:pPr>
        <w:spacing w:line="240" w:lineRule="auto"/>
        <w:ind w:firstLine="0"/>
      </w:pPr>
      <w:r w:rsidRPr="0047063B">
        <w:rPr>
          <w:vertAlign w:val="superscript"/>
        </w:rPr>
        <w:footnoteRef/>
      </w:r>
      <w:r w:rsidRPr="0047063B">
        <w:t xml:space="preserve"> Facts, ¶27.</w:t>
      </w:r>
    </w:p>
  </w:footnote>
  <w:footnote w:id="98">
    <w:p w14:paraId="5310C8F3"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iCs/>
        </w:rPr>
        <w:t>See e.g.</w:t>
      </w:r>
      <w:r w:rsidRPr="0047063B">
        <w:t xml:space="preserve">, </w:t>
      </w:r>
      <w:r w:rsidRPr="0047063B">
        <w:rPr>
          <w:smallCaps/>
        </w:rPr>
        <w:t>Crawford</w:t>
      </w:r>
      <w:r w:rsidRPr="0047063B">
        <w:rPr>
          <w:smallCaps/>
        </w:rPr>
        <w:fldChar w:fldCharType="begin"/>
      </w:r>
      <w:r w:rsidRPr="0047063B">
        <w:instrText xml:space="preserve"> TA \s "James Crawford, Privileges and Immunities of Foreign States, in Brownlie’s Principles of Public International Law 470 (9th ed. 2019)" </w:instrText>
      </w:r>
      <w:r w:rsidRPr="0047063B">
        <w:rPr>
          <w:smallCaps/>
        </w:rPr>
        <w:fldChar w:fldCharType="end"/>
      </w:r>
      <w:r w:rsidRPr="0047063B">
        <w:t xml:space="preserve">, </w:t>
      </w:r>
      <w:r w:rsidRPr="0047063B">
        <w:rPr>
          <w:i/>
          <w:iCs/>
        </w:rPr>
        <w:t>Privileges and Immunities of Foreign States</w:t>
      </w:r>
      <w:r w:rsidRPr="0047063B">
        <w:t xml:space="preserve">, </w:t>
      </w:r>
      <w:r w:rsidRPr="0047063B">
        <w:rPr>
          <w:i/>
          <w:iCs/>
        </w:rPr>
        <w:t xml:space="preserve">supra </w:t>
      </w:r>
      <w:r w:rsidRPr="0047063B">
        <w:t xml:space="preserve">note </w:t>
      </w:r>
      <w:r w:rsidR="0077643C" w:rsidRPr="0047063B">
        <w:t>2</w:t>
      </w:r>
      <w:r w:rsidRPr="0047063B">
        <w:t xml:space="preserve">, at 477–78; </w:t>
      </w:r>
      <w:r w:rsidRPr="0047063B">
        <w:rPr>
          <w:smallCaps/>
        </w:rPr>
        <w:t>van Alebeek</w:t>
      </w:r>
      <w:r w:rsidRPr="0047063B">
        <w:rPr>
          <w:smallCaps/>
        </w:rPr>
        <w:fldChar w:fldCharType="begin"/>
      </w:r>
      <w:r w:rsidRPr="0047063B">
        <w:instrText xml:space="preserve"> TA \s "Rosanne van Alebeek, The Immunity of States and Their Officials in International Criminal Law and International Human Rights Law (2008)" </w:instrText>
      </w:r>
      <w:r w:rsidRPr="0047063B">
        <w:rPr>
          <w:smallCaps/>
        </w:rPr>
        <w:fldChar w:fldCharType="end"/>
      </w:r>
      <w:r w:rsidRPr="0047063B">
        <w:rPr>
          <w:smallCaps/>
        </w:rPr>
        <w:t>,</w:t>
      </w:r>
      <w:r w:rsidRPr="0047063B">
        <w:t xml:space="preserve"> </w:t>
      </w:r>
      <w:r w:rsidRPr="0047063B">
        <w:rPr>
          <w:i/>
          <w:iCs/>
        </w:rPr>
        <w:t xml:space="preserve">supra </w:t>
      </w:r>
      <w:r w:rsidRPr="0047063B">
        <w:t xml:space="preserve">note 90, at 103–57; </w:t>
      </w:r>
      <w:r w:rsidRPr="0047063B">
        <w:rPr>
          <w:smallCaps/>
        </w:rPr>
        <w:t>Foakes</w:t>
      </w:r>
      <w:r w:rsidRPr="0047063B">
        <w:rPr>
          <w:smallCaps/>
        </w:rPr>
        <w:fldChar w:fldCharType="begin"/>
      </w:r>
      <w:r w:rsidRPr="0047063B">
        <w:instrText xml:space="preserve"> TA \s "Joanne Foakes, The Position of Heads of State and Senior Officials in International Law 7 (2014)" </w:instrText>
      </w:r>
      <w:r w:rsidRPr="0047063B">
        <w:rPr>
          <w:smallCaps/>
        </w:rPr>
        <w:fldChar w:fldCharType="end"/>
      </w:r>
      <w:r w:rsidRPr="0047063B">
        <w:t xml:space="preserve">, </w:t>
      </w:r>
      <w:r w:rsidRPr="0047063B">
        <w:rPr>
          <w:i/>
          <w:iCs/>
        </w:rPr>
        <w:t xml:space="preserve">supra </w:t>
      </w:r>
      <w:r w:rsidRPr="0047063B">
        <w:t>note 90, 543–76.</w:t>
      </w:r>
    </w:p>
  </w:footnote>
  <w:footnote w:id="99">
    <w:p w14:paraId="45F9EE5D" w14:textId="77777777" w:rsidR="002A4673" w:rsidRPr="0047063B" w:rsidRDefault="002A4673" w:rsidP="0047063B">
      <w:pPr>
        <w:spacing w:line="240" w:lineRule="auto"/>
        <w:ind w:firstLine="0"/>
      </w:pPr>
      <w:r w:rsidRPr="0047063B">
        <w:rPr>
          <w:vertAlign w:val="superscript"/>
        </w:rPr>
        <w:footnoteRef/>
      </w:r>
      <w:r w:rsidRPr="0047063B">
        <w:t xml:space="preserve"> ILC Draft Articles on Immunities</w:t>
      </w:r>
      <w:r w:rsidRPr="0047063B">
        <w:fldChar w:fldCharType="begin"/>
      </w:r>
      <w:r w:rsidRPr="0047063B">
        <w:instrText xml:space="preserve"> TA \s "ILC Draft Articles on Immunities" </w:instrText>
      </w:r>
      <w:r w:rsidRPr="0047063B">
        <w:fldChar w:fldCharType="end"/>
      </w:r>
      <w:r w:rsidRPr="0047063B">
        <w:t>, at 190; Special Rapporteur Report 2024</w:t>
      </w:r>
      <w:r w:rsidRPr="0047063B">
        <w:fldChar w:fldCharType="begin"/>
      </w:r>
      <w:r w:rsidRPr="0047063B">
        <w:instrText xml:space="preserve"> TA \s "Special Rapporteur Report 2024" </w:instrText>
      </w:r>
      <w:r w:rsidRPr="0047063B">
        <w:fldChar w:fldCharType="end"/>
      </w:r>
      <w:r w:rsidRPr="0047063B">
        <w:t>, ¶140.</w:t>
      </w:r>
    </w:p>
  </w:footnote>
  <w:footnote w:id="100">
    <w:p w14:paraId="203A48B1"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iCs/>
        </w:rPr>
        <w:t>Letelier v. Republic of Chile</w:t>
      </w:r>
      <w:r w:rsidRPr="0047063B">
        <w:t>, 488 F. Supp. 665, 673 (D.D.C. 1980)</w:t>
      </w:r>
      <w:r w:rsidR="0077643C" w:rsidRPr="0047063B">
        <w:fldChar w:fldCharType="begin"/>
      </w:r>
      <w:r w:rsidR="0077643C" w:rsidRPr="0047063B">
        <w:instrText xml:space="preserve"> TA \l "</w:instrText>
      </w:r>
      <w:r w:rsidR="0077643C" w:rsidRPr="0047063B">
        <w:rPr>
          <w:i/>
          <w:iCs/>
        </w:rPr>
        <w:instrText>Letelier v. Republic of Chile</w:instrText>
      </w:r>
      <w:r w:rsidR="0077643C" w:rsidRPr="0047063B">
        <w:instrText xml:space="preserve">, 488 F. Supp. 665 (D.D.C. 1980)" \s "Letelier v. Republic of Chile, 488 F. Supp. 665 (D.D.C. 1980)" \c 7 </w:instrText>
      </w:r>
      <w:r w:rsidR="0077643C" w:rsidRPr="0047063B">
        <w:fldChar w:fldCharType="end"/>
      </w:r>
      <w:r w:rsidRPr="0047063B">
        <w:t xml:space="preserve">. </w:t>
      </w:r>
    </w:p>
  </w:footnote>
  <w:footnote w:id="101">
    <w:p w14:paraId="77037F25" w14:textId="77777777" w:rsidR="002A4673" w:rsidRPr="0047063B" w:rsidRDefault="002A4673" w:rsidP="0047063B">
      <w:pPr>
        <w:spacing w:line="240" w:lineRule="auto"/>
        <w:ind w:firstLine="0"/>
      </w:pPr>
      <w:r w:rsidRPr="0047063B">
        <w:rPr>
          <w:vertAlign w:val="superscript"/>
        </w:rPr>
        <w:footnoteRef/>
      </w:r>
      <w:r w:rsidRPr="0047063B">
        <w:t xml:space="preserve"> Cour d’appel Paris, Section Seven, Second Investigating Chamber, June 13, 2013, </w:t>
      </w:r>
      <w:r w:rsidRPr="0047063B">
        <w:rPr>
          <w:i/>
          <w:iCs/>
        </w:rPr>
        <w:t>Teodoro Nguema Obiang Mangue et autres</w:t>
      </w:r>
      <w:r w:rsidR="0077643C" w:rsidRPr="0047063B">
        <w:rPr>
          <w:i/>
          <w:iCs/>
        </w:rPr>
        <w:fldChar w:fldCharType="begin"/>
      </w:r>
      <w:r w:rsidR="0077643C" w:rsidRPr="0047063B">
        <w:instrText xml:space="preserve"> TA \l "Cour d’appel Paris, Section Seven, Second Investigating Chamber, June 13, 2013, </w:instrText>
      </w:r>
      <w:r w:rsidR="0077643C" w:rsidRPr="0047063B">
        <w:rPr>
          <w:i/>
          <w:iCs/>
        </w:rPr>
        <w:instrText>Teodoro Nguema Obiang Mangue et autres</w:instrText>
      </w:r>
      <w:r w:rsidR="0077643C" w:rsidRPr="0047063B">
        <w:instrText xml:space="preserve">" \s "Cour d’appel Paris, Section Seven, Second Investigating Chamber, June 13, 2013, Teodoro Nguema Obiang Mangue et autres" \c 7 </w:instrText>
      </w:r>
      <w:r w:rsidR="0077643C" w:rsidRPr="0047063B">
        <w:rPr>
          <w:i/>
          <w:iCs/>
        </w:rPr>
        <w:fldChar w:fldCharType="end"/>
      </w:r>
      <w:r w:rsidRPr="0047063B">
        <w:rPr>
          <w:i/>
          <w:iCs/>
        </w:rPr>
        <w:t xml:space="preserve">. </w:t>
      </w:r>
    </w:p>
  </w:footnote>
  <w:footnote w:id="102">
    <w:p w14:paraId="5C31AE45"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iCs/>
        </w:rPr>
        <w:t>Re Pinochet</w:t>
      </w:r>
      <w:r w:rsidRPr="0047063B">
        <w:t>, Tribunal de Première Instance Brussels, Nov. 6, 1998, 119 I.L.R. 345</w:t>
      </w:r>
      <w:r w:rsidR="0077643C" w:rsidRPr="0047063B">
        <w:fldChar w:fldCharType="begin"/>
      </w:r>
      <w:r w:rsidR="0077643C" w:rsidRPr="0047063B">
        <w:instrText xml:space="preserve"> TA \l "</w:instrText>
      </w:r>
      <w:r w:rsidR="0077643C" w:rsidRPr="0047063B">
        <w:rPr>
          <w:i/>
          <w:iCs/>
        </w:rPr>
        <w:instrText>Re Pinochet</w:instrText>
      </w:r>
      <w:r w:rsidR="0077643C" w:rsidRPr="0047063B">
        <w:instrText xml:space="preserve">, Tribunal de Première Instance Brussels, Nov. 6, 1998, 119 I.L.R. 345" \s "Re Pinochet, Tribunal de Première Instance Brussels, Nov. 6, 1998, 119 I.L.R. 345" \c 7 </w:instrText>
      </w:r>
      <w:r w:rsidR="0077643C" w:rsidRPr="0047063B">
        <w:fldChar w:fldCharType="end"/>
      </w:r>
      <w:r w:rsidRPr="0047063B">
        <w:t xml:space="preserve">; District Court of Livadeia, </w:t>
      </w:r>
      <w:r w:rsidRPr="0047063B">
        <w:rPr>
          <w:i/>
        </w:rPr>
        <w:t>Prefecture of Voiotia v. Federal Republic of Germany</w:t>
      </w:r>
      <w:r w:rsidRPr="0047063B">
        <w:t>, 137/1997 (Oct. 30, 1997) (Greece)</w:t>
      </w:r>
      <w:r w:rsidR="0077643C" w:rsidRPr="0047063B">
        <w:fldChar w:fldCharType="begin"/>
      </w:r>
      <w:r w:rsidR="0077643C" w:rsidRPr="0047063B">
        <w:instrText xml:space="preserve"> TA \l "District Court of Livadeia, </w:instrText>
      </w:r>
      <w:r w:rsidR="0077643C" w:rsidRPr="0047063B">
        <w:rPr>
          <w:i/>
        </w:rPr>
        <w:instrText>Prefecture of Voiotia v. Federal Republic of Germany</w:instrText>
      </w:r>
      <w:r w:rsidR="0077643C" w:rsidRPr="0047063B">
        <w:instrText xml:space="preserve">, 137/1997 (Oct. 30, 1997) (Greece)" \s "District Court of Livadeia, Prefecture of Voiotia v. Federal Republic of Germany, 137/1997 (Oct. 30, 1997) (Greece)" \c 7 </w:instrText>
      </w:r>
      <w:r w:rsidR="0077643C" w:rsidRPr="0047063B">
        <w:fldChar w:fldCharType="end"/>
      </w:r>
      <w:r w:rsidRPr="0047063B">
        <w:t xml:space="preserve">. </w:t>
      </w:r>
    </w:p>
  </w:footnote>
  <w:footnote w:id="103">
    <w:p w14:paraId="78F76268" w14:textId="77777777" w:rsidR="002A4673" w:rsidRPr="0047063B" w:rsidRDefault="002A4673" w:rsidP="0047063B">
      <w:pPr>
        <w:spacing w:line="240" w:lineRule="auto"/>
        <w:ind w:firstLine="0"/>
      </w:pPr>
      <w:r w:rsidRPr="0047063B">
        <w:rPr>
          <w:vertAlign w:val="superscript"/>
        </w:rPr>
        <w:footnoteRef/>
      </w:r>
      <w:r w:rsidRPr="0047063B">
        <w:t xml:space="preserve"> ILC Draft Articles on Immunities</w:t>
      </w:r>
      <w:r w:rsidRPr="0047063B">
        <w:fldChar w:fldCharType="begin"/>
      </w:r>
      <w:r w:rsidRPr="0047063B">
        <w:instrText xml:space="preserve"> TA \s "ILC Draft Articles on Immunities" </w:instrText>
      </w:r>
      <w:r w:rsidRPr="0047063B">
        <w:fldChar w:fldCharType="end"/>
      </w:r>
      <w:r w:rsidRPr="0047063B">
        <w:t xml:space="preserve">, at 213. </w:t>
      </w:r>
    </w:p>
  </w:footnote>
  <w:footnote w:id="104">
    <w:p w14:paraId="45872BB6" w14:textId="77777777" w:rsidR="002A4673" w:rsidRPr="0047063B" w:rsidRDefault="002A4673" w:rsidP="0047063B">
      <w:pPr>
        <w:spacing w:line="240" w:lineRule="auto"/>
        <w:ind w:firstLine="0"/>
      </w:pPr>
      <w:r w:rsidRPr="0047063B">
        <w:rPr>
          <w:vertAlign w:val="superscript"/>
        </w:rPr>
        <w:footnoteRef/>
      </w:r>
      <w:r w:rsidRPr="0047063B">
        <w:t xml:space="preserve"> Facts, ¶8</w:t>
      </w:r>
      <w:r w:rsidR="0077643C" w:rsidRPr="0047063B">
        <w:rPr>
          <w:lang w:val="en-US"/>
        </w:rPr>
        <w:t xml:space="preserve"> (emphasis added).</w:t>
      </w:r>
    </w:p>
  </w:footnote>
  <w:footnote w:id="105">
    <w:p w14:paraId="6DA4CFBD"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rPr>
        <w:t xml:space="preserve">R v. Bow </w:t>
      </w:r>
      <w:r w:rsidRPr="0047063B">
        <w:rPr>
          <w:i/>
          <w:iCs/>
        </w:rPr>
        <w:t>St.</w:t>
      </w:r>
      <w:r w:rsidRPr="0047063B">
        <w:rPr>
          <w:i/>
        </w:rPr>
        <w:t xml:space="preserve"> Metropolitan Stipendiary Magistrate</w:t>
      </w:r>
      <w:r w:rsidRPr="0047063B">
        <w:rPr>
          <w:i/>
          <w:iCs/>
        </w:rPr>
        <w:t xml:space="preserve"> and others</w:t>
      </w:r>
      <w:r w:rsidRPr="0047063B">
        <w:rPr>
          <w:i/>
        </w:rPr>
        <w:t xml:space="preserve">, ex parte Pinochet Ugarte (No. </w:t>
      </w:r>
      <w:r w:rsidRPr="0047063B">
        <w:rPr>
          <w:i/>
          <w:iCs/>
        </w:rPr>
        <w:t xml:space="preserve">3) </w:t>
      </w:r>
      <w:r w:rsidRPr="0047063B">
        <w:t>[1999] UKHL 17, [2000] 1 AC 147</w:t>
      </w:r>
      <w:r w:rsidR="0077643C" w:rsidRPr="0047063B">
        <w:fldChar w:fldCharType="begin"/>
      </w:r>
      <w:r w:rsidR="0077643C" w:rsidRPr="0047063B">
        <w:instrText xml:space="preserve"> TA \l "</w:instrText>
      </w:r>
      <w:r w:rsidR="0077643C" w:rsidRPr="0047063B">
        <w:rPr>
          <w:i/>
        </w:rPr>
        <w:instrText xml:space="preserve">R v. Bow </w:instrText>
      </w:r>
      <w:r w:rsidR="0077643C" w:rsidRPr="0047063B">
        <w:rPr>
          <w:i/>
          <w:iCs/>
        </w:rPr>
        <w:instrText>St.</w:instrText>
      </w:r>
      <w:r w:rsidR="0077643C" w:rsidRPr="0047063B">
        <w:rPr>
          <w:i/>
        </w:rPr>
        <w:instrText xml:space="preserve"> Metropolitan Stipendiary Magistrate</w:instrText>
      </w:r>
      <w:r w:rsidR="0077643C" w:rsidRPr="0047063B">
        <w:rPr>
          <w:i/>
          <w:iCs/>
        </w:rPr>
        <w:instrText xml:space="preserve"> and others</w:instrText>
      </w:r>
      <w:r w:rsidR="0077643C" w:rsidRPr="0047063B">
        <w:rPr>
          <w:i/>
        </w:rPr>
        <w:instrText xml:space="preserve">, ex parte Pinochet Ugarte (No. </w:instrText>
      </w:r>
      <w:r w:rsidR="0077643C" w:rsidRPr="0047063B">
        <w:rPr>
          <w:i/>
          <w:iCs/>
        </w:rPr>
        <w:instrText xml:space="preserve">3) </w:instrText>
      </w:r>
      <w:r w:rsidR="0077643C" w:rsidRPr="0047063B">
        <w:instrText xml:space="preserve">[1999] UKHL 17, [2000] 1 AC 147" \s "R v. Bow St. Metropolitan Stipendiary Magistrate and others, ex parte Pinochet Ugarte (No. 3) [1999] UKHL 17, [2000] 1 AC 147" \c 7 </w:instrText>
      </w:r>
      <w:r w:rsidR="0077643C" w:rsidRPr="0047063B">
        <w:fldChar w:fldCharType="end"/>
      </w:r>
      <w:r w:rsidRPr="0047063B">
        <w:t xml:space="preserve">; </w:t>
      </w:r>
      <w:r w:rsidRPr="0047063B">
        <w:rPr>
          <w:i/>
          <w:iCs/>
        </w:rPr>
        <w:t>Re</w:t>
      </w:r>
      <w:r w:rsidRPr="0047063B">
        <w:rPr>
          <w:i/>
        </w:rPr>
        <w:t xml:space="preserve"> Pinochet</w:t>
      </w:r>
      <w:r w:rsidRPr="0047063B">
        <w:t>, Tribunal de Première Instance Brussels, Nov. 6, 1998, 119 I.L.R. 345</w:t>
      </w:r>
      <w:r w:rsidR="0077643C" w:rsidRPr="0047063B">
        <w:fldChar w:fldCharType="begin"/>
      </w:r>
      <w:r w:rsidR="0077643C" w:rsidRPr="0047063B">
        <w:instrText xml:space="preserve"> TA \s "Re Pinochet, Tribunal de Première Instance Brussels, Nov. 6, 1998, 119 I.L.R. 345" </w:instrText>
      </w:r>
      <w:r w:rsidR="0077643C" w:rsidRPr="0047063B">
        <w:fldChar w:fldCharType="end"/>
      </w:r>
      <w:r w:rsidRPr="0047063B">
        <w:t xml:space="preserve">; </w:t>
      </w:r>
      <w:r w:rsidRPr="0047063B">
        <w:rPr>
          <w:i/>
          <w:iCs/>
        </w:rPr>
        <w:t>In Re</w:t>
      </w:r>
      <w:r w:rsidRPr="0047063B">
        <w:rPr>
          <w:i/>
        </w:rPr>
        <w:t xml:space="preserve"> Hussein</w:t>
      </w:r>
      <w:r w:rsidRPr="0047063B">
        <w:t>, Oberlandesgericht [Higher Regional Court] Cologne, May 16, 2000, 2 Zs 1330/99, ¶11 (Ger.)</w:t>
      </w:r>
      <w:r w:rsidR="0077643C" w:rsidRPr="0047063B">
        <w:fldChar w:fldCharType="begin"/>
      </w:r>
      <w:r w:rsidR="0077643C" w:rsidRPr="0047063B">
        <w:instrText xml:space="preserve"> TA \l "</w:instrText>
      </w:r>
      <w:r w:rsidR="0077643C" w:rsidRPr="0047063B">
        <w:rPr>
          <w:i/>
          <w:iCs/>
        </w:rPr>
        <w:instrText>In Re</w:instrText>
      </w:r>
      <w:r w:rsidR="0077643C" w:rsidRPr="0047063B">
        <w:rPr>
          <w:i/>
        </w:rPr>
        <w:instrText xml:space="preserve"> Hussein</w:instrText>
      </w:r>
      <w:r w:rsidR="0077643C" w:rsidRPr="0047063B">
        <w:instrText xml:space="preserve">, Oberlandesgericht [Higher Regional Court] Cologne, May 16, 2000, 2 Zs 1330/99 (Ger.)" \s "In Re Hussein, Oberlandesgericht [Higher Regional Court] Cologne, May 16, 2000, 2 Zs 1330/99 (Ger.)" \c 7 </w:instrText>
      </w:r>
      <w:r w:rsidR="0077643C" w:rsidRPr="0047063B">
        <w:fldChar w:fldCharType="end"/>
      </w:r>
      <w:r w:rsidRPr="0047063B">
        <w:t xml:space="preserve">. </w:t>
      </w:r>
    </w:p>
  </w:footnote>
  <w:footnote w:id="106">
    <w:p w14:paraId="66C271B4" w14:textId="77777777" w:rsidR="002A4673" w:rsidRPr="0047063B" w:rsidRDefault="002A4673" w:rsidP="0047063B">
      <w:pPr>
        <w:spacing w:line="240" w:lineRule="auto"/>
        <w:ind w:firstLine="0"/>
      </w:pPr>
      <w:r w:rsidRPr="0047063B">
        <w:rPr>
          <w:vertAlign w:val="superscript"/>
        </w:rPr>
        <w:footnoteRef/>
      </w:r>
      <w:r w:rsidRPr="0047063B">
        <w:rPr>
          <w:i/>
        </w:rPr>
        <w:t xml:space="preserve"> See, e.g</w:t>
      </w:r>
      <w:r w:rsidRPr="0047063B">
        <w:rPr>
          <w:i/>
          <w:iCs/>
        </w:rPr>
        <w:t>.</w:t>
      </w:r>
      <w:r w:rsidRPr="0047063B">
        <w:t>, Organic Law No. 16/2015 (2015) (Spain)</w:t>
      </w:r>
      <w:r w:rsidR="0077643C" w:rsidRPr="0047063B">
        <w:fldChar w:fldCharType="begin"/>
      </w:r>
      <w:r w:rsidR="0077643C" w:rsidRPr="0047063B">
        <w:instrText xml:space="preserve"> TA \l "Organic Law No. 16/2015 (2015) (Spain)" \s "Organic Law No. 16/2015 (2015) (Spain)" \c 7 </w:instrText>
      </w:r>
      <w:r w:rsidR="0077643C" w:rsidRPr="0047063B">
        <w:fldChar w:fldCharType="end"/>
      </w:r>
      <w:r w:rsidRPr="0047063B">
        <w:t xml:space="preserve"> (on privileges and immunities of foreign States and international organizations with headquarters or offices in Spain and international conferences and meetings held in Spain); Law No. 24488 art. 3, May 31, 1995 (Arg.)</w:t>
      </w:r>
      <w:r w:rsidR="0077643C" w:rsidRPr="0047063B">
        <w:fldChar w:fldCharType="begin"/>
      </w:r>
      <w:r w:rsidR="0077643C" w:rsidRPr="0047063B">
        <w:instrText xml:space="preserve"> TA \l "Law No. 24488, May 31, 1995 (Arg.)" \s "Law No. 24488, May 31, 1995 (Arg.)" \c 7 </w:instrText>
      </w:r>
      <w:r w:rsidR="0077643C" w:rsidRPr="0047063B">
        <w:fldChar w:fldCharType="end"/>
      </w:r>
      <w:r w:rsidRPr="0047063B">
        <w:t>; 28 U.S.C. §1605A</w:t>
      </w:r>
      <w:r w:rsidR="0077643C" w:rsidRPr="0047063B">
        <w:fldChar w:fldCharType="begin"/>
      </w:r>
      <w:r w:rsidR="0077643C" w:rsidRPr="0047063B">
        <w:instrText xml:space="preserve"> TA \l "28 U.S.C. §1605A" \s "28 U.S.C. §1605A" \c 7 </w:instrText>
      </w:r>
      <w:r w:rsidR="0077643C" w:rsidRPr="0047063B">
        <w:fldChar w:fldCharType="end"/>
      </w:r>
      <w:r w:rsidRPr="0047063B">
        <w:t xml:space="preserve"> (creating a </w:t>
      </w:r>
      <w:r w:rsidR="00057BFB" w:rsidRPr="0047063B">
        <w:t>“</w:t>
      </w:r>
      <w:r w:rsidRPr="0047063B">
        <w:t>[t]errorism exception to the jurisdictional immunity of a foreign state”).</w:t>
      </w:r>
    </w:p>
  </w:footnote>
  <w:footnote w:id="107">
    <w:p w14:paraId="4C9103E5"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Andrea Bianchi, </w:t>
      </w:r>
      <w:r w:rsidRPr="0047063B">
        <w:rPr>
          <w:i/>
          <w:sz w:val="24"/>
          <w:szCs w:val="24"/>
        </w:rPr>
        <w:t>Denying State Immunity to Violators of Human</w:t>
      </w:r>
      <w:r w:rsidRPr="0047063B">
        <w:rPr>
          <w:sz w:val="24"/>
          <w:szCs w:val="24"/>
        </w:rPr>
        <w:t xml:space="preserve"> </w:t>
      </w:r>
      <w:r w:rsidRPr="0047063B">
        <w:rPr>
          <w:i/>
          <w:iCs/>
          <w:sz w:val="24"/>
          <w:szCs w:val="24"/>
        </w:rPr>
        <w:t>Rights</w:t>
      </w:r>
      <w:r w:rsidRPr="0047063B">
        <w:rPr>
          <w:sz w:val="24"/>
          <w:szCs w:val="24"/>
        </w:rPr>
        <w:t>, 46 A</w:t>
      </w:r>
      <w:r w:rsidRPr="0047063B">
        <w:rPr>
          <w:smallCaps/>
          <w:sz w:val="24"/>
          <w:szCs w:val="24"/>
        </w:rPr>
        <w:t xml:space="preserve">ustrian J. Pub. Int’l L. </w:t>
      </w:r>
      <w:r w:rsidRPr="0047063B">
        <w:rPr>
          <w:sz w:val="24"/>
          <w:szCs w:val="24"/>
        </w:rPr>
        <w:t>195, 195 (1994)</w:t>
      </w:r>
      <w:r w:rsidRPr="0047063B">
        <w:rPr>
          <w:sz w:val="24"/>
          <w:szCs w:val="24"/>
        </w:rPr>
        <w:fldChar w:fldCharType="begin"/>
      </w:r>
      <w:r w:rsidRPr="0047063B">
        <w:rPr>
          <w:sz w:val="24"/>
          <w:szCs w:val="24"/>
        </w:rPr>
        <w:instrText xml:space="preserve"> TA \l "Andrea Bianchi, </w:instrText>
      </w:r>
      <w:r w:rsidRPr="0047063B">
        <w:rPr>
          <w:i/>
          <w:iCs/>
          <w:sz w:val="24"/>
          <w:szCs w:val="24"/>
        </w:rPr>
        <w:instrText>Denying State Immunity to Violators of Human</w:instrText>
      </w:r>
      <w:r w:rsidRPr="0047063B">
        <w:rPr>
          <w:sz w:val="24"/>
          <w:szCs w:val="24"/>
        </w:rPr>
        <w:instrText xml:space="preserve"> </w:instrText>
      </w:r>
      <w:r w:rsidRPr="0047063B">
        <w:rPr>
          <w:i/>
          <w:iCs/>
          <w:sz w:val="24"/>
          <w:szCs w:val="24"/>
        </w:rPr>
        <w:instrText>Rights</w:instrText>
      </w:r>
      <w:r w:rsidRPr="0047063B">
        <w:rPr>
          <w:sz w:val="24"/>
          <w:szCs w:val="24"/>
        </w:rPr>
        <w:instrText>, 46 A</w:instrText>
      </w:r>
      <w:r w:rsidRPr="0047063B">
        <w:rPr>
          <w:smallCaps/>
          <w:sz w:val="24"/>
          <w:szCs w:val="24"/>
        </w:rPr>
        <w:instrText xml:space="preserve">ustrian J. Pub. Int’l L. </w:instrText>
      </w:r>
      <w:r w:rsidRPr="0047063B">
        <w:rPr>
          <w:sz w:val="24"/>
          <w:szCs w:val="24"/>
        </w:rPr>
        <w:instrText xml:space="preserve">195 (1994)" \s "Andrea Bianchi, Denying State Immunity to Violators of Human Rights, 46 Austrian J. Pub. Int’l L. 195 (1994)" \c 6 </w:instrText>
      </w:r>
      <w:r w:rsidRPr="0047063B">
        <w:rPr>
          <w:sz w:val="24"/>
          <w:szCs w:val="24"/>
        </w:rPr>
        <w:fldChar w:fldCharType="end"/>
      </w:r>
      <w:r w:rsidRPr="0047063B">
        <w:rPr>
          <w:sz w:val="24"/>
          <w:szCs w:val="24"/>
        </w:rPr>
        <w:t xml:space="preserve">. </w:t>
      </w:r>
    </w:p>
  </w:footnote>
  <w:footnote w:id="108">
    <w:p w14:paraId="724F4B8B" w14:textId="51A76CEA"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w:t>
      </w:r>
      <w:r w:rsidRPr="0047063B">
        <w:rPr>
          <w:i/>
          <w:iCs/>
          <w:sz w:val="24"/>
          <w:szCs w:val="24"/>
        </w:rPr>
        <w:t>Arrest Warrant</w:t>
      </w:r>
      <w:r w:rsidR="00EE55CD">
        <w:rPr>
          <w:i/>
          <w:iCs/>
          <w:sz w:val="24"/>
          <w:szCs w:val="24"/>
        </w:rPr>
        <w:fldChar w:fldCharType="begin"/>
      </w:r>
      <w:r w:rsidR="00EE55CD">
        <w:instrText xml:space="preserve"> TA \s "Arrest Warrant (separate opinion by Higgins, J. et al.)" </w:instrText>
      </w:r>
      <w:r w:rsidR="00EE55CD">
        <w:rPr>
          <w:i/>
          <w:iCs/>
          <w:sz w:val="24"/>
          <w:szCs w:val="24"/>
        </w:rPr>
        <w:fldChar w:fldCharType="end"/>
      </w:r>
      <w:r w:rsidRPr="0047063B">
        <w:rPr>
          <w:i/>
          <w:iCs/>
          <w:sz w:val="24"/>
          <w:szCs w:val="24"/>
        </w:rPr>
        <w:t xml:space="preserve">, </w:t>
      </w:r>
      <w:r w:rsidRPr="0047063B">
        <w:rPr>
          <w:sz w:val="24"/>
          <w:szCs w:val="24"/>
        </w:rPr>
        <w:t xml:space="preserve">Judgment, 2002 I.C.J. 63, ¶85 (separate opinion by Higgins, J. et al.). </w:t>
      </w:r>
    </w:p>
  </w:footnote>
  <w:footnote w:id="109">
    <w:p w14:paraId="67120E27" w14:textId="77777777" w:rsidR="002A4673" w:rsidRPr="0047063B" w:rsidRDefault="002A4673" w:rsidP="0047063B">
      <w:pPr>
        <w:spacing w:line="240" w:lineRule="auto"/>
        <w:ind w:firstLine="0"/>
      </w:pPr>
      <w:r w:rsidRPr="0047063B">
        <w:rPr>
          <w:vertAlign w:val="superscript"/>
        </w:rPr>
        <w:footnoteRef/>
      </w:r>
      <w:r w:rsidRPr="0047063B">
        <w:t xml:space="preserve"> ILC Draft Articles on Immunities</w:t>
      </w:r>
      <w:r w:rsidRPr="0047063B">
        <w:fldChar w:fldCharType="begin"/>
      </w:r>
      <w:r w:rsidRPr="0047063B">
        <w:instrText xml:space="preserve"> TA \s "ILC Draft Articles on Immunities" </w:instrText>
      </w:r>
      <w:r w:rsidRPr="0047063B">
        <w:fldChar w:fldCharType="end"/>
      </w:r>
      <w:r w:rsidRPr="0047063B">
        <w:t xml:space="preserve">, at 190–91. </w:t>
      </w:r>
    </w:p>
  </w:footnote>
  <w:footnote w:id="110">
    <w:p w14:paraId="3AB5D558"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i/>
          <w:iCs/>
        </w:rPr>
        <w:t>Id</w:t>
      </w:r>
      <w:r w:rsidRPr="0047063B">
        <w:t xml:space="preserve">. </w:t>
      </w:r>
      <w:r w:rsidRPr="0047063B">
        <w:fldChar w:fldCharType="begin"/>
      </w:r>
      <w:r w:rsidRPr="0047063B">
        <w:instrText xml:space="preserve"> TA \s "ILC Draft Articles on Immunities" </w:instrText>
      </w:r>
      <w:r w:rsidRPr="0047063B">
        <w:fldChar w:fldCharType="end"/>
      </w:r>
      <w:r w:rsidRPr="0047063B">
        <w:t xml:space="preserve">at 240. </w:t>
      </w:r>
    </w:p>
  </w:footnote>
  <w:footnote w:id="111">
    <w:p w14:paraId="6CC66F60" w14:textId="77777777" w:rsidR="002A4673" w:rsidRPr="0047063B" w:rsidRDefault="002A4673" w:rsidP="0047063B">
      <w:pPr>
        <w:spacing w:line="240" w:lineRule="auto"/>
        <w:ind w:firstLine="0"/>
      </w:pPr>
      <w:r w:rsidRPr="0047063B">
        <w:rPr>
          <w:vertAlign w:val="superscript"/>
        </w:rPr>
        <w:footnoteRef/>
      </w:r>
      <w:r w:rsidRPr="0047063B">
        <w:t xml:space="preserve"> ICPPED</w:t>
      </w:r>
      <w:r w:rsidRPr="0047063B">
        <w:fldChar w:fldCharType="begin"/>
      </w:r>
      <w:r w:rsidRPr="0047063B">
        <w:instrText xml:space="preserve"> TA \s "ICPPED" </w:instrText>
      </w:r>
      <w:r w:rsidRPr="0047063B">
        <w:fldChar w:fldCharType="end"/>
      </w:r>
      <w:r w:rsidRPr="0047063B">
        <w:t xml:space="preserve"> pmbl. </w:t>
      </w:r>
    </w:p>
  </w:footnote>
  <w:footnote w:id="112">
    <w:p w14:paraId="13ABB0FC" w14:textId="77777777" w:rsidR="002A4673" w:rsidRPr="0047063B" w:rsidRDefault="002A4673" w:rsidP="0047063B">
      <w:pPr>
        <w:spacing w:line="240" w:lineRule="auto"/>
        <w:ind w:firstLine="0"/>
      </w:pPr>
      <w:r w:rsidRPr="0047063B">
        <w:rPr>
          <w:vertAlign w:val="superscript"/>
        </w:rPr>
        <w:footnoteRef/>
      </w:r>
      <w:r w:rsidRPr="0047063B">
        <w:t xml:space="preserve"> ICPPED art. 2.</w:t>
      </w:r>
    </w:p>
  </w:footnote>
  <w:footnote w:id="113">
    <w:p w14:paraId="3CB177CF" w14:textId="77777777" w:rsidR="002A4673" w:rsidRPr="0047063B" w:rsidRDefault="002A4673" w:rsidP="0047063B">
      <w:pPr>
        <w:spacing w:line="240" w:lineRule="auto"/>
        <w:ind w:firstLine="0"/>
      </w:pPr>
      <w:r w:rsidRPr="0047063B">
        <w:rPr>
          <w:vertAlign w:val="superscript"/>
        </w:rPr>
        <w:footnoteRef/>
      </w:r>
      <w:r w:rsidRPr="0047063B">
        <w:t xml:space="preserve"> ILC Draft Articles on Immunities, </w:t>
      </w:r>
      <w:r w:rsidRPr="0047063B">
        <w:fldChar w:fldCharType="begin"/>
      </w:r>
      <w:r w:rsidRPr="0047063B">
        <w:instrText xml:space="preserve"> TA \s "ILC Draft Articles on Immunities" </w:instrText>
      </w:r>
      <w:r w:rsidRPr="0047063B">
        <w:fldChar w:fldCharType="end"/>
      </w:r>
      <w:r w:rsidRPr="0047063B">
        <w:t>at 234.</w:t>
      </w:r>
    </w:p>
  </w:footnote>
  <w:footnote w:id="114">
    <w:p w14:paraId="7F4E05E1" w14:textId="4FECD3FB" w:rsidR="002A4673" w:rsidRPr="0047063B" w:rsidRDefault="002A4673" w:rsidP="0047063B">
      <w:pPr>
        <w:spacing w:line="240" w:lineRule="auto"/>
        <w:ind w:firstLine="0"/>
      </w:pPr>
      <w:r w:rsidRPr="0047063B">
        <w:rPr>
          <w:vertAlign w:val="superscript"/>
        </w:rPr>
        <w:footnoteRef/>
      </w:r>
      <w:r w:rsidRPr="0047063B">
        <w:t xml:space="preserve"> ILC, Rep. on the Work of Its Seventy-First Session, U.N. Doc. A/74/10, at 146–47 (2019)</w:t>
      </w:r>
      <w:r w:rsidRPr="0047063B">
        <w:fldChar w:fldCharType="begin"/>
      </w:r>
      <w:r w:rsidRPr="0047063B">
        <w:instrText xml:space="preserve"> TA \l "</w:instrText>
      </w:r>
      <w:r w:rsidR="00EE55CD" w:rsidRPr="00EE55CD">
        <w:rPr>
          <w:noProof/>
        </w:rPr>
        <w:instrText xml:space="preserve"> </w:instrText>
      </w:r>
      <w:r w:rsidR="00EE55CD" w:rsidRPr="005F0C69">
        <w:rPr>
          <w:noProof/>
        </w:rPr>
        <w:instrText>Int’l L</w:instrText>
      </w:r>
      <w:r w:rsidR="00183F70">
        <w:rPr>
          <w:noProof/>
        </w:rPr>
        <w:instrText>aw</w:instrText>
      </w:r>
      <w:r w:rsidR="00EE55CD" w:rsidRPr="005F0C69">
        <w:rPr>
          <w:noProof/>
        </w:rPr>
        <w:instrText xml:space="preserve"> Comm’n</w:instrText>
      </w:r>
      <w:r w:rsidRPr="0047063B">
        <w:instrText>, Rep. on the Work of Its Seventy-First Session, U.N. Doc. A/74/10</w:instrText>
      </w:r>
      <w:r w:rsidR="004C5FFB" w:rsidRPr="0047063B">
        <w:instrText xml:space="preserve"> </w:instrText>
      </w:r>
      <w:r w:rsidRPr="0047063B">
        <w:instrText>(2019)" \s "ILC, Rep. on the Work of Its Seventy-First Session, U.N. Doc. A/74/10</w:instrText>
      </w:r>
      <w:r w:rsidR="004C5FFB" w:rsidRPr="0047063B">
        <w:instrText xml:space="preserve"> </w:instrText>
      </w:r>
      <w:r w:rsidRPr="0047063B">
        <w:instrText xml:space="preserve">(2019)" \c 4 </w:instrText>
      </w:r>
      <w:r w:rsidRPr="0047063B">
        <w:fldChar w:fldCharType="end"/>
      </w:r>
      <w:r w:rsidRPr="0047063B">
        <w:t xml:space="preserve">. </w:t>
      </w:r>
    </w:p>
  </w:footnote>
  <w:footnote w:id="115">
    <w:p w14:paraId="6F448617"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smallCaps/>
        </w:rPr>
        <w:t>Dinah Shelton</w:t>
      </w:r>
      <w:r w:rsidRPr="0047063B">
        <w:t xml:space="preserve">, </w:t>
      </w:r>
      <w:r w:rsidRPr="0047063B">
        <w:rPr>
          <w:i/>
        </w:rPr>
        <w:t>Jus Cogens in Recent Legal Scholarship</w:t>
      </w:r>
      <w:r w:rsidRPr="0047063B">
        <w:t xml:space="preserve">, in </w:t>
      </w:r>
      <w:r w:rsidRPr="0047063B">
        <w:rPr>
          <w:smallCaps/>
        </w:rPr>
        <w:t xml:space="preserve">Jus Cogens </w:t>
      </w:r>
      <w:r w:rsidRPr="0047063B">
        <w:t>86, 86 (2021)</w:t>
      </w:r>
      <w:r w:rsidRPr="0047063B">
        <w:fldChar w:fldCharType="begin"/>
      </w:r>
      <w:r w:rsidRPr="0047063B">
        <w:instrText xml:space="preserve"> TA \l "</w:instrText>
      </w:r>
      <w:r w:rsidRPr="0047063B">
        <w:rPr>
          <w:smallCaps/>
        </w:rPr>
        <w:instrText>Dinah Shelton</w:instrText>
      </w:r>
      <w:r w:rsidRPr="0047063B">
        <w:instrText xml:space="preserve">, </w:instrText>
      </w:r>
      <w:r w:rsidRPr="0047063B">
        <w:rPr>
          <w:i/>
        </w:rPr>
        <w:instrText>Jus Cogens in Recent Legal Scholarship</w:instrText>
      </w:r>
      <w:r w:rsidRPr="0047063B">
        <w:instrText xml:space="preserve">, in </w:instrText>
      </w:r>
      <w:r w:rsidRPr="0047063B">
        <w:rPr>
          <w:smallCaps/>
        </w:rPr>
        <w:instrText xml:space="preserve">Jus Cogens </w:instrText>
      </w:r>
      <w:r w:rsidRPr="0047063B">
        <w:instrText xml:space="preserve">86 (2021)" \s "Dinah Shelton, Jus Cogens in Recent Legal Scholarship, in Jus Cogens 86 (2021)" \c 6 </w:instrText>
      </w:r>
      <w:r w:rsidRPr="0047063B">
        <w:fldChar w:fldCharType="end"/>
      </w:r>
      <w:r w:rsidRPr="0047063B">
        <w:t>.</w:t>
      </w:r>
    </w:p>
  </w:footnote>
  <w:footnote w:id="116">
    <w:p w14:paraId="32D91C37" w14:textId="76F0E597" w:rsidR="002A4673" w:rsidRPr="0047063B" w:rsidDel="00B732ED" w:rsidRDefault="002A4673" w:rsidP="0047063B">
      <w:pPr>
        <w:spacing w:line="240" w:lineRule="auto"/>
        <w:ind w:firstLine="0"/>
        <w:rPr>
          <w:smallCaps/>
        </w:rPr>
      </w:pPr>
      <w:r w:rsidRPr="0047063B">
        <w:rPr>
          <w:vertAlign w:val="superscript"/>
        </w:rPr>
        <w:footnoteRef/>
      </w:r>
      <w:r w:rsidRPr="0047063B">
        <w:t xml:space="preserve"> </w:t>
      </w:r>
      <w:r w:rsidRPr="0047063B">
        <w:rPr>
          <w:i/>
        </w:rPr>
        <w:t>Arrest Warrant</w:t>
      </w:r>
      <w:r w:rsidRPr="0047063B">
        <w:t>, 2002 I.C.J. 95, ¶7 (Feb. 14) (dissenting opinion by Al-Khasawneh, J.)</w:t>
      </w:r>
      <w:r w:rsidRPr="0047063B">
        <w:fldChar w:fldCharType="begin"/>
      </w:r>
      <w:r w:rsidRPr="0047063B">
        <w:instrText xml:space="preserve"> TA \l "</w:instrText>
      </w:r>
      <w:r w:rsidRPr="0047063B">
        <w:rPr>
          <w:i/>
        </w:rPr>
        <w:instrText xml:space="preserve">Arrest Warrant of 11 April 2000 </w:instrText>
      </w:r>
      <w:r w:rsidRPr="0047063B">
        <w:instrText xml:space="preserve">(Dem. Rep. Congo v. Belg.), Judgment, 2002 I.C.J. 95 (Feb. 14) (dissenting opinion by Al-Khasawneh, J.)" \s "Arrest Warrant (dissenting opinion by Al-Khasawneh, J.)" \c </w:instrText>
      </w:r>
      <w:r w:rsidR="004F4E5F">
        <w:instrText>2</w:instrText>
      </w:r>
      <w:r w:rsidRPr="0047063B">
        <w:instrText xml:space="preserve"> </w:instrText>
      </w:r>
      <w:r w:rsidRPr="0047063B">
        <w:fldChar w:fldCharType="end"/>
      </w:r>
      <w:r w:rsidRPr="0047063B">
        <w:t xml:space="preserve">; K. Parlett, </w:t>
      </w:r>
      <w:r w:rsidRPr="0047063B">
        <w:rPr>
          <w:i/>
          <w:iCs/>
        </w:rPr>
        <w:t>Immunity in civil proceedings for torture: the emerging exception</w:t>
      </w:r>
      <w:r w:rsidRPr="0047063B">
        <w:t xml:space="preserve">, </w:t>
      </w:r>
      <w:r w:rsidRPr="0047063B">
        <w:rPr>
          <w:smallCaps/>
        </w:rPr>
        <w:t>Eur. Hum. Rts. L. Rev. 49, 49–66 (2006)</w:t>
      </w:r>
      <w:r w:rsidR="004C5FFB" w:rsidRPr="0047063B">
        <w:rPr>
          <w:smallCaps/>
        </w:rPr>
        <w:fldChar w:fldCharType="begin"/>
      </w:r>
      <w:r w:rsidR="004C5FFB" w:rsidRPr="0047063B">
        <w:instrText xml:space="preserve"> TA \l "K. Parlett, </w:instrText>
      </w:r>
      <w:r w:rsidR="004C5FFB" w:rsidRPr="0047063B">
        <w:rPr>
          <w:i/>
          <w:iCs/>
        </w:rPr>
        <w:instrText>Immunity in civil proceedings for torture: the emerging exception</w:instrText>
      </w:r>
      <w:r w:rsidR="004C5FFB" w:rsidRPr="0047063B">
        <w:instrText xml:space="preserve">, </w:instrText>
      </w:r>
      <w:r w:rsidR="004C5FFB" w:rsidRPr="0047063B">
        <w:rPr>
          <w:smallCaps/>
        </w:rPr>
        <w:instrText>Eur. Hum. Rts. L. Rev. 49 (2006)</w:instrText>
      </w:r>
      <w:r w:rsidR="004C5FFB" w:rsidRPr="0047063B">
        <w:instrText xml:space="preserve">" \s "K. Parlett, Immunity in civil proceedings for torture: the emerging exception, Eur. Hum. Rts. L. Rev. 49 (2006)" \c 6 </w:instrText>
      </w:r>
      <w:r w:rsidR="004C5FFB" w:rsidRPr="0047063B">
        <w:rPr>
          <w:smallCaps/>
        </w:rPr>
        <w:fldChar w:fldCharType="end"/>
      </w:r>
      <w:r w:rsidRPr="0047063B">
        <w:rPr>
          <w:smallCaps/>
        </w:rPr>
        <w:t>.</w:t>
      </w:r>
    </w:p>
  </w:footnote>
  <w:footnote w:id="117">
    <w:p w14:paraId="4E1C2732"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w:t>
      </w:r>
      <w:r w:rsidRPr="0047063B">
        <w:t xml:space="preserve">U.N. Convention on the Law of the Sea </w:t>
      </w:r>
      <w:r w:rsidRPr="0047063B">
        <w:rPr>
          <w:color w:val="000000"/>
        </w:rPr>
        <w:t>arts. 87, 116</w:t>
      </w:r>
      <w:r w:rsidRPr="0047063B">
        <w:t>, Nov. 16, 1994, 1833 U.N.T.S. 397</w:t>
      </w:r>
      <w:r w:rsidRPr="0047063B">
        <w:fldChar w:fldCharType="begin"/>
      </w:r>
      <w:r w:rsidRPr="0047063B">
        <w:instrText xml:space="preserve"> TA \l "U.N. Convention on the Law of the Sea, Nov. 16, 1994, 1833 U.N.T.S. 397" \s "UNCLOS" \c 1 </w:instrText>
      </w:r>
      <w:r w:rsidRPr="0047063B">
        <w:fldChar w:fldCharType="end"/>
      </w:r>
      <w:r w:rsidRPr="0047063B">
        <w:rPr>
          <w:color w:val="000000"/>
        </w:rPr>
        <w:t>. [“</w:t>
      </w:r>
      <w:r w:rsidRPr="0047063B">
        <w:rPr>
          <w:b/>
          <w:bCs/>
          <w:color w:val="000000"/>
        </w:rPr>
        <w:t>UNCLOS</w:t>
      </w:r>
      <w:r w:rsidRPr="0047063B">
        <w:rPr>
          <w:color w:val="000000"/>
        </w:rPr>
        <w:t>”].</w:t>
      </w:r>
    </w:p>
  </w:footnote>
  <w:footnote w:id="118">
    <w:p w14:paraId="2918925D" w14:textId="77777777" w:rsidR="002A4673" w:rsidRPr="0047063B" w:rsidRDefault="002A4673"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w:t>
      </w:r>
      <w:r w:rsidRPr="0047063B">
        <w:rPr>
          <w:sz w:val="24"/>
          <w:szCs w:val="24"/>
          <w:lang w:val="en-US"/>
        </w:rPr>
        <w:t xml:space="preserve">Facts, ¶22. </w:t>
      </w:r>
    </w:p>
  </w:footnote>
  <w:footnote w:id="119">
    <w:p w14:paraId="2EB3D486"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Facts, ¶13. </w:t>
      </w:r>
    </w:p>
  </w:footnote>
  <w:footnote w:id="120">
    <w:p w14:paraId="43ECF13F" w14:textId="77777777" w:rsidR="002A4673" w:rsidRPr="0047063B" w:rsidRDefault="002A4673" w:rsidP="0047063B">
      <w:pPr>
        <w:pStyle w:val="FootnoteText"/>
        <w:spacing w:after="160"/>
        <w:ind w:firstLine="0"/>
        <w:rPr>
          <w:color w:val="000000" w:themeColor="text1"/>
          <w:sz w:val="24"/>
          <w:szCs w:val="24"/>
        </w:rPr>
      </w:pPr>
      <w:r w:rsidRPr="0047063B">
        <w:rPr>
          <w:rStyle w:val="FootnoteReference"/>
          <w:sz w:val="24"/>
          <w:szCs w:val="24"/>
        </w:rPr>
        <w:footnoteRef/>
      </w:r>
      <w:r w:rsidRPr="0047063B">
        <w:rPr>
          <w:sz w:val="24"/>
          <w:szCs w:val="24"/>
        </w:rPr>
        <w:t xml:space="preserve"> </w:t>
      </w:r>
      <w:r w:rsidRPr="0047063B">
        <w:rPr>
          <w:i/>
          <w:sz w:val="24"/>
          <w:szCs w:val="24"/>
        </w:rPr>
        <w:t>See</w:t>
      </w:r>
      <w:r w:rsidRPr="0047063B">
        <w:rPr>
          <w:sz w:val="24"/>
          <w:szCs w:val="24"/>
        </w:rPr>
        <w:t xml:space="preserve"> </w:t>
      </w:r>
      <w:r w:rsidRPr="0047063B">
        <w:rPr>
          <w:i/>
          <w:color w:val="000000"/>
          <w:sz w:val="24"/>
          <w:szCs w:val="24"/>
        </w:rPr>
        <w:t>North Sea Continental Shelf</w:t>
      </w:r>
      <w:r w:rsidRPr="0047063B">
        <w:rPr>
          <w:color w:val="000000"/>
          <w:sz w:val="24"/>
          <w:szCs w:val="24"/>
        </w:rPr>
        <w:t xml:space="preserve"> (Ger. v. Den.), Judgment, 1969 I.C.J. 3, ¶96 (Feb. 20)</w:t>
      </w:r>
      <w:r w:rsidRPr="0047063B">
        <w:rPr>
          <w:color w:val="000000"/>
          <w:sz w:val="24"/>
          <w:szCs w:val="24"/>
        </w:rPr>
        <w:fldChar w:fldCharType="begin"/>
      </w:r>
      <w:r w:rsidRPr="0047063B">
        <w:rPr>
          <w:sz w:val="24"/>
          <w:szCs w:val="24"/>
        </w:rPr>
        <w:instrText xml:space="preserve"> TA \l "</w:instrText>
      </w:r>
      <w:r w:rsidRPr="0047063B">
        <w:rPr>
          <w:i/>
          <w:iCs/>
          <w:color w:val="000000"/>
          <w:sz w:val="24"/>
          <w:szCs w:val="24"/>
        </w:rPr>
        <w:instrText>North Sea Continental Shelf</w:instrText>
      </w:r>
      <w:r w:rsidRPr="0047063B">
        <w:rPr>
          <w:color w:val="000000"/>
          <w:sz w:val="24"/>
          <w:szCs w:val="24"/>
        </w:rPr>
        <w:instrText xml:space="preserve"> (Ger. v. Den.), Judgment, 1969 I.C.J. 3 (Feb. 20)</w:instrText>
      </w:r>
      <w:r w:rsidRPr="0047063B">
        <w:rPr>
          <w:sz w:val="24"/>
          <w:szCs w:val="24"/>
        </w:rPr>
        <w:instrText xml:space="preserve">" \s "North Sea" \c 2 </w:instrText>
      </w:r>
      <w:r w:rsidRPr="0047063B">
        <w:rPr>
          <w:color w:val="000000"/>
          <w:sz w:val="24"/>
          <w:szCs w:val="24"/>
        </w:rPr>
        <w:fldChar w:fldCharType="end"/>
      </w:r>
      <w:r w:rsidRPr="0047063B">
        <w:rPr>
          <w:sz w:val="24"/>
          <w:szCs w:val="24"/>
        </w:rPr>
        <w:t>. [“</w:t>
      </w:r>
      <w:r w:rsidRPr="0047063B">
        <w:rPr>
          <w:b/>
          <w:sz w:val="24"/>
          <w:szCs w:val="24"/>
        </w:rPr>
        <w:t>North Sea</w:t>
      </w:r>
      <w:r w:rsidRPr="0047063B">
        <w:rPr>
          <w:sz w:val="24"/>
          <w:szCs w:val="24"/>
        </w:rPr>
        <w:t xml:space="preserve">”]; </w:t>
      </w:r>
      <w:r w:rsidRPr="0047063B">
        <w:rPr>
          <w:i/>
          <w:color w:val="000000"/>
          <w:sz w:val="24"/>
          <w:szCs w:val="24"/>
        </w:rPr>
        <w:t>Fisheries</w:t>
      </w:r>
      <w:r w:rsidRPr="0047063B">
        <w:rPr>
          <w:color w:val="000000"/>
          <w:sz w:val="24"/>
          <w:szCs w:val="24"/>
        </w:rPr>
        <w:t xml:space="preserve"> (U.K. v. Nor.), Judgment, 1951 I.C.J. 116, 133 (Dec. 18)</w:t>
      </w:r>
      <w:r w:rsidRPr="0047063B">
        <w:rPr>
          <w:color w:val="000000"/>
          <w:sz w:val="24"/>
          <w:szCs w:val="24"/>
        </w:rPr>
        <w:fldChar w:fldCharType="begin"/>
      </w:r>
      <w:r w:rsidRPr="0047063B">
        <w:rPr>
          <w:sz w:val="24"/>
          <w:szCs w:val="24"/>
        </w:rPr>
        <w:instrText xml:space="preserve"> TA \l "</w:instrText>
      </w:r>
      <w:r w:rsidRPr="0047063B">
        <w:rPr>
          <w:i/>
          <w:iCs/>
          <w:color w:val="000000"/>
          <w:sz w:val="24"/>
          <w:szCs w:val="24"/>
        </w:rPr>
        <w:instrText>Fisheries</w:instrText>
      </w:r>
      <w:r w:rsidRPr="0047063B">
        <w:rPr>
          <w:color w:val="000000"/>
          <w:sz w:val="24"/>
          <w:szCs w:val="24"/>
        </w:rPr>
        <w:instrText xml:space="preserve"> (U.K. v. Nor.), Judgment, 1951 I.C.J. 116 (Dec. 18)</w:instrText>
      </w:r>
      <w:r w:rsidRPr="0047063B">
        <w:rPr>
          <w:sz w:val="24"/>
          <w:szCs w:val="24"/>
        </w:rPr>
        <w:instrText xml:space="preserve">" \s "Fisheries" \c 2 </w:instrText>
      </w:r>
      <w:r w:rsidRPr="0047063B">
        <w:rPr>
          <w:color w:val="000000"/>
          <w:sz w:val="24"/>
          <w:szCs w:val="24"/>
        </w:rPr>
        <w:fldChar w:fldCharType="end"/>
      </w:r>
      <w:r w:rsidRPr="0047063B">
        <w:rPr>
          <w:color w:val="000000"/>
          <w:sz w:val="24"/>
          <w:szCs w:val="24"/>
        </w:rPr>
        <w:t xml:space="preserve"> (asserting the “close dependence” of the territorial sea upon the land) [“</w:t>
      </w:r>
      <w:r w:rsidRPr="0047063B">
        <w:rPr>
          <w:b/>
          <w:color w:val="000000"/>
          <w:sz w:val="24"/>
          <w:szCs w:val="24"/>
        </w:rPr>
        <w:t>Fisheries</w:t>
      </w:r>
      <w:r w:rsidRPr="0047063B">
        <w:rPr>
          <w:color w:val="000000"/>
          <w:sz w:val="24"/>
          <w:szCs w:val="24"/>
        </w:rPr>
        <w:t>”].</w:t>
      </w:r>
    </w:p>
  </w:footnote>
  <w:footnote w:id="121">
    <w:p w14:paraId="73EFCC2F"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w:t>
      </w:r>
      <w:r w:rsidRPr="0047063B">
        <w:t>UNCLOS</w:t>
      </w:r>
      <w:r w:rsidRPr="0047063B">
        <w:fldChar w:fldCharType="begin"/>
      </w:r>
      <w:r w:rsidRPr="0047063B">
        <w:instrText xml:space="preserve"> TA \s "UNCLOS" </w:instrText>
      </w:r>
      <w:r w:rsidRPr="0047063B">
        <w:fldChar w:fldCharType="end"/>
      </w:r>
      <w:r w:rsidRPr="0047063B">
        <w:t xml:space="preserve"> art. 5. </w:t>
      </w:r>
      <w:r w:rsidRPr="0047063B">
        <w:rPr>
          <w:color w:val="000000"/>
        </w:rPr>
        <w:t xml:space="preserve"> </w:t>
      </w:r>
    </w:p>
  </w:footnote>
  <w:footnote w:id="122">
    <w:p w14:paraId="51792028"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w:t>
      </w:r>
      <w:r w:rsidRPr="0047063B">
        <w:rPr>
          <w:i/>
          <w:sz w:val="24"/>
          <w:szCs w:val="24"/>
        </w:rPr>
        <w:t>Continental Shelf</w:t>
      </w:r>
      <w:r w:rsidRPr="0047063B">
        <w:rPr>
          <w:sz w:val="24"/>
          <w:szCs w:val="24"/>
        </w:rPr>
        <w:t xml:space="preserve"> (Libyan Arab Jamahiriya v. Malta), Judgment, 1985 I.C.J. 13, ¶49 (June 3)</w:t>
      </w:r>
      <w:r w:rsidRPr="0047063B">
        <w:rPr>
          <w:sz w:val="24"/>
          <w:szCs w:val="24"/>
        </w:rPr>
        <w:fldChar w:fldCharType="begin"/>
      </w:r>
      <w:r w:rsidRPr="0047063B">
        <w:rPr>
          <w:sz w:val="24"/>
          <w:szCs w:val="24"/>
        </w:rPr>
        <w:instrText xml:space="preserve"> TA \l "</w:instrText>
      </w:r>
      <w:r w:rsidRPr="0047063B">
        <w:rPr>
          <w:i/>
          <w:iCs/>
          <w:sz w:val="24"/>
          <w:szCs w:val="24"/>
        </w:rPr>
        <w:instrText>Continental Shelf</w:instrText>
      </w:r>
      <w:r w:rsidRPr="0047063B">
        <w:rPr>
          <w:sz w:val="24"/>
          <w:szCs w:val="24"/>
        </w:rPr>
        <w:instrText xml:space="preserve"> (Libyan Arab Jamahiriya v. Malta), Judgment, 1985 ICJ 13 (June 3)" \s "Continental Shelf" \c 2 </w:instrText>
      </w:r>
      <w:r w:rsidRPr="0047063B">
        <w:rPr>
          <w:sz w:val="24"/>
          <w:szCs w:val="24"/>
        </w:rPr>
        <w:fldChar w:fldCharType="end"/>
      </w:r>
      <w:r w:rsidRPr="0047063B">
        <w:rPr>
          <w:sz w:val="24"/>
          <w:szCs w:val="24"/>
        </w:rPr>
        <w:t>.</w:t>
      </w:r>
    </w:p>
  </w:footnote>
  <w:footnote w:id="123">
    <w:p w14:paraId="2ED38CC1" w14:textId="77777777" w:rsidR="004C5FFB" w:rsidRPr="0047063B" w:rsidRDefault="004C5FFB"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Facts, ¶22. </w:t>
      </w:r>
    </w:p>
  </w:footnote>
  <w:footnote w:id="124">
    <w:p w14:paraId="04CB8303" w14:textId="77777777" w:rsidR="004C5FFB" w:rsidRPr="0047063B" w:rsidRDefault="004C5FFB"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UNCLOS</w:t>
      </w:r>
      <w:r w:rsidRPr="0047063B">
        <w:rPr>
          <w:sz w:val="24"/>
          <w:szCs w:val="24"/>
        </w:rPr>
        <w:fldChar w:fldCharType="begin"/>
      </w:r>
      <w:r w:rsidRPr="0047063B">
        <w:rPr>
          <w:sz w:val="24"/>
          <w:szCs w:val="24"/>
        </w:rPr>
        <w:instrText xml:space="preserve"> TA \s "UNCLOS" </w:instrText>
      </w:r>
      <w:r w:rsidRPr="0047063B">
        <w:rPr>
          <w:sz w:val="24"/>
          <w:szCs w:val="24"/>
        </w:rPr>
        <w:fldChar w:fldCharType="end"/>
      </w:r>
      <w:r w:rsidRPr="0047063B">
        <w:rPr>
          <w:sz w:val="24"/>
          <w:szCs w:val="24"/>
        </w:rPr>
        <w:t xml:space="preserve"> art. 57. </w:t>
      </w:r>
    </w:p>
  </w:footnote>
  <w:footnote w:id="125">
    <w:p w14:paraId="0E6DB4BA" w14:textId="3F1E72C8" w:rsidR="00D90D30" w:rsidRPr="0047063B" w:rsidRDefault="00D90D30"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w:t>
      </w:r>
      <w:r w:rsidRPr="0047063B">
        <w:rPr>
          <w:i/>
          <w:sz w:val="24"/>
          <w:szCs w:val="24"/>
        </w:rPr>
        <w:t>Maritime Delimitation and Territorial Questions</w:t>
      </w:r>
      <w:r w:rsidRPr="0047063B">
        <w:rPr>
          <w:sz w:val="24"/>
          <w:szCs w:val="24"/>
        </w:rPr>
        <w:t xml:space="preserve"> (Qatar v. Bahr.), Judgment, 2001 I.C.J. 40, ¶184 (Mar. 16)</w:t>
      </w:r>
      <w:r w:rsidRPr="0047063B">
        <w:rPr>
          <w:sz w:val="24"/>
          <w:szCs w:val="24"/>
        </w:rPr>
        <w:fldChar w:fldCharType="begin"/>
      </w:r>
      <w:r w:rsidRPr="0047063B">
        <w:rPr>
          <w:sz w:val="24"/>
          <w:szCs w:val="24"/>
        </w:rPr>
        <w:instrText xml:space="preserve"> TA \l "</w:instrText>
      </w:r>
      <w:r w:rsidRPr="0047063B">
        <w:rPr>
          <w:i/>
          <w:iCs/>
          <w:sz w:val="24"/>
          <w:szCs w:val="24"/>
        </w:rPr>
        <w:instrText>Maritime Delimitation and Territorial Questions</w:instrText>
      </w:r>
      <w:r w:rsidRPr="0047063B">
        <w:rPr>
          <w:sz w:val="24"/>
          <w:szCs w:val="24"/>
        </w:rPr>
        <w:instrText xml:space="preserve"> (Qatar v. Bahr.), Judgment, 2001 I.C.J. 40 (Mar. 16)" \s "Qatar v. Bahrain" \c 2 </w:instrText>
      </w:r>
      <w:r w:rsidRPr="0047063B">
        <w:rPr>
          <w:sz w:val="24"/>
          <w:szCs w:val="24"/>
        </w:rPr>
        <w:fldChar w:fldCharType="end"/>
      </w:r>
      <w:r w:rsidRPr="0047063B">
        <w:rPr>
          <w:sz w:val="24"/>
          <w:szCs w:val="24"/>
        </w:rPr>
        <w:t xml:space="preserve"> </w:t>
      </w:r>
      <w:r w:rsidRPr="0047063B">
        <w:rPr>
          <w:sz w:val="24"/>
          <w:szCs w:val="24"/>
          <w:lang w:val="en-US"/>
        </w:rPr>
        <w:t>(emphasis added)</w:t>
      </w:r>
      <w:r w:rsidRPr="0047063B">
        <w:rPr>
          <w:sz w:val="24"/>
          <w:szCs w:val="24"/>
        </w:rPr>
        <w:t xml:space="preserve"> [“</w:t>
      </w:r>
      <w:r w:rsidRPr="0047063B">
        <w:rPr>
          <w:b/>
          <w:sz w:val="24"/>
          <w:szCs w:val="24"/>
        </w:rPr>
        <w:t>Qatar v. Bahrain</w:t>
      </w:r>
      <w:r w:rsidRPr="0047063B">
        <w:rPr>
          <w:sz w:val="24"/>
          <w:szCs w:val="24"/>
        </w:rPr>
        <w:t>”].</w:t>
      </w:r>
    </w:p>
  </w:footnote>
  <w:footnote w:id="126">
    <w:p w14:paraId="21BB049C" w14:textId="5A64E992" w:rsidR="00D90D30" w:rsidRPr="0047063B" w:rsidRDefault="00D90D30"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Coalter G. Lathrop, J. Ashley Roach &amp; Donald R. Rothwell, </w:t>
      </w:r>
      <w:r w:rsidRPr="0047063B">
        <w:rPr>
          <w:i/>
          <w:sz w:val="24"/>
          <w:szCs w:val="24"/>
        </w:rPr>
        <w:t>Baselines under the International Law of the Sea: Reports of the International Law Association Committee on Baselines Under the International Law of the Sea</w:t>
      </w:r>
      <w:r w:rsidRPr="0047063B">
        <w:rPr>
          <w:sz w:val="24"/>
          <w:szCs w:val="24"/>
        </w:rPr>
        <w:t xml:space="preserve">, 2 </w:t>
      </w:r>
      <w:r w:rsidRPr="0047063B">
        <w:rPr>
          <w:smallCaps/>
          <w:sz w:val="24"/>
          <w:szCs w:val="24"/>
        </w:rPr>
        <w:t>Brill Rsch. Persps. L. Sea 1,</w:t>
      </w:r>
      <w:r w:rsidRPr="0047063B">
        <w:rPr>
          <w:sz w:val="24"/>
          <w:szCs w:val="24"/>
        </w:rPr>
        <w:t xml:space="preserve"> 41 (2019)</w:t>
      </w:r>
      <w:r w:rsidRPr="0047063B">
        <w:rPr>
          <w:sz w:val="24"/>
          <w:szCs w:val="24"/>
        </w:rPr>
        <w:fldChar w:fldCharType="begin"/>
      </w:r>
      <w:r w:rsidRPr="0047063B">
        <w:rPr>
          <w:sz w:val="24"/>
          <w:szCs w:val="24"/>
        </w:rPr>
        <w:instrText xml:space="preserve"> TA \l "Coalter G. Lathrop, J. Ashley Roach &amp; Donald R. Rothwell, </w:instrText>
      </w:r>
      <w:r w:rsidRPr="0047063B">
        <w:rPr>
          <w:i/>
          <w:iCs/>
          <w:sz w:val="24"/>
          <w:szCs w:val="24"/>
        </w:rPr>
        <w:instrText>Baselines under the International Law of the Sea: Reports of the International Law Association Committee on Baselines Under the International Law of the Sea</w:instrText>
      </w:r>
      <w:r w:rsidRPr="0047063B">
        <w:rPr>
          <w:sz w:val="24"/>
          <w:szCs w:val="24"/>
        </w:rPr>
        <w:instrText xml:space="preserve">, 2 </w:instrText>
      </w:r>
      <w:r w:rsidR="004F4E5F" w:rsidRPr="0047063B">
        <w:rPr>
          <w:smallCaps/>
          <w:sz w:val="24"/>
          <w:szCs w:val="24"/>
        </w:rPr>
        <w:instrText xml:space="preserve">Brill Rsch. Persps. L. Sea </w:instrText>
      </w:r>
      <w:r w:rsidRPr="0047063B">
        <w:rPr>
          <w:smallCaps/>
          <w:sz w:val="24"/>
          <w:szCs w:val="24"/>
        </w:rPr>
        <w:instrText>1</w:instrText>
      </w:r>
      <w:r w:rsidRPr="0047063B">
        <w:rPr>
          <w:sz w:val="24"/>
          <w:szCs w:val="24"/>
        </w:rPr>
        <w:instrText xml:space="preserve"> (2019)" \s "Coalter G. Lathrop, J. Ashley Roach &amp; Donald R. Rothwell, Baselines under the International Law of the Sea: Reports of the International Law Association Committee on Baselines Under the International Law of the Sea, 2 Brill Research Perspectives in the La" \c 6 </w:instrText>
      </w:r>
      <w:r w:rsidRPr="0047063B">
        <w:rPr>
          <w:sz w:val="24"/>
          <w:szCs w:val="24"/>
        </w:rPr>
        <w:fldChar w:fldCharType="end"/>
      </w:r>
      <w:r w:rsidRPr="0047063B">
        <w:rPr>
          <w:sz w:val="24"/>
          <w:szCs w:val="24"/>
        </w:rPr>
        <w:t>.</w:t>
      </w:r>
    </w:p>
  </w:footnote>
  <w:footnote w:id="127">
    <w:p w14:paraId="1EACA1A0" w14:textId="2EE7F655" w:rsidR="0047063B" w:rsidRPr="0047063B" w:rsidRDefault="0047063B"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w:t>
      </w:r>
      <w:r w:rsidRPr="0047063B">
        <w:rPr>
          <w:i/>
          <w:sz w:val="24"/>
          <w:szCs w:val="24"/>
        </w:rPr>
        <w:t>See, e.g.</w:t>
      </w:r>
      <w:r w:rsidRPr="0047063B">
        <w:rPr>
          <w:sz w:val="24"/>
          <w:szCs w:val="24"/>
        </w:rPr>
        <w:t>, UNCLOS</w:t>
      </w:r>
      <w:r w:rsidRPr="0047063B">
        <w:rPr>
          <w:sz w:val="24"/>
          <w:szCs w:val="24"/>
        </w:rPr>
        <w:fldChar w:fldCharType="begin"/>
      </w:r>
      <w:r w:rsidRPr="0047063B">
        <w:rPr>
          <w:sz w:val="24"/>
          <w:szCs w:val="24"/>
        </w:rPr>
        <w:instrText xml:space="preserve"> TA \s "UNCLOS" </w:instrText>
      </w:r>
      <w:r w:rsidRPr="0047063B">
        <w:rPr>
          <w:sz w:val="24"/>
          <w:szCs w:val="24"/>
        </w:rPr>
        <w:fldChar w:fldCharType="end"/>
      </w:r>
      <w:r w:rsidRPr="0047063B">
        <w:rPr>
          <w:sz w:val="24"/>
          <w:szCs w:val="24"/>
        </w:rPr>
        <w:t xml:space="preserve"> arts. 6, 10, 13, 47 (defining the low-water line with reference to geographical features of the coast and land); ILC, Sea-level rise in relation to international law, U.N. Doc</w:t>
      </w:r>
      <w:r w:rsidR="00183F70">
        <w:rPr>
          <w:sz w:val="24"/>
          <w:szCs w:val="24"/>
        </w:rPr>
        <w:t>.</w:t>
      </w:r>
      <w:r w:rsidRPr="0047063B">
        <w:rPr>
          <w:sz w:val="24"/>
          <w:szCs w:val="24"/>
        </w:rPr>
        <w:t xml:space="preserve"> A/CN.4/740, at 28, ¶78</w:t>
      </w:r>
      <w:r w:rsidRPr="0047063B">
        <w:rPr>
          <w:sz w:val="24"/>
          <w:szCs w:val="24"/>
        </w:rPr>
        <w:fldChar w:fldCharType="begin"/>
      </w:r>
      <w:r w:rsidRPr="0047063B">
        <w:rPr>
          <w:sz w:val="24"/>
          <w:szCs w:val="24"/>
        </w:rPr>
        <w:instrText xml:space="preserve"> TA \l "</w:instrText>
      </w:r>
      <w:r w:rsidR="00EE55CD" w:rsidRPr="005F0C69">
        <w:rPr>
          <w:noProof/>
        </w:rPr>
        <w:instrText>Int’l L</w:instrText>
      </w:r>
      <w:r w:rsidR="00183F70">
        <w:rPr>
          <w:noProof/>
        </w:rPr>
        <w:instrText>aw</w:instrText>
      </w:r>
      <w:r w:rsidR="00EE55CD" w:rsidRPr="005F0C69">
        <w:rPr>
          <w:noProof/>
        </w:rPr>
        <w:instrText xml:space="preserve"> Comm’n</w:instrText>
      </w:r>
      <w:r w:rsidRPr="0047063B">
        <w:rPr>
          <w:sz w:val="24"/>
          <w:szCs w:val="24"/>
        </w:rPr>
        <w:instrText>, Sea-level rise in relation to international law, U.N. Doc</w:instrText>
      </w:r>
      <w:r w:rsidR="00183F70">
        <w:rPr>
          <w:sz w:val="24"/>
          <w:szCs w:val="24"/>
        </w:rPr>
        <w:instrText>.</w:instrText>
      </w:r>
      <w:r w:rsidRPr="0047063B">
        <w:rPr>
          <w:sz w:val="24"/>
          <w:szCs w:val="24"/>
        </w:rPr>
        <w:instrText xml:space="preserve"> A/CN.4/740" \s "Issues Paper" \c 4 </w:instrText>
      </w:r>
      <w:r w:rsidRPr="0047063B">
        <w:rPr>
          <w:sz w:val="24"/>
          <w:szCs w:val="24"/>
        </w:rPr>
        <w:fldChar w:fldCharType="end"/>
      </w:r>
      <w:r w:rsidRPr="0047063B">
        <w:rPr>
          <w:sz w:val="24"/>
          <w:szCs w:val="24"/>
        </w:rPr>
        <w:t xml:space="preserve"> [“</w:t>
      </w:r>
      <w:r w:rsidRPr="0047063B">
        <w:rPr>
          <w:b/>
          <w:sz w:val="24"/>
          <w:szCs w:val="24"/>
        </w:rPr>
        <w:t>Issues Paper</w:t>
      </w:r>
      <w:r w:rsidRPr="0047063B">
        <w:rPr>
          <w:sz w:val="24"/>
          <w:szCs w:val="24"/>
        </w:rPr>
        <w:t>”].</w:t>
      </w:r>
    </w:p>
  </w:footnote>
  <w:footnote w:id="128">
    <w:p w14:paraId="5FC13F81" w14:textId="77777777" w:rsidR="00D90D30" w:rsidRPr="0047063B" w:rsidRDefault="00D90D30" w:rsidP="0047063B">
      <w:pPr>
        <w:pBdr>
          <w:top w:val="nil"/>
          <w:left w:val="nil"/>
          <w:bottom w:val="nil"/>
          <w:right w:val="nil"/>
          <w:between w:val="nil"/>
        </w:pBdr>
        <w:spacing w:line="240" w:lineRule="auto"/>
        <w:ind w:firstLine="0"/>
      </w:pPr>
      <w:r w:rsidRPr="0047063B">
        <w:rPr>
          <w:vertAlign w:val="superscript"/>
        </w:rPr>
        <w:footnoteRef/>
      </w:r>
      <w:r w:rsidRPr="0047063B">
        <w:rPr>
          <w:color w:val="000000"/>
        </w:rPr>
        <w:t xml:space="preserve"> UNCLOS</w:t>
      </w:r>
      <w:r w:rsidRPr="0047063B">
        <w:rPr>
          <w:color w:val="000000"/>
        </w:rPr>
        <w:fldChar w:fldCharType="begin"/>
      </w:r>
      <w:r w:rsidRPr="0047063B">
        <w:instrText xml:space="preserve"> TA \s "UNCLOS" </w:instrText>
      </w:r>
      <w:r w:rsidRPr="0047063B">
        <w:rPr>
          <w:color w:val="000000"/>
        </w:rPr>
        <w:fldChar w:fldCharType="end"/>
      </w:r>
      <w:r w:rsidRPr="0047063B">
        <w:rPr>
          <w:color w:val="000000"/>
        </w:rPr>
        <w:t xml:space="preserve"> art. 7(3); </w:t>
      </w:r>
      <w:r w:rsidRPr="0047063B">
        <w:rPr>
          <w:i/>
          <w:iCs/>
          <w:color w:val="000000"/>
        </w:rPr>
        <w:t xml:space="preserve">see also </w:t>
      </w:r>
      <w:r w:rsidRPr="0047063B">
        <w:rPr>
          <w:i/>
          <w:iCs/>
        </w:rPr>
        <w:t>Fisheries</w:t>
      </w:r>
      <w:r w:rsidRPr="0047063B">
        <w:rPr>
          <w:i/>
          <w:iCs/>
        </w:rPr>
        <w:fldChar w:fldCharType="begin"/>
      </w:r>
      <w:r w:rsidRPr="0047063B">
        <w:instrText xml:space="preserve"> TA \s "Fisheries" </w:instrText>
      </w:r>
      <w:r w:rsidRPr="0047063B">
        <w:rPr>
          <w:i/>
          <w:iCs/>
        </w:rPr>
        <w:fldChar w:fldCharType="end"/>
      </w:r>
      <w:r w:rsidRPr="0047063B">
        <w:rPr>
          <w:i/>
          <w:iCs/>
        </w:rPr>
        <w:t xml:space="preserve">, </w:t>
      </w:r>
      <w:r w:rsidRPr="0047063B">
        <w:t>1951 I.C.J. at 132 (asserting this principle).</w:t>
      </w:r>
    </w:p>
  </w:footnote>
  <w:footnote w:id="129">
    <w:p w14:paraId="13AE238A" w14:textId="77777777" w:rsidR="00D90D30" w:rsidRPr="0047063B" w:rsidRDefault="00D90D30"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Int’l L. Ass’n Sofia Conference, </w:t>
      </w:r>
      <w:r w:rsidRPr="0047063B">
        <w:rPr>
          <w:i/>
          <w:sz w:val="24"/>
          <w:szCs w:val="24"/>
        </w:rPr>
        <w:t xml:space="preserve">Baselines </w:t>
      </w:r>
      <w:r w:rsidRPr="0047063B">
        <w:rPr>
          <w:i/>
          <w:iCs/>
          <w:sz w:val="24"/>
          <w:szCs w:val="24"/>
        </w:rPr>
        <w:t>Under</w:t>
      </w:r>
      <w:r w:rsidRPr="0047063B">
        <w:rPr>
          <w:i/>
          <w:sz w:val="24"/>
          <w:szCs w:val="24"/>
        </w:rPr>
        <w:t xml:space="preserve"> the International Law of the Sea</w:t>
      </w:r>
      <w:r w:rsidRPr="0047063B">
        <w:rPr>
          <w:i/>
          <w:iCs/>
          <w:sz w:val="24"/>
          <w:szCs w:val="24"/>
        </w:rPr>
        <w:t xml:space="preserve">, Final </w:t>
      </w:r>
      <w:r w:rsidRPr="0047063B">
        <w:rPr>
          <w:i/>
          <w:sz w:val="24"/>
          <w:szCs w:val="24"/>
        </w:rPr>
        <w:t>Report</w:t>
      </w:r>
      <w:r w:rsidRPr="0047063B">
        <w:rPr>
          <w:i/>
          <w:iCs/>
          <w:sz w:val="24"/>
          <w:szCs w:val="24"/>
        </w:rPr>
        <w:t>,</w:t>
      </w:r>
      <w:r w:rsidRPr="0047063B">
        <w:rPr>
          <w:color w:val="000000"/>
          <w:sz w:val="24"/>
          <w:szCs w:val="24"/>
        </w:rPr>
        <w:t xml:space="preserve"> 31 (2012)</w:t>
      </w:r>
      <w:r w:rsidRPr="0047063B">
        <w:rPr>
          <w:color w:val="000000"/>
          <w:sz w:val="24"/>
          <w:szCs w:val="24"/>
        </w:rPr>
        <w:fldChar w:fldCharType="begin"/>
      </w:r>
      <w:r w:rsidRPr="0047063B">
        <w:rPr>
          <w:sz w:val="24"/>
          <w:szCs w:val="24"/>
        </w:rPr>
        <w:instrText xml:space="preserve"> TA \s "Report of the Baselines Committee" </w:instrText>
      </w:r>
      <w:r w:rsidRPr="0047063B">
        <w:rPr>
          <w:color w:val="000000"/>
          <w:sz w:val="24"/>
          <w:szCs w:val="24"/>
        </w:rPr>
        <w:fldChar w:fldCharType="end"/>
      </w:r>
      <w:r w:rsidRPr="0047063B">
        <w:rPr>
          <w:color w:val="000000"/>
          <w:sz w:val="24"/>
          <w:szCs w:val="24"/>
        </w:rPr>
        <w:t>.</w:t>
      </w:r>
    </w:p>
  </w:footnote>
  <w:footnote w:id="130">
    <w:p w14:paraId="1A961949"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UNCLOS</w:t>
      </w:r>
      <w:r w:rsidRPr="0047063B">
        <w:rPr>
          <w:sz w:val="24"/>
          <w:szCs w:val="24"/>
        </w:rPr>
        <w:fldChar w:fldCharType="begin"/>
      </w:r>
      <w:r w:rsidRPr="0047063B">
        <w:rPr>
          <w:sz w:val="24"/>
          <w:szCs w:val="24"/>
        </w:rPr>
        <w:instrText xml:space="preserve"> TA \s "UNCLOS" </w:instrText>
      </w:r>
      <w:r w:rsidRPr="0047063B">
        <w:rPr>
          <w:sz w:val="24"/>
          <w:szCs w:val="24"/>
        </w:rPr>
        <w:fldChar w:fldCharType="end"/>
      </w:r>
      <w:r w:rsidRPr="0047063B">
        <w:rPr>
          <w:i/>
          <w:sz w:val="24"/>
          <w:szCs w:val="24"/>
        </w:rPr>
        <w:t xml:space="preserve"> </w:t>
      </w:r>
      <w:r w:rsidRPr="0047063B">
        <w:rPr>
          <w:sz w:val="24"/>
          <w:szCs w:val="24"/>
        </w:rPr>
        <w:t xml:space="preserve">art. 7(2). </w:t>
      </w:r>
    </w:p>
  </w:footnote>
  <w:footnote w:id="131">
    <w:p w14:paraId="0B54C92F" w14:textId="6BE0C278"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The ICJ has previously invoked this canon of statutory interpretation. </w:t>
      </w:r>
      <w:r w:rsidRPr="0047063B">
        <w:rPr>
          <w:i/>
          <w:sz w:val="24"/>
          <w:szCs w:val="24"/>
        </w:rPr>
        <w:t>See</w:t>
      </w:r>
      <w:r w:rsidRPr="0047063B">
        <w:rPr>
          <w:i/>
          <w:iCs/>
          <w:sz w:val="24"/>
          <w:szCs w:val="24"/>
        </w:rPr>
        <w:t>,</w:t>
      </w:r>
      <w:r w:rsidRPr="0047063B">
        <w:rPr>
          <w:i/>
          <w:sz w:val="24"/>
          <w:szCs w:val="24"/>
        </w:rPr>
        <w:t xml:space="preserve"> e.g.</w:t>
      </w:r>
      <w:r w:rsidRPr="0047063B">
        <w:rPr>
          <w:sz w:val="24"/>
          <w:szCs w:val="24"/>
        </w:rPr>
        <w:t>,</w:t>
      </w:r>
      <w:r w:rsidRPr="0047063B">
        <w:rPr>
          <w:i/>
          <w:sz w:val="24"/>
          <w:szCs w:val="24"/>
        </w:rPr>
        <w:t xml:space="preserve"> </w:t>
      </w:r>
      <w:r w:rsidRPr="0047063B">
        <w:rPr>
          <w:sz w:val="24"/>
          <w:szCs w:val="24"/>
        </w:rPr>
        <w:t xml:space="preserve">Correspondence, </w:t>
      </w:r>
      <w:r w:rsidRPr="0047063B">
        <w:rPr>
          <w:i/>
          <w:sz w:val="24"/>
          <w:szCs w:val="24"/>
        </w:rPr>
        <w:t>Legal Consequences for States of the Continued Presence of South Africa in Namibia (South West Africa) notwithstanding Security Council Resolution 276 (1970)</w:t>
      </w:r>
      <w:r w:rsidRPr="0047063B">
        <w:rPr>
          <w:sz w:val="24"/>
          <w:szCs w:val="24"/>
        </w:rPr>
        <w:t>, Advisory Opinion, 1970 I.C.J. Correspondence, 638–39 (Nov. 6), https://www.icj-cij.org/sites/default/files/case-related/53/11825.pdf</w:t>
      </w:r>
      <w:r w:rsidRPr="0047063B">
        <w:rPr>
          <w:sz w:val="24"/>
          <w:szCs w:val="24"/>
        </w:rPr>
        <w:fldChar w:fldCharType="begin"/>
      </w:r>
      <w:r w:rsidRPr="0047063B">
        <w:rPr>
          <w:sz w:val="24"/>
          <w:szCs w:val="24"/>
        </w:rPr>
        <w:instrText xml:space="preserve"> TA \l "Correspondence, </w:instrText>
      </w:r>
      <w:r w:rsidRPr="0047063B">
        <w:rPr>
          <w:i/>
          <w:iCs/>
          <w:sz w:val="24"/>
          <w:szCs w:val="24"/>
        </w:rPr>
        <w:instrText>Legal Consequences for States of the Continued Presence of South Africa in Namibia (South West Africa) notwithstanding Security Council Resolution 276 (1970)</w:instrText>
      </w:r>
      <w:r w:rsidRPr="0047063B">
        <w:rPr>
          <w:sz w:val="24"/>
          <w:szCs w:val="24"/>
        </w:rPr>
        <w:instrText xml:space="preserve">, Advisory Opinion, 1970 I.C.J. Correspondence (Nov. 6), https://www.icj-cij.org/sites/default/files/case-related/53/11825.pdf" \s "Correspondence, Legal Consequences for States of the Continued Presence of South Africa in Namibia (South West Africa) notwithstanding Security Council Resolution 276 (1970), Advisory Opinion, 1970 I.C.J. Correspondence (Nov. 6), https://www.icj-c" \c 2 </w:instrText>
      </w:r>
      <w:r w:rsidRPr="0047063B">
        <w:rPr>
          <w:sz w:val="24"/>
          <w:szCs w:val="24"/>
        </w:rPr>
        <w:fldChar w:fldCharType="end"/>
      </w:r>
      <w:r w:rsidRPr="0047063B">
        <w:rPr>
          <w:sz w:val="24"/>
          <w:szCs w:val="24"/>
        </w:rPr>
        <w:t>.</w:t>
      </w:r>
    </w:p>
  </w:footnote>
  <w:footnote w:id="132">
    <w:p w14:paraId="4EB6C460"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R</w:t>
      </w:r>
      <w:r w:rsidRPr="0047063B">
        <w:rPr>
          <w:smallCaps/>
          <w:sz w:val="24"/>
          <w:szCs w:val="24"/>
        </w:rPr>
        <w:t>enate</w:t>
      </w:r>
      <w:r w:rsidRPr="0047063B">
        <w:rPr>
          <w:sz w:val="24"/>
          <w:szCs w:val="24"/>
        </w:rPr>
        <w:t xml:space="preserve"> P</w:t>
      </w:r>
      <w:r w:rsidRPr="0047063B">
        <w:rPr>
          <w:smallCaps/>
          <w:sz w:val="24"/>
          <w:szCs w:val="24"/>
        </w:rPr>
        <w:t>latzöder</w:t>
      </w:r>
      <w:r w:rsidRPr="0047063B">
        <w:rPr>
          <w:sz w:val="24"/>
          <w:szCs w:val="24"/>
        </w:rPr>
        <w:t>, 4 T</w:t>
      </w:r>
      <w:r w:rsidRPr="0047063B">
        <w:rPr>
          <w:smallCaps/>
          <w:sz w:val="24"/>
          <w:szCs w:val="24"/>
        </w:rPr>
        <w:t>hird</w:t>
      </w:r>
      <w:r w:rsidRPr="0047063B">
        <w:rPr>
          <w:sz w:val="24"/>
          <w:szCs w:val="24"/>
        </w:rPr>
        <w:t xml:space="preserve"> U</w:t>
      </w:r>
      <w:r w:rsidRPr="0047063B">
        <w:rPr>
          <w:smallCaps/>
          <w:sz w:val="24"/>
          <w:szCs w:val="24"/>
        </w:rPr>
        <w:t>nited</w:t>
      </w:r>
      <w:r w:rsidRPr="0047063B">
        <w:rPr>
          <w:sz w:val="24"/>
          <w:szCs w:val="24"/>
        </w:rPr>
        <w:t xml:space="preserve"> N</w:t>
      </w:r>
      <w:r w:rsidRPr="0047063B">
        <w:rPr>
          <w:smallCaps/>
          <w:sz w:val="24"/>
          <w:szCs w:val="24"/>
        </w:rPr>
        <w:t xml:space="preserve">ations </w:t>
      </w:r>
      <w:r w:rsidRPr="0047063B">
        <w:rPr>
          <w:sz w:val="24"/>
          <w:szCs w:val="24"/>
        </w:rPr>
        <w:t>C</w:t>
      </w:r>
      <w:r w:rsidRPr="0047063B">
        <w:rPr>
          <w:smallCaps/>
          <w:sz w:val="24"/>
          <w:szCs w:val="24"/>
        </w:rPr>
        <w:t>onference on The</w:t>
      </w:r>
      <w:r w:rsidRPr="0047063B">
        <w:rPr>
          <w:sz w:val="24"/>
          <w:szCs w:val="24"/>
        </w:rPr>
        <w:t xml:space="preserve"> L</w:t>
      </w:r>
      <w:r w:rsidRPr="0047063B">
        <w:rPr>
          <w:smallCaps/>
          <w:sz w:val="24"/>
          <w:szCs w:val="24"/>
        </w:rPr>
        <w:t>aw of</w:t>
      </w:r>
      <w:r w:rsidRPr="0047063B">
        <w:rPr>
          <w:sz w:val="24"/>
          <w:szCs w:val="24"/>
        </w:rPr>
        <w:t xml:space="preserve"> </w:t>
      </w:r>
      <w:r w:rsidRPr="0047063B">
        <w:rPr>
          <w:smallCaps/>
          <w:sz w:val="24"/>
          <w:szCs w:val="24"/>
        </w:rPr>
        <w:t>The</w:t>
      </w:r>
      <w:r w:rsidRPr="0047063B">
        <w:rPr>
          <w:sz w:val="24"/>
          <w:szCs w:val="24"/>
        </w:rPr>
        <w:t xml:space="preserve"> S</w:t>
      </w:r>
      <w:r w:rsidRPr="0047063B">
        <w:rPr>
          <w:smallCaps/>
          <w:sz w:val="24"/>
          <w:szCs w:val="24"/>
        </w:rPr>
        <w:t>ea</w:t>
      </w:r>
      <w:r w:rsidRPr="0047063B">
        <w:rPr>
          <w:sz w:val="24"/>
          <w:szCs w:val="24"/>
        </w:rPr>
        <w:t>: D</w:t>
      </w:r>
      <w:r w:rsidRPr="0047063B">
        <w:rPr>
          <w:smallCaps/>
          <w:sz w:val="24"/>
          <w:szCs w:val="24"/>
        </w:rPr>
        <w:t>ocuments</w:t>
      </w:r>
      <w:r w:rsidRPr="0047063B">
        <w:rPr>
          <w:sz w:val="24"/>
          <w:szCs w:val="24"/>
        </w:rPr>
        <w:t xml:space="preserve"> 181 (1983).</w:t>
      </w:r>
      <w:r w:rsidRPr="0047063B">
        <w:rPr>
          <w:sz w:val="24"/>
          <w:szCs w:val="24"/>
        </w:rPr>
        <w:fldChar w:fldCharType="begin"/>
      </w:r>
      <w:r w:rsidRPr="0047063B">
        <w:rPr>
          <w:sz w:val="24"/>
          <w:szCs w:val="24"/>
        </w:rPr>
        <w:instrText xml:space="preserve"> TA \l "R</w:instrText>
      </w:r>
      <w:r w:rsidRPr="0047063B">
        <w:rPr>
          <w:smallCaps/>
          <w:sz w:val="24"/>
          <w:szCs w:val="24"/>
        </w:rPr>
        <w:instrText>enate</w:instrText>
      </w:r>
      <w:r w:rsidRPr="0047063B">
        <w:rPr>
          <w:sz w:val="24"/>
          <w:szCs w:val="24"/>
        </w:rPr>
        <w:instrText xml:space="preserve"> P</w:instrText>
      </w:r>
      <w:r w:rsidRPr="0047063B">
        <w:rPr>
          <w:smallCaps/>
          <w:sz w:val="24"/>
          <w:szCs w:val="24"/>
        </w:rPr>
        <w:instrText>latzöder</w:instrText>
      </w:r>
      <w:r w:rsidRPr="0047063B">
        <w:rPr>
          <w:sz w:val="24"/>
          <w:szCs w:val="24"/>
        </w:rPr>
        <w:instrText>, 4 T</w:instrText>
      </w:r>
      <w:r w:rsidRPr="0047063B">
        <w:rPr>
          <w:smallCaps/>
          <w:sz w:val="24"/>
          <w:szCs w:val="24"/>
        </w:rPr>
        <w:instrText>hird</w:instrText>
      </w:r>
      <w:r w:rsidRPr="0047063B">
        <w:rPr>
          <w:sz w:val="24"/>
          <w:szCs w:val="24"/>
        </w:rPr>
        <w:instrText xml:space="preserve"> U</w:instrText>
      </w:r>
      <w:r w:rsidRPr="0047063B">
        <w:rPr>
          <w:smallCaps/>
          <w:sz w:val="24"/>
          <w:szCs w:val="24"/>
        </w:rPr>
        <w:instrText>nited</w:instrText>
      </w:r>
      <w:r w:rsidRPr="0047063B">
        <w:rPr>
          <w:sz w:val="24"/>
          <w:szCs w:val="24"/>
        </w:rPr>
        <w:instrText xml:space="preserve"> N</w:instrText>
      </w:r>
      <w:r w:rsidRPr="0047063B">
        <w:rPr>
          <w:smallCaps/>
          <w:sz w:val="24"/>
          <w:szCs w:val="24"/>
        </w:rPr>
        <w:instrText xml:space="preserve">ations </w:instrText>
      </w:r>
      <w:r w:rsidRPr="0047063B">
        <w:rPr>
          <w:sz w:val="24"/>
          <w:szCs w:val="24"/>
        </w:rPr>
        <w:instrText>C</w:instrText>
      </w:r>
      <w:r w:rsidRPr="0047063B">
        <w:rPr>
          <w:smallCaps/>
          <w:sz w:val="24"/>
          <w:szCs w:val="24"/>
        </w:rPr>
        <w:instrText>onference on The</w:instrText>
      </w:r>
      <w:r w:rsidRPr="0047063B">
        <w:rPr>
          <w:sz w:val="24"/>
          <w:szCs w:val="24"/>
        </w:rPr>
        <w:instrText xml:space="preserve"> L</w:instrText>
      </w:r>
      <w:r w:rsidRPr="0047063B">
        <w:rPr>
          <w:smallCaps/>
          <w:sz w:val="24"/>
          <w:szCs w:val="24"/>
        </w:rPr>
        <w:instrText>aw of</w:instrText>
      </w:r>
      <w:r w:rsidRPr="0047063B">
        <w:rPr>
          <w:sz w:val="24"/>
          <w:szCs w:val="24"/>
        </w:rPr>
        <w:instrText xml:space="preserve"> </w:instrText>
      </w:r>
      <w:r w:rsidRPr="0047063B">
        <w:rPr>
          <w:smallCaps/>
          <w:sz w:val="24"/>
          <w:szCs w:val="24"/>
        </w:rPr>
        <w:instrText>The</w:instrText>
      </w:r>
      <w:r w:rsidRPr="0047063B">
        <w:rPr>
          <w:sz w:val="24"/>
          <w:szCs w:val="24"/>
        </w:rPr>
        <w:instrText xml:space="preserve"> S</w:instrText>
      </w:r>
      <w:r w:rsidRPr="0047063B">
        <w:rPr>
          <w:smallCaps/>
          <w:sz w:val="24"/>
          <w:szCs w:val="24"/>
        </w:rPr>
        <w:instrText>ea</w:instrText>
      </w:r>
      <w:r w:rsidRPr="0047063B">
        <w:rPr>
          <w:sz w:val="24"/>
          <w:szCs w:val="24"/>
        </w:rPr>
        <w:instrText>: D</w:instrText>
      </w:r>
      <w:r w:rsidRPr="0047063B">
        <w:rPr>
          <w:smallCaps/>
          <w:sz w:val="24"/>
          <w:szCs w:val="24"/>
        </w:rPr>
        <w:instrText>ocuments</w:instrText>
      </w:r>
      <w:r w:rsidRPr="0047063B">
        <w:rPr>
          <w:sz w:val="24"/>
          <w:szCs w:val="24"/>
        </w:rPr>
        <w:instrText xml:space="preserve"> (1983)." \s "Renate Platzöder, 4 Third United Nations Conference on The Law of The Sea: Documents (1983)." \c 6 </w:instrText>
      </w:r>
      <w:r w:rsidRPr="0047063B">
        <w:rPr>
          <w:sz w:val="24"/>
          <w:szCs w:val="24"/>
        </w:rPr>
        <w:fldChar w:fldCharType="end"/>
      </w:r>
    </w:p>
  </w:footnote>
  <w:footnote w:id="133">
    <w:p w14:paraId="54986879"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UNCLOS</w:t>
      </w:r>
      <w:r w:rsidRPr="0047063B">
        <w:rPr>
          <w:color w:val="000000"/>
        </w:rPr>
        <w:fldChar w:fldCharType="begin"/>
      </w:r>
      <w:r w:rsidRPr="0047063B">
        <w:instrText xml:space="preserve"> TA \s "UNCLOS" </w:instrText>
      </w:r>
      <w:r w:rsidRPr="0047063B">
        <w:rPr>
          <w:color w:val="000000"/>
        </w:rPr>
        <w:fldChar w:fldCharType="end"/>
      </w:r>
      <w:r w:rsidRPr="0047063B">
        <w:rPr>
          <w:color w:val="000000"/>
        </w:rPr>
        <w:t xml:space="preserve"> art. 76(9). </w:t>
      </w:r>
    </w:p>
  </w:footnote>
  <w:footnote w:id="134">
    <w:p w14:paraId="75ECBC60"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w:t>
      </w:r>
      <w:r w:rsidRPr="0047063B">
        <w:rPr>
          <w:i/>
          <w:color w:val="000000"/>
        </w:rPr>
        <w:t xml:space="preserve">See </w:t>
      </w:r>
      <w:r w:rsidRPr="0047063B">
        <w:rPr>
          <w:color w:val="000000"/>
        </w:rPr>
        <w:t xml:space="preserve">David Caron, </w:t>
      </w:r>
      <w:r w:rsidRPr="0047063B">
        <w:rPr>
          <w:i/>
          <w:color w:val="000000"/>
        </w:rPr>
        <w:t xml:space="preserve">When Law Makes Climate Change Worse: Rethinking the Law of Baselines in Light of a Rising Sea </w:t>
      </w:r>
      <w:r w:rsidRPr="0047063B">
        <w:rPr>
          <w:i/>
          <w:iCs/>
          <w:color w:val="000000"/>
        </w:rPr>
        <w:t>Level</w:t>
      </w:r>
      <w:r w:rsidRPr="0047063B">
        <w:rPr>
          <w:color w:val="000000"/>
        </w:rPr>
        <w:t xml:space="preserve">, 17 </w:t>
      </w:r>
      <w:r w:rsidRPr="0047063B">
        <w:rPr>
          <w:smallCaps/>
          <w:color w:val="000000"/>
        </w:rPr>
        <w:t>Ecology L. Q.</w:t>
      </w:r>
      <w:r w:rsidRPr="0047063B">
        <w:rPr>
          <w:color w:val="000000"/>
        </w:rPr>
        <w:t xml:space="preserve"> 621, 635 (1990).</w:t>
      </w:r>
      <w:r w:rsidRPr="0047063B">
        <w:rPr>
          <w:color w:val="000000"/>
        </w:rPr>
        <w:fldChar w:fldCharType="begin"/>
      </w:r>
      <w:r w:rsidRPr="0047063B">
        <w:instrText xml:space="preserve"> TA \l "</w:instrText>
      </w:r>
      <w:r w:rsidRPr="0047063B">
        <w:rPr>
          <w:color w:val="000000"/>
        </w:rPr>
        <w:instrText xml:space="preserve">David Caron, </w:instrText>
      </w:r>
      <w:r w:rsidRPr="0047063B">
        <w:rPr>
          <w:i/>
          <w:iCs/>
          <w:color w:val="000000"/>
        </w:rPr>
        <w:instrText>When Law Makes Climate Change Worse: Rethinking the Law of Baselines in Light of a Rising Sea Level</w:instrText>
      </w:r>
      <w:r w:rsidRPr="0047063B">
        <w:rPr>
          <w:color w:val="000000"/>
        </w:rPr>
        <w:instrText xml:space="preserve">, 17 </w:instrText>
      </w:r>
      <w:r w:rsidRPr="0047063B">
        <w:rPr>
          <w:smallCaps/>
          <w:color w:val="000000"/>
        </w:rPr>
        <w:instrText>Ecology L</w:instrText>
      </w:r>
      <w:r w:rsidR="00D90D30" w:rsidRPr="0047063B">
        <w:rPr>
          <w:smallCaps/>
          <w:color w:val="000000"/>
        </w:rPr>
        <w:instrText>.</w:instrText>
      </w:r>
      <w:r w:rsidRPr="0047063B">
        <w:rPr>
          <w:smallCaps/>
          <w:color w:val="000000"/>
        </w:rPr>
        <w:instrText xml:space="preserve"> Q</w:instrText>
      </w:r>
      <w:r w:rsidR="00D90D30" w:rsidRPr="0047063B">
        <w:rPr>
          <w:smallCaps/>
          <w:color w:val="000000"/>
        </w:rPr>
        <w:instrText>.</w:instrText>
      </w:r>
      <w:r w:rsidRPr="0047063B">
        <w:rPr>
          <w:color w:val="000000"/>
        </w:rPr>
        <w:instrText xml:space="preserve"> 621 (1990).</w:instrText>
      </w:r>
      <w:r w:rsidRPr="0047063B">
        <w:instrText xml:space="preserve">" \s "David Caron, When Law Makes Climate Change Worse: Rethinking the Law of Baselines in Light of a Rising Sea Level, 17 Ecology Law Quarterly 621 (1990)." \c 6 </w:instrText>
      </w:r>
      <w:r w:rsidRPr="0047063B">
        <w:rPr>
          <w:color w:val="000000"/>
        </w:rPr>
        <w:fldChar w:fldCharType="end"/>
      </w:r>
      <w:r w:rsidRPr="0047063B">
        <w:rPr>
          <w:color w:val="000000"/>
        </w:rPr>
        <w:t xml:space="preserve"> </w:t>
      </w:r>
    </w:p>
  </w:footnote>
  <w:footnote w:id="135">
    <w:p w14:paraId="1603A796"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w:t>
      </w:r>
      <w:r w:rsidRPr="0047063B">
        <w:rPr>
          <w:i/>
          <w:iCs/>
          <w:color w:val="000000"/>
        </w:rPr>
        <w:t xml:space="preserve">Bay of Bengal Maritime Boundary Arbitration </w:t>
      </w:r>
      <w:r w:rsidRPr="0047063B">
        <w:rPr>
          <w:color w:val="000000"/>
        </w:rPr>
        <w:t xml:space="preserve">(Bangl. v. India), No. 2010-16, Final Award, </w:t>
      </w:r>
      <w:r w:rsidRPr="0047063B">
        <w:rPr>
          <w:color w:val="000000" w:themeColor="text1"/>
        </w:rPr>
        <w:t>¶¶214–15</w:t>
      </w:r>
      <w:r w:rsidRPr="0047063B">
        <w:rPr>
          <w:color w:val="000000"/>
        </w:rPr>
        <w:t xml:space="preserve"> (</w:t>
      </w:r>
      <w:r w:rsidRPr="0047063B">
        <w:rPr>
          <w:color w:val="000000" w:themeColor="text1"/>
        </w:rPr>
        <w:t xml:space="preserve">Perm. Ct. of Arb. </w:t>
      </w:r>
      <w:r w:rsidR="00212F35">
        <w:rPr>
          <w:color w:val="000000" w:themeColor="text1"/>
        </w:rPr>
        <w:t>2014)</w:t>
      </w:r>
      <w:r w:rsidRPr="0047063B">
        <w:rPr>
          <w:color w:val="000000"/>
        </w:rPr>
        <w:fldChar w:fldCharType="begin"/>
      </w:r>
      <w:r w:rsidRPr="0047063B">
        <w:rPr>
          <w:color w:val="000000" w:themeColor="text1"/>
        </w:rPr>
        <w:instrText xml:space="preserve"> TA \l "</w:instrText>
      </w:r>
      <w:r w:rsidRPr="0047063B">
        <w:rPr>
          <w:i/>
          <w:iCs/>
          <w:color w:val="000000"/>
        </w:rPr>
        <w:instrText xml:space="preserve">Bay of Bengal Maritime Boundary Arbitration </w:instrText>
      </w:r>
      <w:r w:rsidRPr="00212F35">
        <w:rPr>
          <w:color w:val="000000"/>
        </w:rPr>
        <w:instrText>(Bangl. v. India), No. 2010-16, Final Award</w:instrText>
      </w:r>
      <w:r w:rsidR="00212F35">
        <w:rPr>
          <w:color w:val="000000"/>
        </w:rPr>
        <w:instrText xml:space="preserve"> (</w:instrText>
      </w:r>
      <w:r w:rsidRPr="00212F35">
        <w:rPr>
          <w:color w:val="000000"/>
        </w:rPr>
        <w:instrText>Perm. Ct. of Arb</w:instrText>
      </w:r>
      <w:r w:rsidRPr="0047063B">
        <w:rPr>
          <w:i/>
          <w:iCs/>
          <w:color w:val="000000"/>
        </w:rPr>
        <w:instrText>.</w:instrText>
      </w:r>
      <w:r w:rsidRPr="0047063B">
        <w:rPr>
          <w:color w:val="000000"/>
        </w:rPr>
        <w:instrText xml:space="preserve"> 2014)</w:instrText>
      </w:r>
      <w:r w:rsidRPr="0047063B">
        <w:rPr>
          <w:color w:val="000000" w:themeColor="text1"/>
        </w:rPr>
        <w:instrText xml:space="preserve">" \s "Bay of Bengal\c 3 </w:instrText>
      </w:r>
      <w:r w:rsidRPr="0047063B">
        <w:rPr>
          <w:color w:val="000000"/>
        </w:rPr>
        <w:fldChar w:fldCharType="end"/>
      </w:r>
      <w:r w:rsidRPr="0047063B">
        <w:rPr>
          <w:color w:val="000000" w:themeColor="text1"/>
        </w:rPr>
        <w:t xml:space="preserve">. </w:t>
      </w:r>
    </w:p>
  </w:footnote>
  <w:footnote w:id="136">
    <w:p w14:paraId="2540F0F2"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w:t>
      </w:r>
      <w:r w:rsidRPr="0047063B">
        <w:rPr>
          <w:i/>
          <w:sz w:val="24"/>
          <w:szCs w:val="24"/>
        </w:rPr>
        <w:t>Fisheries</w:t>
      </w:r>
      <w:r w:rsidRPr="0047063B">
        <w:rPr>
          <w:i/>
          <w:sz w:val="24"/>
          <w:szCs w:val="24"/>
        </w:rPr>
        <w:fldChar w:fldCharType="begin"/>
      </w:r>
      <w:r w:rsidRPr="0047063B">
        <w:rPr>
          <w:sz w:val="24"/>
          <w:szCs w:val="24"/>
        </w:rPr>
        <w:instrText xml:space="preserve"> TA \s "Fisheries" </w:instrText>
      </w:r>
      <w:r w:rsidRPr="0047063B">
        <w:rPr>
          <w:i/>
          <w:sz w:val="24"/>
          <w:szCs w:val="24"/>
        </w:rPr>
        <w:fldChar w:fldCharType="end"/>
      </w:r>
      <w:r w:rsidRPr="0047063B">
        <w:rPr>
          <w:sz w:val="24"/>
          <w:szCs w:val="24"/>
        </w:rPr>
        <w:t xml:space="preserve">, 1951 I.C.J. at 132. </w:t>
      </w:r>
    </w:p>
  </w:footnote>
  <w:footnote w:id="137">
    <w:p w14:paraId="47684A62"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w:t>
      </w:r>
      <w:r w:rsidRPr="0047063B">
        <w:rPr>
          <w:i/>
          <w:iCs/>
          <w:sz w:val="24"/>
          <w:szCs w:val="24"/>
        </w:rPr>
        <w:t>Maritime Delimitation in the Black Sea</w:t>
      </w:r>
      <w:r w:rsidRPr="0047063B">
        <w:rPr>
          <w:sz w:val="24"/>
          <w:szCs w:val="24"/>
        </w:rPr>
        <w:t xml:space="preserve"> (Rom. v. Ukr.), Judgment, 2009 I.C.J. 61, ¶</w:t>
      </w:r>
      <w:r w:rsidR="00212F35">
        <w:rPr>
          <w:sz w:val="24"/>
          <w:szCs w:val="24"/>
        </w:rPr>
        <w:t>¶</w:t>
      </w:r>
      <w:r w:rsidRPr="0047063B">
        <w:rPr>
          <w:sz w:val="24"/>
          <w:szCs w:val="24"/>
        </w:rPr>
        <w:t>131</w:t>
      </w:r>
      <w:r w:rsidR="00212F35">
        <w:rPr>
          <w:sz w:val="24"/>
          <w:szCs w:val="24"/>
        </w:rPr>
        <w:t>, 137</w:t>
      </w:r>
      <w:r w:rsidRPr="0047063B">
        <w:rPr>
          <w:sz w:val="24"/>
          <w:szCs w:val="24"/>
        </w:rPr>
        <w:t xml:space="preserve"> (Feb. 3)</w:t>
      </w:r>
      <w:r w:rsidR="00212F35">
        <w:rPr>
          <w:sz w:val="24"/>
          <w:szCs w:val="24"/>
        </w:rPr>
        <w:fldChar w:fldCharType="begin"/>
      </w:r>
      <w:r w:rsidR="00212F35">
        <w:instrText xml:space="preserve"> TA \l "</w:instrText>
      </w:r>
      <w:r w:rsidR="00212F35" w:rsidRPr="00AE23EA">
        <w:rPr>
          <w:i/>
          <w:iCs/>
          <w:sz w:val="24"/>
          <w:szCs w:val="24"/>
        </w:rPr>
        <w:instrText>Maritime Delimitation in the Black Sea</w:instrText>
      </w:r>
      <w:r w:rsidR="00212F35" w:rsidRPr="00AE23EA">
        <w:rPr>
          <w:sz w:val="24"/>
          <w:szCs w:val="24"/>
        </w:rPr>
        <w:instrText xml:space="preserve"> (Rom. v. Ukr.), Judgment, 2009 I.C.J. 61</w:instrText>
      </w:r>
      <w:r w:rsidR="00212F35">
        <w:rPr>
          <w:sz w:val="24"/>
          <w:szCs w:val="24"/>
        </w:rPr>
        <w:instrText xml:space="preserve"> </w:instrText>
      </w:r>
      <w:r w:rsidR="00212F35" w:rsidRPr="00AE23EA">
        <w:rPr>
          <w:sz w:val="24"/>
          <w:szCs w:val="24"/>
        </w:rPr>
        <w:instrText>(Feb. 3)</w:instrText>
      </w:r>
      <w:r w:rsidR="00212F35">
        <w:instrText xml:space="preserve">" \s "Maritime Delimitation in the Black Sea (Rom. v. Ukr.), Judgment, 2009 I.C.J. 61 (Feb. 3)" \c 2 </w:instrText>
      </w:r>
      <w:r w:rsidR="00212F35">
        <w:rPr>
          <w:sz w:val="24"/>
          <w:szCs w:val="24"/>
        </w:rPr>
        <w:fldChar w:fldCharType="end"/>
      </w:r>
      <w:r w:rsidR="00212F35">
        <w:rPr>
          <w:sz w:val="24"/>
          <w:szCs w:val="24"/>
        </w:rPr>
        <w:t xml:space="preserve">; </w:t>
      </w:r>
      <w:r w:rsidRPr="0047063B">
        <w:rPr>
          <w:i/>
          <w:iCs/>
          <w:color w:val="000000" w:themeColor="text1"/>
          <w:sz w:val="24"/>
          <w:szCs w:val="24"/>
        </w:rPr>
        <w:t>Dispute Concerning Delimitation of the Maritime Boundary between Bangladesh and Myanmar in the Bay of Bengal</w:t>
      </w:r>
      <w:r w:rsidRPr="0047063B">
        <w:rPr>
          <w:color w:val="000000"/>
          <w:sz w:val="24"/>
          <w:szCs w:val="24"/>
        </w:rPr>
        <w:t xml:space="preserve"> (Bangl. v. Myan.), Case No. 16, Judgment of Mar. 14, 2012, ¶264, </w:t>
      </w:r>
      <w:r w:rsidRPr="0047063B">
        <w:rPr>
          <w:color w:val="000000" w:themeColor="text1"/>
          <w:sz w:val="24"/>
          <w:szCs w:val="24"/>
        </w:rPr>
        <w:t>https://www.itlos.org/fileadmin/itlos/documents/cases/case_no_16/published/C16-J-14_mar_12.pdf</w:t>
      </w:r>
      <w:r w:rsidRPr="0047063B">
        <w:rPr>
          <w:color w:val="000000" w:themeColor="text1"/>
          <w:sz w:val="24"/>
          <w:szCs w:val="24"/>
        </w:rPr>
        <w:fldChar w:fldCharType="begin"/>
      </w:r>
      <w:r w:rsidRPr="0047063B">
        <w:rPr>
          <w:sz w:val="24"/>
          <w:szCs w:val="24"/>
        </w:rPr>
        <w:instrText xml:space="preserve"> TA \l "</w:instrText>
      </w:r>
      <w:r w:rsidRPr="0047063B">
        <w:rPr>
          <w:i/>
          <w:iCs/>
          <w:color w:val="000000" w:themeColor="text1"/>
          <w:sz w:val="24"/>
          <w:szCs w:val="24"/>
        </w:rPr>
        <w:instrText>Dispute Concerning Delimitation of the Maritime Boundary between Bangladesh and Myanmar in the Bay of Bengal</w:instrText>
      </w:r>
      <w:r w:rsidRPr="0047063B">
        <w:rPr>
          <w:color w:val="000000"/>
          <w:sz w:val="24"/>
          <w:szCs w:val="24"/>
        </w:rPr>
        <w:instrText xml:space="preserve"> (Bangl. v. Myan.), Case No. 16, Judgment of Mar. 14, 2012, </w:instrText>
      </w:r>
      <w:r w:rsidRPr="0047063B">
        <w:rPr>
          <w:color w:val="000000" w:themeColor="text1"/>
          <w:sz w:val="24"/>
          <w:szCs w:val="24"/>
        </w:rPr>
        <w:instrText>https://www.itlos.org/fileadmin/itlos/documents/cases/case_no_16/published/C16-J-14_mar_12.pdf</w:instrText>
      </w:r>
      <w:r w:rsidRPr="0047063B">
        <w:rPr>
          <w:sz w:val="24"/>
          <w:szCs w:val="24"/>
        </w:rPr>
        <w:instrText xml:space="preserve">" \s "Dispute Concerning Delimitation of the Maritime Boundary between Bangladesh and Myanmar in the Bay of Bengal (Bangl. v. Myan.), Case No. 16, Judgment of Mar. 14, 2012, 264, https://www.itlos.org/fileadmin/itlos/documents/cases/case_no_16/published/C16-J-" \c 3 </w:instrText>
      </w:r>
      <w:r w:rsidRPr="0047063B">
        <w:rPr>
          <w:color w:val="000000" w:themeColor="text1"/>
          <w:sz w:val="24"/>
          <w:szCs w:val="24"/>
        </w:rPr>
        <w:fldChar w:fldCharType="end"/>
      </w:r>
      <w:r w:rsidRPr="0047063B">
        <w:rPr>
          <w:color w:val="000000" w:themeColor="text1"/>
          <w:sz w:val="24"/>
          <w:szCs w:val="24"/>
        </w:rPr>
        <w:t>;</w:t>
      </w:r>
      <w:r w:rsidRPr="0047063B">
        <w:rPr>
          <w:color w:val="000000"/>
          <w:sz w:val="24"/>
          <w:szCs w:val="24"/>
        </w:rPr>
        <w:t xml:space="preserve"> s</w:t>
      </w:r>
      <w:r w:rsidRPr="0047063B">
        <w:rPr>
          <w:i/>
          <w:iCs/>
          <w:color w:val="000000"/>
          <w:sz w:val="24"/>
          <w:szCs w:val="24"/>
        </w:rPr>
        <w:t>ee, e.g.</w:t>
      </w:r>
      <w:r w:rsidRPr="0047063B">
        <w:rPr>
          <w:color w:val="000000"/>
          <w:sz w:val="24"/>
          <w:szCs w:val="24"/>
        </w:rPr>
        <w:t xml:space="preserve">, </w:t>
      </w:r>
      <w:r w:rsidRPr="0047063B">
        <w:rPr>
          <w:i/>
          <w:iCs/>
          <w:sz w:val="24"/>
          <w:szCs w:val="24"/>
        </w:rPr>
        <w:t>Qatar v. Bahrain</w:t>
      </w:r>
      <w:r w:rsidR="00212F35">
        <w:rPr>
          <w:i/>
          <w:iCs/>
          <w:sz w:val="24"/>
          <w:szCs w:val="24"/>
        </w:rPr>
        <w:fldChar w:fldCharType="begin"/>
      </w:r>
      <w:r w:rsidR="00212F35">
        <w:instrText xml:space="preserve"> TA \s "Qatar v. Bahrain" </w:instrText>
      </w:r>
      <w:r w:rsidR="00212F35">
        <w:rPr>
          <w:i/>
          <w:iCs/>
          <w:sz w:val="24"/>
          <w:szCs w:val="24"/>
        </w:rPr>
        <w:fldChar w:fldCharType="end"/>
      </w:r>
      <w:r w:rsidRPr="0047063B">
        <w:rPr>
          <w:sz w:val="24"/>
          <w:szCs w:val="24"/>
        </w:rPr>
        <w:t>, 2001 I.C.J., ¶195.</w:t>
      </w:r>
    </w:p>
  </w:footnote>
  <w:footnote w:id="138">
    <w:p w14:paraId="06FA5C9C"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i/>
          <w:color w:val="000000"/>
        </w:rPr>
        <w:t xml:space="preserve"> North Sea</w:t>
      </w:r>
      <w:r w:rsidRPr="0047063B">
        <w:rPr>
          <w:i/>
          <w:color w:val="000000"/>
        </w:rPr>
        <w:fldChar w:fldCharType="begin"/>
      </w:r>
      <w:r w:rsidRPr="0047063B">
        <w:instrText xml:space="preserve"> TA \s "North Sea" </w:instrText>
      </w:r>
      <w:r w:rsidRPr="0047063B">
        <w:rPr>
          <w:i/>
          <w:color w:val="000000"/>
        </w:rPr>
        <w:fldChar w:fldCharType="end"/>
      </w:r>
      <w:r w:rsidRPr="0047063B">
        <w:rPr>
          <w:color w:val="000000"/>
        </w:rPr>
        <w:t xml:space="preserve">, </w:t>
      </w:r>
      <w:r w:rsidRPr="0047063B">
        <w:rPr>
          <w:color w:val="000000" w:themeColor="text1"/>
        </w:rPr>
        <w:t>1969 I.C.J.,</w:t>
      </w:r>
      <w:r w:rsidRPr="0047063B">
        <w:rPr>
          <w:color w:val="000000"/>
        </w:rPr>
        <w:t xml:space="preserve"> </w:t>
      </w:r>
      <w:r w:rsidRPr="0047063B">
        <w:rPr>
          <w:color w:val="000000" w:themeColor="text1"/>
        </w:rPr>
        <w:t xml:space="preserve">¶73. </w:t>
      </w:r>
    </w:p>
  </w:footnote>
  <w:footnote w:id="139">
    <w:p w14:paraId="4DBF7954"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w:t>
      </w:r>
      <w:r w:rsidRPr="0047063B">
        <w:rPr>
          <w:i/>
          <w:color w:val="000000"/>
        </w:rPr>
        <w:t>Id.</w:t>
      </w:r>
      <w:r w:rsidRPr="0047063B">
        <w:rPr>
          <w:i/>
          <w:iCs/>
          <w:color w:val="000000"/>
        </w:rPr>
        <w:fldChar w:fldCharType="begin"/>
      </w:r>
      <w:r w:rsidRPr="0047063B">
        <w:instrText xml:space="preserve"> TA \s "North Sea" </w:instrText>
      </w:r>
      <w:r w:rsidRPr="0047063B">
        <w:rPr>
          <w:i/>
          <w:iCs/>
          <w:color w:val="000000"/>
        </w:rPr>
        <w:fldChar w:fldCharType="end"/>
      </w:r>
      <w:r w:rsidRPr="0047063B">
        <w:rPr>
          <w:color w:val="000000"/>
        </w:rPr>
        <w:t xml:space="preserve"> ¶77. </w:t>
      </w:r>
    </w:p>
  </w:footnote>
  <w:footnote w:id="140">
    <w:p w14:paraId="459E6F3F"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w:t>
      </w:r>
      <w:r w:rsidRPr="0047063B">
        <w:rPr>
          <w:color w:val="000000" w:themeColor="text1"/>
        </w:rPr>
        <w:t>The following countries have deposited new coordinates that supersede geographical coordinates of points and charts that had been previously deposited: Australia, Belgium, Brazil, Chile, China, Cook Islands, Cyprus, Fiji, France, Iraq, Japan, Lebanon, Madagascar, Papua New Guinea, Norway, Samoa, Spain, Seychelles, Tuvalu, and United Arab Emirates.</w:t>
      </w:r>
      <w:r w:rsidRPr="0047063B">
        <w:rPr>
          <w:i/>
          <w:iCs/>
          <w:color w:val="000000"/>
        </w:rPr>
        <w:t xml:space="preserve"> See</w:t>
      </w:r>
      <w:r w:rsidRPr="0047063B">
        <w:rPr>
          <w:color w:val="000000" w:themeColor="text1"/>
        </w:rPr>
        <w:t xml:space="preserve"> U.N. Division for </w:t>
      </w:r>
      <w:r w:rsidRPr="0047063B">
        <w:t xml:space="preserve">Ocean Affairs and the Law of the Sea, </w:t>
      </w:r>
      <w:r w:rsidRPr="0047063B">
        <w:rPr>
          <w:i/>
          <w:iCs/>
          <w:color w:val="000000" w:themeColor="text1"/>
        </w:rPr>
        <w:t>Deposit of Charts</w:t>
      </w:r>
      <w:r w:rsidRPr="0047063B">
        <w:t xml:space="preserve">, https://www.un.org/depts/los/LEGISLATIONANDTREATIES/depositpublicity.htm (last </w:t>
      </w:r>
      <w:r w:rsidRPr="0047063B">
        <w:rPr>
          <w:color w:val="000000" w:themeColor="text1"/>
        </w:rPr>
        <w:t>updated May 12, 2024)</w:t>
      </w:r>
      <w:r w:rsidRPr="0047063B">
        <w:rPr>
          <w:color w:val="000000" w:themeColor="text1"/>
        </w:rPr>
        <w:fldChar w:fldCharType="begin"/>
      </w:r>
      <w:r w:rsidRPr="0047063B">
        <w:instrText xml:space="preserve"> TA \l "</w:instrText>
      </w:r>
      <w:r w:rsidRPr="0047063B">
        <w:rPr>
          <w:color w:val="000000" w:themeColor="text1"/>
        </w:rPr>
        <w:instrText xml:space="preserve">U.N. Division for </w:instrText>
      </w:r>
      <w:r w:rsidRPr="0047063B">
        <w:instrText xml:space="preserve">Ocean Affairs and the Law of the Sea, </w:instrText>
      </w:r>
      <w:r w:rsidRPr="0047063B">
        <w:rPr>
          <w:i/>
          <w:iCs/>
          <w:color w:val="000000" w:themeColor="text1"/>
        </w:rPr>
        <w:instrText>Deposit of Charts</w:instrText>
      </w:r>
      <w:r w:rsidRPr="0047063B">
        <w:instrText xml:space="preserve">, https://www.un.org/depts/los/LEGISLATIONANDTREATIES/depositpublicity.htm (last </w:instrText>
      </w:r>
      <w:r w:rsidRPr="0047063B">
        <w:rPr>
          <w:color w:val="000000" w:themeColor="text1"/>
        </w:rPr>
        <w:instrText>updated May 12, 2024)</w:instrText>
      </w:r>
      <w:r w:rsidRPr="0047063B">
        <w:instrText xml:space="preserve">" \s "U.N. Division for Ocean Affairs and the Law of the Sea, Deposit of Charts, https://www.un.org/depts/los/LEGISLATIONANDTREATIES/depositpublicity.htm (last updated May 12, 2024)" \c 5 </w:instrText>
      </w:r>
      <w:r w:rsidRPr="0047063B">
        <w:rPr>
          <w:color w:val="000000" w:themeColor="text1"/>
        </w:rPr>
        <w:fldChar w:fldCharType="end"/>
      </w:r>
      <w:r w:rsidRPr="0047063B">
        <w:rPr>
          <w:color w:val="000000" w:themeColor="text1"/>
        </w:rPr>
        <w:t>.</w:t>
      </w:r>
    </w:p>
  </w:footnote>
  <w:footnote w:id="141">
    <w:p w14:paraId="6A1E94A8"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w:t>
      </w:r>
      <w:r w:rsidRPr="0047063B">
        <w:rPr>
          <w:i/>
          <w:iCs/>
          <w:color w:val="000000"/>
        </w:rPr>
        <w:t>See</w:t>
      </w:r>
      <w:r w:rsidRPr="0047063B">
        <w:rPr>
          <w:i/>
          <w:color w:val="000000"/>
        </w:rPr>
        <w:t xml:space="preserve"> </w:t>
      </w:r>
      <w:r w:rsidRPr="0047063B">
        <w:rPr>
          <w:color w:val="000000"/>
        </w:rPr>
        <w:t xml:space="preserve">Bogdan Aurescu &amp; Nilüfer Oral (Co-Chairs of Study Group on sea-level rise in relation to international law), </w:t>
      </w:r>
      <w:r w:rsidRPr="0047063B">
        <w:rPr>
          <w:i/>
          <w:iCs/>
          <w:color w:val="000000"/>
        </w:rPr>
        <w:t>Sea-level rise in relation to international law</w:t>
      </w:r>
      <w:r w:rsidRPr="0047063B">
        <w:rPr>
          <w:color w:val="000000"/>
        </w:rPr>
        <w:t>, U.N. Doc. A/CN.4/740, n. 178 (Feb. 28, 2020)</w:t>
      </w:r>
      <w:r w:rsidRPr="0047063B">
        <w:rPr>
          <w:color w:val="000000"/>
        </w:rPr>
        <w:fldChar w:fldCharType="begin"/>
      </w:r>
      <w:r w:rsidRPr="0047063B">
        <w:instrText xml:space="preserve"> TA \l "</w:instrText>
      </w:r>
      <w:r w:rsidRPr="0047063B">
        <w:rPr>
          <w:color w:val="000000"/>
        </w:rPr>
        <w:instrText xml:space="preserve">Bogdan Aurescu &amp; Nilüfer Oral (Co-Chairs of Study Group on sea-level rise in relation to international law), </w:instrText>
      </w:r>
      <w:r w:rsidRPr="0047063B">
        <w:rPr>
          <w:i/>
          <w:iCs/>
          <w:color w:val="000000"/>
        </w:rPr>
        <w:instrText>Sea-level rise in relation to international law</w:instrText>
      </w:r>
      <w:r w:rsidRPr="0047063B">
        <w:rPr>
          <w:color w:val="000000"/>
        </w:rPr>
        <w:instrText>, U.N. Doc</w:instrText>
      </w:r>
      <w:r w:rsidR="00212F35">
        <w:rPr>
          <w:color w:val="000000"/>
        </w:rPr>
        <w:instrText>.</w:instrText>
      </w:r>
      <w:r w:rsidRPr="0047063B">
        <w:rPr>
          <w:color w:val="000000"/>
        </w:rPr>
        <w:instrText xml:space="preserve"> A/CN.4/740 (Feb. 28, 2020)</w:instrText>
      </w:r>
      <w:r w:rsidRPr="0047063B">
        <w:instrText>" \s "Bogdan Aurescu &amp; Nilüfer Oral (Co-Chairs of Study Group on sea-level rise in relation to international law), Sea-level rise in relation to international law, U.N. Doc</w:instrText>
      </w:r>
      <w:r w:rsidR="00212F35">
        <w:instrText>.</w:instrText>
      </w:r>
      <w:r w:rsidRPr="0047063B">
        <w:instrText xml:space="preserve"> A/CN.4/740 (Feb. 28, 2020)" \c 5 </w:instrText>
      </w:r>
      <w:r w:rsidRPr="0047063B">
        <w:rPr>
          <w:color w:val="000000"/>
        </w:rPr>
        <w:fldChar w:fldCharType="end"/>
      </w:r>
      <w:r w:rsidRPr="0047063B">
        <w:rPr>
          <w:color w:val="000000"/>
        </w:rPr>
        <w:t xml:space="preserve"> (citing the s</w:t>
      </w:r>
      <w:r w:rsidRPr="0047063B">
        <w:rPr>
          <w:color w:val="000000" w:themeColor="text1"/>
        </w:rPr>
        <w:t xml:space="preserve">ubmission of the Netherlands to the ILC, forwarded through note verbale No. DC2-0566 of 27 December 2019 to the United </w:t>
      </w:r>
      <w:r w:rsidRPr="0047063B">
        <w:t>Nations</w:t>
      </w:r>
      <w:r w:rsidRPr="0047063B">
        <w:rPr>
          <w:color w:val="000000"/>
        </w:rPr>
        <w:t xml:space="preserve">). </w:t>
      </w:r>
    </w:p>
  </w:footnote>
  <w:footnote w:id="142">
    <w:p w14:paraId="3239E9E4"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Report of the Baselines</w:t>
      </w:r>
      <w:r w:rsidRPr="0047063B">
        <w:rPr>
          <w:i/>
          <w:iCs/>
          <w:color w:val="000000"/>
        </w:rPr>
        <w:t xml:space="preserve"> </w:t>
      </w:r>
      <w:r w:rsidRPr="0047063B">
        <w:rPr>
          <w:color w:val="000000"/>
        </w:rPr>
        <w:t>Committee</w:t>
      </w:r>
      <w:r w:rsidRPr="0047063B">
        <w:rPr>
          <w:color w:val="000000"/>
        </w:rPr>
        <w:fldChar w:fldCharType="begin"/>
      </w:r>
      <w:r w:rsidRPr="0047063B">
        <w:instrText xml:space="preserve"> TA \s "Report of the Baselines Committee" </w:instrText>
      </w:r>
      <w:r w:rsidRPr="0047063B">
        <w:rPr>
          <w:color w:val="000000"/>
        </w:rPr>
        <w:fldChar w:fldCharType="end"/>
      </w:r>
      <w:r w:rsidRPr="0047063B">
        <w:rPr>
          <w:color w:val="000000"/>
        </w:rPr>
        <w:t>, at 31.</w:t>
      </w:r>
    </w:p>
  </w:footnote>
  <w:footnote w:id="143">
    <w:p w14:paraId="72CEA924"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Facts, ¶5. </w:t>
      </w:r>
    </w:p>
  </w:footnote>
  <w:footnote w:id="144">
    <w:p w14:paraId="7D3BB7B2" w14:textId="7FCA03B6" w:rsidR="002A4673" w:rsidRPr="0047063B" w:rsidRDefault="002A4673"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Permanent Mission of the U.K. to the U.N., Submission to the ILC, 2 (Jan. 10, 2020) https://legal.un.org/ilc/sessions/72/pdfs/english/slr_uk.pdf.</w:t>
      </w:r>
      <w:r w:rsidRPr="0047063B">
        <w:rPr>
          <w:sz w:val="24"/>
          <w:szCs w:val="24"/>
        </w:rPr>
        <w:fldChar w:fldCharType="begin"/>
      </w:r>
      <w:r w:rsidRPr="0047063B">
        <w:rPr>
          <w:sz w:val="24"/>
          <w:szCs w:val="24"/>
        </w:rPr>
        <w:instrText xml:space="preserve"> TA \l "Permanent Mission of the U.K. to the U.N., Submission to the I</w:instrText>
      </w:r>
      <w:r w:rsidR="004762A9">
        <w:rPr>
          <w:sz w:val="24"/>
          <w:szCs w:val="24"/>
        </w:rPr>
        <w:instrText>n’tl Law Comm’n</w:instrText>
      </w:r>
      <w:r w:rsidRPr="0047063B">
        <w:rPr>
          <w:sz w:val="24"/>
          <w:szCs w:val="24"/>
        </w:rPr>
        <w:instrText xml:space="preserve"> (Jan. 10, 2020) https://legal.un.org/ilc/sessions/72/pdfs/english/slr_uk.pdf." \s "Permanent Mission of the U.K. to the U.N., Submission to the ILC, 2 (Jan. 10, 2020) https://legal.un.org/ilc/sessions/72/pdfs/english/slr_uk.pdf." \c 7 </w:instrText>
      </w:r>
      <w:r w:rsidRPr="0047063B">
        <w:rPr>
          <w:sz w:val="24"/>
          <w:szCs w:val="24"/>
        </w:rPr>
        <w:fldChar w:fldCharType="end"/>
      </w:r>
      <w:r w:rsidRPr="0047063B">
        <w:rPr>
          <w:sz w:val="24"/>
          <w:szCs w:val="24"/>
        </w:rPr>
        <w:t xml:space="preserve"> For similar submissions by other States declaring their adoption of ambulatory baselines, see Issues Paper</w:t>
      </w:r>
      <w:r w:rsidRPr="0047063B">
        <w:rPr>
          <w:sz w:val="24"/>
          <w:szCs w:val="24"/>
        </w:rPr>
        <w:fldChar w:fldCharType="begin"/>
      </w:r>
      <w:r w:rsidRPr="0047063B">
        <w:rPr>
          <w:sz w:val="24"/>
          <w:szCs w:val="24"/>
        </w:rPr>
        <w:instrText xml:space="preserve"> TA \s "Issues Paper" </w:instrText>
      </w:r>
      <w:r w:rsidRPr="0047063B">
        <w:rPr>
          <w:sz w:val="24"/>
          <w:szCs w:val="24"/>
        </w:rPr>
        <w:fldChar w:fldCharType="end"/>
      </w:r>
      <w:r w:rsidRPr="0047063B">
        <w:rPr>
          <w:sz w:val="24"/>
          <w:szCs w:val="24"/>
        </w:rPr>
        <w:t xml:space="preserve">, ¶78. </w:t>
      </w:r>
    </w:p>
  </w:footnote>
  <w:footnote w:id="145">
    <w:p w14:paraId="77031DF9"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w:t>
      </w:r>
      <w:r w:rsidRPr="0047063B">
        <w:rPr>
          <w:i/>
          <w:sz w:val="24"/>
          <w:szCs w:val="24"/>
        </w:rPr>
        <w:t>Chia Hsing v. Rankin</w:t>
      </w:r>
      <w:r w:rsidRPr="0047063B">
        <w:rPr>
          <w:sz w:val="24"/>
          <w:szCs w:val="24"/>
        </w:rPr>
        <w:t>, 141 CLR 182, 195 (1978)</w:t>
      </w:r>
      <w:r w:rsidRPr="0047063B">
        <w:rPr>
          <w:sz w:val="24"/>
          <w:szCs w:val="24"/>
        </w:rPr>
        <w:fldChar w:fldCharType="begin"/>
      </w:r>
      <w:r w:rsidRPr="0047063B">
        <w:rPr>
          <w:sz w:val="24"/>
          <w:szCs w:val="24"/>
        </w:rPr>
        <w:instrText xml:space="preserve"> TA \l "</w:instrText>
      </w:r>
      <w:r w:rsidRPr="0047063B">
        <w:rPr>
          <w:i/>
          <w:sz w:val="24"/>
          <w:szCs w:val="24"/>
        </w:rPr>
        <w:instrText>Chia Hsing v. Rankin</w:instrText>
      </w:r>
      <w:r w:rsidRPr="0047063B">
        <w:rPr>
          <w:sz w:val="24"/>
          <w:szCs w:val="24"/>
        </w:rPr>
        <w:instrText xml:space="preserve">, 141 CLR 182 (1978)" \s "Chia Hsing v. Rankin, 141 CLR 182 (1978)" \c 7 </w:instrText>
      </w:r>
      <w:r w:rsidRPr="0047063B">
        <w:rPr>
          <w:sz w:val="24"/>
          <w:szCs w:val="24"/>
        </w:rPr>
        <w:fldChar w:fldCharType="end"/>
      </w:r>
      <w:r w:rsidRPr="0047063B">
        <w:rPr>
          <w:sz w:val="24"/>
          <w:szCs w:val="24"/>
        </w:rPr>
        <w:t>.</w:t>
      </w:r>
    </w:p>
  </w:footnote>
  <w:footnote w:id="146">
    <w:p w14:paraId="4DA1D277"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The U.S. Supreme Court concluded that “the shifts in a low-water line” “lead to a shift in the baseline for measuring a maritime zone.” </w:t>
      </w:r>
      <w:r w:rsidRPr="0047063B">
        <w:rPr>
          <w:i/>
          <w:color w:val="000000"/>
        </w:rPr>
        <w:t>United States v. Alaska</w:t>
      </w:r>
      <w:r w:rsidRPr="0047063B">
        <w:rPr>
          <w:color w:val="000000"/>
        </w:rPr>
        <w:t>, 521 U.S. 1, 31 (1997)</w:t>
      </w:r>
      <w:r w:rsidRPr="0047063B">
        <w:rPr>
          <w:color w:val="000000"/>
        </w:rPr>
        <w:fldChar w:fldCharType="begin"/>
      </w:r>
      <w:r w:rsidRPr="0047063B">
        <w:instrText xml:space="preserve"> TA \l "</w:instrText>
      </w:r>
      <w:r w:rsidRPr="0047063B">
        <w:rPr>
          <w:i/>
          <w:color w:val="000000"/>
        </w:rPr>
        <w:instrText>United States v. Alaska</w:instrText>
      </w:r>
      <w:r w:rsidRPr="0047063B">
        <w:rPr>
          <w:color w:val="000000"/>
        </w:rPr>
        <w:instrText>, 521 U.S. 1 (1997)</w:instrText>
      </w:r>
      <w:r w:rsidRPr="0047063B">
        <w:instrText xml:space="preserve">" \s "United States v. Alaska, 521 U.S. 1 (1997)" \c 7 </w:instrText>
      </w:r>
      <w:r w:rsidRPr="0047063B">
        <w:rPr>
          <w:color w:val="000000"/>
        </w:rPr>
        <w:fldChar w:fldCharType="end"/>
      </w:r>
      <w:r w:rsidRPr="0047063B">
        <w:rPr>
          <w:color w:val="000000"/>
        </w:rPr>
        <w:t>.</w:t>
      </w:r>
    </w:p>
  </w:footnote>
  <w:footnote w:id="147">
    <w:p w14:paraId="5414068E"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Pac. Islands F., Declaration on Preserving Maritime Zones in the Face of Climate Change-Related Sea-Level Rise, at 2 (Aug. 6, 2021)</w:t>
      </w:r>
      <w:r w:rsidRPr="0047063B">
        <w:rPr>
          <w:sz w:val="24"/>
          <w:szCs w:val="24"/>
        </w:rPr>
        <w:fldChar w:fldCharType="begin"/>
      </w:r>
      <w:r w:rsidRPr="0047063B">
        <w:rPr>
          <w:sz w:val="24"/>
          <w:szCs w:val="24"/>
        </w:rPr>
        <w:instrText xml:space="preserve"> TA \l "Pac. Islands F., Declaration on Preserving Maritime Zones in the Face of Climate Change-Related Sea-Level Rise (Aug. 6, 2021)" \s "Pac. Islands F., Declaration on Preserving Maritime Zones in the Face of Climate Change-Related Sea-Level Rise (Aug. 6, 2021)" \c 8 </w:instrText>
      </w:r>
      <w:r w:rsidRPr="0047063B">
        <w:rPr>
          <w:sz w:val="24"/>
          <w:szCs w:val="24"/>
        </w:rPr>
        <w:fldChar w:fldCharType="end"/>
      </w:r>
      <w:r w:rsidRPr="0047063B">
        <w:rPr>
          <w:sz w:val="24"/>
          <w:szCs w:val="24"/>
        </w:rPr>
        <w:t>.</w:t>
      </w:r>
    </w:p>
  </w:footnote>
  <w:footnote w:id="148">
    <w:p w14:paraId="1F4C61EF" w14:textId="77777777" w:rsidR="002A4673" w:rsidRPr="0047063B" w:rsidRDefault="002A4673"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w:t>
      </w:r>
      <w:r w:rsidRPr="0047063B">
        <w:rPr>
          <w:i/>
          <w:sz w:val="24"/>
          <w:szCs w:val="24"/>
          <w:lang w:val="en-US"/>
        </w:rPr>
        <w:t>North Sea</w:t>
      </w:r>
      <w:r w:rsidRPr="0047063B">
        <w:rPr>
          <w:i/>
          <w:sz w:val="24"/>
          <w:szCs w:val="24"/>
          <w:lang w:val="en-US"/>
        </w:rPr>
        <w:fldChar w:fldCharType="begin"/>
      </w:r>
      <w:r w:rsidRPr="0047063B">
        <w:rPr>
          <w:sz w:val="24"/>
          <w:szCs w:val="24"/>
        </w:rPr>
        <w:instrText xml:space="preserve"> TA \s "North Sea" </w:instrText>
      </w:r>
      <w:r w:rsidRPr="0047063B">
        <w:rPr>
          <w:i/>
          <w:sz w:val="24"/>
          <w:szCs w:val="24"/>
          <w:lang w:val="en-US"/>
        </w:rPr>
        <w:fldChar w:fldCharType="end"/>
      </w:r>
      <w:r w:rsidRPr="0047063B">
        <w:rPr>
          <w:sz w:val="24"/>
          <w:szCs w:val="24"/>
          <w:lang w:val="en-US"/>
        </w:rPr>
        <w:t xml:space="preserve">, 1969 I.C.J., ¶71; </w:t>
      </w:r>
      <w:r w:rsidRPr="0047063B">
        <w:rPr>
          <w:i/>
          <w:sz w:val="24"/>
          <w:szCs w:val="24"/>
        </w:rPr>
        <w:t>Right of Passage</w:t>
      </w:r>
      <w:r w:rsidRPr="0047063B">
        <w:rPr>
          <w:i/>
          <w:sz w:val="24"/>
          <w:szCs w:val="24"/>
        </w:rPr>
        <w:fldChar w:fldCharType="begin"/>
      </w:r>
      <w:r w:rsidRPr="0047063B">
        <w:rPr>
          <w:sz w:val="24"/>
          <w:szCs w:val="24"/>
        </w:rPr>
        <w:instrText xml:space="preserve"> TA \s "Right of Passage" </w:instrText>
      </w:r>
      <w:r w:rsidRPr="0047063B">
        <w:rPr>
          <w:i/>
          <w:sz w:val="24"/>
          <w:szCs w:val="24"/>
        </w:rPr>
        <w:fldChar w:fldCharType="end"/>
      </w:r>
      <w:r w:rsidRPr="0047063B">
        <w:rPr>
          <w:sz w:val="24"/>
          <w:szCs w:val="24"/>
        </w:rPr>
        <w:t>, 1960 I.C.J. at 37.</w:t>
      </w:r>
    </w:p>
  </w:footnote>
  <w:footnote w:id="149">
    <w:p w14:paraId="5055DA53"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w:t>
      </w:r>
      <w:r w:rsidRPr="0047063B">
        <w:rPr>
          <w:i/>
          <w:lang w:val="en-US"/>
        </w:rPr>
        <w:t>North Sea</w:t>
      </w:r>
      <w:r w:rsidRPr="0047063B">
        <w:rPr>
          <w:i/>
          <w:lang w:val="en-US"/>
        </w:rPr>
        <w:fldChar w:fldCharType="begin"/>
      </w:r>
      <w:r w:rsidRPr="0047063B">
        <w:instrText xml:space="preserve"> TA \s "North Sea" </w:instrText>
      </w:r>
      <w:r w:rsidRPr="0047063B">
        <w:rPr>
          <w:i/>
          <w:lang w:val="en-US"/>
        </w:rPr>
        <w:fldChar w:fldCharType="end"/>
      </w:r>
      <w:r w:rsidRPr="0047063B">
        <w:rPr>
          <w:lang w:val="en-US"/>
        </w:rPr>
        <w:t xml:space="preserve">, 1969 I.C.J., </w:t>
      </w:r>
      <w:r w:rsidRPr="0047063B">
        <w:rPr>
          <w:color w:val="000000"/>
        </w:rPr>
        <w:t xml:space="preserve">¶74. </w:t>
      </w:r>
    </w:p>
  </w:footnote>
  <w:footnote w:id="150">
    <w:p w14:paraId="08A58D74"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Facts, ¶15. </w:t>
      </w:r>
    </w:p>
  </w:footnote>
  <w:footnote w:id="151">
    <w:p w14:paraId="523052D0" w14:textId="77777777" w:rsidR="002A4673" w:rsidRPr="0047063B" w:rsidRDefault="002A4673" w:rsidP="0047063B">
      <w:pPr>
        <w:spacing w:line="240" w:lineRule="auto"/>
        <w:ind w:firstLine="0"/>
      </w:pPr>
      <w:r w:rsidRPr="0047063B">
        <w:rPr>
          <w:vertAlign w:val="superscript"/>
        </w:rPr>
        <w:footnoteRef/>
      </w:r>
      <w:r w:rsidRPr="0047063B">
        <w:rPr>
          <w:b/>
        </w:rPr>
        <w:t xml:space="preserve"> </w:t>
      </w:r>
      <w:r w:rsidRPr="0047063B">
        <w:rPr>
          <w:i/>
          <w:lang w:val="en-US"/>
        </w:rPr>
        <w:t>North Sea</w:t>
      </w:r>
      <w:r w:rsidRPr="0047063B">
        <w:rPr>
          <w:i/>
          <w:lang w:val="en-US"/>
        </w:rPr>
        <w:fldChar w:fldCharType="begin"/>
      </w:r>
      <w:r w:rsidRPr="0047063B">
        <w:instrText xml:space="preserve"> TA \s "North Sea" </w:instrText>
      </w:r>
      <w:r w:rsidRPr="0047063B">
        <w:rPr>
          <w:i/>
          <w:lang w:val="en-US"/>
        </w:rPr>
        <w:fldChar w:fldCharType="end"/>
      </w:r>
      <w:r w:rsidRPr="0047063B">
        <w:rPr>
          <w:lang w:val="en-US"/>
        </w:rPr>
        <w:t xml:space="preserve">, 1969 I.C.J., </w:t>
      </w:r>
      <w:r w:rsidRPr="0047063B">
        <w:t xml:space="preserve">¶62. </w:t>
      </w:r>
    </w:p>
  </w:footnote>
  <w:footnote w:id="152">
    <w:p w14:paraId="22E5CDD5"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Michael Wood (Special Rapporteur on the Formation and Evidence of Customary International Law), </w:t>
      </w:r>
      <w:r w:rsidRPr="0047063B">
        <w:rPr>
          <w:i/>
          <w:color w:val="000000"/>
        </w:rPr>
        <w:t>Third report on identification of customary international law</w:t>
      </w:r>
      <w:r w:rsidRPr="0047063B">
        <w:rPr>
          <w:color w:val="000000"/>
        </w:rPr>
        <w:t xml:space="preserve">, </w:t>
      </w:r>
      <w:r w:rsidRPr="0047063B">
        <w:t>¶85</w:t>
      </w:r>
      <w:r w:rsidRPr="0047063B">
        <w:rPr>
          <w:color w:val="000000"/>
        </w:rPr>
        <w:t>, U.N. Doc. A/CN.4/682 (Mar. 27, 2015)</w:t>
      </w:r>
      <w:r w:rsidRPr="0047063B">
        <w:rPr>
          <w:color w:val="000000"/>
        </w:rPr>
        <w:fldChar w:fldCharType="begin"/>
      </w:r>
      <w:r w:rsidRPr="0047063B">
        <w:instrText xml:space="preserve"> TA \l "</w:instrText>
      </w:r>
      <w:r w:rsidRPr="0047063B">
        <w:rPr>
          <w:color w:val="000000"/>
        </w:rPr>
        <w:instrText xml:space="preserve">Michael Wood (Special Rapporteur on the Formation and Evidence of Customary International Law), </w:instrText>
      </w:r>
      <w:r w:rsidRPr="0047063B">
        <w:rPr>
          <w:i/>
          <w:color w:val="000000"/>
        </w:rPr>
        <w:instrText>Third report on identification of customary international law</w:instrText>
      </w:r>
      <w:r w:rsidRPr="0047063B">
        <w:rPr>
          <w:color w:val="000000"/>
        </w:rPr>
        <w:instrText>, UN Doc</w:instrText>
      </w:r>
      <w:r w:rsidR="004941D1">
        <w:rPr>
          <w:color w:val="000000"/>
        </w:rPr>
        <w:instrText>.</w:instrText>
      </w:r>
      <w:r w:rsidRPr="0047063B">
        <w:rPr>
          <w:color w:val="000000"/>
        </w:rPr>
        <w:instrText xml:space="preserve"> A/CN.4/682 (Mar. 27, 2015)</w:instrText>
      </w:r>
      <w:r w:rsidRPr="0047063B">
        <w:instrText>" \s "Michael Wood (Special Rapporteur on the Formation and Evidence of Customary International Law), Third report on identification of customary international law, UN Doc</w:instrText>
      </w:r>
      <w:r w:rsidR="004941D1">
        <w:instrText>.</w:instrText>
      </w:r>
      <w:r w:rsidRPr="0047063B">
        <w:instrText xml:space="preserve"> A/CN.4/682 (Mar. 27, 2015)" \c 4 </w:instrText>
      </w:r>
      <w:r w:rsidRPr="0047063B">
        <w:rPr>
          <w:color w:val="000000"/>
        </w:rPr>
        <w:fldChar w:fldCharType="end"/>
      </w:r>
      <w:r w:rsidRPr="0047063B">
        <w:rPr>
          <w:color w:val="000000"/>
        </w:rPr>
        <w:t xml:space="preserve">; </w:t>
      </w:r>
      <w:r w:rsidRPr="0047063B">
        <w:rPr>
          <w:i/>
          <w:color w:val="000000"/>
        </w:rPr>
        <w:t>Fisheries</w:t>
      </w:r>
      <w:r w:rsidRPr="0047063B">
        <w:rPr>
          <w:i/>
          <w:color w:val="000000"/>
        </w:rPr>
        <w:fldChar w:fldCharType="begin"/>
      </w:r>
      <w:r w:rsidRPr="0047063B">
        <w:instrText xml:space="preserve"> TA \s "Fisheries" </w:instrText>
      </w:r>
      <w:r w:rsidRPr="0047063B">
        <w:rPr>
          <w:i/>
          <w:color w:val="000000"/>
        </w:rPr>
        <w:fldChar w:fldCharType="end"/>
      </w:r>
      <w:r w:rsidRPr="0047063B">
        <w:rPr>
          <w:color w:val="000000"/>
        </w:rPr>
        <w:t>, 1951 I.C.J. at 131.</w:t>
      </w:r>
    </w:p>
  </w:footnote>
  <w:footnote w:id="153">
    <w:p w14:paraId="651616CE"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Facts, ¶¶14, 18. </w:t>
      </w:r>
    </w:p>
  </w:footnote>
  <w:footnote w:id="154">
    <w:p w14:paraId="1B75C00B"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Facts, ¶14. </w:t>
      </w:r>
    </w:p>
  </w:footnote>
  <w:footnote w:id="155">
    <w:p w14:paraId="0F552C5B"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Facts, ¶20. </w:t>
      </w:r>
    </w:p>
  </w:footnote>
  <w:footnote w:id="156">
    <w:p w14:paraId="5193680A" w14:textId="77777777" w:rsidR="004941D1" w:rsidRPr="0047063B" w:rsidRDefault="004941D1" w:rsidP="004941D1">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Facts, ¶</w:t>
      </w:r>
      <w:r>
        <w:rPr>
          <w:color w:val="000000"/>
        </w:rPr>
        <w:t>33</w:t>
      </w:r>
      <w:r w:rsidRPr="0047063B">
        <w:rPr>
          <w:color w:val="000000"/>
        </w:rPr>
        <w:t xml:space="preserve">. </w:t>
      </w:r>
    </w:p>
  </w:footnote>
  <w:footnote w:id="157">
    <w:p w14:paraId="1F0B1E54"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w:t>
      </w:r>
      <w:r w:rsidRPr="0047063B">
        <w:rPr>
          <w:i/>
          <w:color w:val="000000"/>
        </w:rPr>
        <w:t xml:space="preserve">Asylum </w:t>
      </w:r>
      <w:r w:rsidRPr="0047063B">
        <w:rPr>
          <w:color w:val="000000"/>
        </w:rPr>
        <w:t xml:space="preserve">(Colom. v. Peru), Judgment, 1950 I.C.J. 194, at </w:t>
      </w:r>
      <w:r w:rsidRPr="0047063B">
        <w:rPr>
          <w:color w:val="000000" w:themeColor="text1"/>
        </w:rPr>
        <w:t>277–78</w:t>
      </w:r>
      <w:r w:rsidRPr="0047063B">
        <w:rPr>
          <w:color w:val="000000"/>
        </w:rPr>
        <w:t xml:space="preserve"> (Nov. 20)</w:t>
      </w:r>
      <w:r w:rsidRPr="0047063B">
        <w:rPr>
          <w:color w:val="000000"/>
        </w:rPr>
        <w:fldChar w:fldCharType="begin"/>
      </w:r>
      <w:r w:rsidRPr="0047063B">
        <w:instrText xml:space="preserve"> TA \l "</w:instrText>
      </w:r>
      <w:r w:rsidRPr="0047063B">
        <w:rPr>
          <w:i/>
          <w:color w:val="000000"/>
        </w:rPr>
        <w:instrText xml:space="preserve">Asylum </w:instrText>
      </w:r>
      <w:r w:rsidRPr="0047063B">
        <w:rPr>
          <w:color w:val="000000"/>
        </w:rPr>
        <w:instrText>(Colom. v. Peru), Judgment, 1950 I.C.J. 194 (Nov. 20)</w:instrText>
      </w:r>
      <w:r w:rsidRPr="0047063B">
        <w:instrText xml:space="preserve">" \s "Asylum (Colom. v. Peru), Judgment, 1950 I.C.J. 194 (Nov. 20)" \c 2 </w:instrText>
      </w:r>
      <w:r w:rsidRPr="0047063B">
        <w:rPr>
          <w:color w:val="000000"/>
        </w:rPr>
        <w:fldChar w:fldCharType="end"/>
      </w:r>
      <w:r w:rsidRPr="0047063B">
        <w:rPr>
          <w:color w:val="000000"/>
        </w:rPr>
        <w:t>.</w:t>
      </w:r>
    </w:p>
  </w:footnote>
  <w:footnote w:id="158">
    <w:p w14:paraId="08973610" w14:textId="77777777" w:rsidR="002A4673" w:rsidRPr="0047063B" w:rsidRDefault="002A4673" w:rsidP="0047063B">
      <w:pPr>
        <w:pBdr>
          <w:top w:val="nil"/>
          <w:left w:val="nil"/>
          <w:bottom w:val="nil"/>
          <w:right w:val="nil"/>
          <w:between w:val="nil"/>
        </w:pBdr>
        <w:spacing w:line="240" w:lineRule="auto"/>
        <w:ind w:firstLine="0"/>
        <w:rPr>
          <w:b/>
          <w:color w:val="000000"/>
        </w:rPr>
      </w:pPr>
      <w:r w:rsidRPr="0047063B">
        <w:rPr>
          <w:vertAlign w:val="superscript"/>
        </w:rPr>
        <w:footnoteRef/>
      </w:r>
      <w:r w:rsidRPr="0047063B">
        <w:rPr>
          <w:color w:val="000000"/>
        </w:rPr>
        <w:t xml:space="preserve"> </w:t>
      </w:r>
      <w:r w:rsidRPr="0047063B">
        <w:rPr>
          <w:iCs/>
          <w:color w:val="000000"/>
        </w:rPr>
        <w:t>UNCLOS</w:t>
      </w:r>
      <w:r w:rsidRPr="0047063B">
        <w:rPr>
          <w:iCs/>
          <w:color w:val="000000"/>
        </w:rPr>
        <w:fldChar w:fldCharType="begin"/>
      </w:r>
      <w:r w:rsidRPr="0047063B">
        <w:instrText xml:space="preserve"> TA \s "UNCLOS" </w:instrText>
      </w:r>
      <w:r w:rsidRPr="0047063B">
        <w:rPr>
          <w:iCs/>
          <w:color w:val="000000"/>
        </w:rPr>
        <w:fldChar w:fldCharType="end"/>
      </w:r>
      <w:r w:rsidRPr="0047063B">
        <w:rPr>
          <w:color w:val="000000"/>
        </w:rPr>
        <w:t xml:space="preserve"> art. 87. </w:t>
      </w:r>
    </w:p>
  </w:footnote>
  <w:footnote w:id="159">
    <w:p w14:paraId="2C01CA79" w14:textId="77777777" w:rsidR="002A4673" w:rsidRPr="0047063B" w:rsidRDefault="002A4673" w:rsidP="0047063B">
      <w:pPr>
        <w:pBdr>
          <w:top w:val="nil"/>
          <w:left w:val="nil"/>
          <w:bottom w:val="nil"/>
          <w:right w:val="nil"/>
          <w:between w:val="nil"/>
        </w:pBdr>
        <w:spacing w:line="240" w:lineRule="auto"/>
        <w:ind w:firstLine="0"/>
        <w:rPr>
          <w:b/>
          <w:color w:val="000000"/>
        </w:rPr>
      </w:pPr>
      <w:r w:rsidRPr="0047063B">
        <w:rPr>
          <w:vertAlign w:val="superscript"/>
        </w:rPr>
        <w:footnoteRef/>
      </w:r>
      <w:r w:rsidRPr="0047063B">
        <w:rPr>
          <w:color w:val="000000"/>
        </w:rPr>
        <w:t xml:space="preserve"> </w:t>
      </w:r>
      <w:r w:rsidRPr="0047063B">
        <w:rPr>
          <w:i/>
          <w:color w:val="000000"/>
        </w:rPr>
        <w:t>The Chagos Marine Protected Area Arbitration</w:t>
      </w:r>
      <w:r w:rsidRPr="0047063B">
        <w:rPr>
          <w:color w:val="000000"/>
        </w:rPr>
        <w:t xml:space="preserve"> (Mauritius v. U.K.), No. 2011-03, Award, </w:t>
      </w:r>
      <w:r w:rsidRPr="0047063B">
        <w:t>¶</w:t>
      </w:r>
      <w:r w:rsidRPr="0047063B">
        <w:rPr>
          <w:color w:val="000000" w:themeColor="text1"/>
        </w:rPr>
        <w:t>519</w:t>
      </w:r>
      <w:r w:rsidRPr="0047063B">
        <w:rPr>
          <w:color w:val="000000"/>
        </w:rPr>
        <w:t xml:space="preserve"> (Perm. Ct. of Arb.</w:t>
      </w:r>
      <w:r w:rsidR="004941D1">
        <w:rPr>
          <w:color w:val="000000"/>
        </w:rPr>
        <w:t xml:space="preserve"> 2015).</w:t>
      </w:r>
      <w:r w:rsidRPr="0047063B">
        <w:rPr>
          <w:color w:val="000000"/>
        </w:rPr>
        <w:t xml:space="preserve"> </w:t>
      </w:r>
      <w:r w:rsidRPr="0047063B">
        <w:rPr>
          <w:color w:val="000000"/>
        </w:rPr>
        <w:fldChar w:fldCharType="begin"/>
      </w:r>
      <w:r w:rsidRPr="0047063B">
        <w:rPr>
          <w:color w:val="000000" w:themeColor="text1"/>
        </w:rPr>
        <w:instrText xml:space="preserve"> TA \l "</w:instrText>
      </w:r>
      <w:r w:rsidRPr="0047063B">
        <w:rPr>
          <w:i/>
          <w:color w:val="000000"/>
        </w:rPr>
        <w:instrText>The Chagos Marine Protected Area Arbitration</w:instrText>
      </w:r>
      <w:r w:rsidRPr="0047063B">
        <w:rPr>
          <w:i/>
          <w:iCs/>
          <w:color w:val="000000"/>
        </w:rPr>
        <w:instrText xml:space="preserve"> </w:instrText>
      </w:r>
      <w:r w:rsidRPr="004941D1">
        <w:rPr>
          <w:color w:val="000000"/>
        </w:rPr>
        <w:instrText xml:space="preserve">(Mauritius v. U.K.), No. 2011-03, Award </w:instrText>
      </w:r>
      <w:r w:rsidR="004941D1">
        <w:rPr>
          <w:color w:val="000000"/>
        </w:rPr>
        <w:instrText>(</w:instrText>
      </w:r>
      <w:r w:rsidRPr="004941D1">
        <w:rPr>
          <w:color w:val="000000"/>
        </w:rPr>
        <w:instrText>Perm. Ct. of Arb</w:instrText>
      </w:r>
      <w:r w:rsidRPr="0047063B">
        <w:rPr>
          <w:i/>
          <w:iCs/>
          <w:color w:val="000000"/>
        </w:rPr>
        <w:instrText>.</w:instrText>
      </w:r>
      <w:r w:rsidRPr="0047063B">
        <w:rPr>
          <w:color w:val="000000"/>
        </w:rPr>
        <w:instrText xml:space="preserve"> 2015)</w:instrText>
      </w:r>
      <w:r w:rsidRPr="0047063B">
        <w:rPr>
          <w:color w:val="000000" w:themeColor="text1"/>
        </w:rPr>
        <w:instrText xml:space="preserve">" \s "The Chagos Marine Protected Area Arbitration (Mauritius v. U.K.)" \c 3 </w:instrText>
      </w:r>
      <w:r w:rsidRPr="0047063B">
        <w:rPr>
          <w:color w:val="000000"/>
        </w:rPr>
        <w:fldChar w:fldCharType="end"/>
      </w:r>
      <w:r w:rsidRPr="0047063B">
        <w:rPr>
          <w:color w:val="000000" w:themeColor="text1"/>
        </w:rPr>
        <w:t xml:space="preserve"> </w:t>
      </w:r>
    </w:p>
  </w:footnote>
  <w:footnote w:id="160">
    <w:p w14:paraId="5BC14272"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UNCLOS</w:t>
      </w:r>
      <w:r w:rsidRPr="0047063B">
        <w:rPr>
          <w:sz w:val="24"/>
          <w:szCs w:val="24"/>
        </w:rPr>
        <w:fldChar w:fldCharType="begin"/>
      </w:r>
      <w:r w:rsidRPr="0047063B">
        <w:rPr>
          <w:sz w:val="24"/>
          <w:szCs w:val="24"/>
        </w:rPr>
        <w:instrText xml:space="preserve"> TA \s "UNCLOS" </w:instrText>
      </w:r>
      <w:r w:rsidRPr="0047063B">
        <w:rPr>
          <w:sz w:val="24"/>
          <w:szCs w:val="24"/>
        </w:rPr>
        <w:fldChar w:fldCharType="end"/>
      </w:r>
      <w:r w:rsidRPr="0047063B">
        <w:rPr>
          <w:sz w:val="24"/>
          <w:szCs w:val="24"/>
        </w:rPr>
        <w:t xml:space="preserve"> art. 64(1). </w:t>
      </w:r>
    </w:p>
  </w:footnote>
  <w:footnote w:id="161">
    <w:p w14:paraId="201EFBFD" w14:textId="5F97105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ILC, Rep. on the Work of Its Eighth Session, U.N. Doc. A/3159, at 24 (1956)</w:t>
      </w:r>
      <w:r w:rsidRPr="0047063B">
        <w:rPr>
          <w:color w:val="000000"/>
        </w:rPr>
        <w:fldChar w:fldCharType="begin"/>
      </w:r>
      <w:r w:rsidRPr="0047063B">
        <w:instrText xml:space="preserve"> TA \l "</w:instrText>
      </w:r>
      <w:r w:rsidR="00EE55CD" w:rsidRPr="005F0C69">
        <w:rPr>
          <w:noProof/>
        </w:rPr>
        <w:instrText>Int’l L</w:instrText>
      </w:r>
      <w:r w:rsidR="00183F70">
        <w:rPr>
          <w:noProof/>
        </w:rPr>
        <w:instrText>aw</w:instrText>
      </w:r>
      <w:r w:rsidR="00EE55CD" w:rsidRPr="005F0C69">
        <w:rPr>
          <w:noProof/>
        </w:rPr>
        <w:instrText xml:space="preserve"> Comm’n</w:instrText>
      </w:r>
      <w:r w:rsidRPr="0047063B">
        <w:rPr>
          <w:color w:val="000000"/>
        </w:rPr>
        <w:instrText>, Rep. on the Work of Its Eighth Session, U.N. Doc</w:instrText>
      </w:r>
      <w:r w:rsidR="00966FAC">
        <w:rPr>
          <w:color w:val="000000"/>
        </w:rPr>
        <w:instrText>.</w:instrText>
      </w:r>
      <w:r w:rsidRPr="0047063B">
        <w:rPr>
          <w:color w:val="000000"/>
        </w:rPr>
        <w:instrText xml:space="preserve"> A/3159 (1956)</w:instrText>
      </w:r>
      <w:r w:rsidRPr="0047063B">
        <w:instrText>" \s "ILC, Rep. on the Work of Its Eighth Session, U.N. Doc</w:instrText>
      </w:r>
      <w:r w:rsidR="00966FAC">
        <w:instrText>.</w:instrText>
      </w:r>
      <w:r w:rsidRPr="0047063B">
        <w:instrText xml:space="preserve"> A/3159 (1956)" \c 4 </w:instrText>
      </w:r>
      <w:r w:rsidRPr="0047063B">
        <w:rPr>
          <w:color w:val="000000"/>
        </w:rPr>
        <w:fldChar w:fldCharType="end"/>
      </w:r>
      <w:r w:rsidRPr="0047063B">
        <w:rPr>
          <w:color w:val="000000"/>
        </w:rPr>
        <w:t xml:space="preserve">. </w:t>
      </w:r>
    </w:p>
  </w:footnote>
  <w:footnote w:id="162">
    <w:p w14:paraId="5FB5D3F4" w14:textId="77777777" w:rsidR="002A4673" w:rsidRPr="0047063B" w:rsidRDefault="002A4673" w:rsidP="0047063B">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w:t>
      </w:r>
      <w:r w:rsidRPr="0047063B">
        <w:rPr>
          <w:i/>
          <w:color w:val="000000" w:themeColor="text1"/>
        </w:rPr>
        <w:t xml:space="preserve">Fisheries Jurisdiction </w:t>
      </w:r>
      <w:r w:rsidRPr="0047063B">
        <w:rPr>
          <w:color w:val="000000"/>
        </w:rPr>
        <w:t xml:space="preserve">(U.K. v. Ice.), Judgment, 1974 I.C.J. 175, </w:t>
      </w:r>
      <w:r w:rsidRPr="0047063B">
        <w:rPr>
          <w:color w:val="000000" w:themeColor="text1"/>
        </w:rPr>
        <w:t>¶62</w:t>
      </w:r>
      <w:r w:rsidRPr="0047063B">
        <w:rPr>
          <w:color w:val="000000"/>
        </w:rPr>
        <w:t xml:space="preserve"> (July 25)</w:t>
      </w:r>
      <w:r w:rsidRPr="0047063B">
        <w:rPr>
          <w:color w:val="000000"/>
        </w:rPr>
        <w:fldChar w:fldCharType="begin"/>
      </w:r>
      <w:r w:rsidRPr="0047063B">
        <w:instrText xml:space="preserve"> TA \l "</w:instrText>
      </w:r>
      <w:r w:rsidRPr="0047063B">
        <w:rPr>
          <w:i/>
          <w:color w:val="000000" w:themeColor="text1"/>
        </w:rPr>
        <w:instrText xml:space="preserve">Fisheries Jurisdiction </w:instrText>
      </w:r>
      <w:r w:rsidRPr="0047063B">
        <w:rPr>
          <w:color w:val="000000"/>
        </w:rPr>
        <w:instrText>(U.K. v. Ice.), Judgment, 1974 I.C.J. 175 (July 25)</w:instrText>
      </w:r>
      <w:r w:rsidRPr="0047063B">
        <w:instrText xml:space="preserve">" \s "Fisheries Jurisdiction (U.K. v. Ice.), Judgment, 1974 I.C.J. 175 (July 25)" \c 2 </w:instrText>
      </w:r>
      <w:r w:rsidRPr="0047063B">
        <w:rPr>
          <w:color w:val="000000"/>
        </w:rPr>
        <w:fldChar w:fldCharType="end"/>
      </w:r>
      <w:r w:rsidRPr="0047063B">
        <w:rPr>
          <w:color w:val="000000"/>
        </w:rPr>
        <w:t>.</w:t>
      </w:r>
    </w:p>
  </w:footnote>
  <w:footnote w:id="163">
    <w:p w14:paraId="5D911693" w14:textId="77777777" w:rsidR="00966FAC" w:rsidRPr="0047063B" w:rsidRDefault="00966FAC" w:rsidP="00966FAC">
      <w:pPr>
        <w:pBdr>
          <w:top w:val="nil"/>
          <w:left w:val="nil"/>
          <w:bottom w:val="nil"/>
          <w:right w:val="nil"/>
          <w:between w:val="nil"/>
        </w:pBdr>
        <w:spacing w:line="240" w:lineRule="auto"/>
        <w:ind w:firstLine="0"/>
        <w:rPr>
          <w:color w:val="000000"/>
        </w:rPr>
      </w:pPr>
      <w:r w:rsidRPr="0047063B">
        <w:rPr>
          <w:vertAlign w:val="superscript"/>
        </w:rPr>
        <w:footnoteRef/>
      </w:r>
      <w:r w:rsidRPr="0047063B">
        <w:rPr>
          <w:color w:val="000000"/>
        </w:rPr>
        <w:t xml:space="preserve"> Facts, ¶</w:t>
      </w:r>
      <w:r>
        <w:rPr>
          <w:color w:val="000000"/>
        </w:rPr>
        <w:t>4</w:t>
      </w:r>
      <w:r w:rsidRPr="0047063B">
        <w:rPr>
          <w:color w:val="000000"/>
        </w:rPr>
        <w:t xml:space="preserve">. </w:t>
      </w:r>
    </w:p>
  </w:footnote>
  <w:footnote w:id="164">
    <w:p w14:paraId="221BE490" w14:textId="77777777" w:rsidR="002A4673" w:rsidRPr="0047063B" w:rsidRDefault="002A4673" w:rsidP="0047063B">
      <w:pPr>
        <w:spacing w:line="240" w:lineRule="auto"/>
        <w:ind w:firstLine="0"/>
      </w:pPr>
      <w:r w:rsidRPr="0047063B">
        <w:rPr>
          <w:vertAlign w:val="superscript"/>
        </w:rPr>
        <w:footnoteRef/>
      </w:r>
      <w:r w:rsidRPr="0047063B">
        <w:t xml:space="preserve"> G.A. Res. 59/38, annex</w:t>
      </w:r>
      <w:r w:rsidR="00966FAC">
        <w:t>,</w:t>
      </w:r>
      <w:r w:rsidRPr="0047063B">
        <w:t xml:space="preserve"> United Nations Convention on Jurisdictional Immunities of States and Their Property, art. 1</w:t>
      </w:r>
      <w:r w:rsidR="00966FAC">
        <w:t>9</w:t>
      </w:r>
      <w:r w:rsidRPr="0047063B">
        <w:t xml:space="preserve"> (Dec. 2, 2004)</w:t>
      </w:r>
      <w:r w:rsidRPr="0047063B">
        <w:fldChar w:fldCharType="begin"/>
      </w:r>
      <w:r w:rsidRPr="0047063B">
        <w:instrText xml:space="preserve"> TA \l "G.A. Res. 59/38, annex, United Nations Convention on Jurisdictional Immunities of States and Their Property (Dec. 2, 2004)" \s "UNCJISP" \c 5 </w:instrText>
      </w:r>
      <w:r w:rsidRPr="0047063B">
        <w:fldChar w:fldCharType="end"/>
      </w:r>
      <w:r w:rsidRPr="0047063B">
        <w:t xml:space="preserve"> [</w:t>
      </w:r>
      <w:r w:rsidRPr="0047063B">
        <w:rPr>
          <w:bCs/>
        </w:rPr>
        <w:t>“</w:t>
      </w:r>
      <w:r w:rsidRPr="0047063B">
        <w:rPr>
          <w:b/>
        </w:rPr>
        <w:t>UNCJISP</w:t>
      </w:r>
      <w:r w:rsidRPr="0047063B">
        <w:rPr>
          <w:bCs/>
        </w:rPr>
        <w:t>”</w:t>
      </w:r>
      <w:r w:rsidRPr="0047063B">
        <w:t xml:space="preserve">]; </w:t>
      </w:r>
      <w:r w:rsidRPr="0047063B">
        <w:rPr>
          <w:i/>
        </w:rPr>
        <w:t>Jurisdictional Immunities</w:t>
      </w:r>
      <w:r w:rsidRPr="0047063B">
        <w:rPr>
          <w:i/>
        </w:rPr>
        <w:fldChar w:fldCharType="begin"/>
      </w:r>
      <w:r w:rsidRPr="0047063B">
        <w:instrText xml:space="preserve"> TA \s "Jurisdictional Immunities" </w:instrText>
      </w:r>
      <w:r w:rsidRPr="0047063B">
        <w:rPr>
          <w:i/>
        </w:rPr>
        <w:fldChar w:fldCharType="end"/>
      </w:r>
      <w:r w:rsidRPr="0047063B">
        <w:t>, 2012 I.C.J., ¶¶115–20.</w:t>
      </w:r>
    </w:p>
  </w:footnote>
  <w:footnote w:id="165">
    <w:p w14:paraId="231C3604" w14:textId="77777777" w:rsidR="002A4673" w:rsidRPr="0047063B" w:rsidRDefault="002A4673" w:rsidP="0047063B">
      <w:pPr>
        <w:spacing w:line="240" w:lineRule="auto"/>
        <w:ind w:firstLine="0"/>
      </w:pPr>
      <w:r w:rsidRPr="0047063B">
        <w:rPr>
          <w:vertAlign w:val="superscript"/>
        </w:rPr>
        <w:footnoteRef/>
      </w:r>
      <w:r w:rsidRPr="0047063B">
        <w:t xml:space="preserve"> Facts, ¶44. </w:t>
      </w:r>
    </w:p>
  </w:footnote>
  <w:footnote w:id="166">
    <w:p w14:paraId="0C50F8CB" w14:textId="28C1E957" w:rsidR="002A4673" w:rsidRPr="0047063B" w:rsidRDefault="002A4673" w:rsidP="0047063B">
      <w:pPr>
        <w:spacing w:line="240" w:lineRule="auto"/>
        <w:ind w:firstLine="0"/>
        <w:rPr>
          <w:lang w:val="es-ES"/>
        </w:rPr>
      </w:pPr>
      <w:r w:rsidRPr="0047063B">
        <w:rPr>
          <w:vertAlign w:val="superscript"/>
        </w:rPr>
        <w:footnoteRef/>
      </w:r>
      <w:r w:rsidRPr="0047063B">
        <w:t xml:space="preserve"> ILC, </w:t>
      </w:r>
      <w:r w:rsidRPr="0047063B">
        <w:rPr>
          <w:i/>
        </w:rPr>
        <w:t>Articles on Responsibility of States for Internationally Wrongful Acts</w:t>
      </w:r>
      <w:r w:rsidRPr="0047063B">
        <w:t>, with commentaries, U.N. Doc. A/56/10, art. 19 (2001)</w:t>
      </w:r>
      <w:r w:rsidRPr="0047063B">
        <w:fldChar w:fldCharType="begin"/>
      </w:r>
      <w:r w:rsidRPr="0047063B">
        <w:instrText xml:space="preserve"> TA \l "</w:instrText>
      </w:r>
      <w:r w:rsidR="00EE55CD" w:rsidRPr="00EE55CD">
        <w:rPr>
          <w:noProof/>
        </w:rPr>
        <w:instrText xml:space="preserve"> </w:instrText>
      </w:r>
      <w:r w:rsidR="00EE55CD" w:rsidRPr="005F0C69">
        <w:rPr>
          <w:noProof/>
        </w:rPr>
        <w:instrText>Int’l L</w:instrText>
      </w:r>
      <w:r w:rsidR="00183F70">
        <w:rPr>
          <w:noProof/>
        </w:rPr>
        <w:instrText>aw</w:instrText>
      </w:r>
      <w:r w:rsidR="00EE55CD" w:rsidRPr="005F0C69">
        <w:rPr>
          <w:noProof/>
        </w:rPr>
        <w:instrText xml:space="preserve"> Comm’n</w:instrText>
      </w:r>
      <w:r w:rsidRPr="0047063B">
        <w:instrText xml:space="preserve">, </w:instrText>
      </w:r>
      <w:r w:rsidRPr="0047063B">
        <w:rPr>
          <w:i/>
        </w:rPr>
        <w:instrText>Articles on Responsibility of States for Internationally Wrongful Acts</w:instrText>
      </w:r>
      <w:r w:rsidRPr="0047063B">
        <w:instrText xml:space="preserve">, with commentaries, U.N. Doc. A/56/10 (2001)" \s "ARSIWA" \c 4 </w:instrText>
      </w:r>
      <w:r w:rsidRPr="0047063B">
        <w:fldChar w:fldCharType="end"/>
      </w:r>
      <w:r w:rsidRPr="0047063B">
        <w:rPr>
          <w:lang w:val="es-ES"/>
        </w:rPr>
        <w:t xml:space="preserve"> [“</w:t>
      </w:r>
      <w:r w:rsidRPr="0047063B">
        <w:rPr>
          <w:b/>
          <w:lang w:val="es-ES"/>
        </w:rPr>
        <w:t>ARSIWA</w:t>
      </w:r>
      <w:r w:rsidRPr="0047063B">
        <w:rPr>
          <w:lang w:val="es-ES"/>
        </w:rPr>
        <w:t xml:space="preserve">”]. </w:t>
      </w:r>
    </w:p>
  </w:footnote>
  <w:footnote w:id="167">
    <w:p w14:paraId="19654636" w14:textId="77777777" w:rsidR="002A4673" w:rsidRPr="0047063B" w:rsidRDefault="002A4673" w:rsidP="0047063B">
      <w:pPr>
        <w:spacing w:line="240" w:lineRule="auto"/>
        <w:ind w:firstLine="0"/>
        <w:rPr>
          <w:lang w:val="es-ES"/>
        </w:rPr>
      </w:pPr>
      <w:r w:rsidRPr="0047063B">
        <w:rPr>
          <w:vertAlign w:val="superscript"/>
        </w:rPr>
        <w:footnoteRef/>
      </w:r>
      <w:r w:rsidRPr="0047063B">
        <w:rPr>
          <w:lang w:val="es-ES"/>
        </w:rPr>
        <w:t xml:space="preserve"> </w:t>
      </w:r>
      <w:r w:rsidRPr="0047063B">
        <w:rPr>
          <w:i/>
          <w:lang w:val="es-ES"/>
        </w:rPr>
        <w:t>Valores Mundiales and Consorcio Andino v. Venez</w:t>
      </w:r>
      <w:r w:rsidRPr="0047063B">
        <w:rPr>
          <w:i/>
          <w:iCs/>
          <w:lang w:val="es-ES"/>
        </w:rPr>
        <w:t>.</w:t>
      </w:r>
      <w:r w:rsidRPr="0047063B">
        <w:rPr>
          <w:lang w:val="es-ES"/>
        </w:rPr>
        <w:t>, ICSID Case No. ARB/13/11, Procedural Resolution No. 2, ¶¶31–32 (Aug. 29, 2019)</w:t>
      </w:r>
      <w:r w:rsidRPr="0047063B">
        <w:rPr>
          <w:lang w:val="es-ES"/>
        </w:rPr>
        <w:fldChar w:fldCharType="begin"/>
      </w:r>
      <w:r w:rsidRPr="0047063B">
        <w:instrText xml:space="preserve"> TA \l "</w:instrText>
      </w:r>
      <w:r w:rsidRPr="0047063B">
        <w:rPr>
          <w:i/>
          <w:lang w:val="es-ES"/>
        </w:rPr>
        <w:instrText>Valores Mundiales and Consorcio Andino v. Venez</w:instrText>
      </w:r>
      <w:r w:rsidRPr="0047063B">
        <w:rPr>
          <w:i/>
          <w:iCs/>
          <w:lang w:val="es-ES"/>
        </w:rPr>
        <w:instrText>.</w:instrText>
      </w:r>
      <w:r w:rsidRPr="0047063B">
        <w:rPr>
          <w:lang w:val="es-ES"/>
        </w:rPr>
        <w:instrText>, ICSID Case No. ARB/13/11, Procedural Resolution No. 2 (Aug. 29, 2019)</w:instrText>
      </w:r>
      <w:r w:rsidRPr="0047063B">
        <w:instrText xml:space="preserve">" \s "Mundiales" \c 3 </w:instrText>
      </w:r>
      <w:r w:rsidRPr="0047063B">
        <w:rPr>
          <w:lang w:val="es-ES"/>
        </w:rPr>
        <w:fldChar w:fldCharType="end"/>
      </w:r>
      <w:r w:rsidRPr="0047063B">
        <w:rPr>
          <w:lang w:val="es-ES"/>
        </w:rPr>
        <w:t xml:space="preserve"> [“</w:t>
      </w:r>
      <w:r w:rsidRPr="0047063B">
        <w:rPr>
          <w:b/>
          <w:lang w:val="es-ES"/>
        </w:rPr>
        <w:t>Mundiales</w:t>
      </w:r>
      <w:r w:rsidRPr="0047063B">
        <w:rPr>
          <w:lang w:val="es-ES"/>
        </w:rPr>
        <w:t>”].</w:t>
      </w:r>
    </w:p>
  </w:footnote>
  <w:footnote w:id="168">
    <w:p w14:paraId="5D433D83" w14:textId="77777777" w:rsidR="002A4673" w:rsidRPr="0047063B" w:rsidRDefault="002A4673" w:rsidP="0047063B">
      <w:pPr>
        <w:spacing w:line="240" w:lineRule="auto"/>
        <w:ind w:firstLine="0"/>
        <w:rPr>
          <w:i/>
        </w:rPr>
      </w:pPr>
      <w:r w:rsidRPr="0047063B">
        <w:rPr>
          <w:vertAlign w:val="superscript"/>
        </w:rPr>
        <w:footnoteRef/>
      </w:r>
      <w:r w:rsidRPr="0047063B">
        <w:t xml:space="preserve"> </w:t>
      </w:r>
      <w:r w:rsidRPr="0047063B">
        <w:rPr>
          <w:i/>
        </w:rPr>
        <w:t>Id</w:t>
      </w:r>
      <w:r w:rsidRPr="0047063B">
        <w:rPr>
          <w:i/>
        </w:rPr>
        <w:fldChar w:fldCharType="begin"/>
      </w:r>
      <w:r w:rsidRPr="0047063B">
        <w:instrText xml:space="preserve"> TA \s "Mundiales" </w:instrText>
      </w:r>
      <w:r w:rsidRPr="0047063B">
        <w:rPr>
          <w:i/>
        </w:rPr>
        <w:fldChar w:fldCharType="end"/>
      </w:r>
      <w:r w:rsidRPr="0047063B">
        <w:rPr>
          <w:i/>
        </w:rPr>
        <w:t>.</w:t>
      </w:r>
    </w:p>
  </w:footnote>
  <w:footnote w:id="169">
    <w:p w14:paraId="779BB7C2" w14:textId="77777777" w:rsidR="002A4673" w:rsidRPr="0047063B" w:rsidRDefault="002A4673" w:rsidP="0047063B">
      <w:pPr>
        <w:spacing w:line="240" w:lineRule="auto"/>
        <w:ind w:firstLine="0"/>
      </w:pPr>
      <w:r w:rsidRPr="0047063B">
        <w:rPr>
          <w:vertAlign w:val="superscript"/>
        </w:rPr>
        <w:footnoteRef/>
      </w:r>
      <w:r w:rsidRPr="0047063B">
        <w:t xml:space="preserve"> Philip C. Jessup, </w:t>
      </w:r>
      <w:r w:rsidRPr="0047063B">
        <w:rPr>
          <w:i/>
        </w:rPr>
        <w:t>The Estrada Doctrine</w:t>
      </w:r>
      <w:r w:rsidRPr="004F4E5F">
        <w:rPr>
          <w:iCs/>
        </w:rPr>
        <w:t>,</w:t>
      </w:r>
      <w:r w:rsidRPr="0047063B">
        <w:rPr>
          <w:i/>
        </w:rPr>
        <w:t xml:space="preserve"> </w:t>
      </w:r>
      <w:r w:rsidRPr="0047063B">
        <w:t>25</w:t>
      </w:r>
      <w:r w:rsidRPr="0047063B">
        <w:rPr>
          <w:i/>
        </w:rPr>
        <w:t xml:space="preserve"> </w:t>
      </w:r>
      <w:r w:rsidRPr="0047063B">
        <w:rPr>
          <w:smallCaps/>
        </w:rPr>
        <w:t>Am. J. Int’l L., 719 (1931).</w:t>
      </w:r>
      <w:r w:rsidRPr="0047063B">
        <w:rPr>
          <w:smallCaps/>
        </w:rPr>
        <w:fldChar w:fldCharType="begin"/>
      </w:r>
      <w:r w:rsidRPr="0047063B">
        <w:instrText xml:space="preserve"> TA \l "Philip C. Jessup, </w:instrText>
      </w:r>
      <w:r w:rsidRPr="0047063B">
        <w:rPr>
          <w:i/>
        </w:rPr>
        <w:instrText>The Estrada Doctrine</w:instrText>
      </w:r>
      <w:r w:rsidRPr="004F4E5F">
        <w:rPr>
          <w:iCs/>
        </w:rPr>
        <w:instrText>,</w:instrText>
      </w:r>
      <w:r w:rsidRPr="0047063B">
        <w:rPr>
          <w:i/>
        </w:rPr>
        <w:instrText xml:space="preserve"> </w:instrText>
      </w:r>
      <w:r w:rsidRPr="0047063B">
        <w:instrText>25</w:instrText>
      </w:r>
      <w:r w:rsidRPr="0047063B">
        <w:rPr>
          <w:i/>
        </w:rPr>
        <w:instrText xml:space="preserve"> </w:instrText>
      </w:r>
      <w:r w:rsidRPr="0047063B">
        <w:rPr>
          <w:smallCaps/>
        </w:rPr>
        <w:instrText>Am. J. Int</w:instrText>
      </w:r>
      <w:r w:rsidR="00966FAC">
        <w:rPr>
          <w:smallCaps/>
        </w:rPr>
        <w:instrText>’</w:instrText>
      </w:r>
      <w:r w:rsidRPr="0047063B">
        <w:rPr>
          <w:smallCaps/>
        </w:rPr>
        <w:instrText>l L., 719 (1931).</w:instrText>
      </w:r>
      <w:r w:rsidRPr="0047063B">
        <w:instrText xml:space="preserve">" \s "Philip C. Jessup, The Estrada Doctrine, 25 Am. J. of Intl. L., 719 (1931)." \c 6 </w:instrText>
      </w:r>
      <w:r w:rsidRPr="0047063B">
        <w:rPr>
          <w:smallCaps/>
        </w:rPr>
        <w:fldChar w:fldCharType="end"/>
      </w:r>
      <w:r w:rsidRPr="0047063B">
        <w:rPr>
          <w:smallCaps/>
        </w:rPr>
        <w:t xml:space="preserve"> </w:t>
      </w:r>
    </w:p>
  </w:footnote>
  <w:footnote w:id="170">
    <w:p w14:paraId="2BE58045" w14:textId="72C3F143" w:rsidR="002A4673" w:rsidRPr="0047063B" w:rsidRDefault="002A4673"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w:t>
      </w:r>
      <w:r w:rsidRPr="004762A9">
        <w:rPr>
          <w:smallCaps/>
          <w:sz w:val="24"/>
          <w:szCs w:val="24"/>
        </w:rPr>
        <w:t>Stefan Talmon</w:t>
      </w:r>
      <w:r w:rsidRPr="0047063B">
        <w:rPr>
          <w:sz w:val="24"/>
          <w:szCs w:val="24"/>
        </w:rPr>
        <w:t xml:space="preserve">, </w:t>
      </w:r>
      <w:r w:rsidRPr="004762A9">
        <w:rPr>
          <w:smallCaps/>
          <w:sz w:val="24"/>
          <w:szCs w:val="24"/>
        </w:rPr>
        <w:t>Recognition of Governments in International Law: With Particular Reference to Governments in Exile</w:t>
      </w:r>
      <w:r w:rsidRPr="0047063B">
        <w:rPr>
          <w:sz w:val="24"/>
          <w:szCs w:val="24"/>
        </w:rPr>
        <w:t xml:space="preserve"> 6 (2010)</w:t>
      </w:r>
      <w:r w:rsidRPr="0047063B">
        <w:rPr>
          <w:sz w:val="24"/>
          <w:szCs w:val="24"/>
        </w:rPr>
        <w:fldChar w:fldCharType="begin"/>
      </w:r>
      <w:r w:rsidRPr="0047063B">
        <w:rPr>
          <w:sz w:val="24"/>
          <w:szCs w:val="24"/>
        </w:rPr>
        <w:instrText xml:space="preserve"> TA \l "</w:instrText>
      </w:r>
      <w:r w:rsidR="004762A9" w:rsidRPr="004762A9">
        <w:rPr>
          <w:smallCaps/>
          <w:sz w:val="24"/>
          <w:szCs w:val="24"/>
        </w:rPr>
        <w:instrText>Stefan Talmon</w:instrText>
      </w:r>
      <w:r w:rsidR="004762A9" w:rsidRPr="0047063B">
        <w:rPr>
          <w:sz w:val="24"/>
          <w:szCs w:val="24"/>
        </w:rPr>
        <w:instrText xml:space="preserve">, </w:instrText>
      </w:r>
      <w:r w:rsidR="004762A9" w:rsidRPr="004762A9">
        <w:rPr>
          <w:smallCaps/>
          <w:sz w:val="24"/>
          <w:szCs w:val="24"/>
        </w:rPr>
        <w:instrText>Recognition of Governments in International Law: With Particular Reference to Governments in Exile</w:instrText>
      </w:r>
      <w:r w:rsidR="004762A9" w:rsidRPr="0047063B">
        <w:rPr>
          <w:sz w:val="24"/>
          <w:szCs w:val="24"/>
        </w:rPr>
        <w:instrText xml:space="preserve"> (2010)</w:instrText>
      </w:r>
      <w:r w:rsidRPr="0047063B">
        <w:rPr>
          <w:sz w:val="24"/>
          <w:szCs w:val="24"/>
        </w:rPr>
        <w:instrText xml:space="preserve">" \s "Stefan Talmon, Recognition of Governments in International Law: With Particular Reference to Governments in Exile, Oxford Monographs in International Law (2010)" \c 6 </w:instrText>
      </w:r>
      <w:r w:rsidRPr="0047063B">
        <w:rPr>
          <w:sz w:val="24"/>
          <w:szCs w:val="24"/>
        </w:rPr>
        <w:fldChar w:fldCharType="end"/>
      </w:r>
      <w:r w:rsidRPr="0047063B">
        <w:rPr>
          <w:sz w:val="24"/>
          <w:szCs w:val="24"/>
        </w:rPr>
        <w:t>.</w:t>
      </w:r>
    </w:p>
  </w:footnote>
  <w:footnote w:id="171">
    <w:p w14:paraId="1E769509" w14:textId="77777777" w:rsidR="002A4673" w:rsidRPr="0047063B" w:rsidRDefault="002A4673" w:rsidP="0047063B">
      <w:pPr>
        <w:spacing w:line="240" w:lineRule="auto"/>
        <w:ind w:firstLine="0"/>
        <w:rPr>
          <w:i/>
          <w:lang w:val="en-US"/>
        </w:rPr>
      </w:pPr>
      <w:r w:rsidRPr="0047063B">
        <w:rPr>
          <w:vertAlign w:val="superscript"/>
        </w:rPr>
        <w:footnoteRef/>
      </w:r>
      <w:r w:rsidRPr="0047063B">
        <w:t xml:space="preserve"> Jessup,</w:t>
      </w:r>
      <w:r w:rsidRPr="0047063B">
        <w:fldChar w:fldCharType="begin"/>
      </w:r>
      <w:r w:rsidRPr="0047063B">
        <w:instrText xml:space="preserve"> TA \s "Philip C. Jessup, The Estrada Doctrine, 25 Am. J. of Intl. L., 719 (1931)." </w:instrText>
      </w:r>
      <w:r w:rsidRPr="0047063B">
        <w:fldChar w:fldCharType="end"/>
      </w:r>
      <w:r w:rsidRPr="0047063B">
        <w:rPr>
          <w:i/>
        </w:rPr>
        <w:t xml:space="preserve"> The Estrada Doctrine</w:t>
      </w:r>
      <w:r w:rsidRPr="0047063B">
        <w:rPr>
          <w:iCs/>
        </w:rPr>
        <w:t>,</w:t>
      </w:r>
      <w:r w:rsidRPr="0047063B">
        <w:t xml:space="preserve"> </w:t>
      </w:r>
      <w:r w:rsidRPr="00966FAC">
        <w:rPr>
          <w:i/>
        </w:rPr>
        <w:t xml:space="preserve">supra </w:t>
      </w:r>
      <w:r w:rsidRPr="00966FAC">
        <w:t>note 16</w:t>
      </w:r>
      <w:r w:rsidR="00966FAC" w:rsidRPr="00966FAC">
        <w:t>9</w:t>
      </w:r>
      <w:r w:rsidRPr="0047063B">
        <w:t>,</w:t>
      </w:r>
      <w:r w:rsidRPr="0047063B">
        <w:rPr>
          <w:i/>
        </w:rPr>
        <w:t xml:space="preserve"> </w:t>
      </w:r>
      <w:r w:rsidRPr="0047063B">
        <w:t xml:space="preserve">721. </w:t>
      </w:r>
    </w:p>
  </w:footnote>
  <w:footnote w:id="172">
    <w:p w14:paraId="46403610"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w:t>
      </w:r>
      <w:r w:rsidRPr="0047063B">
        <w:rPr>
          <w:i/>
          <w:sz w:val="24"/>
          <w:szCs w:val="24"/>
        </w:rPr>
        <w:t>Aguilar-Amory and Royal Bank of Can. Claims</w:t>
      </w:r>
      <w:r w:rsidRPr="0047063B">
        <w:rPr>
          <w:sz w:val="24"/>
          <w:szCs w:val="24"/>
        </w:rPr>
        <w:t xml:space="preserve"> (Gr. Brit. v. Costa Rica), 1 R.I.A.A. 369, 377 (1923)</w:t>
      </w:r>
      <w:r w:rsidRPr="0047063B">
        <w:rPr>
          <w:sz w:val="24"/>
          <w:szCs w:val="24"/>
        </w:rPr>
        <w:fldChar w:fldCharType="begin"/>
      </w:r>
      <w:r w:rsidRPr="0047063B">
        <w:rPr>
          <w:sz w:val="24"/>
          <w:szCs w:val="24"/>
        </w:rPr>
        <w:instrText xml:space="preserve"> TA \l "</w:instrText>
      </w:r>
      <w:r w:rsidRPr="0047063B">
        <w:rPr>
          <w:i/>
          <w:sz w:val="24"/>
          <w:szCs w:val="24"/>
        </w:rPr>
        <w:instrText>Aguilar-Amory and Royal Bank of Can. Claims</w:instrText>
      </w:r>
      <w:r w:rsidRPr="0047063B">
        <w:rPr>
          <w:sz w:val="24"/>
          <w:szCs w:val="24"/>
        </w:rPr>
        <w:instrText xml:space="preserve"> (Gr. Brit. v. Costa Rica), 1 R.I.A.A. 369 (1923)" \s "Tinoco" \c 3 </w:instrText>
      </w:r>
      <w:r w:rsidRPr="0047063B">
        <w:rPr>
          <w:sz w:val="24"/>
          <w:szCs w:val="24"/>
        </w:rPr>
        <w:fldChar w:fldCharType="end"/>
      </w:r>
      <w:r w:rsidRPr="0047063B">
        <w:rPr>
          <w:sz w:val="24"/>
          <w:szCs w:val="24"/>
        </w:rPr>
        <w:t xml:space="preserve"> [“</w:t>
      </w:r>
      <w:r w:rsidRPr="0047063B">
        <w:rPr>
          <w:b/>
          <w:sz w:val="24"/>
          <w:szCs w:val="24"/>
        </w:rPr>
        <w:t>Tinoco</w:t>
      </w:r>
      <w:r w:rsidRPr="0047063B">
        <w:rPr>
          <w:sz w:val="24"/>
          <w:szCs w:val="24"/>
        </w:rPr>
        <w:t xml:space="preserve">”]; </w:t>
      </w:r>
      <w:r w:rsidRPr="0047063B">
        <w:rPr>
          <w:i/>
          <w:sz w:val="24"/>
          <w:szCs w:val="24"/>
        </w:rPr>
        <w:t>See also</w:t>
      </w:r>
      <w:r w:rsidRPr="0047063B">
        <w:rPr>
          <w:b/>
          <w:bCs/>
          <w:sz w:val="24"/>
          <w:szCs w:val="24"/>
        </w:rPr>
        <w:t xml:space="preserve"> </w:t>
      </w:r>
      <w:r w:rsidRPr="0047063B">
        <w:rPr>
          <w:sz w:val="24"/>
          <w:szCs w:val="24"/>
        </w:rPr>
        <w:t>Press Release, Int’l Crim. Ct., The Determination of the Office of the Prosecutor on the communication received in relation to Egypt, Doc. ICC-OTP-20130508-PR1003 (May 8, 2014)</w:t>
      </w:r>
      <w:r w:rsidRPr="0047063B">
        <w:rPr>
          <w:sz w:val="24"/>
          <w:szCs w:val="24"/>
        </w:rPr>
        <w:fldChar w:fldCharType="begin"/>
      </w:r>
      <w:r w:rsidRPr="0047063B">
        <w:rPr>
          <w:sz w:val="24"/>
          <w:szCs w:val="24"/>
        </w:rPr>
        <w:instrText xml:space="preserve"> TA \l "Press Release, Int’l Crim. Ct., The Determination of the Office of the Prosecutor on the communication received in relation to Egypt, Doc. ICC-OTP-20130508-PR1003 (May 8, 2014)" \s "Prosecutor Determination Press Release" \c 3 </w:instrText>
      </w:r>
      <w:r w:rsidRPr="0047063B">
        <w:rPr>
          <w:sz w:val="24"/>
          <w:szCs w:val="24"/>
        </w:rPr>
        <w:fldChar w:fldCharType="end"/>
      </w:r>
      <w:r w:rsidRPr="0047063B">
        <w:rPr>
          <w:sz w:val="24"/>
          <w:szCs w:val="24"/>
        </w:rPr>
        <w:t xml:space="preserve"> [“</w:t>
      </w:r>
      <w:r w:rsidRPr="0047063B">
        <w:rPr>
          <w:b/>
          <w:bCs/>
          <w:sz w:val="24"/>
          <w:szCs w:val="24"/>
        </w:rPr>
        <w:t>Prosecutor Determination Press Release</w:t>
      </w:r>
      <w:r w:rsidRPr="0047063B">
        <w:rPr>
          <w:sz w:val="24"/>
          <w:szCs w:val="24"/>
        </w:rPr>
        <w:t xml:space="preserve">”]; </w:t>
      </w:r>
      <w:r w:rsidRPr="0047063B">
        <w:rPr>
          <w:smallCaps/>
          <w:sz w:val="24"/>
          <w:szCs w:val="24"/>
        </w:rPr>
        <w:t>Hersch</w:t>
      </w:r>
      <w:r w:rsidRPr="0047063B">
        <w:rPr>
          <w:sz w:val="24"/>
          <w:szCs w:val="24"/>
        </w:rPr>
        <w:t xml:space="preserve"> </w:t>
      </w:r>
      <w:r w:rsidRPr="0047063B">
        <w:rPr>
          <w:smallCaps/>
          <w:sz w:val="24"/>
          <w:szCs w:val="24"/>
        </w:rPr>
        <w:t>Lauterpacht</w:t>
      </w:r>
      <w:r w:rsidRPr="0047063B">
        <w:rPr>
          <w:sz w:val="24"/>
          <w:szCs w:val="24"/>
        </w:rPr>
        <w:t xml:space="preserve">, </w:t>
      </w:r>
      <w:r w:rsidRPr="0047063B">
        <w:rPr>
          <w:smallCaps/>
          <w:sz w:val="24"/>
          <w:szCs w:val="24"/>
        </w:rPr>
        <w:t>Recognition in International Law</w:t>
      </w:r>
      <w:r w:rsidRPr="0047063B">
        <w:rPr>
          <w:sz w:val="24"/>
          <w:szCs w:val="24"/>
        </w:rPr>
        <w:t xml:space="preserve"> 639 (1947)</w:t>
      </w:r>
      <w:r w:rsidRPr="0047063B">
        <w:rPr>
          <w:sz w:val="24"/>
          <w:szCs w:val="24"/>
        </w:rPr>
        <w:fldChar w:fldCharType="begin"/>
      </w:r>
      <w:r w:rsidRPr="0047063B">
        <w:rPr>
          <w:sz w:val="24"/>
          <w:szCs w:val="24"/>
        </w:rPr>
        <w:instrText xml:space="preserve"> TA \l "</w:instrText>
      </w:r>
      <w:r w:rsidRPr="0047063B">
        <w:rPr>
          <w:smallCaps/>
          <w:sz w:val="24"/>
          <w:szCs w:val="24"/>
        </w:rPr>
        <w:instrText>Hersch</w:instrText>
      </w:r>
      <w:r w:rsidRPr="0047063B">
        <w:rPr>
          <w:sz w:val="24"/>
          <w:szCs w:val="24"/>
        </w:rPr>
        <w:instrText xml:space="preserve"> </w:instrText>
      </w:r>
      <w:r w:rsidRPr="0047063B">
        <w:rPr>
          <w:smallCaps/>
          <w:sz w:val="24"/>
          <w:szCs w:val="24"/>
        </w:rPr>
        <w:instrText>Lauterpacht</w:instrText>
      </w:r>
      <w:r w:rsidRPr="0047063B">
        <w:rPr>
          <w:sz w:val="24"/>
          <w:szCs w:val="24"/>
        </w:rPr>
        <w:instrText xml:space="preserve">, </w:instrText>
      </w:r>
      <w:r w:rsidRPr="0047063B">
        <w:rPr>
          <w:smallCaps/>
          <w:sz w:val="24"/>
          <w:szCs w:val="24"/>
        </w:rPr>
        <w:instrText>Recognition in International Law</w:instrText>
      </w:r>
      <w:r w:rsidRPr="0047063B">
        <w:rPr>
          <w:sz w:val="24"/>
          <w:szCs w:val="24"/>
        </w:rPr>
        <w:instrText xml:space="preserve"> (1947)" \s "Hersch Lauterpacht, Recognition in International Law 639 (1947)" \c 6 </w:instrText>
      </w:r>
      <w:r w:rsidRPr="0047063B">
        <w:rPr>
          <w:sz w:val="24"/>
          <w:szCs w:val="24"/>
        </w:rPr>
        <w:fldChar w:fldCharType="end"/>
      </w:r>
      <w:r w:rsidRPr="0047063B">
        <w:rPr>
          <w:sz w:val="24"/>
          <w:szCs w:val="24"/>
        </w:rPr>
        <w:t xml:space="preserve">.  </w:t>
      </w:r>
    </w:p>
  </w:footnote>
  <w:footnote w:id="173">
    <w:p w14:paraId="2866DBB5"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U.N. Secretary-General, Letter dated Mar. 8, 1950 from the Secretary-General to the President of the Security Council, U.N. Doc. S/1466, 6 (Mar. 9, 1950)</w:t>
      </w:r>
      <w:r w:rsidRPr="0047063B">
        <w:rPr>
          <w:sz w:val="24"/>
          <w:szCs w:val="24"/>
        </w:rPr>
        <w:fldChar w:fldCharType="begin"/>
      </w:r>
      <w:r w:rsidRPr="0047063B">
        <w:rPr>
          <w:sz w:val="24"/>
          <w:szCs w:val="24"/>
        </w:rPr>
        <w:instrText xml:space="preserve"> TA \l "U.N. Secretary-General, Letter dated Mar. 8, 1950 from the Secretary-General to the President of the Security Council, U.N. Doc. S/1466 (Mar. 9, 1950)" \s "U.N. Secretary-General, Letter dated Mar. 8, 1950 from the Secretary-General to the President of the Security Council, U.N. Doc. S/1466 (Mar. 9, 1950)" \c 5 </w:instrText>
      </w:r>
      <w:r w:rsidRPr="0047063B">
        <w:rPr>
          <w:sz w:val="24"/>
          <w:szCs w:val="24"/>
        </w:rPr>
        <w:fldChar w:fldCharType="end"/>
      </w:r>
      <w:r w:rsidRPr="0047063B">
        <w:rPr>
          <w:sz w:val="24"/>
          <w:szCs w:val="24"/>
        </w:rPr>
        <w:t xml:space="preserve">. </w:t>
      </w:r>
    </w:p>
  </w:footnote>
  <w:footnote w:id="174">
    <w:p w14:paraId="0D0764B5"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w:t>
      </w:r>
      <w:r w:rsidRPr="00966FAC">
        <w:rPr>
          <w:i/>
          <w:iCs/>
          <w:sz w:val="24"/>
          <w:szCs w:val="24"/>
        </w:rPr>
        <w:t>Tinoco</w:t>
      </w:r>
      <w:r w:rsidRPr="0047063B">
        <w:rPr>
          <w:sz w:val="24"/>
          <w:szCs w:val="24"/>
        </w:rPr>
        <w:fldChar w:fldCharType="begin"/>
      </w:r>
      <w:r w:rsidRPr="0047063B">
        <w:rPr>
          <w:sz w:val="24"/>
          <w:szCs w:val="24"/>
        </w:rPr>
        <w:instrText xml:space="preserve"> TA \s "Tinoco" </w:instrText>
      </w:r>
      <w:r w:rsidRPr="0047063B">
        <w:rPr>
          <w:sz w:val="24"/>
          <w:szCs w:val="24"/>
        </w:rPr>
        <w:fldChar w:fldCharType="end"/>
      </w:r>
      <w:r w:rsidRPr="0047063B">
        <w:rPr>
          <w:sz w:val="24"/>
          <w:szCs w:val="24"/>
        </w:rPr>
        <w:t>, 1 R.I.A.A. at 378</w:t>
      </w:r>
      <w:r w:rsidR="00971839">
        <w:rPr>
          <w:sz w:val="24"/>
          <w:szCs w:val="24"/>
        </w:rPr>
        <w:t xml:space="preserve">; </w:t>
      </w:r>
      <w:r w:rsidRPr="0047063B">
        <w:rPr>
          <w:sz w:val="24"/>
          <w:szCs w:val="24"/>
        </w:rPr>
        <w:t>J</w:t>
      </w:r>
      <w:r w:rsidRPr="0047063B">
        <w:rPr>
          <w:smallCaps/>
          <w:sz w:val="24"/>
          <w:szCs w:val="24"/>
        </w:rPr>
        <w:t>ohn Bassett Moore, 1 Dig. Int’l L. 24</w:t>
      </w:r>
      <w:r w:rsidRPr="0047063B">
        <w:rPr>
          <w:sz w:val="24"/>
          <w:szCs w:val="24"/>
        </w:rPr>
        <w:t>9 (1906)</w:t>
      </w:r>
      <w:r w:rsidR="00971839">
        <w:rPr>
          <w:sz w:val="24"/>
          <w:szCs w:val="24"/>
        </w:rPr>
        <w:fldChar w:fldCharType="begin"/>
      </w:r>
      <w:r w:rsidR="00971839">
        <w:instrText xml:space="preserve"> TA \l "</w:instrText>
      </w:r>
      <w:r w:rsidR="00971839" w:rsidRPr="00817EBD">
        <w:rPr>
          <w:sz w:val="24"/>
          <w:szCs w:val="24"/>
        </w:rPr>
        <w:instrText>J</w:instrText>
      </w:r>
      <w:r w:rsidR="00971839" w:rsidRPr="00817EBD">
        <w:rPr>
          <w:smallCaps/>
          <w:sz w:val="24"/>
          <w:szCs w:val="24"/>
        </w:rPr>
        <w:instrText>ohn Bassett Moore, 1 Dig. Int’l L.</w:instrText>
      </w:r>
      <w:r w:rsidR="00971839" w:rsidRPr="00817EBD">
        <w:rPr>
          <w:sz w:val="24"/>
          <w:szCs w:val="24"/>
        </w:rPr>
        <w:instrText xml:space="preserve"> (1906)</w:instrText>
      </w:r>
      <w:r w:rsidR="00971839">
        <w:instrText xml:space="preserve">" \s "John Bassett Moore, 1 Dig. Int’l L. (1906)" \c 6 </w:instrText>
      </w:r>
      <w:r w:rsidR="00971839">
        <w:rPr>
          <w:sz w:val="24"/>
          <w:szCs w:val="24"/>
        </w:rPr>
        <w:fldChar w:fldCharType="end"/>
      </w:r>
      <w:r w:rsidRPr="0047063B">
        <w:rPr>
          <w:sz w:val="24"/>
          <w:szCs w:val="24"/>
        </w:rPr>
        <w:t>.</w:t>
      </w:r>
    </w:p>
  </w:footnote>
  <w:footnote w:id="175">
    <w:p w14:paraId="6FAF1ED6"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Facts, ¶54. </w:t>
      </w:r>
    </w:p>
  </w:footnote>
  <w:footnote w:id="176">
    <w:p w14:paraId="2C3EE297" w14:textId="77777777" w:rsidR="002A4673" w:rsidRPr="0047063B" w:rsidRDefault="002A4673" w:rsidP="0047063B">
      <w:pPr>
        <w:spacing w:line="240" w:lineRule="auto"/>
        <w:ind w:firstLine="0"/>
      </w:pPr>
      <w:r w:rsidRPr="0047063B">
        <w:rPr>
          <w:vertAlign w:val="superscript"/>
        </w:rPr>
        <w:footnoteRef/>
      </w:r>
      <w:r w:rsidRPr="0047063B">
        <w:t xml:space="preserve"> Prosecutor Determination Press Release</w:t>
      </w:r>
      <w:r w:rsidRPr="0047063B">
        <w:fldChar w:fldCharType="begin"/>
      </w:r>
      <w:r w:rsidRPr="0047063B">
        <w:instrText xml:space="preserve"> TA \s "Prosecutor Determination Press Release" </w:instrText>
      </w:r>
      <w:r w:rsidRPr="0047063B">
        <w:fldChar w:fldCharType="end"/>
      </w:r>
      <w:r w:rsidRPr="0047063B">
        <w:t xml:space="preserve">. </w:t>
      </w:r>
    </w:p>
  </w:footnote>
  <w:footnote w:id="177">
    <w:p w14:paraId="03879599" w14:textId="77777777" w:rsidR="002A4673" w:rsidRPr="0047063B" w:rsidRDefault="002A4673" w:rsidP="0047063B">
      <w:pPr>
        <w:spacing w:line="240" w:lineRule="auto"/>
        <w:ind w:firstLine="0"/>
      </w:pPr>
      <w:r w:rsidRPr="0047063B">
        <w:rPr>
          <w:vertAlign w:val="superscript"/>
        </w:rPr>
        <w:footnoteRef/>
      </w:r>
      <w:r w:rsidRPr="0047063B">
        <w:t xml:space="preserve"> Special Advisory Council for Myanmar, </w:t>
      </w:r>
      <w:r w:rsidRPr="0047063B">
        <w:rPr>
          <w:i/>
          <w:iCs/>
        </w:rPr>
        <w:t>SAC-M</w:t>
      </w:r>
      <w:r w:rsidRPr="0047063B">
        <w:rPr>
          <w:i/>
        </w:rPr>
        <w:t xml:space="preserve"> Briefing Paper: Recognition of Government</w:t>
      </w:r>
      <w:r w:rsidRPr="0047063B">
        <w:t xml:space="preserve"> 4 (Aug. 23, 2021</w:t>
      </w:r>
      <w:r w:rsidRPr="0047063B">
        <w:rPr>
          <w:color w:val="000000" w:themeColor="text1"/>
        </w:rPr>
        <w:t>), https://specialadvisorycouncil.org/wp-content/uploads/2021/08/SAC-M-Briefing-Paper-Recognition-of-Governments-ENGLISH.pdf</w:t>
      </w:r>
      <w:r w:rsidRPr="0047063B">
        <w:rPr>
          <w:color w:val="000000" w:themeColor="text1"/>
        </w:rPr>
        <w:fldChar w:fldCharType="begin"/>
      </w:r>
      <w:r w:rsidRPr="0047063B">
        <w:instrText xml:space="preserve"> TA \l "Special Advisory Council for Myanmar, </w:instrText>
      </w:r>
      <w:r w:rsidRPr="0047063B">
        <w:rPr>
          <w:i/>
          <w:iCs/>
        </w:rPr>
        <w:instrText>SAC-M</w:instrText>
      </w:r>
      <w:r w:rsidRPr="0047063B">
        <w:rPr>
          <w:i/>
        </w:rPr>
        <w:instrText xml:space="preserve"> Briefing Paper: Recognition of Government</w:instrText>
      </w:r>
      <w:r w:rsidRPr="0047063B">
        <w:instrText xml:space="preserve"> 4 (Aug. 23, 2021</w:instrText>
      </w:r>
      <w:r w:rsidRPr="0047063B">
        <w:rPr>
          <w:color w:val="000000" w:themeColor="text1"/>
        </w:rPr>
        <w:instrText>), https://specialadvisorycouncil.org/wp-content/uploads/2021/08/SAC-M-Briefing-Paper-Recognition-of-Governments-ENGLISH.pdf</w:instrText>
      </w:r>
      <w:r w:rsidRPr="0047063B">
        <w:instrText xml:space="preserve">" \s "Myanmar Briefing Paper" \c 9 </w:instrText>
      </w:r>
      <w:r w:rsidRPr="0047063B">
        <w:rPr>
          <w:color w:val="000000" w:themeColor="text1"/>
        </w:rPr>
        <w:fldChar w:fldCharType="end"/>
      </w:r>
      <w:r w:rsidRPr="0047063B">
        <w:rPr>
          <w:color w:val="000000" w:themeColor="text1"/>
        </w:rPr>
        <w:t xml:space="preserve"> </w:t>
      </w:r>
      <w:r w:rsidRPr="0047063B">
        <w:t>[“</w:t>
      </w:r>
      <w:r w:rsidRPr="0047063B">
        <w:rPr>
          <w:b/>
        </w:rPr>
        <w:t>Myanmar Briefing Paper</w:t>
      </w:r>
      <w:r w:rsidRPr="0047063B">
        <w:t xml:space="preserve">”]; Hans Martin Blix, </w:t>
      </w:r>
      <w:r w:rsidRPr="0047063B">
        <w:rPr>
          <w:i/>
        </w:rPr>
        <w:t>Contemporary Aspects of Recognition</w:t>
      </w:r>
      <w:r w:rsidRPr="0047063B">
        <w:t xml:space="preserve">, 130 </w:t>
      </w:r>
      <w:r w:rsidRPr="0047063B">
        <w:rPr>
          <w:smallCaps/>
        </w:rPr>
        <w:t>Recueil Des Cours</w:t>
      </w:r>
      <w:r w:rsidRPr="0047063B">
        <w:t xml:space="preserve"> 586, 642 (1970)</w:t>
      </w:r>
      <w:r w:rsidRPr="0047063B">
        <w:fldChar w:fldCharType="begin"/>
      </w:r>
      <w:r w:rsidRPr="0047063B">
        <w:instrText xml:space="preserve"> TA \l "Hans Martin Blix, </w:instrText>
      </w:r>
      <w:r w:rsidRPr="0047063B">
        <w:rPr>
          <w:i/>
        </w:rPr>
        <w:instrText>Contemporary Aspects of Recognition</w:instrText>
      </w:r>
      <w:r w:rsidRPr="0047063B">
        <w:instrText xml:space="preserve">, 642 </w:instrText>
      </w:r>
      <w:r w:rsidRPr="0047063B">
        <w:rPr>
          <w:smallCaps/>
        </w:rPr>
        <w:instrText>Recueil Des Cours</w:instrText>
      </w:r>
      <w:r w:rsidRPr="0047063B">
        <w:instrText xml:space="preserve"> 586 (1970)" \s "Hans Martin Blix, Contemporary Aspects of Recognition, 642 Recueil Des Cours 586 (1970)" \c 6 </w:instrText>
      </w:r>
      <w:r w:rsidRPr="0047063B">
        <w:fldChar w:fldCharType="end"/>
      </w:r>
      <w:r w:rsidRPr="0047063B">
        <w:t xml:space="preserve">. </w:t>
      </w:r>
    </w:p>
  </w:footnote>
  <w:footnote w:id="178">
    <w:p w14:paraId="0382C0CA" w14:textId="77777777" w:rsidR="002A4673" w:rsidRPr="0047063B" w:rsidRDefault="002A4673" w:rsidP="0047063B">
      <w:pPr>
        <w:spacing w:line="240" w:lineRule="auto"/>
        <w:ind w:firstLine="0"/>
        <w:rPr>
          <w:i/>
        </w:rPr>
      </w:pPr>
      <w:r w:rsidRPr="0047063B">
        <w:rPr>
          <w:vertAlign w:val="superscript"/>
        </w:rPr>
        <w:footnoteRef/>
      </w:r>
      <w:r w:rsidRPr="0047063B">
        <w:rPr>
          <w:i/>
          <w:iCs/>
        </w:rPr>
        <w:t xml:space="preserve"> Id</w:t>
      </w:r>
      <w:r w:rsidRPr="0047063B">
        <w:rPr>
          <w:i/>
          <w:iCs/>
        </w:rPr>
        <w:fldChar w:fldCharType="begin"/>
      </w:r>
      <w:r w:rsidRPr="0047063B">
        <w:instrText xml:space="preserve"> TA \s "Myanmar Briefing Paper" </w:instrText>
      </w:r>
      <w:r w:rsidRPr="0047063B">
        <w:rPr>
          <w:i/>
          <w:iCs/>
        </w:rPr>
        <w:fldChar w:fldCharType="end"/>
      </w:r>
      <w:r w:rsidRPr="0047063B">
        <w:rPr>
          <w:i/>
          <w:iCs/>
        </w:rPr>
        <w:fldChar w:fldCharType="begin"/>
      </w:r>
      <w:r w:rsidRPr="0047063B">
        <w:instrText xml:space="preserve"> TA \s "Hans Martin Blix, Contemporary Aspects of Recognition, 642 Recueil Des Cours 586 (1970)" </w:instrText>
      </w:r>
      <w:r w:rsidRPr="0047063B">
        <w:rPr>
          <w:i/>
          <w:iCs/>
        </w:rPr>
        <w:fldChar w:fldCharType="end"/>
      </w:r>
      <w:r w:rsidRPr="0047063B">
        <w:rPr>
          <w:i/>
          <w:iCs/>
        </w:rPr>
        <w:t>.</w:t>
      </w:r>
    </w:p>
  </w:footnote>
  <w:footnote w:id="179">
    <w:p w14:paraId="4A2AAD52" w14:textId="77777777" w:rsidR="002A4673" w:rsidRPr="0047063B" w:rsidRDefault="002A4673" w:rsidP="0047063B">
      <w:pPr>
        <w:spacing w:line="240" w:lineRule="auto"/>
        <w:ind w:firstLine="0"/>
      </w:pPr>
      <w:r w:rsidRPr="0047063B">
        <w:rPr>
          <w:vertAlign w:val="superscript"/>
        </w:rPr>
        <w:footnoteRef/>
      </w:r>
      <w:r w:rsidRPr="0047063B">
        <w:t xml:space="preserve"> Facts, ¶48. </w:t>
      </w:r>
    </w:p>
  </w:footnote>
  <w:footnote w:id="180">
    <w:p w14:paraId="6247F582" w14:textId="77777777" w:rsidR="002A4673" w:rsidRPr="0047063B" w:rsidRDefault="002A4673" w:rsidP="0047063B">
      <w:pPr>
        <w:spacing w:line="240" w:lineRule="auto"/>
        <w:ind w:firstLine="0"/>
      </w:pPr>
      <w:r w:rsidRPr="0047063B">
        <w:rPr>
          <w:vertAlign w:val="superscript"/>
        </w:rPr>
        <w:footnoteRef/>
      </w:r>
      <w:r w:rsidRPr="0047063B">
        <w:t xml:space="preserve"> Facts, ¶¶38, 48. </w:t>
      </w:r>
    </w:p>
  </w:footnote>
  <w:footnote w:id="181">
    <w:p w14:paraId="7DA26A71" w14:textId="77777777" w:rsidR="002A4673" w:rsidRPr="0047063B" w:rsidRDefault="002A4673"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Facts, ¶47. </w:t>
      </w:r>
    </w:p>
  </w:footnote>
  <w:footnote w:id="182">
    <w:p w14:paraId="5ADA78AB" w14:textId="77777777" w:rsidR="002A4673" w:rsidRPr="0047063B" w:rsidRDefault="002A4673" w:rsidP="0047063B">
      <w:pPr>
        <w:pStyle w:val="FootnoteText"/>
        <w:spacing w:after="160"/>
        <w:ind w:firstLine="0"/>
        <w:rPr>
          <w:i/>
          <w:iCs/>
          <w:sz w:val="24"/>
          <w:szCs w:val="24"/>
          <w:lang w:val="en-US"/>
        </w:rPr>
      </w:pPr>
      <w:r w:rsidRPr="0047063B">
        <w:rPr>
          <w:rStyle w:val="FootnoteReference"/>
          <w:sz w:val="24"/>
          <w:szCs w:val="24"/>
        </w:rPr>
        <w:footnoteRef/>
      </w:r>
      <w:r w:rsidRPr="0047063B">
        <w:rPr>
          <w:sz w:val="24"/>
          <w:szCs w:val="24"/>
        </w:rPr>
        <w:t xml:space="preserve"> </w:t>
      </w:r>
      <w:r w:rsidRPr="0047063B">
        <w:rPr>
          <w:i/>
          <w:iCs/>
          <w:sz w:val="24"/>
          <w:szCs w:val="24"/>
        </w:rPr>
        <w:t>Id.</w:t>
      </w:r>
      <w:r w:rsidRPr="0047063B">
        <w:rPr>
          <w:i/>
          <w:iCs/>
          <w:sz w:val="24"/>
          <w:szCs w:val="24"/>
          <w:lang w:val="en-US"/>
        </w:rPr>
        <w:t xml:space="preserve"> </w:t>
      </w:r>
    </w:p>
  </w:footnote>
  <w:footnote w:id="183">
    <w:p w14:paraId="0A542FA3" w14:textId="77777777" w:rsidR="002A4673" w:rsidRPr="0047063B" w:rsidRDefault="002A4673" w:rsidP="0047063B">
      <w:pPr>
        <w:spacing w:line="240" w:lineRule="auto"/>
        <w:ind w:firstLine="0"/>
      </w:pPr>
      <w:r w:rsidRPr="0047063B">
        <w:rPr>
          <w:vertAlign w:val="superscript"/>
        </w:rPr>
        <w:footnoteRef/>
      </w:r>
      <w:r w:rsidRPr="0047063B">
        <w:t xml:space="preserve"> Facts, ¶48. </w:t>
      </w:r>
    </w:p>
  </w:footnote>
  <w:footnote w:id="184">
    <w:p w14:paraId="5AB428D3" w14:textId="77777777" w:rsidR="002A4673" w:rsidRPr="0047063B" w:rsidRDefault="002A4673"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w:t>
      </w:r>
      <w:r w:rsidRPr="0047063B">
        <w:rPr>
          <w:i/>
          <w:iCs/>
          <w:sz w:val="24"/>
          <w:szCs w:val="24"/>
          <w:lang w:val="en-US"/>
        </w:rPr>
        <w:t>Tinoco</w:t>
      </w:r>
      <w:r w:rsidRPr="0047063B">
        <w:rPr>
          <w:sz w:val="24"/>
          <w:szCs w:val="24"/>
          <w:lang w:val="en-US"/>
        </w:rPr>
        <w:fldChar w:fldCharType="begin"/>
      </w:r>
      <w:r w:rsidRPr="0047063B">
        <w:rPr>
          <w:sz w:val="24"/>
          <w:szCs w:val="24"/>
        </w:rPr>
        <w:instrText xml:space="preserve"> TA \s "Tinoco" </w:instrText>
      </w:r>
      <w:r w:rsidRPr="0047063B">
        <w:rPr>
          <w:sz w:val="24"/>
          <w:szCs w:val="24"/>
          <w:lang w:val="en-US"/>
        </w:rPr>
        <w:fldChar w:fldCharType="end"/>
      </w:r>
      <w:r w:rsidRPr="0047063B">
        <w:rPr>
          <w:sz w:val="24"/>
          <w:szCs w:val="24"/>
          <w:lang w:val="en-US"/>
        </w:rPr>
        <w:t xml:space="preserve">, </w:t>
      </w:r>
      <w:r w:rsidRPr="0047063B">
        <w:rPr>
          <w:sz w:val="24"/>
          <w:szCs w:val="24"/>
        </w:rPr>
        <w:t>1 R.I.A.A. at</w:t>
      </w:r>
      <w:r w:rsidRPr="0047063B">
        <w:rPr>
          <w:sz w:val="24"/>
          <w:szCs w:val="24"/>
          <w:lang w:val="en-US"/>
        </w:rPr>
        <w:t xml:space="preserve"> 379. </w:t>
      </w:r>
    </w:p>
  </w:footnote>
  <w:footnote w:id="185">
    <w:p w14:paraId="4C8F11B9" w14:textId="77777777" w:rsidR="002A4673" w:rsidRPr="0047063B" w:rsidRDefault="002A4673" w:rsidP="0047063B">
      <w:pPr>
        <w:spacing w:line="240" w:lineRule="auto"/>
        <w:ind w:firstLine="0"/>
      </w:pPr>
      <w:r w:rsidRPr="0047063B">
        <w:rPr>
          <w:vertAlign w:val="superscript"/>
        </w:rPr>
        <w:footnoteRef/>
      </w:r>
      <w:r w:rsidRPr="0047063B">
        <w:t xml:space="preserve"> VCLT</w:t>
      </w:r>
      <w:r w:rsidRPr="0047063B">
        <w:fldChar w:fldCharType="begin"/>
      </w:r>
      <w:r w:rsidRPr="0047063B">
        <w:instrText xml:space="preserve"> TA \s "VCLT" </w:instrText>
      </w:r>
      <w:r w:rsidRPr="0047063B">
        <w:fldChar w:fldCharType="end"/>
      </w:r>
      <w:r w:rsidRPr="0047063B">
        <w:t xml:space="preserve"> art. 7. </w:t>
      </w:r>
    </w:p>
  </w:footnote>
  <w:footnote w:id="186">
    <w:p w14:paraId="27A7D5B4" w14:textId="77777777" w:rsidR="002A4673" w:rsidRPr="0047063B" w:rsidRDefault="002A4673"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Christine Bell, </w:t>
      </w:r>
      <w:r w:rsidRPr="0047063B">
        <w:rPr>
          <w:i/>
          <w:sz w:val="24"/>
          <w:szCs w:val="24"/>
        </w:rPr>
        <w:t>Constitution Brief: Interim Governance Arrangements</w:t>
      </w:r>
      <w:r w:rsidRPr="0047063B">
        <w:rPr>
          <w:sz w:val="24"/>
          <w:szCs w:val="24"/>
        </w:rPr>
        <w:t xml:space="preserve">, </w:t>
      </w:r>
      <w:r w:rsidRPr="0047063B">
        <w:rPr>
          <w:smallCaps/>
          <w:sz w:val="24"/>
          <w:szCs w:val="24"/>
        </w:rPr>
        <w:t>Int</w:t>
      </w:r>
      <w:r w:rsidR="00971839">
        <w:rPr>
          <w:smallCaps/>
          <w:sz w:val="24"/>
          <w:szCs w:val="24"/>
        </w:rPr>
        <w:t>’l</w:t>
      </w:r>
      <w:r w:rsidRPr="0047063B">
        <w:rPr>
          <w:smallCaps/>
          <w:sz w:val="24"/>
          <w:szCs w:val="24"/>
        </w:rPr>
        <w:t xml:space="preserve"> IDEA, 2</w:t>
      </w:r>
      <w:r w:rsidRPr="0047063B">
        <w:rPr>
          <w:sz w:val="24"/>
          <w:szCs w:val="24"/>
        </w:rPr>
        <w:t xml:space="preserve"> (Oct. 2021), https://constitutionnet.org/sites/default/files/2021-11/interim-governance-arrangements-myanmar_0.pdf.</w:t>
      </w:r>
      <w:r w:rsidRPr="0047063B">
        <w:rPr>
          <w:sz w:val="24"/>
          <w:szCs w:val="24"/>
        </w:rPr>
        <w:fldChar w:fldCharType="begin"/>
      </w:r>
      <w:r w:rsidRPr="0047063B">
        <w:rPr>
          <w:sz w:val="24"/>
          <w:szCs w:val="24"/>
        </w:rPr>
        <w:instrText xml:space="preserve"> TA \l "Christine Bell, </w:instrText>
      </w:r>
      <w:r w:rsidRPr="0047063B">
        <w:rPr>
          <w:i/>
          <w:sz w:val="24"/>
          <w:szCs w:val="24"/>
        </w:rPr>
        <w:instrText>Constitution Brief: Interim Governance Arrangements</w:instrText>
      </w:r>
      <w:r w:rsidRPr="0047063B">
        <w:rPr>
          <w:sz w:val="24"/>
          <w:szCs w:val="24"/>
        </w:rPr>
        <w:instrText xml:space="preserve">, </w:instrText>
      </w:r>
      <w:r w:rsidR="00971839">
        <w:rPr>
          <w:smallCaps/>
          <w:sz w:val="24"/>
          <w:szCs w:val="24"/>
        </w:rPr>
        <w:instrText>Int’l</w:instrText>
      </w:r>
      <w:r w:rsidRPr="0047063B">
        <w:rPr>
          <w:smallCaps/>
          <w:sz w:val="24"/>
          <w:szCs w:val="24"/>
        </w:rPr>
        <w:instrText xml:space="preserve"> IDEA</w:instrText>
      </w:r>
      <w:r w:rsidRPr="0047063B">
        <w:rPr>
          <w:sz w:val="24"/>
          <w:szCs w:val="24"/>
        </w:rPr>
        <w:instrText xml:space="preserve"> (October 2021), https://constitutionnet.org/sites/default/files/2021-11/interim-governance-arrangements-myanmar_0.pdf." \s "Christine Bell, Constitution Brief: Interim Governance Arrangements, </w:instrText>
      </w:r>
      <w:r w:rsidR="00971839">
        <w:rPr>
          <w:sz w:val="24"/>
          <w:szCs w:val="24"/>
        </w:rPr>
        <w:instrText>Int’l</w:instrText>
      </w:r>
      <w:r w:rsidRPr="0047063B">
        <w:rPr>
          <w:sz w:val="24"/>
          <w:szCs w:val="24"/>
        </w:rPr>
        <w:instrText xml:space="preserve"> IDEA (October 2021), https://constitutionnet.org/sites/default/files/2021-11/interim-governance-arrangements-myanmar_0.pdf." \c 9 </w:instrText>
      </w:r>
      <w:r w:rsidRPr="0047063B">
        <w:rPr>
          <w:sz w:val="24"/>
          <w:szCs w:val="24"/>
        </w:rPr>
        <w:fldChar w:fldCharType="end"/>
      </w:r>
    </w:p>
  </w:footnote>
  <w:footnote w:id="187">
    <w:p w14:paraId="6CBE18A7" w14:textId="77777777" w:rsidR="002A4673" w:rsidRPr="0047063B" w:rsidRDefault="002A4673"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w:t>
      </w:r>
      <w:r w:rsidRPr="0047063B">
        <w:rPr>
          <w:i/>
          <w:color w:val="000000"/>
          <w:sz w:val="24"/>
          <w:szCs w:val="24"/>
        </w:rPr>
        <w:t>ConocoPhillips Petrozuata B.V., ConocoPhillips Hamaca B.V. and ConocoPhillips Gulf of Paria B.V. v. Bolivarian Republic of Venezuela</w:t>
      </w:r>
      <w:r w:rsidRPr="0047063B">
        <w:rPr>
          <w:color w:val="000000"/>
          <w:sz w:val="24"/>
          <w:szCs w:val="24"/>
        </w:rPr>
        <w:t>, ICSID Case No. ARB/07/30, Recommendation of Lord Phillips (2020)</w:t>
      </w:r>
      <w:r w:rsidRPr="0047063B">
        <w:rPr>
          <w:color w:val="000000"/>
          <w:sz w:val="24"/>
          <w:szCs w:val="24"/>
        </w:rPr>
        <w:fldChar w:fldCharType="begin"/>
      </w:r>
      <w:r w:rsidRPr="0047063B">
        <w:rPr>
          <w:sz w:val="24"/>
          <w:szCs w:val="24"/>
        </w:rPr>
        <w:instrText xml:space="preserve"> TA \l "</w:instrText>
      </w:r>
      <w:r w:rsidRPr="0047063B">
        <w:rPr>
          <w:i/>
          <w:color w:val="000000"/>
          <w:sz w:val="24"/>
          <w:szCs w:val="24"/>
        </w:rPr>
        <w:instrText>ConocoPhillips Petrozuata B.V., ConocoPhillips Hamaca B.V. and ConocoPhillips Gulf of Paria B.V. v. Bolivarian Republic of Venezuela</w:instrText>
      </w:r>
      <w:r w:rsidRPr="0047063B">
        <w:rPr>
          <w:color w:val="000000"/>
          <w:sz w:val="24"/>
          <w:szCs w:val="24"/>
        </w:rPr>
        <w:instrText>, ICSID Case No. ARB/07/30, Recommendation of Lord Phillips (2020)</w:instrText>
      </w:r>
      <w:r w:rsidRPr="0047063B">
        <w:rPr>
          <w:sz w:val="24"/>
          <w:szCs w:val="24"/>
        </w:rPr>
        <w:instrText xml:space="preserve">" \s "ConocoPhillips Petrozuata B.V., ConocoPhillips Hamaca B.V. and ConocoPhillips Gulf of Paria B.V. v. Bolivarian Republic of Venezuela, ICSID Case No. ARB/07/30, Recommendation of Lord Phillips (2020)" \c 3 </w:instrText>
      </w:r>
      <w:r w:rsidRPr="0047063B">
        <w:rPr>
          <w:color w:val="000000"/>
          <w:sz w:val="24"/>
          <w:szCs w:val="24"/>
        </w:rPr>
        <w:fldChar w:fldCharType="end"/>
      </w:r>
      <w:r w:rsidRPr="0047063B">
        <w:rPr>
          <w:color w:val="000000"/>
          <w:sz w:val="24"/>
          <w:szCs w:val="24"/>
        </w:rPr>
        <w:t xml:space="preserve">, ¶90; </w:t>
      </w:r>
      <w:r w:rsidRPr="0047063B">
        <w:rPr>
          <w:i/>
          <w:color w:val="000000"/>
          <w:sz w:val="24"/>
          <w:szCs w:val="24"/>
        </w:rPr>
        <w:t>Mundiales</w:t>
      </w:r>
      <w:r w:rsidRPr="0047063B">
        <w:rPr>
          <w:i/>
          <w:color w:val="000000"/>
          <w:sz w:val="24"/>
          <w:szCs w:val="24"/>
        </w:rPr>
        <w:fldChar w:fldCharType="begin"/>
      </w:r>
      <w:r w:rsidRPr="0047063B">
        <w:rPr>
          <w:sz w:val="24"/>
          <w:szCs w:val="24"/>
        </w:rPr>
        <w:instrText xml:space="preserve"> TA \s "Mundiales" </w:instrText>
      </w:r>
      <w:r w:rsidRPr="0047063B">
        <w:rPr>
          <w:i/>
          <w:color w:val="000000"/>
          <w:sz w:val="24"/>
          <w:szCs w:val="24"/>
        </w:rPr>
        <w:fldChar w:fldCharType="end"/>
      </w:r>
      <w:r w:rsidRPr="0047063B">
        <w:rPr>
          <w:color w:val="000000"/>
          <w:sz w:val="24"/>
          <w:szCs w:val="24"/>
        </w:rPr>
        <w:t>, ¶¶31–32; Statute of the International Court of Justice art. 36,</w:t>
      </w:r>
      <w:r w:rsidRPr="0047063B">
        <w:rPr>
          <w:color w:val="000000" w:themeColor="text1"/>
          <w:sz w:val="24"/>
          <w:szCs w:val="24"/>
        </w:rPr>
        <w:t xml:space="preserve"> Oct. 24, 1945, 59 </w:t>
      </w:r>
      <w:r w:rsidRPr="0047063B">
        <w:rPr>
          <w:smallCaps/>
          <w:sz w:val="24"/>
          <w:szCs w:val="24"/>
        </w:rPr>
        <w:t>Stat</w:t>
      </w:r>
      <w:r w:rsidRPr="0047063B">
        <w:rPr>
          <w:color w:val="000000" w:themeColor="text1"/>
          <w:sz w:val="24"/>
          <w:szCs w:val="24"/>
        </w:rPr>
        <w:t>.</w:t>
      </w:r>
      <w:r w:rsidR="00971839">
        <w:rPr>
          <w:color w:val="000000" w:themeColor="text1"/>
          <w:sz w:val="24"/>
          <w:szCs w:val="24"/>
        </w:rPr>
        <w:t xml:space="preserve"> 1055.</w:t>
      </w:r>
      <w:r w:rsidR="005C1825">
        <w:rPr>
          <w:color w:val="000000" w:themeColor="text1"/>
          <w:sz w:val="24"/>
          <w:szCs w:val="24"/>
        </w:rPr>
        <w:fldChar w:fldCharType="begin"/>
      </w:r>
      <w:r w:rsidR="005C1825">
        <w:instrText xml:space="preserve"> TA \l "</w:instrText>
      </w:r>
      <w:r w:rsidR="005C1825" w:rsidRPr="002158A0">
        <w:rPr>
          <w:color w:val="000000"/>
          <w:sz w:val="24"/>
          <w:szCs w:val="24"/>
        </w:rPr>
        <w:instrText>Statute of the International Court of Justice,</w:instrText>
      </w:r>
      <w:r w:rsidR="005C1825" w:rsidRPr="002158A0">
        <w:rPr>
          <w:color w:val="000000" w:themeColor="text1"/>
          <w:sz w:val="24"/>
          <w:szCs w:val="24"/>
        </w:rPr>
        <w:instrText xml:space="preserve"> Oct. 24, 1945, 59 </w:instrText>
      </w:r>
      <w:r w:rsidR="005C1825" w:rsidRPr="002158A0">
        <w:rPr>
          <w:smallCaps/>
          <w:sz w:val="24"/>
          <w:szCs w:val="24"/>
        </w:rPr>
        <w:instrText>Stat</w:instrText>
      </w:r>
      <w:r w:rsidR="005C1825" w:rsidRPr="002158A0">
        <w:rPr>
          <w:color w:val="000000" w:themeColor="text1"/>
          <w:sz w:val="24"/>
          <w:szCs w:val="24"/>
        </w:rPr>
        <w:instrText>. 1055.</w:instrText>
      </w:r>
      <w:r w:rsidR="005C1825">
        <w:instrText xml:space="preserve">" \s "ICJ Statute" \c 1 </w:instrText>
      </w:r>
      <w:r w:rsidR="005C1825">
        <w:rPr>
          <w:color w:val="000000" w:themeColor="text1"/>
          <w:sz w:val="24"/>
          <w:szCs w:val="24"/>
        </w:rPr>
        <w:fldChar w:fldCharType="end"/>
      </w:r>
    </w:p>
  </w:footnote>
  <w:footnote w:id="188">
    <w:p w14:paraId="53C4BCB2"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w:t>
      </w:r>
      <w:r w:rsidRPr="0047063B">
        <w:rPr>
          <w:i/>
          <w:sz w:val="24"/>
          <w:szCs w:val="24"/>
        </w:rPr>
        <w:t>Tinoco</w:t>
      </w:r>
      <w:r w:rsidRPr="0047063B">
        <w:rPr>
          <w:i/>
          <w:sz w:val="24"/>
          <w:szCs w:val="24"/>
        </w:rPr>
        <w:fldChar w:fldCharType="begin"/>
      </w:r>
      <w:r w:rsidRPr="0047063B">
        <w:rPr>
          <w:sz w:val="24"/>
          <w:szCs w:val="24"/>
        </w:rPr>
        <w:instrText xml:space="preserve"> TA \s "Tinoco" </w:instrText>
      </w:r>
      <w:r w:rsidRPr="0047063B">
        <w:rPr>
          <w:i/>
          <w:sz w:val="24"/>
          <w:szCs w:val="24"/>
        </w:rPr>
        <w:fldChar w:fldCharType="end"/>
      </w:r>
      <w:r w:rsidRPr="0047063B">
        <w:rPr>
          <w:sz w:val="24"/>
          <w:szCs w:val="24"/>
        </w:rPr>
        <w:t>, 1 R.I.A.A. at</w:t>
      </w:r>
      <w:r w:rsidRPr="0047063B">
        <w:rPr>
          <w:sz w:val="24"/>
          <w:szCs w:val="24"/>
          <w:lang w:val="en-US"/>
        </w:rPr>
        <w:t xml:space="preserve"> </w:t>
      </w:r>
      <w:r w:rsidRPr="0047063B">
        <w:rPr>
          <w:sz w:val="24"/>
          <w:szCs w:val="24"/>
        </w:rPr>
        <w:t xml:space="preserve">381. </w:t>
      </w:r>
    </w:p>
  </w:footnote>
  <w:footnote w:id="189">
    <w:p w14:paraId="3D87E696" w14:textId="77777777" w:rsidR="002A4673" w:rsidRPr="0047063B" w:rsidRDefault="002A4673" w:rsidP="0047063B">
      <w:pPr>
        <w:spacing w:line="240" w:lineRule="auto"/>
        <w:ind w:firstLine="0"/>
      </w:pPr>
      <w:r w:rsidRPr="0047063B">
        <w:rPr>
          <w:vertAlign w:val="superscript"/>
        </w:rPr>
        <w:footnoteRef/>
      </w:r>
      <w:r w:rsidRPr="0047063B">
        <w:t xml:space="preserve"> </w:t>
      </w:r>
      <w:r w:rsidRPr="00971839">
        <w:rPr>
          <w:smallCaps/>
        </w:rPr>
        <w:t>Niko Pavlopoulos</w:t>
      </w:r>
      <w:r w:rsidRPr="0047063B">
        <w:t xml:space="preserve">, </w:t>
      </w:r>
      <w:r w:rsidRPr="005C1825">
        <w:rPr>
          <w:iCs/>
          <w:smallCaps/>
        </w:rPr>
        <w:t>The Identity of Governments in International Law</w:t>
      </w:r>
      <w:r w:rsidRPr="0047063B">
        <w:t xml:space="preserve"> 106 (2024)</w:t>
      </w:r>
      <w:r w:rsidR="005C1825">
        <w:fldChar w:fldCharType="begin"/>
      </w:r>
      <w:r w:rsidR="005C1825">
        <w:instrText xml:space="preserve"> TA \l "</w:instrText>
      </w:r>
      <w:r w:rsidR="005C1825" w:rsidRPr="00BA3F84">
        <w:rPr>
          <w:smallCaps/>
        </w:rPr>
        <w:instrText>Niko Pavlopoulos</w:instrText>
      </w:r>
      <w:r w:rsidR="005C1825" w:rsidRPr="00BA3F84">
        <w:instrText xml:space="preserve">, </w:instrText>
      </w:r>
      <w:r w:rsidR="005C1825" w:rsidRPr="00BA3F84">
        <w:rPr>
          <w:iCs/>
          <w:smallCaps/>
        </w:rPr>
        <w:instrText>The Identity of Governments in International Law</w:instrText>
      </w:r>
      <w:r w:rsidR="005C1825" w:rsidRPr="00BA3F84">
        <w:instrText xml:space="preserve"> (2024)</w:instrText>
      </w:r>
      <w:r w:rsidR="005C1825">
        <w:instrText xml:space="preserve">" \s "Niko Pavlopoulos, The Identity of Governments in International Law (2024)" \c 6 </w:instrText>
      </w:r>
      <w:r w:rsidR="005C1825">
        <w:fldChar w:fldCharType="end"/>
      </w:r>
      <w:r w:rsidRPr="0047063B">
        <w:t xml:space="preserve">. </w:t>
      </w:r>
    </w:p>
  </w:footnote>
  <w:footnote w:id="190">
    <w:p w14:paraId="21A5CDE1" w14:textId="77777777" w:rsidR="002A4673" w:rsidRPr="0047063B" w:rsidRDefault="002A4673" w:rsidP="0047063B">
      <w:pPr>
        <w:spacing w:line="240" w:lineRule="auto"/>
        <w:ind w:firstLine="0"/>
      </w:pPr>
      <w:r w:rsidRPr="0047063B">
        <w:rPr>
          <w:vertAlign w:val="superscript"/>
        </w:rPr>
        <w:footnoteRef/>
      </w:r>
      <w:r w:rsidRPr="0047063B">
        <w:t xml:space="preserve"> Jack McNally, </w:t>
      </w:r>
      <w:r w:rsidRPr="0047063B">
        <w:rPr>
          <w:i/>
          <w:iCs/>
        </w:rPr>
        <w:t>Representation, Recognition, Resistance: Rival Governments Before the International Court of Justice</w:t>
      </w:r>
      <w:r w:rsidRPr="004F4E5F">
        <w:t>,</w:t>
      </w:r>
      <w:r w:rsidRPr="0047063B">
        <w:rPr>
          <w:i/>
          <w:iCs/>
        </w:rPr>
        <w:t xml:space="preserve"> </w:t>
      </w:r>
      <w:r w:rsidRPr="0047063B">
        <w:t xml:space="preserve">61 </w:t>
      </w:r>
      <w:r w:rsidRPr="0047063B">
        <w:rPr>
          <w:smallCaps/>
        </w:rPr>
        <w:t xml:space="preserve">Columbia J. Transnat’l L. </w:t>
      </w:r>
      <w:r w:rsidRPr="0047063B">
        <w:t>2, 267 (2023)</w:t>
      </w:r>
      <w:r w:rsidR="005C1825">
        <w:fldChar w:fldCharType="begin"/>
      </w:r>
      <w:r w:rsidR="005C1825">
        <w:instrText xml:space="preserve"> TA \l "</w:instrText>
      </w:r>
      <w:r w:rsidR="005C1825" w:rsidRPr="003F45DB">
        <w:instrText xml:space="preserve">Jack McNally, </w:instrText>
      </w:r>
      <w:r w:rsidR="005C1825" w:rsidRPr="003F45DB">
        <w:rPr>
          <w:i/>
          <w:iCs/>
        </w:rPr>
        <w:instrText>Representation, Recognition, Resistance: Rival Governments Before the International Court of Justice</w:instrText>
      </w:r>
      <w:r w:rsidR="005C1825" w:rsidRPr="004F4E5F">
        <w:instrText>,</w:instrText>
      </w:r>
      <w:r w:rsidR="005C1825" w:rsidRPr="003F45DB">
        <w:rPr>
          <w:i/>
          <w:iCs/>
        </w:rPr>
        <w:instrText xml:space="preserve"> </w:instrText>
      </w:r>
      <w:r w:rsidR="005C1825" w:rsidRPr="003F45DB">
        <w:instrText xml:space="preserve">61 </w:instrText>
      </w:r>
      <w:r w:rsidR="005C1825" w:rsidRPr="003F45DB">
        <w:rPr>
          <w:smallCaps/>
        </w:rPr>
        <w:instrText xml:space="preserve">Columbia J. Transnat’l L. </w:instrText>
      </w:r>
      <w:r w:rsidR="005C1825" w:rsidRPr="003F45DB">
        <w:instrText>2 (2023)</w:instrText>
      </w:r>
      <w:r w:rsidR="005C1825">
        <w:instrText xml:space="preserve">" \s "Jack McNally, Representation, Recognition, Resistance: Rival Governments Before the International Court of Justice, 61 Columbia J. Transnat’l L. 2 (2023)" \c 6 </w:instrText>
      </w:r>
      <w:r w:rsidR="005C1825">
        <w:fldChar w:fldCharType="end"/>
      </w:r>
      <w:r w:rsidRPr="0047063B">
        <w:t xml:space="preserve">. </w:t>
      </w:r>
    </w:p>
  </w:footnote>
  <w:footnote w:id="191">
    <w:p w14:paraId="70D7EBDB" w14:textId="03655DAD" w:rsidR="005C1825" w:rsidRPr="0047063B" w:rsidRDefault="005C1825" w:rsidP="005C1825">
      <w:pPr>
        <w:spacing w:line="240" w:lineRule="auto"/>
        <w:ind w:firstLine="0"/>
      </w:pPr>
      <w:r w:rsidRPr="0047063B">
        <w:rPr>
          <w:vertAlign w:val="superscript"/>
        </w:rPr>
        <w:footnoteRef/>
      </w:r>
      <w:r w:rsidRPr="0047063B">
        <w:t xml:space="preserve"> </w:t>
      </w:r>
      <w:r w:rsidR="00285DE3" w:rsidRPr="00285DE3">
        <w:t xml:space="preserve">Stefan Talmon, </w:t>
      </w:r>
      <w:r w:rsidR="00285DE3" w:rsidRPr="00285DE3">
        <w:rPr>
          <w:i/>
          <w:iCs/>
        </w:rPr>
        <w:t>Who is a Legitimate Government in Exile? Towards Normative Criteria for Governmental Legitimacy in International Law</w:t>
      </w:r>
      <w:r w:rsidR="00285DE3" w:rsidRPr="00285DE3">
        <w:t xml:space="preserve">, </w:t>
      </w:r>
      <w:r w:rsidR="00285DE3" w:rsidRPr="00285DE3">
        <w:rPr>
          <w:i/>
          <w:iCs/>
        </w:rPr>
        <w:t>in</w:t>
      </w:r>
      <w:r w:rsidR="00285DE3" w:rsidRPr="00285DE3">
        <w:t xml:space="preserve"> </w:t>
      </w:r>
      <w:r w:rsidR="00285DE3" w:rsidRPr="00285DE3">
        <w:rPr>
          <w:smallCaps/>
        </w:rPr>
        <w:t xml:space="preserve">The Reality of </w:t>
      </w:r>
      <w:r w:rsidR="00285DE3">
        <w:rPr>
          <w:smallCaps/>
        </w:rPr>
        <w:t>International</w:t>
      </w:r>
      <w:r w:rsidR="00285DE3" w:rsidRPr="00285DE3">
        <w:rPr>
          <w:smallCaps/>
        </w:rPr>
        <w:t xml:space="preserve"> Law: Essays in Honour of Ian Brownlie</w:t>
      </w:r>
      <w:r w:rsidR="00285DE3" w:rsidRPr="00285DE3">
        <w:t xml:space="preserve"> </w:t>
      </w:r>
      <w:r w:rsidR="00285DE3">
        <w:t xml:space="preserve">499, 523 </w:t>
      </w:r>
      <w:r w:rsidR="00285DE3" w:rsidRPr="00285DE3">
        <w:t>(Guy S. Goodwin-Gill</w:t>
      </w:r>
      <w:r w:rsidR="00285DE3">
        <w:t xml:space="preserve"> &amp; </w:t>
      </w:r>
      <w:r w:rsidR="00285DE3" w:rsidRPr="00285DE3">
        <w:t>Stefan Talmon eds., 1999).</w:t>
      </w:r>
      <w:r w:rsidR="00285DE3">
        <w:fldChar w:fldCharType="begin"/>
      </w:r>
      <w:r w:rsidR="00285DE3">
        <w:instrText xml:space="preserve"> TA \l "</w:instrText>
      </w:r>
      <w:r w:rsidR="00285DE3" w:rsidRPr="00572943">
        <w:instrText xml:space="preserve">Stefan Talmon, </w:instrText>
      </w:r>
      <w:r w:rsidR="00285DE3" w:rsidRPr="00572943">
        <w:rPr>
          <w:i/>
          <w:iCs/>
        </w:rPr>
        <w:instrText>Who is a Legitimate Government in Exile? Towards Normative Criteria for Governmental Legitimacy in International Law</w:instrText>
      </w:r>
      <w:r w:rsidR="00285DE3" w:rsidRPr="00572943">
        <w:instrText xml:space="preserve">, </w:instrText>
      </w:r>
      <w:r w:rsidR="00285DE3" w:rsidRPr="00572943">
        <w:rPr>
          <w:i/>
          <w:iCs/>
        </w:rPr>
        <w:instrText>in</w:instrText>
      </w:r>
      <w:r w:rsidR="00285DE3" w:rsidRPr="00572943">
        <w:instrText xml:space="preserve"> </w:instrText>
      </w:r>
      <w:r w:rsidR="00285DE3" w:rsidRPr="00572943">
        <w:rPr>
          <w:smallCaps/>
        </w:rPr>
        <w:instrText>The Reality of International Law: Essays in Honour of Ian Brownlie</w:instrText>
      </w:r>
      <w:r w:rsidR="00285DE3" w:rsidRPr="00572943">
        <w:instrText xml:space="preserve"> 499 (Guy S. Goodwin-Gill &amp; Stefan Talmon eds., 1999).</w:instrText>
      </w:r>
      <w:r w:rsidR="00285DE3">
        <w:instrText xml:space="preserve">" \s "Stefan Talmon, Who is a Legitimate Government in Exile? Towards Normative Criteria for Governmental Legitimacy in International Law, in The Reality of International Law: Essays in Honour of Ian Brownlie 499 (Guy S. Goodwin-Gill &amp; Stefan Talmon eds.," \c 6 </w:instrText>
      </w:r>
      <w:r w:rsidR="00285DE3">
        <w:fldChar w:fldCharType="end"/>
      </w:r>
    </w:p>
  </w:footnote>
  <w:footnote w:id="192">
    <w:p w14:paraId="26801677" w14:textId="2967151D" w:rsidR="002A4673" w:rsidRPr="0047063B" w:rsidRDefault="002A4673"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w:t>
      </w:r>
      <w:r w:rsidRPr="0047063B">
        <w:rPr>
          <w:i/>
          <w:sz w:val="24"/>
          <w:szCs w:val="24"/>
        </w:rPr>
        <w:t>See</w:t>
      </w:r>
      <w:r w:rsidRPr="0047063B">
        <w:rPr>
          <w:sz w:val="24"/>
          <w:szCs w:val="24"/>
        </w:rPr>
        <w:t xml:space="preserve"> Myanmar Briefing Paper</w:t>
      </w:r>
      <w:r w:rsidRPr="0047063B">
        <w:rPr>
          <w:sz w:val="24"/>
          <w:szCs w:val="24"/>
        </w:rPr>
        <w:fldChar w:fldCharType="begin"/>
      </w:r>
      <w:r w:rsidRPr="0047063B">
        <w:rPr>
          <w:sz w:val="24"/>
          <w:szCs w:val="24"/>
        </w:rPr>
        <w:instrText xml:space="preserve"> TA \s "Myanmar Briefing Paper" </w:instrText>
      </w:r>
      <w:r w:rsidRPr="0047063B">
        <w:rPr>
          <w:sz w:val="24"/>
          <w:szCs w:val="24"/>
        </w:rPr>
        <w:fldChar w:fldCharType="end"/>
      </w:r>
      <w:r w:rsidRPr="0047063B">
        <w:rPr>
          <w:sz w:val="24"/>
          <w:szCs w:val="24"/>
        </w:rPr>
        <w:t>, at 4; ARSIWA</w:t>
      </w:r>
      <w:r w:rsidRPr="0047063B">
        <w:rPr>
          <w:sz w:val="24"/>
          <w:szCs w:val="24"/>
        </w:rPr>
        <w:fldChar w:fldCharType="begin"/>
      </w:r>
      <w:r w:rsidRPr="0047063B">
        <w:rPr>
          <w:sz w:val="24"/>
          <w:szCs w:val="24"/>
        </w:rPr>
        <w:instrText xml:space="preserve"> TA \s "ARSIWA" </w:instrText>
      </w:r>
      <w:r w:rsidRPr="0047063B">
        <w:rPr>
          <w:sz w:val="24"/>
          <w:szCs w:val="24"/>
        </w:rPr>
        <w:fldChar w:fldCharType="end"/>
      </w:r>
      <w:r w:rsidRPr="0047063B">
        <w:rPr>
          <w:sz w:val="24"/>
          <w:szCs w:val="24"/>
        </w:rPr>
        <w:t xml:space="preserve"> art. 41(2); Martin Dawidowicz, </w:t>
      </w:r>
      <w:r w:rsidRPr="0047063B">
        <w:rPr>
          <w:i/>
          <w:sz w:val="24"/>
          <w:szCs w:val="24"/>
        </w:rPr>
        <w:t>The Obligation of Non-Recognition of an Unlawful Situation</w:t>
      </w:r>
      <w:r w:rsidRPr="0047063B">
        <w:rPr>
          <w:sz w:val="24"/>
          <w:szCs w:val="24"/>
        </w:rPr>
        <w:t xml:space="preserve">, </w:t>
      </w:r>
      <w:r w:rsidRPr="005C1825">
        <w:rPr>
          <w:i/>
          <w:iCs/>
          <w:sz w:val="24"/>
          <w:szCs w:val="24"/>
        </w:rPr>
        <w:t>in</w:t>
      </w:r>
      <w:r w:rsidRPr="0047063B">
        <w:rPr>
          <w:sz w:val="24"/>
          <w:szCs w:val="24"/>
        </w:rPr>
        <w:t xml:space="preserve"> </w:t>
      </w:r>
      <w:r w:rsidRPr="0047063B">
        <w:rPr>
          <w:smallCaps/>
          <w:sz w:val="24"/>
          <w:szCs w:val="24"/>
        </w:rPr>
        <w:t xml:space="preserve">The Law of </w:t>
      </w:r>
      <w:r w:rsidR="005C1825">
        <w:rPr>
          <w:smallCaps/>
          <w:sz w:val="24"/>
          <w:szCs w:val="24"/>
        </w:rPr>
        <w:t>Int</w:t>
      </w:r>
      <w:r w:rsidR="004F4E5F">
        <w:rPr>
          <w:smallCaps/>
          <w:sz w:val="24"/>
          <w:szCs w:val="24"/>
        </w:rPr>
        <w:t>ernational</w:t>
      </w:r>
      <w:r w:rsidRPr="0047063B">
        <w:rPr>
          <w:smallCaps/>
          <w:sz w:val="24"/>
          <w:szCs w:val="24"/>
        </w:rPr>
        <w:t xml:space="preserve"> Responsibility</w:t>
      </w:r>
      <w:r w:rsidRPr="0047063B">
        <w:rPr>
          <w:sz w:val="24"/>
          <w:szCs w:val="24"/>
        </w:rPr>
        <w:t xml:space="preserve"> 677</w:t>
      </w:r>
      <w:r w:rsidR="005C1825">
        <w:rPr>
          <w:sz w:val="24"/>
          <w:szCs w:val="24"/>
        </w:rPr>
        <w:t>,</w:t>
      </w:r>
      <w:r w:rsidRPr="0047063B">
        <w:rPr>
          <w:sz w:val="24"/>
          <w:szCs w:val="24"/>
        </w:rPr>
        <w:t xml:space="preserve"> 684</w:t>
      </w:r>
      <w:r w:rsidR="005C1825">
        <w:rPr>
          <w:sz w:val="24"/>
          <w:szCs w:val="24"/>
        </w:rPr>
        <w:fldChar w:fldCharType="begin"/>
      </w:r>
      <w:r w:rsidR="005C1825">
        <w:instrText xml:space="preserve"> TA \l "</w:instrText>
      </w:r>
      <w:r w:rsidR="005C1825" w:rsidRPr="00D77BFC">
        <w:rPr>
          <w:sz w:val="24"/>
          <w:szCs w:val="24"/>
        </w:rPr>
        <w:instrText xml:space="preserve">Martin Dawidowicz, </w:instrText>
      </w:r>
      <w:r w:rsidR="005C1825" w:rsidRPr="00D77BFC">
        <w:rPr>
          <w:i/>
          <w:sz w:val="24"/>
          <w:szCs w:val="24"/>
        </w:rPr>
        <w:instrText>The Obligation of Non-Recognition of an Unlawful Situation</w:instrText>
      </w:r>
      <w:r w:rsidR="005C1825" w:rsidRPr="00D77BFC">
        <w:rPr>
          <w:sz w:val="24"/>
          <w:szCs w:val="24"/>
        </w:rPr>
        <w:instrText xml:space="preserve">, </w:instrText>
      </w:r>
      <w:r w:rsidR="005C1825" w:rsidRPr="00D77BFC">
        <w:rPr>
          <w:i/>
          <w:iCs/>
          <w:sz w:val="24"/>
          <w:szCs w:val="24"/>
        </w:rPr>
        <w:instrText>in</w:instrText>
      </w:r>
      <w:r w:rsidR="005C1825" w:rsidRPr="00D77BFC">
        <w:rPr>
          <w:sz w:val="24"/>
          <w:szCs w:val="24"/>
        </w:rPr>
        <w:instrText xml:space="preserve"> </w:instrText>
      </w:r>
      <w:r w:rsidR="005C1825" w:rsidRPr="00D77BFC">
        <w:rPr>
          <w:smallCaps/>
          <w:sz w:val="24"/>
          <w:szCs w:val="24"/>
        </w:rPr>
        <w:instrText xml:space="preserve">The Law of </w:instrText>
      </w:r>
      <w:r w:rsidR="005C1825">
        <w:rPr>
          <w:smallCaps/>
          <w:sz w:val="24"/>
          <w:szCs w:val="24"/>
        </w:rPr>
        <w:instrText>Int</w:instrText>
      </w:r>
      <w:r w:rsidR="004F4E5F">
        <w:rPr>
          <w:smallCaps/>
          <w:sz w:val="24"/>
          <w:szCs w:val="24"/>
        </w:rPr>
        <w:instrText>ernational</w:instrText>
      </w:r>
      <w:r w:rsidR="005C1825" w:rsidRPr="00D77BFC">
        <w:rPr>
          <w:smallCaps/>
          <w:sz w:val="24"/>
          <w:szCs w:val="24"/>
        </w:rPr>
        <w:instrText xml:space="preserve"> Responsibility</w:instrText>
      </w:r>
      <w:r w:rsidR="005C1825" w:rsidRPr="00D77BFC">
        <w:rPr>
          <w:sz w:val="24"/>
          <w:szCs w:val="24"/>
        </w:rPr>
        <w:instrText xml:space="preserve"> 677</w:instrText>
      </w:r>
      <w:r w:rsidR="005C1825">
        <w:instrText xml:space="preserve">" \s "Martin Dawidowicz, The Obligation of Non-Recognition of an Unlawful Situation, in The Law of Int’l Responsibility 677" \c 6 </w:instrText>
      </w:r>
      <w:r w:rsidR="005C1825">
        <w:rPr>
          <w:sz w:val="24"/>
          <w:szCs w:val="24"/>
        </w:rPr>
        <w:fldChar w:fldCharType="end"/>
      </w:r>
      <w:r w:rsidRPr="0047063B">
        <w:rPr>
          <w:sz w:val="24"/>
          <w:szCs w:val="24"/>
        </w:rPr>
        <w:t xml:space="preserve">; </w:t>
      </w:r>
      <w:r w:rsidR="005C1825">
        <w:rPr>
          <w:sz w:val="24"/>
          <w:szCs w:val="24"/>
        </w:rPr>
        <w:t>ILC</w:t>
      </w:r>
      <w:r w:rsidRPr="0047063B">
        <w:rPr>
          <w:sz w:val="24"/>
          <w:szCs w:val="24"/>
        </w:rPr>
        <w:t>, Rep. on the Work of Its Seventy-Third Session, U.N. Doc. A/77/10, at 70 (2022)</w:t>
      </w:r>
      <w:r w:rsidR="005C1825">
        <w:rPr>
          <w:sz w:val="24"/>
          <w:szCs w:val="24"/>
        </w:rPr>
        <w:fldChar w:fldCharType="begin"/>
      </w:r>
      <w:r w:rsidR="005C1825">
        <w:instrText xml:space="preserve"> TA \l "</w:instrText>
      </w:r>
      <w:r w:rsidR="00EE55CD" w:rsidRPr="00EE55CD">
        <w:rPr>
          <w:noProof/>
        </w:rPr>
        <w:instrText xml:space="preserve"> </w:instrText>
      </w:r>
      <w:r w:rsidR="00EE55CD" w:rsidRPr="005F0C69">
        <w:rPr>
          <w:noProof/>
        </w:rPr>
        <w:instrText>Int’l L</w:instrText>
      </w:r>
      <w:r w:rsidR="00183F70">
        <w:rPr>
          <w:noProof/>
        </w:rPr>
        <w:instrText>aw</w:instrText>
      </w:r>
      <w:r w:rsidR="00EE55CD" w:rsidRPr="005F0C69">
        <w:rPr>
          <w:noProof/>
        </w:rPr>
        <w:instrText xml:space="preserve"> Comm’n</w:instrText>
      </w:r>
      <w:r w:rsidR="005C1825" w:rsidRPr="00305406">
        <w:rPr>
          <w:sz w:val="24"/>
          <w:szCs w:val="24"/>
        </w:rPr>
        <w:instrText>, Rep. on the Work of Its Seventy-Third Session, U.N. Doc. A/77/10 (2022)</w:instrText>
      </w:r>
      <w:r w:rsidR="005C1825">
        <w:instrText xml:space="preserve">" \s "ILC, Rep. on the Work of Its Seventy-Third Session, U.N. Doc. A/77/10 (2022)" \c 4 </w:instrText>
      </w:r>
      <w:r w:rsidR="005C1825">
        <w:rPr>
          <w:sz w:val="24"/>
          <w:szCs w:val="24"/>
        </w:rPr>
        <w:fldChar w:fldCharType="end"/>
      </w:r>
      <w:r w:rsidRPr="0047063B">
        <w:rPr>
          <w:sz w:val="24"/>
          <w:szCs w:val="24"/>
        </w:rPr>
        <w:t xml:space="preserve">. </w:t>
      </w:r>
    </w:p>
  </w:footnote>
  <w:footnote w:id="193">
    <w:p w14:paraId="1AEA87E8"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w:t>
      </w:r>
      <w:r w:rsidRPr="005C1825">
        <w:rPr>
          <w:smallCaps/>
          <w:sz w:val="24"/>
          <w:szCs w:val="24"/>
        </w:rPr>
        <w:t>Pavlopoulos</w:t>
      </w:r>
      <w:r w:rsidR="005C1825">
        <w:rPr>
          <w:smallCaps/>
          <w:sz w:val="24"/>
          <w:szCs w:val="24"/>
        </w:rPr>
        <w:fldChar w:fldCharType="begin"/>
      </w:r>
      <w:r w:rsidR="005C1825">
        <w:instrText xml:space="preserve"> TA \s "Niko Pavlopoulos, The Identity of Governments in International Law (2024)" </w:instrText>
      </w:r>
      <w:r w:rsidR="005C1825">
        <w:rPr>
          <w:smallCaps/>
          <w:sz w:val="24"/>
          <w:szCs w:val="24"/>
        </w:rPr>
        <w:fldChar w:fldCharType="end"/>
      </w:r>
      <w:r w:rsidRPr="0047063B">
        <w:rPr>
          <w:sz w:val="24"/>
          <w:szCs w:val="24"/>
        </w:rPr>
        <w:t xml:space="preserve">, </w:t>
      </w:r>
      <w:r w:rsidRPr="0047063B">
        <w:rPr>
          <w:i/>
          <w:iCs/>
          <w:sz w:val="24"/>
          <w:szCs w:val="24"/>
        </w:rPr>
        <w:t xml:space="preserve">supra </w:t>
      </w:r>
      <w:r w:rsidRPr="0047063B">
        <w:rPr>
          <w:sz w:val="24"/>
          <w:szCs w:val="24"/>
        </w:rPr>
        <w:t xml:space="preserve">note 189, 82–83. </w:t>
      </w:r>
    </w:p>
  </w:footnote>
  <w:footnote w:id="194">
    <w:p w14:paraId="326C9D5C" w14:textId="77777777" w:rsidR="002A4673" w:rsidRPr="0047063B" w:rsidRDefault="002A4673"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Facts, ¶37. </w:t>
      </w:r>
    </w:p>
  </w:footnote>
  <w:footnote w:id="195">
    <w:p w14:paraId="0BDD903E" w14:textId="77777777" w:rsidR="002A4673" w:rsidRPr="0047063B" w:rsidRDefault="002A4673"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w:t>
      </w:r>
      <w:r w:rsidRPr="0047063B">
        <w:rPr>
          <w:i/>
          <w:sz w:val="24"/>
          <w:szCs w:val="24"/>
        </w:rPr>
        <w:t>See supra</w:t>
      </w:r>
      <w:r w:rsidRPr="0047063B">
        <w:rPr>
          <w:sz w:val="24"/>
          <w:szCs w:val="24"/>
        </w:rPr>
        <w:t xml:space="preserve"> IV.A.1. </w:t>
      </w:r>
    </w:p>
  </w:footnote>
  <w:footnote w:id="196">
    <w:p w14:paraId="4DF34861" w14:textId="77777777" w:rsidR="002A4673" w:rsidRPr="0047063B" w:rsidRDefault="002A4673" w:rsidP="0047063B">
      <w:pPr>
        <w:spacing w:line="240" w:lineRule="auto"/>
        <w:ind w:firstLine="0"/>
      </w:pPr>
      <w:r w:rsidRPr="0047063B">
        <w:rPr>
          <w:vertAlign w:val="superscript"/>
        </w:rPr>
        <w:footnoteRef/>
      </w:r>
      <w:r w:rsidRPr="0047063B">
        <w:t xml:space="preserve"> </w:t>
      </w:r>
      <w:r w:rsidRPr="005C1825">
        <w:rPr>
          <w:smallCaps/>
        </w:rPr>
        <w:t>Pavlopoulous</w:t>
      </w:r>
      <w:r w:rsidR="005C1825">
        <w:rPr>
          <w:smallCaps/>
        </w:rPr>
        <w:fldChar w:fldCharType="begin"/>
      </w:r>
      <w:r w:rsidR="005C1825">
        <w:instrText xml:space="preserve"> TA \s "Niko Pavlopoulos, The Identity of Governments in International Law (2024)" </w:instrText>
      </w:r>
      <w:r w:rsidR="005C1825">
        <w:rPr>
          <w:smallCaps/>
        </w:rPr>
        <w:fldChar w:fldCharType="end"/>
      </w:r>
      <w:r w:rsidRPr="0047063B">
        <w:t xml:space="preserve">, </w:t>
      </w:r>
      <w:r w:rsidRPr="0047063B">
        <w:rPr>
          <w:i/>
          <w:iCs/>
        </w:rPr>
        <w:t xml:space="preserve">supra </w:t>
      </w:r>
      <w:r w:rsidRPr="0047063B">
        <w:t>note 189, 134</w:t>
      </w:r>
      <w:r w:rsidR="005C1825">
        <w:t>;</w:t>
      </w:r>
      <w:r w:rsidRPr="0047063B">
        <w:t xml:space="preserve"> Poeliu Dai, </w:t>
      </w:r>
      <w:r w:rsidRPr="0047063B">
        <w:rPr>
          <w:i/>
        </w:rPr>
        <w:t>Recognition of States and Governments under International Law with Special Reference to Canadian Postwar Practice and the Legal Status of Taiwan (Formosa)</w:t>
      </w:r>
      <w:r w:rsidRPr="0047063B">
        <w:t xml:space="preserve">, 3 </w:t>
      </w:r>
      <w:r w:rsidRPr="0047063B">
        <w:rPr>
          <w:smallCaps/>
        </w:rPr>
        <w:t xml:space="preserve">Can. Y.B. Int’l L. </w:t>
      </w:r>
      <w:r w:rsidRPr="0047063B">
        <w:t>290</w:t>
      </w:r>
      <w:r w:rsidR="00285DE3">
        <w:t>, 291</w:t>
      </w:r>
      <w:r w:rsidRPr="0047063B">
        <w:t xml:space="preserve"> (1965)</w:t>
      </w:r>
      <w:r w:rsidR="00285DE3">
        <w:fldChar w:fldCharType="begin"/>
      </w:r>
      <w:r w:rsidR="00285DE3">
        <w:instrText xml:space="preserve"> TA \l "</w:instrText>
      </w:r>
      <w:r w:rsidR="00285DE3" w:rsidRPr="00F864BD">
        <w:instrText xml:space="preserve">Poeliu Dai, </w:instrText>
      </w:r>
      <w:r w:rsidR="00285DE3" w:rsidRPr="00F864BD">
        <w:rPr>
          <w:i/>
        </w:rPr>
        <w:instrText>Recognition of States and Governments under International Law with Special Reference to Canadian Postwar Practice and the Legal Status of Taiwan (Formosa)</w:instrText>
      </w:r>
      <w:r w:rsidR="00285DE3" w:rsidRPr="00F864BD">
        <w:instrText xml:space="preserve">, 3 </w:instrText>
      </w:r>
      <w:r w:rsidR="00285DE3" w:rsidRPr="00F864BD">
        <w:rPr>
          <w:smallCaps/>
        </w:rPr>
        <w:instrText xml:space="preserve">Can. Y.B. Int’l L. </w:instrText>
      </w:r>
      <w:r w:rsidR="00285DE3" w:rsidRPr="00F864BD">
        <w:instrText>290 (1965)</w:instrText>
      </w:r>
      <w:r w:rsidR="00285DE3">
        <w:instrText xml:space="preserve">" \s "Poeliu Dai, Recognition of States and Governments under International Law with Special Reference to Canadian Postwar Practice and the Legal Status of Taiwan (Formosa), 3 Can. Y.B. Int’l L. 290 (1965)" \c 6 </w:instrText>
      </w:r>
      <w:r w:rsidR="00285DE3">
        <w:fldChar w:fldCharType="end"/>
      </w:r>
      <w:r w:rsidRPr="0047063B">
        <w:t xml:space="preserve">. </w:t>
      </w:r>
    </w:p>
  </w:footnote>
  <w:footnote w:id="197">
    <w:p w14:paraId="092C9160" w14:textId="77777777" w:rsidR="002A4673" w:rsidRPr="0047063B" w:rsidRDefault="002A4673" w:rsidP="0047063B">
      <w:pPr>
        <w:spacing w:line="240" w:lineRule="auto"/>
        <w:ind w:firstLine="0"/>
      </w:pPr>
      <w:r w:rsidRPr="0047063B">
        <w:rPr>
          <w:vertAlign w:val="superscript"/>
        </w:rPr>
        <w:footnoteRef/>
      </w:r>
      <w:r w:rsidRPr="0047063B">
        <w:t xml:space="preserve"> Facts, ¶44. </w:t>
      </w:r>
    </w:p>
  </w:footnote>
  <w:footnote w:id="198">
    <w:p w14:paraId="0DD1C514" w14:textId="77777777" w:rsidR="002A4673" w:rsidRPr="0047063B" w:rsidRDefault="002A4673" w:rsidP="0047063B">
      <w:pPr>
        <w:spacing w:line="240" w:lineRule="auto"/>
        <w:ind w:firstLine="0"/>
      </w:pPr>
      <w:r w:rsidRPr="0047063B">
        <w:rPr>
          <w:vertAlign w:val="superscript"/>
        </w:rPr>
        <w:footnoteRef/>
      </w:r>
      <w:r w:rsidRPr="0047063B">
        <w:t xml:space="preserve"> Facts, ¶49. </w:t>
      </w:r>
    </w:p>
  </w:footnote>
  <w:footnote w:id="199">
    <w:p w14:paraId="43824265" w14:textId="77777777" w:rsidR="002A4673" w:rsidRPr="0047063B" w:rsidRDefault="002A4673" w:rsidP="0047063B">
      <w:pPr>
        <w:pStyle w:val="FootnoteText"/>
        <w:spacing w:after="160"/>
        <w:ind w:firstLine="0"/>
        <w:rPr>
          <w:i/>
          <w:iCs/>
          <w:sz w:val="24"/>
          <w:szCs w:val="24"/>
        </w:rPr>
      </w:pPr>
      <w:r w:rsidRPr="0047063B">
        <w:rPr>
          <w:rStyle w:val="FootnoteReference"/>
          <w:sz w:val="24"/>
          <w:szCs w:val="24"/>
        </w:rPr>
        <w:footnoteRef/>
      </w:r>
      <w:r w:rsidRPr="0047063B">
        <w:rPr>
          <w:sz w:val="24"/>
          <w:szCs w:val="24"/>
        </w:rPr>
        <w:t xml:space="preserve"> </w:t>
      </w:r>
      <w:r w:rsidRPr="0047063B">
        <w:rPr>
          <w:i/>
          <w:iCs/>
          <w:sz w:val="24"/>
          <w:szCs w:val="24"/>
        </w:rPr>
        <w:t>Id.</w:t>
      </w:r>
    </w:p>
  </w:footnote>
  <w:footnote w:id="200">
    <w:p w14:paraId="7739E405"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w:t>
      </w:r>
      <w:r w:rsidRPr="0047063B">
        <w:rPr>
          <w:sz w:val="24"/>
          <w:szCs w:val="24"/>
          <w:lang w:val="en-US"/>
        </w:rPr>
        <w:t xml:space="preserve">ARSIWA has been used to attribute governmental responsibility even for non-wrongful acts. </w:t>
      </w:r>
      <w:r w:rsidRPr="0047063B">
        <w:rPr>
          <w:i/>
          <w:iCs/>
          <w:sz w:val="24"/>
          <w:szCs w:val="24"/>
        </w:rPr>
        <w:t>See generally</w:t>
      </w:r>
      <w:r w:rsidRPr="0047063B">
        <w:rPr>
          <w:i/>
          <w:sz w:val="24"/>
          <w:szCs w:val="24"/>
        </w:rPr>
        <w:t xml:space="preserve"> Toto Costruzioni Generali S.P.A. v. The Republic of Lebanon</w:t>
      </w:r>
      <w:r w:rsidRPr="0047063B">
        <w:rPr>
          <w:sz w:val="24"/>
          <w:szCs w:val="24"/>
        </w:rPr>
        <w:t>, ICSID Case No. ARB/07/12, Decision on Jurisdiction, ¶¶51–53 (Sep. 11, 2009)</w:t>
      </w:r>
      <w:r w:rsidR="00285DE3">
        <w:rPr>
          <w:sz w:val="24"/>
          <w:szCs w:val="24"/>
        </w:rPr>
        <w:fldChar w:fldCharType="begin"/>
      </w:r>
      <w:r w:rsidR="00285DE3">
        <w:instrText xml:space="preserve"> TA \l "</w:instrText>
      </w:r>
      <w:r w:rsidR="00285DE3" w:rsidRPr="00C12F84">
        <w:rPr>
          <w:i/>
          <w:sz w:val="24"/>
          <w:szCs w:val="24"/>
        </w:rPr>
        <w:instrText>Toto Costruzioni Generali S.P.A. v. The Republic of Lebanon</w:instrText>
      </w:r>
      <w:r w:rsidR="00285DE3" w:rsidRPr="00C12F84">
        <w:rPr>
          <w:sz w:val="24"/>
          <w:szCs w:val="24"/>
        </w:rPr>
        <w:instrText>, ICSID Case No. ARB/07/12, Decision on Jurisdiction (Sep. 11, 2009)</w:instrText>
      </w:r>
      <w:r w:rsidR="00285DE3">
        <w:instrText xml:space="preserve">" \s "Toto Costruzioni Generali S.P.A. v. The Republic of Lebanon, ICSID Case No. ARB/07/12, Decision on Jurisdiction (Sep. 11, 2009)" \c 3 </w:instrText>
      </w:r>
      <w:r w:rsidR="00285DE3">
        <w:rPr>
          <w:sz w:val="24"/>
          <w:szCs w:val="24"/>
        </w:rPr>
        <w:fldChar w:fldCharType="end"/>
      </w:r>
      <w:r w:rsidRPr="0047063B">
        <w:rPr>
          <w:sz w:val="24"/>
          <w:szCs w:val="24"/>
        </w:rPr>
        <w:t xml:space="preserve"> (holding that a signature by a group exercising governmental authority was attributable to the State under ARSIWA). </w:t>
      </w:r>
    </w:p>
  </w:footnote>
  <w:footnote w:id="201">
    <w:p w14:paraId="02ED9107" w14:textId="77777777" w:rsidR="002A4673" w:rsidRPr="0047063B" w:rsidRDefault="002A4673" w:rsidP="0047063B">
      <w:pPr>
        <w:spacing w:line="240" w:lineRule="auto"/>
        <w:ind w:firstLine="0"/>
      </w:pPr>
      <w:r w:rsidRPr="0047063B">
        <w:rPr>
          <w:vertAlign w:val="superscript"/>
        </w:rPr>
        <w:footnoteRef/>
      </w:r>
      <w:r w:rsidRPr="0047063B">
        <w:t xml:space="preserve"> </w:t>
      </w:r>
      <w:r w:rsidRPr="0047063B">
        <w:rPr>
          <w:lang w:val="es-ES"/>
        </w:rPr>
        <w:t>ARSIWA</w:t>
      </w:r>
      <w:r w:rsidR="00285DE3">
        <w:rPr>
          <w:lang w:val="es-ES"/>
        </w:rPr>
        <w:fldChar w:fldCharType="begin"/>
      </w:r>
      <w:r w:rsidR="00285DE3">
        <w:instrText xml:space="preserve"> TA \s "ARSIWA" </w:instrText>
      </w:r>
      <w:r w:rsidR="00285DE3">
        <w:rPr>
          <w:lang w:val="es-ES"/>
        </w:rPr>
        <w:fldChar w:fldCharType="end"/>
      </w:r>
      <w:r w:rsidRPr="0047063B">
        <w:rPr>
          <w:lang w:val="es-ES"/>
        </w:rPr>
        <w:t xml:space="preserve"> art. 9. </w:t>
      </w:r>
    </w:p>
  </w:footnote>
  <w:footnote w:id="202">
    <w:p w14:paraId="6EE15ABC" w14:textId="63520BC2" w:rsidR="002A4673" w:rsidRPr="0047063B" w:rsidRDefault="002A4673"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w:t>
      </w:r>
      <w:r w:rsidRPr="0047063B">
        <w:rPr>
          <w:i/>
          <w:sz w:val="24"/>
          <w:szCs w:val="24"/>
          <w:lang w:val="en-US"/>
        </w:rPr>
        <w:t>See</w:t>
      </w:r>
      <w:r w:rsidRPr="0047063B">
        <w:rPr>
          <w:sz w:val="24"/>
          <w:szCs w:val="24"/>
          <w:lang w:val="en-US"/>
        </w:rPr>
        <w:t xml:space="preserve"> </w:t>
      </w:r>
      <w:r w:rsidRPr="0047063B">
        <w:rPr>
          <w:i/>
          <w:sz w:val="24"/>
          <w:szCs w:val="24"/>
          <w:lang w:val="en-US"/>
        </w:rPr>
        <w:t>supra</w:t>
      </w:r>
      <w:r w:rsidRPr="0047063B">
        <w:rPr>
          <w:sz w:val="24"/>
          <w:szCs w:val="24"/>
          <w:lang w:val="en-US"/>
        </w:rPr>
        <w:t xml:space="preserve"> </w:t>
      </w:r>
      <w:r w:rsidR="00285DE3">
        <w:rPr>
          <w:sz w:val="24"/>
          <w:szCs w:val="24"/>
          <w:lang w:val="en-US"/>
        </w:rPr>
        <w:t>§</w:t>
      </w:r>
      <w:r w:rsidRPr="0047063B">
        <w:rPr>
          <w:sz w:val="24"/>
          <w:szCs w:val="24"/>
          <w:lang w:val="en-US"/>
        </w:rPr>
        <w:t xml:space="preserve">IV.A.1; </w:t>
      </w:r>
      <w:r w:rsidRPr="0047063B">
        <w:rPr>
          <w:i/>
          <w:sz w:val="24"/>
          <w:szCs w:val="24"/>
        </w:rPr>
        <w:t>Kenneth P. Yeager v. Islamic Republic of Iran</w:t>
      </w:r>
      <w:r w:rsidRPr="0047063B">
        <w:rPr>
          <w:sz w:val="24"/>
          <w:szCs w:val="24"/>
        </w:rPr>
        <w:t>, Iran-U</w:t>
      </w:r>
      <w:r w:rsidR="00183F70">
        <w:rPr>
          <w:sz w:val="24"/>
          <w:szCs w:val="24"/>
        </w:rPr>
        <w:t>.</w:t>
      </w:r>
      <w:r w:rsidRPr="0047063B">
        <w:rPr>
          <w:sz w:val="24"/>
          <w:szCs w:val="24"/>
        </w:rPr>
        <w:t>S</w:t>
      </w:r>
      <w:r w:rsidR="00183F70">
        <w:rPr>
          <w:sz w:val="24"/>
          <w:szCs w:val="24"/>
        </w:rPr>
        <w:t>.</w:t>
      </w:r>
      <w:r w:rsidRPr="0047063B">
        <w:rPr>
          <w:sz w:val="24"/>
          <w:szCs w:val="24"/>
        </w:rPr>
        <w:t xml:space="preserve"> Claims Tribunal Case No. 10199, Award No. 324-10199-1 (1987)</w:t>
      </w:r>
      <w:r w:rsidR="00285DE3">
        <w:rPr>
          <w:sz w:val="24"/>
          <w:szCs w:val="24"/>
        </w:rPr>
        <w:fldChar w:fldCharType="begin"/>
      </w:r>
      <w:r w:rsidR="00285DE3">
        <w:instrText xml:space="preserve"> TA \l "</w:instrText>
      </w:r>
      <w:r w:rsidR="00285DE3" w:rsidRPr="00B34B08">
        <w:rPr>
          <w:i/>
          <w:sz w:val="24"/>
          <w:szCs w:val="24"/>
        </w:rPr>
        <w:instrText>Kenneth P. Yeager v. Islamic Republic of Iran</w:instrText>
      </w:r>
      <w:r w:rsidR="00285DE3" w:rsidRPr="00B34B08">
        <w:rPr>
          <w:sz w:val="24"/>
          <w:szCs w:val="24"/>
        </w:rPr>
        <w:instrText>, Iran-U</w:instrText>
      </w:r>
      <w:r w:rsidR="00183F70">
        <w:rPr>
          <w:sz w:val="24"/>
          <w:szCs w:val="24"/>
        </w:rPr>
        <w:instrText>.</w:instrText>
      </w:r>
      <w:r w:rsidR="00285DE3" w:rsidRPr="00B34B08">
        <w:rPr>
          <w:sz w:val="24"/>
          <w:szCs w:val="24"/>
        </w:rPr>
        <w:instrText>S</w:instrText>
      </w:r>
      <w:r w:rsidR="00183F70">
        <w:rPr>
          <w:sz w:val="24"/>
          <w:szCs w:val="24"/>
        </w:rPr>
        <w:instrText>.</w:instrText>
      </w:r>
      <w:r w:rsidR="00285DE3" w:rsidRPr="00B34B08">
        <w:rPr>
          <w:sz w:val="24"/>
          <w:szCs w:val="24"/>
        </w:rPr>
        <w:instrText xml:space="preserve"> Claims Tribunal Case No. 10199, Award No. 324-10199-1 (1987)</w:instrText>
      </w:r>
      <w:r w:rsidR="00285DE3">
        <w:instrText xml:space="preserve">" \s "Kenneth P. Yeager v. Islamic Republic of Iran, Iran-US Claims Tribunal Case No. 10199, Award No. 324-10199-1 (1987)" \c 3 </w:instrText>
      </w:r>
      <w:r w:rsidR="00285DE3">
        <w:rPr>
          <w:sz w:val="24"/>
          <w:szCs w:val="24"/>
        </w:rPr>
        <w:fldChar w:fldCharType="end"/>
      </w:r>
      <w:r w:rsidRPr="0047063B">
        <w:rPr>
          <w:sz w:val="24"/>
          <w:szCs w:val="24"/>
        </w:rPr>
        <w:t xml:space="preserve"> (applying the draft formulation of Art. 9 and </w:t>
      </w:r>
      <w:r w:rsidRPr="0047063B">
        <w:rPr>
          <w:sz w:val="24"/>
          <w:szCs w:val="24"/>
          <w:lang w:val="en-US"/>
        </w:rPr>
        <w:t>holding that armed revolutionary groups were exercising governmental authority when they arrested attackers, controlled small territories, and commanded a portion of the State budget).</w:t>
      </w:r>
    </w:p>
  </w:footnote>
  <w:footnote w:id="203">
    <w:p w14:paraId="5662CA0C"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Katharine Fortin, </w:t>
      </w:r>
      <w:r w:rsidRPr="0047063B">
        <w:rPr>
          <w:i/>
          <w:sz w:val="24"/>
          <w:szCs w:val="24"/>
        </w:rPr>
        <w:t xml:space="preserve">The Relevance of Article 9 of the Articles on State Responsibility for the Internationally Wrongful Acts of Armed </w:t>
      </w:r>
      <w:r w:rsidRPr="0047063B">
        <w:rPr>
          <w:i/>
          <w:iCs/>
          <w:sz w:val="24"/>
          <w:szCs w:val="24"/>
        </w:rPr>
        <w:t>Groups</w:t>
      </w:r>
      <w:r w:rsidRPr="0047063B">
        <w:rPr>
          <w:sz w:val="24"/>
          <w:szCs w:val="24"/>
        </w:rPr>
        <w:t xml:space="preserve">, </w:t>
      </w:r>
      <w:r w:rsidRPr="0047063B">
        <w:rPr>
          <w:i/>
          <w:sz w:val="24"/>
          <w:szCs w:val="24"/>
        </w:rPr>
        <w:t xml:space="preserve">in </w:t>
      </w:r>
      <w:r w:rsidRPr="0047063B">
        <w:rPr>
          <w:smallCaps/>
          <w:sz w:val="24"/>
          <w:szCs w:val="24"/>
        </w:rPr>
        <w:t>Non-State Actors and International Obligations</w:t>
      </w:r>
      <w:r w:rsidRPr="0047063B">
        <w:rPr>
          <w:sz w:val="24"/>
          <w:szCs w:val="24"/>
        </w:rPr>
        <w:t xml:space="preserve"> 371, 378 (J. Summers and A. Gough eds., 2018)</w:t>
      </w:r>
      <w:r w:rsidR="00285DE3">
        <w:rPr>
          <w:sz w:val="24"/>
          <w:szCs w:val="24"/>
        </w:rPr>
        <w:fldChar w:fldCharType="begin"/>
      </w:r>
      <w:r w:rsidR="00285DE3">
        <w:instrText xml:space="preserve"> TA \l "</w:instrText>
      </w:r>
      <w:r w:rsidR="00285DE3" w:rsidRPr="00BA5033">
        <w:rPr>
          <w:sz w:val="24"/>
          <w:szCs w:val="24"/>
        </w:rPr>
        <w:instrText xml:space="preserve">Katharine Fortin, </w:instrText>
      </w:r>
      <w:r w:rsidR="00285DE3" w:rsidRPr="00BA5033">
        <w:rPr>
          <w:i/>
          <w:sz w:val="24"/>
          <w:szCs w:val="24"/>
        </w:rPr>
        <w:instrText xml:space="preserve">The Relevance of Article 9 of the Articles on State Responsibility for the Internationally Wrongful Acts of Armed </w:instrText>
      </w:r>
      <w:r w:rsidR="00285DE3" w:rsidRPr="00BA5033">
        <w:rPr>
          <w:i/>
          <w:iCs/>
          <w:sz w:val="24"/>
          <w:szCs w:val="24"/>
        </w:rPr>
        <w:instrText>Groups</w:instrText>
      </w:r>
      <w:r w:rsidR="00285DE3" w:rsidRPr="00BA5033">
        <w:rPr>
          <w:sz w:val="24"/>
          <w:szCs w:val="24"/>
        </w:rPr>
        <w:instrText xml:space="preserve">, </w:instrText>
      </w:r>
      <w:r w:rsidR="00285DE3" w:rsidRPr="00BA5033">
        <w:rPr>
          <w:i/>
          <w:sz w:val="24"/>
          <w:szCs w:val="24"/>
        </w:rPr>
        <w:instrText xml:space="preserve">in </w:instrText>
      </w:r>
      <w:r w:rsidR="00285DE3" w:rsidRPr="00BA5033">
        <w:rPr>
          <w:smallCaps/>
          <w:sz w:val="24"/>
          <w:szCs w:val="24"/>
        </w:rPr>
        <w:instrText>Non-State Actors and International Obligations</w:instrText>
      </w:r>
      <w:r w:rsidR="00285DE3" w:rsidRPr="00BA5033">
        <w:rPr>
          <w:sz w:val="24"/>
          <w:szCs w:val="24"/>
        </w:rPr>
        <w:instrText xml:space="preserve"> 371 (J. Summers and A. Gough eds., 2018)</w:instrText>
      </w:r>
      <w:r w:rsidR="00285DE3">
        <w:instrText xml:space="preserve">" \s "Katharine Fortin, The Relevance of Article 9 of the Articles on State Responsibility for the Internationally Wrongful Acts of Armed Groups, in Non-State Actors and International Obligations 371 (J. Summers and A. Gough eds., 2018)" \c 6 </w:instrText>
      </w:r>
      <w:r w:rsidR="00285DE3">
        <w:rPr>
          <w:sz w:val="24"/>
          <w:szCs w:val="24"/>
        </w:rPr>
        <w:fldChar w:fldCharType="end"/>
      </w:r>
      <w:r w:rsidRPr="0047063B">
        <w:rPr>
          <w:sz w:val="24"/>
          <w:szCs w:val="24"/>
        </w:rPr>
        <w:t>.</w:t>
      </w:r>
    </w:p>
  </w:footnote>
  <w:footnote w:id="204">
    <w:p w14:paraId="26EE008F" w14:textId="77777777"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Facts, ¶¶40–54. </w:t>
      </w:r>
    </w:p>
  </w:footnote>
  <w:footnote w:id="205">
    <w:p w14:paraId="13982B65" w14:textId="77777777" w:rsidR="002A4673" w:rsidRPr="0047063B" w:rsidRDefault="002A4673" w:rsidP="0047063B">
      <w:pPr>
        <w:pStyle w:val="FootnoteText"/>
        <w:spacing w:after="160"/>
        <w:ind w:firstLine="0"/>
        <w:rPr>
          <w:sz w:val="24"/>
          <w:szCs w:val="24"/>
          <w:highlight w:val="yellow"/>
          <w:lang w:val="en-US"/>
        </w:rPr>
      </w:pPr>
      <w:r w:rsidRPr="0047063B">
        <w:rPr>
          <w:rStyle w:val="FootnoteReference"/>
          <w:sz w:val="24"/>
          <w:szCs w:val="24"/>
        </w:rPr>
        <w:footnoteRef/>
      </w:r>
      <w:r w:rsidRPr="0047063B">
        <w:rPr>
          <w:sz w:val="24"/>
          <w:szCs w:val="24"/>
        </w:rPr>
        <w:t xml:space="preserve"> ARSIWA</w:t>
      </w:r>
      <w:r w:rsidR="00285DE3">
        <w:rPr>
          <w:sz w:val="24"/>
          <w:szCs w:val="24"/>
        </w:rPr>
        <w:fldChar w:fldCharType="begin"/>
      </w:r>
      <w:r w:rsidR="00285DE3">
        <w:instrText xml:space="preserve"> TA \s "ARSIWA" </w:instrText>
      </w:r>
      <w:r w:rsidR="00285DE3">
        <w:rPr>
          <w:sz w:val="24"/>
          <w:szCs w:val="24"/>
        </w:rPr>
        <w:fldChar w:fldCharType="end"/>
      </w:r>
      <w:r w:rsidRPr="0047063B">
        <w:rPr>
          <w:sz w:val="24"/>
          <w:szCs w:val="24"/>
        </w:rPr>
        <w:t>, 49.</w:t>
      </w:r>
    </w:p>
  </w:footnote>
  <w:footnote w:id="206">
    <w:p w14:paraId="4FC57312" w14:textId="044B5EBC" w:rsidR="002A4673" w:rsidRPr="0047063B" w:rsidRDefault="002A4673" w:rsidP="0047063B">
      <w:pPr>
        <w:pStyle w:val="FootnoteText"/>
        <w:spacing w:after="160"/>
        <w:ind w:firstLine="0"/>
        <w:rPr>
          <w:sz w:val="24"/>
          <w:szCs w:val="24"/>
          <w:lang w:val="en-US"/>
        </w:rPr>
      </w:pPr>
      <w:r w:rsidRPr="0047063B">
        <w:rPr>
          <w:rStyle w:val="FootnoteReference"/>
          <w:sz w:val="24"/>
          <w:szCs w:val="24"/>
        </w:rPr>
        <w:footnoteRef/>
      </w:r>
      <w:r w:rsidRPr="0047063B">
        <w:rPr>
          <w:sz w:val="24"/>
          <w:szCs w:val="24"/>
        </w:rPr>
        <w:t xml:space="preserve"> Djamchid Momtaz, </w:t>
      </w:r>
      <w:r w:rsidRPr="0047063B">
        <w:rPr>
          <w:i/>
          <w:sz w:val="24"/>
          <w:szCs w:val="24"/>
        </w:rPr>
        <w:t>Attribution of Conduct to the State: State Organs and Entities Empowered to Exercise Elements of Governmental Authority</w:t>
      </w:r>
      <w:r w:rsidRPr="0047063B">
        <w:rPr>
          <w:sz w:val="24"/>
          <w:szCs w:val="24"/>
        </w:rPr>
        <w:t xml:space="preserve">, </w:t>
      </w:r>
      <w:r w:rsidRPr="0047063B">
        <w:rPr>
          <w:i/>
          <w:sz w:val="24"/>
          <w:szCs w:val="24"/>
        </w:rPr>
        <w:t xml:space="preserve">in </w:t>
      </w:r>
      <w:r w:rsidRPr="0047063B">
        <w:rPr>
          <w:smallCaps/>
          <w:sz w:val="24"/>
          <w:szCs w:val="24"/>
        </w:rPr>
        <w:t xml:space="preserve">The Law of </w:t>
      </w:r>
      <w:r w:rsidR="00285DE3">
        <w:rPr>
          <w:smallCaps/>
          <w:sz w:val="24"/>
          <w:szCs w:val="24"/>
        </w:rPr>
        <w:t>Int</w:t>
      </w:r>
      <w:r w:rsidR="004F4E5F">
        <w:rPr>
          <w:smallCaps/>
          <w:sz w:val="24"/>
          <w:szCs w:val="24"/>
        </w:rPr>
        <w:t>ernational</w:t>
      </w:r>
      <w:r w:rsidRPr="0047063B">
        <w:rPr>
          <w:smallCaps/>
          <w:sz w:val="24"/>
          <w:szCs w:val="24"/>
        </w:rPr>
        <w:t xml:space="preserve"> Responsibility</w:t>
      </w:r>
      <w:r w:rsidRPr="0047063B">
        <w:rPr>
          <w:sz w:val="24"/>
          <w:szCs w:val="24"/>
        </w:rPr>
        <w:t xml:space="preserve"> 237, 244 (James Crawford et al. eds., 2010)</w:t>
      </w:r>
      <w:r w:rsidR="00285DE3">
        <w:rPr>
          <w:sz w:val="24"/>
          <w:szCs w:val="24"/>
        </w:rPr>
        <w:fldChar w:fldCharType="begin"/>
      </w:r>
      <w:r w:rsidR="00285DE3">
        <w:instrText xml:space="preserve"> TA \l "</w:instrText>
      </w:r>
      <w:r w:rsidR="00285DE3" w:rsidRPr="00A77859">
        <w:rPr>
          <w:sz w:val="24"/>
          <w:szCs w:val="24"/>
        </w:rPr>
        <w:instrText xml:space="preserve">Djamchid Momtaz, </w:instrText>
      </w:r>
      <w:r w:rsidR="00285DE3" w:rsidRPr="00A77859">
        <w:rPr>
          <w:i/>
          <w:sz w:val="24"/>
          <w:szCs w:val="24"/>
        </w:rPr>
        <w:instrText>Attribution of Conduct to the State: State Organs and Entities Empowered to Exercise Elements of Governmental Authority</w:instrText>
      </w:r>
      <w:r w:rsidR="00285DE3" w:rsidRPr="00A77859">
        <w:rPr>
          <w:sz w:val="24"/>
          <w:szCs w:val="24"/>
        </w:rPr>
        <w:instrText xml:space="preserve">, </w:instrText>
      </w:r>
      <w:r w:rsidR="00285DE3" w:rsidRPr="00A77859">
        <w:rPr>
          <w:i/>
          <w:sz w:val="24"/>
          <w:szCs w:val="24"/>
        </w:rPr>
        <w:instrText xml:space="preserve">in </w:instrText>
      </w:r>
      <w:r w:rsidR="00285DE3" w:rsidRPr="00A77859">
        <w:rPr>
          <w:smallCaps/>
          <w:sz w:val="24"/>
          <w:szCs w:val="24"/>
        </w:rPr>
        <w:instrText>The Law of Int</w:instrText>
      </w:r>
      <w:r w:rsidR="004F4E5F">
        <w:rPr>
          <w:smallCaps/>
          <w:sz w:val="24"/>
          <w:szCs w:val="24"/>
        </w:rPr>
        <w:instrText>ernational</w:instrText>
      </w:r>
      <w:r w:rsidR="00285DE3" w:rsidRPr="00A77859">
        <w:rPr>
          <w:smallCaps/>
          <w:sz w:val="24"/>
          <w:szCs w:val="24"/>
        </w:rPr>
        <w:instrText xml:space="preserve"> Responsibility</w:instrText>
      </w:r>
      <w:r w:rsidR="00285DE3" w:rsidRPr="00A77859">
        <w:rPr>
          <w:sz w:val="24"/>
          <w:szCs w:val="24"/>
        </w:rPr>
        <w:instrText xml:space="preserve"> 237 (James Crawford et al. eds., 2010)</w:instrText>
      </w:r>
      <w:r w:rsidR="00285DE3">
        <w:instrText xml:space="preserve">" \s "Djamchid Momtaz, Attribution of Conduct to the State: State Organs and Entities Empowered to Exercise Elements of Governmental Authority, in The Law of Int’l Responsibility 237 (James Crawford et al. eds., 2010)" \c 6 </w:instrText>
      </w:r>
      <w:r w:rsidR="00285DE3">
        <w:rPr>
          <w:sz w:val="24"/>
          <w:szCs w:val="24"/>
        </w:rPr>
        <w:fldChar w:fldCharType="end"/>
      </w:r>
      <w:r w:rsidRPr="0047063B">
        <w:rPr>
          <w:sz w:val="24"/>
          <w:szCs w:val="24"/>
        </w:rPr>
        <w:t>.</w:t>
      </w:r>
    </w:p>
  </w:footnote>
  <w:footnote w:id="207">
    <w:p w14:paraId="64DC47EA" w14:textId="38B94986" w:rsidR="002A4673" w:rsidRPr="0047063B" w:rsidRDefault="002A4673" w:rsidP="0047063B">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Olivier de Frouville, </w:t>
      </w:r>
      <w:r w:rsidRPr="0047063B">
        <w:rPr>
          <w:i/>
          <w:sz w:val="24"/>
          <w:szCs w:val="24"/>
        </w:rPr>
        <w:t>Attribution of Conduct to the State: Private Individuals</w:t>
      </w:r>
      <w:r w:rsidRPr="0047063B">
        <w:rPr>
          <w:sz w:val="24"/>
          <w:szCs w:val="24"/>
        </w:rPr>
        <w:t xml:space="preserve">, </w:t>
      </w:r>
      <w:r w:rsidRPr="0047063B">
        <w:rPr>
          <w:i/>
          <w:sz w:val="24"/>
          <w:szCs w:val="24"/>
        </w:rPr>
        <w:t>in</w:t>
      </w:r>
      <w:r w:rsidRPr="0047063B">
        <w:rPr>
          <w:sz w:val="24"/>
          <w:szCs w:val="24"/>
        </w:rPr>
        <w:t xml:space="preserve"> </w:t>
      </w:r>
      <w:r w:rsidRPr="0047063B">
        <w:rPr>
          <w:smallCaps/>
          <w:sz w:val="24"/>
          <w:szCs w:val="24"/>
        </w:rPr>
        <w:t xml:space="preserve">The Law of </w:t>
      </w:r>
      <w:r w:rsidR="00285DE3">
        <w:rPr>
          <w:smallCaps/>
          <w:sz w:val="24"/>
          <w:szCs w:val="24"/>
        </w:rPr>
        <w:t>Int</w:t>
      </w:r>
      <w:r w:rsidR="004F4E5F">
        <w:rPr>
          <w:smallCaps/>
          <w:sz w:val="24"/>
          <w:szCs w:val="24"/>
        </w:rPr>
        <w:t>ernational</w:t>
      </w:r>
      <w:r w:rsidRPr="0047063B">
        <w:rPr>
          <w:smallCaps/>
          <w:sz w:val="24"/>
          <w:szCs w:val="24"/>
        </w:rPr>
        <w:t xml:space="preserve"> Responsibility 258, 272 </w:t>
      </w:r>
      <w:r w:rsidRPr="0047063B">
        <w:rPr>
          <w:sz w:val="24"/>
          <w:szCs w:val="24"/>
        </w:rPr>
        <w:t>(James Crawford et al. eds., 2010)</w:t>
      </w:r>
      <w:r w:rsidR="00285DE3">
        <w:rPr>
          <w:sz w:val="24"/>
          <w:szCs w:val="24"/>
        </w:rPr>
        <w:fldChar w:fldCharType="begin"/>
      </w:r>
      <w:r w:rsidR="00285DE3">
        <w:instrText xml:space="preserve"> TA \l "</w:instrText>
      </w:r>
      <w:r w:rsidR="00285DE3" w:rsidRPr="00D35A9B">
        <w:rPr>
          <w:sz w:val="24"/>
          <w:szCs w:val="24"/>
        </w:rPr>
        <w:instrText xml:space="preserve">Olivier de Frouville, </w:instrText>
      </w:r>
      <w:r w:rsidR="00285DE3" w:rsidRPr="00D35A9B">
        <w:rPr>
          <w:i/>
          <w:sz w:val="24"/>
          <w:szCs w:val="24"/>
        </w:rPr>
        <w:instrText>Attribution of Conduct to the State: Private Individuals</w:instrText>
      </w:r>
      <w:r w:rsidR="00285DE3" w:rsidRPr="00D35A9B">
        <w:rPr>
          <w:sz w:val="24"/>
          <w:szCs w:val="24"/>
        </w:rPr>
        <w:instrText xml:space="preserve">, </w:instrText>
      </w:r>
      <w:r w:rsidR="00285DE3" w:rsidRPr="00D35A9B">
        <w:rPr>
          <w:i/>
          <w:sz w:val="24"/>
          <w:szCs w:val="24"/>
        </w:rPr>
        <w:instrText>in</w:instrText>
      </w:r>
      <w:r w:rsidR="00285DE3" w:rsidRPr="00D35A9B">
        <w:rPr>
          <w:sz w:val="24"/>
          <w:szCs w:val="24"/>
        </w:rPr>
        <w:instrText xml:space="preserve"> </w:instrText>
      </w:r>
      <w:r w:rsidR="00285DE3" w:rsidRPr="00D35A9B">
        <w:rPr>
          <w:smallCaps/>
          <w:sz w:val="24"/>
          <w:szCs w:val="24"/>
        </w:rPr>
        <w:instrText>The Law of In</w:instrText>
      </w:r>
      <w:r w:rsidR="004F4E5F">
        <w:rPr>
          <w:smallCaps/>
          <w:sz w:val="24"/>
          <w:szCs w:val="24"/>
        </w:rPr>
        <w:instrText>ternational</w:instrText>
      </w:r>
      <w:r w:rsidR="00285DE3" w:rsidRPr="00D35A9B">
        <w:rPr>
          <w:smallCaps/>
          <w:sz w:val="24"/>
          <w:szCs w:val="24"/>
        </w:rPr>
        <w:instrText xml:space="preserve"> Responsibility 258</w:instrText>
      </w:r>
      <w:r w:rsidR="00285DE3">
        <w:rPr>
          <w:smallCaps/>
          <w:sz w:val="24"/>
          <w:szCs w:val="24"/>
        </w:rPr>
        <w:instrText xml:space="preserve"> </w:instrText>
      </w:r>
      <w:r w:rsidR="00285DE3" w:rsidRPr="00D35A9B">
        <w:rPr>
          <w:sz w:val="24"/>
          <w:szCs w:val="24"/>
        </w:rPr>
        <w:instrText>(James Crawford et al. eds., 2010)</w:instrText>
      </w:r>
      <w:r w:rsidR="00285DE3">
        <w:instrText xml:space="preserve">" \s "Olivier de Frouville, Attribution of Conduct to the State: Private Individuals, in The Law of Int’l Responsibility 258 (James Crawford et al. eds., 2010)" \c 6 </w:instrText>
      </w:r>
      <w:r w:rsidR="00285DE3">
        <w:rPr>
          <w:sz w:val="24"/>
          <w:szCs w:val="24"/>
        </w:rPr>
        <w:fldChar w:fldCharType="end"/>
      </w:r>
      <w:r w:rsidRPr="0047063B">
        <w:rPr>
          <w:sz w:val="24"/>
          <w:szCs w:val="24"/>
        </w:rPr>
        <w:t>.</w:t>
      </w:r>
    </w:p>
  </w:footnote>
  <w:footnote w:id="208">
    <w:p w14:paraId="71BFB5B2" w14:textId="77777777" w:rsidR="00A63E48" w:rsidRPr="0047063B" w:rsidRDefault="00A63E48" w:rsidP="00A63E48">
      <w:pPr>
        <w:pStyle w:val="FootnoteText"/>
        <w:spacing w:after="160"/>
        <w:ind w:firstLine="0"/>
        <w:rPr>
          <w:sz w:val="24"/>
          <w:szCs w:val="24"/>
        </w:rPr>
      </w:pPr>
      <w:r w:rsidRPr="0047063B">
        <w:rPr>
          <w:rStyle w:val="FootnoteReference"/>
          <w:sz w:val="24"/>
          <w:szCs w:val="24"/>
        </w:rPr>
        <w:footnoteRef/>
      </w:r>
      <w:r w:rsidRPr="0047063B">
        <w:rPr>
          <w:sz w:val="24"/>
          <w:szCs w:val="24"/>
        </w:rPr>
        <w:t xml:space="preserve"> Facts, ¶</w:t>
      </w:r>
      <w:r>
        <w:rPr>
          <w:sz w:val="24"/>
          <w:szCs w:val="24"/>
        </w:rPr>
        <w:t>29</w:t>
      </w:r>
      <w:r w:rsidRPr="0047063B">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FB06E" w14:textId="77777777" w:rsidR="00793301" w:rsidRPr="000006F2" w:rsidRDefault="00793301" w:rsidP="000006F2">
    <w:pPr>
      <w:pStyle w:val="Header"/>
      <w:ind w:firstLine="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131C"/>
    <w:multiLevelType w:val="hybridMultilevel"/>
    <w:tmpl w:val="45F40998"/>
    <w:lvl w:ilvl="0" w:tplc="87D69D7A">
      <w:start w:val="1"/>
      <w:numFmt w:val="upperLetter"/>
      <w:pStyle w:val="Heading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6D1784"/>
    <w:multiLevelType w:val="multilevel"/>
    <w:tmpl w:val="F99A3020"/>
    <w:lvl w:ilvl="0">
      <w:start w:val="1"/>
      <w:numFmt w:val="decimal"/>
      <w:lvlText w:val="%1."/>
      <w:lvlJc w:val="left"/>
      <w:pPr>
        <w:ind w:left="1440" w:hanging="360"/>
      </w:pPr>
      <w:rPr>
        <w:rFonts w:ascii="Times New Roman" w:eastAsia="Times New Roman" w:hAnsi="Times New Roman" w:cs="Times New Roman"/>
        <w:color w:val="000000"/>
      </w:rPr>
    </w:lvl>
    <w:lvl w:ilvl="1">
      <w:start w:val="1"/>
      <w:numFmt w:val="lowerRoman"/>
      <w:lvlText w:val="%2."/>
      <w:lvlJc w:val="left"/>
      <w:pPr>
        <w:ind w:left="189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1052A21"/>
    <w:multiLevelType w:val="multilevel"/>
    <w:tmpl w:val="F99A3020"/>
    <w:lvl w:ilvl="0">
      <w:start w:val="1"/>
      <w:numFmt w:val="decimal"/>
      <w:lvlText w:val="%1."/>
      <w:lvlJc w:val="left"/>
      <w:pPr>
        <w:ind w:left="1440" w:hanging="360"/>
      </w:pPr>
      <w:rPr>
        <w:rFonts w:ascii="Times New Roman" w:eastAsia="Times New Roman" w:hAnsi="Times New Roman" w:cs="Times New Roman"/>
        <w:color w:val="000000"/>
      </w:rPr>
    </w:lvl>
    <w:lvl w:ilvl="1">
      <w:start w:val="1"/>
      <w:numFmt w:val="lowerRoman"/>
      <w:lvlText w:val="%2."/>
      <w:lvlJc w:val="left"/>
      <w:pPr>
        <w:ind w:left="189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333EFF6"/>
    <w:multiLevelType w:val="hybridMultilevel"/>
    <w:tmpl w:val="FFFFFFFF"/>
    <w:lvl w:ilvl="0" w:tplc="00D2CA4C">
      <w:start w:val="1"/>
      <w:numFmt w:val="upperLetter"/>
      <w:lvlText w:val="%1."/>
      <w:lvlJc w:val="left"/>
      <w:pPr>
        <w:ind w:left="2160" w:hanging="360"/>
      </w:pPr>
    </w:lvl>
    <w:lvl w:ilvl="1" w:tplc="666216D6">
      <w:start w:val="1"/>
      <w:numFmt w:val="lowerLetter"/>
      <w:lvlText w:val="%2."/>
      <w:lvlJc w:val="left"/>
      <w:pPr>
        <w:ind w:left="2880" w:hanging="360"/>
      </w:pPr>
    </w:lvl>
    <w:lvl w:ilvl="2" w:tplc="5A12C932">
      <w:start w:val="1"/>
      <w:numFmt w:val="lowerRoman"/>
      <w:lvlText w:val="%3."/>
      <w:lvlJc w:val="right"/>
      <w:pPr>
        <w:ind w:left="3600" w:hanging="180"/>
      </w:pPr>
    </w:lvl>
    <w:lvl w:ilvl="3" w:tplc="F99808A6">
      <w:start w:val="1"/>
      <w:numFmt w:val="decimal"/>
      <w:lvlText w:val="%4."/>
      <w:lvlJc w:val="left"/>
      <w:pPr>
        <w:ind w:left="4320" w:hanging="360"/>
      </w:pPr>
    </w:lvl>
    <w:lvl w:ilvl="4" w:tplc="4BF0BA50">
      <w:start w:val="1"/>
      <w:numFmt w:val="lowerLetter"/>
      <w:lvlText w:val="%5."/>
      <w:lvlJc w:val="left"/>
      <w:pPr>
        <w:ind w:left="5040" w:hanging="360"/>
      </w:pPr>
    </w:lvl>
    <w:lvl w:ilvl="5" w:tplc="2B34D3F0">
      <w:start w:val="1"/>
      <w:numFmt w:val="lowerRoman"/>
      <w:lvlText w:val="%6."/>
      <w:lvlJc w:val="right"/>
      <w:pPr>
        <w:ind w:left="5760" w:hanging="180"/>
      </w:pPr>
    </w:lvl>
    <w:lvl w:ilvl="6" w:tplc="31D660D6">
      <w:start w:val="1"/>
      <w:numFmt w:val="decimal"/>
      <w:lvlText w:val="%7."/>
      <w:lvlJc w:val="left"/>
      <w:pPr>
        <w:ind w:left="6480" w:hanging="360"/>
      </w:pPr>
    </w:lvl>
    <w:lvl w:ilvl="7" w:tplc="54C0DD88">
      <w:start w:val="1"/>
      <w:numFmt w:val="lowerLetter"/>
      <w:lvlText w:val="%8."/>
      <w:lvlJc w:val="left"/>
      <w:pPr>
        <w:ind w:left="7200" w:hanging="360"/>
      </w:pPr>
    </w:lvl>
    <w:lvl w:ilvl="8" w:tplc="2C06488E">
      <w:start w:val="1"/>
      <w:numFmt w:val="lowerRoman"/>
      <w:lvlText w:val="%9."/>
      <w:lvlJc w:val="right"/>
      <w:pPr>
        <w:ind w:left="7920" w:hanging="180"/>
      </w:pPr>
    </w:lvl>
  </w:abstractNum>
  <w:abstractNum w:abstractNumId="4" w15:restartNumberingAfterBreak="0">
    <w:nsid w:val="27121CE7"/>
    <w:multiLevelType w:val="hybridMultilevel"/>
    <w:tmpl w:val="CAE67B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85F0A"/>
    <w:multiLevelType w:val="hybridMultilevel"/>
    <w:tmpl w:val="FFFFFFFF"/>
    <w:lvl w:ilvl="0" w:tplc="2AF2EFEC">
      <w:start w:val="1"/>
      <w:numFmt w:val="lowerRoman"/>
      <w:lvlText w:val="%1."/>
      <w:lvlJc w:val="left"/>
      <w:pPr>
        <w:ind w:left="1080" w:hanging="360"/>
      </w:pPr>
    </w:lvl>
    <w:lvl w:ilvl="1" w:tplc="C62E5216">
      <w:start w:val="1"/>
      <w:numFmt w:val="lowerLetter"/>
      <w:lvlText w:val="%2."/>
      <w:lvlJc w:val="left"/>
      <w:pPr>
        <w:ind w:left="1800" w:hanging="360"/>
      </w:pPr>
    </w:lvl>
    <w:lvl w:ilvl="2" w:tplc="75C46808">
      <w:start w:val="1"/>
      <w:numFmt w:val="lowerRoman"/>
      <w:lvlText w:val="%3."/>
      <w:lvlJc w:val="right"/>
      <w:pPr>
        <w:ind w:left="2520" w:hanging="180"/>
      </w:pPr>
    </w:lvl>
    <w:lvl w:ilvl="3" w:tplc="52CA693A">
      <w:start w:val="1"/>
      <w:numFmt w:val="decimal"/>
      <w:lvlText w:val="%4."/>
      <w:lvlJc w:val="left"/>
      <w:pPr>
        <w:ind w:left="3240" w:hanging="360"/>
      </w:pPr>
    </w:lvl>
    <w:lvl w:ilvl="4" w:tplc="31001E66">
      <w:start w:val="1"/>
      <w:numFmt w:val="lowerLetter"/>
      <w:lvlText w:val="%5."/>
      <w:lvlJc w:val="left"/>
      <w:pPr>
        <w:ind w:left="3960" w:hanging="360"/>
      </w:pPr>
    </w:lvl>
    <w:lvl w:ilvl="5" w:tplc="7AC693D6">
      <w:start w:val="1"/>
      <w:numFmt w:val="lowerRoman"/>
      <w:lvlText w:val="%6."/>
      <w:lvlJc w:val="right"/>
      <w:pPr>
        <w:ind w:left="4680" w:hanging="180"/>
      </w:pPr>
    </w:lvl>
    <w:lvl w:ilvl="6" w:tplc="FBD49D38">
      <w:start w:val="1"/>
      <w:numFmt w:val="decimal"/>
      <w:lvlText w:val="%7."/>
      <w:lvlJc w:val="left"/>
      <w:pPr>
        <w:ind w:left="5400" w:hanging="360"/>
      </w:pPr>
    </w:lvl>
    <w:lvl w:ilvl="7" w:tplc="FEC8F8A8">
      <w:start w:val="1"/>
      <w:numFmt w:val="lowerLetter"/>
      <w:lvlText w:val="%8."/>
      <w:lvlJc w:val="left"/>
      <w:pPr>
        <w:ind w:left="6120" w:hanging="360"/>
      </w:pPr>
    </w:lvl>
    <w:lvl w:ilvl="8" w:tplc="0406D794">
      <w:start w:val="1"/>
      <w:numFmt w:val="lowerRoman"/>
      <w:lvlText w:val="%9."/>
      <w:lvlJc w:val="right"/>
      <w:pPr>
        <w:ind w:left="6840" w:hanging="180"/>
      </w:pPr>
    </w:lvl>
  </w:abstractNum>
  <w:abstractNum w:abstractNumId="6" w15:restartNumberingAfterBreak="0">
    <w:nsid w:val="3FDD4115"/>
    <w:multiLevelType w:val="multilevel"/>
    <w:tmpl w:val="53900FDE"/>
    <w:lvl w:ilvl="0">
      <w:start w:val="1"/>
      <w:numFmt w:val="decimal"/>
      <w:lvlText w:val="%1."/>
      <w:lvlJc w:val="left"/>
      <w:pPr>
        <w:ind w:left="1440" w:hanging="360"/>
      </w:pPr>
      <w:rPr>
        <w:rFonts w:ascii="Times New Roman" w:hAnsi="Times New Roman" w:cs="Times New Roman" w:hint="default"/>
        <w:color w:val="000000"/>
      </w:rPr>
    </w:lvl>
    <w:lvl w:ilvl="1">
      <w:start w:val="1"/>
      <w:numFmt w:val="lowerRoman"/>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01E0F76"/>
    <w:multiLevelType w:val="multilevel"/>
    <w:tmpl w:val="9FECD148"/>
    <w:lvl w:ilvl="0">
      <w:start w:val="1"/>
      <w:numFmt w:val="decimal"/>
      <w:lvlText w:val="%1."/>
      <w:lvlJc w:val="left"/>
      <w:pPr>
        <w:ind w:left="144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2323D82"/>
    <w:multiLevelType w:val="hybridMultilevel"/>
    <w:tmpl w:val="347CC1C6"/>
    <w:lvl w:ilvl="0" w:tplc="ECE481A6">
      <w:start w:val="1"/>
      <w:numFmt w:val="upperLetter"/>
      <w:lvlText w:val="%1."/>
      <w:lvlJc w:val="left"/>
      <w:pPr>
        <w:ind w:left="720" w:hanging="360"/>
      </w:pPr>
      <w:rPr>
        <w:rFonts w:eastAsia="Times New Roman"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00370"/>
    <w:multiLevelType w:val="multilevel"/>
    <w:tmpl w:val="1EF60352"/>
    <w:lvl w:ilvl="0">
      <w:start w:val="1"/>
      <w:numFmt w:val="decimal"/>
      <w:lvlText w:val="%1."/>
      <w:lvlJc w:val="left"/>
      <w:pPr>
        <w:ind w:left="144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61C1A41"/>
    <w:multiLevelType w:val="hybridMultilevel"/>
    <w:tmpl w:val="FFFFFFFF"/>
    <w:lvl w:ilvl="0" w:tplc="E9C00BF8">
      <w:start w:val="1"/>
      <w:numFmt w:val="decimal"/>
      <w:lvlText w:val="%1."/>
      <w:lvlJc w:val="left"/>
      <w:pPr>
        <w:ind w:left="2781" w:hanging="360"/>
      </w:pPr>
    </w:lvl>
    <w:lvl w:ilvl="1" w:tplc="830A77AC">
      <w:start w:val="1"/>
      <w:numFmt w:val="lowerLetter"/>
      <w:lvlText w:val="%2."/>
      <w:lvlJc w:val="left"/>
      <w:pPr>
        <w:ind w:left="3501" w:hanging="360"/>
      </w:pPr>
    </w:lvl>
    <w:lvl w:ilvl="2" w:tplc="73749E36">
      <w:start w:val="1"/>
      <w:numFmt w:val="lowerRoman"/>
      <w:lvlText w:val="%3."/>
      <w:lvlJc w:val="left"/>
      <w:pPr>
        <w:ind w:left="4221" w:hanging="180"/>
      </w:pPr>
    </w:lvl>
    <w:lvl w:ilvl="3" w:tplc="E522E750">
      <w:start w:val="1"/>
      <w:numFmt w:val="decimal"/>
      <w:lvlText w:val="%4."/>
      <w:lvlJc w:val="left"/>
      <w:pPr>
        <w:ind w:left="4941" w:hanging="360"/>
      </w:pPr>
    </w:lvl>
    <w:lvl w:ilvl="4" w:tplc="AC8C0578">
      <w:start w:val="1"/>
      <w:numFmt w:val="lowerLetter"/>
      <w:lvlText w:val="%5."/>
      <w:lvlJc w:val="left"/>
      <w:pPr>
        <w:ind w:left="5661" w:hanging="360"/>
      </w:pPr>
    </w:lvl>
    <w:lvl w:ilvl="5" w:tplc="1E1ED050">
      <w:start w:val="1"/>
      <w:numFmt w:val="lowerRoman"/>
      <w:lvlText w:val="%6."/>
      <w:lvlJc w:val="right"/>
      <w:pPr>
        <w:ind w:left="6381" w:hanging="180"/>
      </w:pPr>
    </w:lvl>
    <w:lvl w:ilvl="6" w:tplc="2682A7AA">
      <w:start w:val="1"/>
      <w:numFmt w:val="decimal"/>
      <w:lvlText w:val="%7."/>
      <w:lvlJc w:val="left"/>
      <w:pPr>
        <w:ind w:left="7101" w:hanging="360"/>
      </w:pPr>
    </w:lvl>
    <w:lvl w:ilvl="7" w:tplc="CA047866">
      <w:start w:val="1"/>
      <w:numFmt w:val="lowerLetter"/>
      <w:lvlText w:val="%8."/>
      <w:lvlJc w:val="left"/>
      <w:pPr>
        <w:ind w:left="7821" w:hanging="360"/>
      </w:pPr>
    </w:lvl>
    <w:lvl w:ilvl="8" w:tplc="55201DAA">
      <w:start w:val="1"/>
      <w:numFmt w:val="lowerRoman"/>
      <w:lvlText w:val="%9."/>
      <w:lvlJc w:val="right"/>
      <w:pPr>
        <w:ind w:left="8541" w:hanging="180"/>
      </w:pPr>
    </w:lvl>
  </w:abstractNum>
  <w:abstractNum w:abstractNumId="11" w15:restartNumberingAfterBreak="0">
    <w:nsid w:val="49C00F4B"/>
    <w:multiLevelType w:val="multilevel"/>
    <w:tmpl w:val="53900FDE"/>
    <w:lvl w:ilvl="0">
      <w:start w:val="1"/>
      <w:numFmt w:val="decimal"/>
      <w:lvlText w:val="%1."/>
      <w:lvlJc w:val="left"/>
      <w:pPr>
        <w:ind w:left="1440" w:hanging="360"/>
      </w:pPr>
      <w:rPr>
        <w:rFonts w:ascii="Times New Roman" w:hAnsi="Times New Roman" w:cs="Times New Roman" w:hint="default"/>
        <w:color w:val="000000"/>
      </w:rPr>
    </w:lvl>
    <w:lvl w:ilvl="1">
      <w:start w:val="1"/>
      <w:numFmt w:val="lowerRoman"/>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C3E1887"/>
    <w:multiLevelType w:val="hybridMultilevel"/>
    <w:tmpl w:val="41DCF47E"/>
    <w:lvl w:ilvl="0" w:tplc="FC0AD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015A0C"/>
    <w:multiLevelType w:val="multilevel"/>
    <w:tmpl w:val="F99A3020"/>
    <w:lvl w:ilvl="0">
      <w:start w:val="1"/>
      <w:numFmt w:val="decimal"/>
      <w:lvlText w:val="%1."/>
      <w:lvlJc w:val="left"/>
      <w:pPr>
        <w:ind w:left="1440" w:hanging="360"/>
      </w:pPr>
      <w:rPr>
        <w:rFonts w:ascii="Times New Roman" w:eastAsia="Times New Roman" w:hAnsi="Times New Roman" w:cs="Times New Roman"/>
        <w:color w:val="000000"/>
      </w:rPr>
    </w:lvl>
    <w:lvl w:ilvl="1">
      <w:start w:val="1"/>
      <w:numFmt w:val="lowerRoman"/>
      <w:lvlText w:val="%2."/>
      <w:lvlJc w:val="left"/>
      <w:pPr>
        <w:ind w:left="189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4E666EB2"/>
    <w:multiLevelType w:val="multilevel"/>
    <w:tmpl w:val="8EF60EA0"/>
    <w:lvl w:ilvl="0">
      <w:start w:val="1"/>
      <w:numFmt w:val="lowerLetter"/>
      <w:pStyle w:val="Heading6"/>
      <w:lvlText w:val="%1."/>
      <w:lvlJc w:val="left"/>
      <w:pPr>
        <w:ind w:left="225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56455A9C"/>
    <w:multiLevelType w:val="multilevel"/>
    <w:tmpl w:val="53900FDE"/>
    <w:lvl w:ilvl="0">
      <w:start w:val="1"/>
      <w:numFmt w:val="decimal"/>
      <w:lvlText w:val="%1."/>
      <w:lvlJc w:val="left"/>
      <w:pPr>
        <w:ind w:left="1440" w:hanging="360"/>
      </w:pPr>
      <w:rPr>
        <w:rFonts w:ascii="Times New Roman" w:hAnsi="Times New Roman" w:cs="Times New Roman" w:hint="default"/>
        <w:color w:val="000000"/>
      </w:rPr>
    </w:lvl>
    <w:lvl w:ilvl="1">
      <w:start w:val="1"/>
      <w:numFmt w:val="lowerRoman"/>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56BF1CA0"/>
    <w:multiLevelType w:val="hybridMultilevel"/>
    <w:tmpl w:val="8F66DD44"/>
    <w:lvl w:ilvl="0" w:tplc="10C4A196">
      <w:start w:val="1"/>
      <w:numFmt w:val="upperRoman"/>
      <w:lvlText w:val="%1."/>
      <w:lvlJc w:val="left"/>
      <w:pPr>
        <w:ind w:left="960" w:hanging="720"/>
      </w:pPr>
      <w:rPr>
        <w:rFonts w:eastAsia="Times New Roman" w:hint="default"/>
        <w:b/>
        <w:color w:val="0563C1" w:themeColor="hyperlink"/>
        <w:u w:val="singl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15:restartNumberingAfterBreak="0">
    <w:nsid w:val="56CE9290"/>
    <w:multiLevelType w:val="hybridMultilevel"/>
    <w:tmpl w:val="FFFFFFFF"/>
    <w:lvl w:ilvl="0" w:tplc="6B982C54">
      <w:start w:val="1"/>
      <w:numFmt w:val="lowerRoman"/>
      <w:lvlText w:val="%1."/>
      <w:lvlJc w:val="left"/>
      <w:pPr>
        <w:ind w:left="5301" w:hanging="360"/>
      </w:pPr>
    </w:lvl>
    <w:lvl w:ilvl="1" w:tplc="0B02A472">
      <w:start w:val="1"/>
      <w:numFmt w:val="lowerLetter"/>
      <w:lvlText w:val="%2."/>
      <w:lvlJc w:val="left"/>
      <w:pPr>
        <w:ind w:left="6021" w:hanging="360"/>
      </w:pPr>
    </w:lvl>
    <w:lvl w:ilvl="2" w:tplc="3BA46AF0">
      <w:start w:val="1"/>
      <w:numFmt w:val="lowerRoman"/>
      <w:lvlText w:val="%3."/>
      <w:lvlJc w:val="right"/>
      <w:pPr>
        <w:ind w:left="6741" w:hanging="180"/>
      </w:pPr>
    </w:lvl>
    <w:lvl w:ilvl="3" w:tplc="0914C83C">
      <w:start w:val="1"/>
      <w:numFmt w:val="decimal"/>
      <w:lvlText w:val="%4."/>
      <w:lvlJc w:val="left"/>
      <w:pPr>
        <w:ind w:left="7461" w:hanging="360"/>
      </w:pPr>
    </w:lvl>
    <w:lvl w:ilvl="4" w:tplc="4526326E">
      <w:start w:val="1"/>
      <w:numFmt w:val="lowerLetter"/>
      <w:lvlText w:val="%5."/>
      <w:lvlJc w:val="left"/>
      <w:pPr>
        <w:ind w:left="8181" w:hanging="360"/>
      </w:pPr>
    </w:lvl>
    <w:lvl w:ilvl="5" w:tplc="1C1CDABC">
      <w:start w:val="1"/>
      <w:numFmt w:val="lowerRoman"/>
      <w:lvlText w:val="%6."/>
      <w:lvlJc w:val="right"/>
      <w:pPr>
        <w:ind w:left="8901" w:hanging="180"/>
      </w:pPr>
    </w:lvl>
    <w:lvl w:ilvl="6" w:tplc="EFECF116">
      <w:start w:val="1"/>
      <w:numFmt w:val="decimal"/>
      <w:lvlText w:val="%7."/>
      <w:lvlJc w:val="left"/>
      <w:pPr>
        <w:ind w:left="9621" w:hanging="360"/>
      </w:pPr>
    </w:lvl>
    <w:lvl w:ilvl="7" w:tplc="62F6FB34">
      <w:start w:val="1"/>
      <w:numFmt w:val="lowerLetter"/>
      <w:lvlText w:val="%8."/>
      <w:lvlJc w:val="left"/>
      <w:pPr>
        <w:ind w:left="10341" w:hanging="360"/>
      </w:pPr>
    </w:lvl>
    <w:lvl w:ilvl="8" w:tplc="94145608">
      <w:start w:val="1"/>
      <w:numFmt w:val="lowerRoman"/>
      <w:lvlText w:val="%9."/>
      <w:lvlJc w:val="right"/>
      <w:pPr>
        <w:ind w:left="11061" w:hanging="180"/>
      </w:pPr>
    </w:lvl>
  </w:abstractNum>
  <w:abstractNum w:abstractNumId="18" w15:restartNumberingAfterBreak="0">
    <w:nsid w:val="58311C47"/>
    <w:multiLevelType w:val="hybridMultilevel"/>
    <w:tmpl w:val="2E50FC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452D8F"/>
    <w:multiLevelType w:val="hybridMultilevel"/>
    <w:tmpl w:val="04B26C30"/>
    <w:lvl w:ilvl="0" w:tplc="FD6A5ABE">
      <w:start w:val="1"/>
      <w:numFmt w:val="decimal"/>
      <w:pStyle w:val="Heading4"/>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lvl>
    <w:lvl w:ilvl="2" w:tplc="030E889C">
      <w:start w:val="1"/>
      <w:numFmt w:val="lowerRoman"/>
      <w:pStyle w:val="Heading5"/>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2232E1"/>
    <w:multiLevelType w:val="hybridMultilevel"/>
    <w:tmpl w:val="F5B24130"/>
    <w:lvl w:ilvl="0" w:tplc="798665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1B65193"/>
    <w:multiLevelType w:val="multilevel"/>
    <w:tmpl w:val="53900FDE"/>
    <w:lvl w:ilvl="0">
      <w:start w:val="1"/>
      <w:numFmt w:val="decimal"/>
      <w:lvlText w:val="%1."/>
      <w:lvlJc w:val="left"/>
      <w:pPr>
        <w:ind w:left="1440" w:hanging="360"/>
      </w:pPr>
      <w:rPr>
        <w:rFonts w:ascii="Times New Roman" w:hAnsi="Times New Roman" w:cs="Times New Roman" w:hint="default"/>
        <w:color w:val="000000"/>
      </w:rPr>
    </w:lvl>
    <w:lvl w:ilvl="1">
      <w:start w:val="1"/>
      <w:numFmt w:val="lowerRoman"/>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67DB021B"/>
    <w:multiLevelType w:val="hybridMultilevel"/>
    <w:tmpl w:val="42C6F41A"/>
    <w:lvl w:ilvl="0" w:tplc="4F9A47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A47136"/>
    <w:multiLevelType w:val="hybridMultilevel"/>
    <w:tmpl w:val="95268006"/>
    <w:lvl w:ilvl="0" w:tplc="D7402E38">
      <w:start w:val="1"/>
      <w:numFmt w:val="upperRoman"/>
      <w:pStyle w:val="Heading2"/>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6F6AC5"/>
    <w:multiLevelType w:val="multilevel"/>
    <w:tmpl w:val="53900FDE"/>
    <w:lvl w:ilvl="0">
      <w:start w:val="1"/>
      <w:numFmt w:val="decimal"/>
      <w:lvlText w:val="%1."/>
      <w:lvlJc w:val="left"/>
      <w:pPr>
        <w:ind w:left="1440" w:hanging="360"/>
      </w:pPr>
      <w:rPr>
        <w:rFonts w:ascii="Times New Roman" w:hAnsi="Times New Roman" w:cs="Times New Roman" w:hint="default"/>
        <w:color w:val="000000"/>
      </w:rPr>
    </w:lvl>
    <w:lvl w:ilvl="1">
      <w:start w:val="1"/>
      <w:numFmt w:val="lowerRoman"/>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6F1D006C"/>
    <w:multiLevelType w:val="multilevel"/>
    <w:tmpl w:val="53900FDE"/>
    <w:lvl w:ilvl="0">
      <w:start w:val="1"/>
      <w:numFmt w:val="decimal"/>
      <w:lvlText w:val="%1."/>
      <w:lvlJc w:val="left"/>
      <w:pPr>
        <w:ind w:left="1440" w:hanging="360"/>
      </w:pPr>
      <w:rPr>
        <w:rFonts w:ascii="Times New Roman" w:hAnsi="Times New Roman" w:cs="Times New Roman" w:hint="default"/>
        <w:color w:val="000000"/>
      </w:rPr>
    </w:lvl>
    <w:lvl w:ilvl="1">
      <w:start w:val="1"/>
      <w:numFmt w:val="lowerRoman"/>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70302420"/>
    <w:multiLevelType w:val="hybridMultilevel"/>
    <w:tmpl w:val="E50E0F7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C55D3A"/>
    <w:multiLevelType w:val="multilevel"/>
    <w:tmpl w:val="53900FDE"/>
    <w:lvl w:ilvl="0">
      <w:start w:val="1"/>
      <w:numFmt w:val="decimal"/>
      <w:lvlText w:val="%1."/>
      <w:lvlJc w:val="left"/>
      <w:pPr>
        <w:ind w:left="1440" w:hanging="360"/>
      </w:pPr>
      <w:rPr>
        <w:rFonts w:ascii="Times New Roman" w:hAnsi="Times New Roman" w:cs="Times New Roman" w:hint="default"/>
        <w:color w:val="000000"/>
      </w:rPr>
    </w:lvl>
    <w:lvl w:ilvl="1">
      <w:start w:val="1"/>
      <w:numFmt w:val="lowerRoman"/>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7A3E6439"/>
    <w:multiLevelType w:val="multilevel"/>
    <w:tmpl w:val="53900FDE"/>
    <w:lvl w:ilvl="0">
      <w:start w:val="1"/>
      <w:numFmt w:val="decimal"/>
      <w:lvlText w:val="%1."/>
      <w:lvlJc w:val="left"/>
      <w:pPr>
        <w:ind w:left="1440" w:hanging="360"/>
      </w:pPr>
      <w:rPr>
        <w:rFonts w:ascii="Times New Roman" w:hAnsi="Times New Roman" w:cs="Times New Roman" w:hint="default"/>
        <w:color w:val="000000"/>
      </w:rPr>
    </w:lvl>
    <w:lvl w:ilvl="1">
      <w:start w:val="1"/>
      <w:numFmt w:val="lowerRoman"/>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7B9D0A18"/>
    <w:multiLevelType w:val="multilevel"/>
    <w:tmpl w:val="53900FDE"/>
    <w:lvl w:ilvl="0">
      <w:start w:val="1"/>
      <w:numFmt w:val="decimal"/>
      <w:lvlText w:val="%1."/>
      <w:lvlJc w:val="left"/>
      <w:pPr>
        <w:ind w:left="1440" w:hanging="360"/>
      </w:pPr>
      <w:rPr>
        <w:rFonts w:ascii="Times New Roman" w:hAnsi="Times New Roman" w:cs="Times New Roman" w:hint="default"/>
        <w:color w:val="000000"/>
      </w:rPr>
    </w:lvl>
    <w:lvl w:ilvl="1">
      <w:start w:val="1"/>
      <w:numFmt w:val="lowerRoman"/>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7D8CEA00"/>
    <w:multiLevelType w:val="hybridMultilevel"/>
    <w:tmpl w:val="FFFFFFFF"/>
    <w:lvl w:ilvl="0" w:tplc="FDC40320">
      <w:start w:val="1"/>
      <w:numFmt w:val="upperLetter"/>
      <w:lvlText w:val="%1."/>
      <w:lvlJc w:val="left"/>
      <w:pPr>
        <w:ind w:left="2160" w:hanging="360"/>
      </w:pPr>
    </w:lvl>
    <w:lvl w:ilvl="1" w:tplc="461C1538">
      <w:start w:val="1"/>
      <w:numFmt w:val="lowerLetter"/>
      <w:lvlText w:val="%2."/>
      <w:lvlJc w:val="left"/>
      <w:pPr>
        <w:ind w:left="2880" w:hanging="360"/>
      </w:pPr>
    </w:lvl>
    <w:lvl w:ilvl="2" w:tplc="7FB8578C">
      <w:start w:val="1"/>
      <w:numFmt w:val="lowerRoman"/>
      <w:lvlText w:val="%3."/>
      <w:lvlJc w:val="right"/>
      <w:pPr>
        <w:ind w:left="3600" w:hanging="180"/>
      </w:pPr>
    </w:lvl>
    <w:lvl w:ilvl="3" w:tplc="07EE971C">
      <w:start w:val="1"/>
      <w:numFmt w:val="decimal"/>
      <w:lvlText w:val="%4."/>
      <w:lvlJc w:val="left"/>
      <w:pPr>
        <w:ind w:left="4320" w:hanging="360"/>
      </w:pPr>
    </w:lvl>
    <w:lvl w:ilvl="4" w:tplc="7E34F432">
      <w:start w:val="1"/>
      <w:numFmt w:val="lowerLetter"/>
      <w:lvlText w:val="%5."/>
      <w:lvlJc w:val="left"/>
      <w:pPr>
        <w:ind w:left="5040" w:hanging="360"/>
      </w:pPr>
    </w:lvl>
    <w:lvl w:ilvl="5" w:tplc="A7EA3BEC">
      <w:start w:val="1"/>
      <w:numFmt w:val="lowerRoman"/>
      <w:lvlText w:val="%6."/>
      <w:lvlJc w:val="right"/>
      <w:pPr>
        <w:ind w:left="5760" w:hanging="180"/>
      </w:pPr>
    </w:lvl>
    <w:lvl w:ilvl="6" w:tplc="409AB1E8">
      <w:start w:val="1"/>
      <w:numFmt w:val="decimal"/>
      <w:lvlText w:val="%7."/>
      <w:lvlJc w:val="left"/>
      <w:pPr>
        <w:ind w:left="6480" w:hanging="360"/>
      </w:pPr>
    </w:lvl>
    <w:lvl w:ilvl="7" w:tplc="9D787F98">
      <w:start w:val="1"/>
      <w:numFmt w:val="lowerLetter"/>
      <w:lvlText w:val="%8."/>
      <w:lvlJc w:val="left"/>
      <w:pPr>
        <w:ind w:left="7200" w:hanging="360"/>
      </w:pPr>
    </w:lvl>
    <w:lvl w:ilvl="8" w:tplc="7C08C17E">
      <w:start w:val="1"/>
      <w:numFmt w:val="lowerRoman"/>
      <w:lvlText w:val="%9."/>
      <w:lvlJc w:val="right"/>
      <w:pPr>
        <w:ind w:left="7920" w:hanging="180"/>
      </w:pPr>
    </w:lvl>
  </w:abstractNum>
  <w:abstractNum w:abstractNumId="31" w15:restartNumberingAfterBreak="0">
    <w:nsid w:val="7EC76CDA"/>
    <w:multiLevelType w:val="hybridMultilevel"/>
    <w:tmpl w:val="607AC358"/>
    <w:lvl w:ilvl="0" w:tplc="BC327C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EF4048"/>
    <w:multiLevelType w:val="hybridMultilevel"/>
    <w:tmpl w:val="CAE67B8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67186">
    <w:abstractNumId w:val="14"/>
  </w:num>
  <w:num w:numId="2" w16cid:durableId="2114006323">
    <w:abstractNumId w:val="7"/>
  </w:num>
  <w:num w:numId="3" w16cid:durableId="1098915816">
    <w:abstractNumId w:val="29"/>
  </w:num>
  <w:num w:numId="4" w16cid:durableId="295838025">
    <w:abstractNumId w:val="2"/>
  </w:num>
  <w:num w:numId="5" w16cid:durableId="601110436">
    <w:abstractNumId w:val="9"/>
  </w:num>
  <w:num w:numId="6" w16cid:durableId="14871596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9869401">
    <w:abstractNumId w:val="27"/>
  </w:num>
  <w:num w:numId="8" w16cid:durableId="870384466">
    <w:abstractNumId w:val="19"/>
  </w:num>
  <w:num w:numId="9" w16cid:durableId="551158138">
    <w:abstractNumId w:val="4"/>
  </w:num>
  <w:num w:numId="10" w16cid:durableId="1448542981">
    <w:abstractNumId w:val="11"/>
  </w:num>
  <w:num w:numId="11" w16cid:durableId="1669819483">
    <w:abstractNumId w:val="15"/>
  </w:num>
  <w:num w:numId="12" w16cid:durableId="1096633665">
    <w:abstractNumId w:val="12"/>
  </w:num>
  <w:num w:numId="13" w16cid:durableId="1601983664">
    <w:abstractNumId w:val="26"/>
  </w:num>
  <w:num w:numId="14" w16cid:durableId="257829751">
    <w:abstractNumId w:val="6"/>
  </w:num>
  <w:num w:numId="15" w16cid:durableId="1205674036">
    <w:abstractNumId w:val="21"/>
  </w:num>
  <w:num w:numId="16" w16cid:durableId="1535801789">
    <w:abstractNumId w:val="25"/>
  </w:num>
  <w:num w:numId="17" w16cid:durableId="555556095">
    <w:abstractNumId w:val="18"/>
  </w:num>
  <w:num w:numId="18" w16cid:durableId="751390866">
    <w:abstractNumId w:val="28"/>
  </w:num>
  <w:num w:numId="19" w16cid:durableId="950627032">
    <w:abstractNumId w:val="3"/>
  </w:num>
  <w:num w:numId="20" w16cid:durableId="340162374">
    <w:abstractNumId w:val="30"/>
  </w:num>
  <w:num w:numId="21" w16cid:durableId="183059467">
    <w:abstractNumId w:val="17"/>
  </w:num>
  <w:num w:numId="22" w16cid:durableId="2105225139">
    <w:abstractNumId w:val="10"/>
  </w:num>
  <w:num w:numId="23" w16cid:durableId="1503398431">
    <w:abstractNumId w:val="5"/>
  </w:num>
  <w:num w:numId="24" w16cid:durableId="1668316062">
    <w:abstractNumId w:val="24"/>
  </w:num>
  <w:num w:numId="25" w16cid:durableId="1651323117">
    <w:abstractNumId w:val="22"/>
  </w:num>
  <w:num w:numId="26" w16cid:durableId="1831556039">
    <w:abstractNumId w:val="20"/>
  </w:num>
  <w:num w:numId="27" w16cid:durableId="174003278">
    <w:abstractNumId w:val="23"/>
  </w:num>
  <w:num w:numId="28" w16cid:durableId="33969820">
    <w:abstractNumId w:val="0"/>
  </w:num>
  <w:num w:numId="29" w16cid:durableId="743839383">
    <w:abstractNumId w:val="31"/>
  </w:num>
  <w:num w:numId="30" w16cid:durableId="1140853192">
    <w:abstractNumId w:val="19"/>
    <w:lvlOverride w:ilvl="0">
      <w:startOverride w:val="1"/>
    </w:lvlOverride>
  </w:num>
  <w:num w:numId="31" w16cid:durableId="1291864823">
    <w:abstractNumId w:val="13"/>
  </w:num>
  <w:num w:numId="32" w16cid:durableId="1242718735">
    <w:abstractNumId w:val="32"/>
  </w:num>
  <w:num w:numId="33" w16cid:durableId="1312641043">
    <w:abstractNumId w:val="1"/>
  </w:num>
  <w:num w:numId="34" w16cid:durableId="2009475178">
    <w:abstractNumId w:val="19"/>
    <w:lvlOverride w:ilvl="0">
      <w:startOverride w:val="1"/>
    </w:lvlOverride>
  </w:num>
  <w:num w:numId="35" w16cid:durableId="502744484">
    <w:abstractNumId w:val="0"/>
    <w:lvlOverride w:ilvl="0">
      <w:startOverride w:val="1"/>
    </w:lvlOverride>
  </w:num>
  <w:num w:numId="36" w16cid:durableId="1054891070">
    <w:abstractNumId w:val="19"/>
    <w:lvlOverride w:ilvl="0">
      <w:startOverride w:val="1"/>
    </w:lvlOverride>
  </w:num>
  <w:num w:numId="37" w16cid:durableId="1017193732">
    <w:abstractNumId w:val="19"/>
    <w:lvlOverride w:ilvl="0">
      <w:startOverride w:val="1"/>
    </w:lvlOverride>
  </w:num>
  <w:num w:numId="38" w16cid:durableId="312758027">
    <w:abstractNumId w:val="19"/>
    <w:lvlOverride w:ilvl="0">
      <w:startOverride w:val="1"/>
    </w:lvlOverride>
  </w:num>
  <w:num w:numId="39" w16cid:durableId="1368329988">
    <w:abstractNumId w:val="16"/>
  </w:num>
  <w:num w:numId="40" w16cid:durableId="21427217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73"/>
    <w:rsid w:val="00057BFB"/>
    <w:rsid w:val="000D4050"/>
    <w:rsid w:val="00141BE4"/>
    <w:rsid w:val="00171B3F"/>
    <w:rsid w:val="00174F89"/>
    <w:rsid w:val="00183F70"/>
    <w:rsid w:val="001924EE"/>
    <w:rsid w:val="001C35C2"/>
    <w:rsid w:val="001D7EFE"/>
    <w:rsid w:val="001E12B1"/>
    <w:rsid w:val="00212F35"/>
    <w:rsid w:val="002323CB"/>
    <w:rsid w:val="00240C3E"/>
    <w:rsid w:val="00245ABB"/>
    <w:rsid w:val="00282465"/>
    <w:rsid w:val="00285DE3"/>
    <w:rsid w:val="002A4673"/>
    <w:rsid w:val="002B4C2D"/>
    <w:rsid w:val="002C26EE"/>
    <w:rsid w:val="00301D3B"/>
    <w:rsid w:val="00314196"/>
    <w:rsid w:val="003161E9"/>
    <w:rsid w:val="00320876"/>
    <w:rsid w:val="0037034A"/>
    <w:rsid w:val="003C39F0"/>
    <w:rsid w:val="003E4C29"/>
    <w:rsid w:val="00420A38"/>
    <w:rsid w:val="00421710"/>
    <w:rsid w:val="00430970"/>
    <w:rsid w:val="0047063B"/>
    <w:rsid w:val="004762A9"/>
    <w:rsid w:val="004941D1"/>
    <w:rsid w:val="004C5FFB"/>
    <w:rsid w:val="004E35CE"/>
    <w:rsid w:val="004F4E5F"/>
    <w:rsid w:val="005C1825"/>
    <w:rsid w:val="005F61A1"/>
    <w:rsid w:val="006F2027"/>
    <w:rsid w:val="00740656"/>
    <w:rsid w:val="00752050"/>
    <w:rsid w:val="0077643C"/>
    <w:rsid w:val="00790B76"/>
    <w:rsid w:val="00793301"/>
    <w:rsid w:val="007D48DD"/>
    <w:rsid w:val="00851AF5"/>
    <w:rsid w:val="008668B6"/>
    <w:rsid w:val="009356D7"/>
    <w:rsid w:val="009547BD"/>
    <w:rsid w:val="00962927"/>
    <w:rsid w:val="00966FAC"/>
    <w:rsid w:val="00971839"/>
    <w:rsid w:val="00972D3F"/>
    <w:rsid w:val="009A081D"/>
    <w:rsid w:val="009B0C8D"/>
    <w:rsid w:val="009F40D8"/>
    <w:rsid w:val="009F6FD6"/>
    <w:rsid w:val="00A320D0"/>
    <w:rsid w:val="00A52D20"/>
    <w:rsid w:val="00A63E48"/>
    <w:rsid w:val="00A9278F"/>
    <w:rsid w:val="00BA3E79"/>
    <w:rsid w:val="00C00EE0"/>
    <w:rsid w:val="00C42DDE"/>
    <w:rsid w:val="00D90D30"/>
    <w:rsid w:val="00DB2576"/>
    <w:rsid w:val="00E11095"/>
    <w:rsid w:val="00E31D2D"/>
    <w:rsid w:val="00E61429"/>
    <w:rsid w:val="00EE55CD"/>
    <w:rsid w:val="00EE75BC"/>
    <w:rsid w:val="00F24C03"/>
    <w:rsid w:val="00F65CDF"/>
    <w:rsid w:val="00F86D94"/>
    <w:rsid w:val="00FC0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764810"/>
  <w15:chartTrackingRefBased/>
  <w15:docId w15:val="{3128C1D3-3BAF-7E44-A7A3-851C49F1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73"/>
    <w:pPr>
      <w:spacing w:after="160" w:line="360" w:lineRule="auto"/>
      <w:ind w:firstLine="720"/>
      <w:jc w:val="both"/>
    </w:pPr>
    <w:rPr>
      <w:rFonts w:ascii="Times New Roman" w:eastAsia="Times New Roman" w:hAnsi="Times New Roman" w:cs="Times New Roman"/>
      <w:lang w:val="en-GB" w:eastAsia="en-US"/>
    </w:rPr>
  </w:style>
  <w:style w:type="paragraph" w:styleId="Heading1">
    <w:name w:val="heading 1"/>
    <w:basedOn w:val="Normal"/>
    <w:next w:val="Normal"/>
    <w:link w:val="Heading1Char"/>
    <w:uiPriority w:val="9"/>
    <w:qFormat/>
    <w:rsid w:val="002A4673"/>
    <w:pPr>
      <w:keepNext/>
      <w:keepLines/>
      <w:spacing w:before="360" w:after="80"/>
      <w:ind w:firstLine="0"/>
      <w:jc w:val="center"/>
      <w:outlineLvl w:val="0"/>
    </w:pPr>
    <w:rPr>
      <w:rFonts w:eastAsiaTheme="majorEastAsia"/>
      <w:b/>
      <w:bCs/>
      <w:color w:val="000000" w:themeColor="text1"/>
    </w:rPr>
  </w:style>
  <w:style w:type="paragraph" w:styleId="Heading2">
    <w:name w:val="heading 2"/>
    <w:basedOn w:val="Normal"/>
    <w:next w:val="Normal"/>
    <w:link w:val="Heading2Char"/>
    <w:uiPriority w:val="9"/>
    <w:unhideWhenUsed/>
    <w:qFormat/>
    <w:rsid w:val="00F86D94"/>
    <w:pPr>
      <w:keepNext/>
      <w:keepLines/>
      <w:numPr>
        <w:numId w:val="27"/>
      </w:numPr>
      <w:spacing w:before="160" w:after="80"/>
      <w:ind w:left="720"/>
      <w:outlineLvl w:val="1"/>
    </w:pPr>
    <w:rPr>
      <w:rFonts w:eastAsiaTheme="majorEastAsia"/>
      <w:b/>
      <w:bCs/>
      <w:smallCaps/>
      <w:color w:val="000000" w:themeColor="text1"/>
    </w:rPr>
  </w:style>
  <w:style w:type="paragraph" w:styleId="Heading3">
    <w:name w:val="heading 3"/>
    <w:basedOn w:val="Normal"/>
    <w:next w:val="Normal"/>
    <w:link w:val="Heading3Char"/>
    <w:uiPriority w:val="9"/>
    <w:unhideWhenUsed/>
    <w:qFormat/>
    <w:rsid w:val="00F86D94"/>
    <w:pPr>
      <w:keepNext/>
      <w:keepLines/>
      <w:numPr>
        <w:numId w:val="28"/>
      </w:numPr>
      <w:spacing w:before="160" w:after="8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F86D94"/>
    <w:pPr>
      <w:keepNext/>
      <w:keepLines/>
      <w:numPr>
        <w:numId w:val="8"/>
      </w:numPr>
      <w:spacing w:before="80" w:after="40"/>
      <w:ind w:left="1440"/>
      <w:outlineLvl w:val="3"/>
    </w:pPr>
    <w:rPr>
      <w:rFonts w:eastAsiaTheme="majorEastAsia" w:cstheme="majorBidi"/>
      <w:color w:val="000000" w:themeColor="text1"/>
      <w:u w:val="single"/>
    </w:rPr>
  </w:style>
  <w:style w:type="paragraph" w:styleId="Heading5">
    <w:name w:val="heading 5"/>
    <w:basedOn w:val="Heading4"/>
    <w:next w:val="Normal"/>
    <w:link w:val="Heading5Char"/>
    <w:uiPriority w:val="9"/>
    <w:unhideWhenUsed/>
    <w:qFormat/>
    <w:rsid w:val="00F86D94"/>
    <w:pPr>
      <w:numPr>
        <w:ilvl w:val="2"/>
      </w:numPr>
      <w:ind w:left="1800" w:hanging="360"/>
      <w:outlineLvl w:val="4"/>
    </w:pPr>
    <w:rPr>
      <w:i/>
      <w:iCs/>
      <w:u w:val="none"/>
      <w:lang w:val="en-US"/>
    </w:rPr>
  </w:style>
  <w:style w:type="paragraph" w:styleId="Heading6">
    <w:name w:val="heading 6"/>
    <w:basedOn w:val="Normal"/>
    <w:next w:val="Normal"/>
    <w:link w:val="Heading6Char"/>
    <w:uiPriority w:val="9"/>
    <w:unhideWhenUsed/>
    <w:qFormat/>
    <w:rsid w:val="00F86D94"/>
    <w:pPr>
      <w:keepNext/>
      <w:keepLines/>
      <w:numPr>
        <w:numId w:val="1"/>
      </w:numPr>
      <w:spacing w:before="40"/>
      <w:ind w:left="2160"/>
      <w:outlineLvl w:val="5"/>
    </w:pPr>
    <w:rPr>
      <w:rFonts w:eastAsiaTheme="majorEastAsia" w:cstheme="majorBidi"/>
      <w:color w:val="000000" w:themeColor="text1"/>
      <w:lang w:val="en-US"/>
    </w:rPr>
  </w:style>
  <w:style w:type="paragraph" w:styleId="Heading7">
    <w:name w:val="heading 7"/>
    <w:basedOn w:val="Normal"/>
    <w:next w:val="Normal"/>
    <w:link w:val="Heading7Char"/>
    <w:uiPriority w:val="9"/>
    <w:semiHidden/>
    <w:unhideWhenUsed/>
    <w:qFormat/>
    <w:rsid w:val="002A46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46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46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673"/>
    <w:rPr>
      <w:rFonts w:ascii="Times New Roman" w:eastAsiaTheme="majorEastAsia" w:hAnsi="Times New Roman" w:cs="Times New Roman"/>
      <w:b/>
      <w:bCs/>
      <w:color w:val="000000" w:themeColor="text1"/>
      <w:lang w:val="en-GB" w:eastAsia="en-US"/>
    </w:rPr>
  </w:style>
  <w:style w:type="character" w:customStyle="1" w:styleId="Heading2Char">
    <w:name w:val="Heading 2 Char"/>
    <w:basedOn w:val="DefaultParagraphFont"/>
    <w:link w:val="Heading2"/>
    <w:uiPriority w:val="9"/>
    <w:rsid w:val="00F86D94"/>
    <w:rPr>
      <w:rFonts w:ascii="Times New Roman" w:eastAsiaTheme="majorEastAsia" w:hAnsi="Times New Roman" w:cs="Times New Roman"/>
      <w:b/>
      <w:bCs/>
      <w:smallCaps/>
      <w:color w:val="000000" w:themeColor="text1"/>
      <w:lang w:val="en-GB" w:eastAsia="en-US"/>
    </w:rPr>
  </w:style>
  <w:style w:type="character" w:customStyle="1" w:styleId="Heading3Char">
    <w:name w:val="Heading 3 Char"/>
    <w:basedOn w:val="DefaultParagraphFont"/>
    <w:link w:val="Heading3"/>
    <w:uiPriority w:val="9"/>
    <w:rsid w:val="00F86D94"/>
    <w:rPr>
      <w:rFonts w:ascii="Times New Roman" w:eastAsiaTheme="majorEastAsia" w:hAnsi="Times New Roman" w:cstheme="majorBidi"/>
      <w:b/>
      <w:bCs/>
      <w:color w:val="000000" w:themeColor="text1"/>
      <w:lang w:val="en-GB" w:eastAsia="en-US"/>
    </w:rPr>
  </w:style>
  <w:style w:type="character" w:customStyle="1" w:styleId="Heading4Char">
    <w:name w:val="Heading 4 Char"/>
    <w:basedOn w:val="DefaultParagraphFont"/>
    <w:link w:val="Heading4"/>
    <w:uiPriority w:val="9"/>
    <w:rsid w:val="00F86D94"/>
    <w:rPr>
      <w:rFonts w:ascii="Times New Roman" w:eastAsiaTheme="majorEastAsia" w:hAnsi="Times New Roman" w:cstheme="majorBidi"/>
      <w:color w:val="000000" w:themeColor="text1"/>
      <w:u w:val="single"/>
      <w:lang w:val="en-GB" w:eastAsia="en-US"/>
    </w:rPr>
  </w:style>
  <w:style w:type="character" w:customStyle="1" w:styleId="Heading5Char">
    <w:name w:val="Heading 5 Char"/>
    <w:basedOn w:val="DefaultParagraphFont"/>
    <w:link w:val="Heading5"/>
    <w:uiPriority w:val="9"/>
    <w:rsid w:val="00F86D94"/>
    <w:rPr>
      <w:rFonts w:ascii="Times New Roman" w:eastAsiaTheme="majorEastAsia" w:hAnsi="Times New Roman" w:cstheme="majorBidi"/>
      <w:i/>
      <w:iCs/>
      <w:color w:val="000000" w:themeColor="text1"/>
      <w:lang w:eastAsia="en-US"/>
    </w:rPr>
  </w:style>
  <w:style w:type="character" w:customStyle="1" w:styleId="Heading6Char">
    <w:name w:val="Heading 6 Char"/>
    <w:basedOn w:val="DefaultParagraphFont"/>
    <w:link w:val="Heading6"/>
    <w:uiPriority w:val="9"/>
    <w:rsid w:val="00F86D94"/>
    <w:rPr>
      <w:rFonts w:ascii="Times New Roman" w:eastAsiaTheme="majorEastAsia" w:hAnsi="Times New Roman" w:cstheme="majorBidi"/>
      <w:color w:val="000000" w:themeColor="text1"/>
      <w:lang w:eastAsia="en-US"/>
    </w:rPr>
  </w:style>
  <w:style w:type="character" w:customStyle="1" w:styleId="Heading7Char">
    <w:name w:val="Heading 7 Char"/>
    <w:basedOn w:val="DefaultParagraphFont"/>
    <w:link w:val="Heading7"/>
    <w:uiPriority w:val="9"/>
    <w:semiHidden/>
    <w:rsid w:val="002A4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673"/>
    <w:rPr>
      <w:rFonts w:eastAsiaTheme="majorEastAsia" w:cstheme="majorBidi"/>
      <w:color w:val="272727" w:themeColor="text1" w:themeTint="D8"/>
    </w:rPr>
  </w:style>
  <w:style w:type="paragraph" w:styleId="Title">
    <w:name w:val="Title"/>
    <w:basedOn w:val="Normal"/>
    <w:next w:val="Normal"/>
    <w:link w:val="TitleChar"/>
    <w:uiPriority w:val="10"/>
    <w:qFormat/>
    <w:rsid w:val="002A46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673"/>
    <w:pPr>
      <w:numPr>
        <w:ilvl w:val="1"/>
      </w:numPr>
      <w:ind w:firstLine="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4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673"/>
    <w:pPr>
      <w:spacing w:before="160"/>
      <w:jc w:val="center"/>
    </w:pPr>
    <w:rPr>
      <w:i/>
      <w:iCs/>
      <w:color w:val="404040" w:themeColor="text1" w:themeTint="BF"/>
    </w:rPr>
  </w:style>
  <w:style w:type="character" w:customStyle="1" w:styleId="QuoteChar">
    <w:name w:val="Quote Char"/>
    <w:basedOn w:val="DefaultParagraphFont"/>
    <w:link w:val="Quote"/>
    <w:uiPriority w:val="29"/>
    <w:rsid w:val="002A4673"/>
    <w:rPr>
      <w:i/>
      <w:iCs/>
      <w:color w:val="404040" w:themeColor="text1" w:themeTint="BF"/>
    </w:rPr>
  </w:style>
  <w:style w:type="paragraph" w:styleId="ListParagraph">
    <w:name w:val="List Paragraph"/>
    <w:basedOn w:val="Normal"/>
    <w:uiPriority w:val="34"/>
    <w:qFormat/>
    <w:rsid w:val="002A4673"/>
    <w:pPr>
      <w:ind w:left="720"/>
      <w:contextualSpacing/>
    </w:pPr>
  </w:style>
  <w:style w:type="character" w:styleId="IntenseEmphasis">
    <w:name w:val="Intense Emphasis"/>
    <w:basedOn w:val="DefaultParagraphFont"/>
    <w:uiPriority w:val="21"/>
    <w:qFormat/>
    <w:rsid w:val="002A4673"/>
    <w:rPr>
      <w:i/>
      <w:iCs/>
      <w:color w:val="2F5496" w:themeColor="accent1" w:themeShade="BF"/>
    </w:rPr>
  </w:style>
  <w:style w:type="paragraph" w:styleId="IntenseQuote">
    <w:name w:val="Intense Quote"/>
    <w:basedOn w:val="Normal"/>
    <w:next w:val="Normal"/>
    <w:link w:val="IntenseQuoteChar"/>
    <w:uiPriority w:val="30"/>
    <w:qFormat/>
    <w:rsid w:val="002A4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A4673"/>
    <w:rPr>
      <w:i/>
      <w:iCs/>
      <w:color w:val="2F5496" w:themeColor="accent1" w:themeShade="BF"/>
    </w:rPr>
  </w:style>
  <w:style w:type="character" w:styleId="IntenseReference">
    <w:name w:val="Intense Reference"/>
    <w:basedOn w:val="DefaultParagraphFont"/>
    <w:uiPriority w:val="32"/>
    <w:qFormat/>
    <w:rsid w:val="002A4673"/>
    <w:rPr>
      <w:b/>
      <w:bCs/>
      <w:smallCaps/>
      <w:color w:val="2F5496" w:themeColor="accent1" w:themeShade="BF"/>
      <w:spacing w:val="5"/>
    </w:rPr>
  </w:style>
  <w:style w:type="paragraph" w:styleId="TOC1">
    <w:name w:val="toc 1"/>
    <w:basedOn w:val="Normal"/>
    <w:next w:val="Normal"/>
    <w:autoRedefine/>
    <w:uiPriority w:val="39"/>
    <w:unhideWhenUsed/>
    <w:rsid w:val="00245ABB"/>
    <w:pPr>
      <w:tabs>
        <w:tab w:val="right" w:leader="dot" w:pos="9350"/>
      </w:tabs>
      <w:spacing w:before="120" w:after="0"/>
      <w:ind w:firstLine="0"/>
      <w:jc w:val="left"/>
    </w:pPr>
    <w:rPr>
      <w:b/>
      <w:bCs/>
      <w:noProof/>
    </w:rPr>
  </w:style>
  <w:style w:type="paragraph" w:styleId="TOC2">
    <w:name w:val="toc 2"/>
    <w:basedOn w:val="Normal"/>
    <w:next w:val="Normal"/>
    <w:autoRedefine/>
    <w:uiPriority w:val="39"/>
    <w:unhideWhenUsed/>
    <w:rsid w:val="00245ABB"/>
    <w:pPr>
      <w:tabs>
        <w:tab w:val="left" w:pos="720"/>
        <w:tab w:val="right" w:leader="dot" w:pos="9350"/>
      </w:tabs>
      <w:spacing w:before="120" w:after="0"/>
      <w:ind w:left="720" w:hanging="720"/>
      <w:jc w:val="left"/>
    </w:pPr>
    <w:rPr>
      <w:b/>
      <w:bCs/>
      <w:smallCaps/>
      <w:noProof/>
    </w:rPr>
  </w:style>
  <w:style w:type="paragraph" w:styleId="TOC3">
    <w:name w:val="toc 3"/>
    <w:basedOn w:val="Normal"/>
    <w:next w:val="Normal"/>
    <w:autoRedefine/>
    <w:uiPriority w:val="39"/>
    <w:unhideWhenUsed/>
    <w:rsid w:val="00245ABB"/>
    <w:pPr>
      <w:tabs>
        <w:tab w:val="left" w:pos="1680"/>
        <w:tab w:val="right" w:leader="dot" w:pos="9350"/>
      </w:tabs>
      <w:spacing w:after="0"/>
      <w:ind w:left="1080" w:hanging="360"/>
      <w:jc w:val="left"/>
    </w:pPr>
    <w:rPr>
      <w:b/>
      <w:bCs/>
      <w:noProof/>
      <w:color w:val="000000" w:themeColor="text1"/>
    </w:rPr>
  </w:style>
  <w:style w:type="paragraph" w:styleId="TOC4">
    <w:name w:val="toc 4"/>
    <w:basedOn w:val="Normal"/>
    <w:next w:val="Normal"/>
    <w:autoRedefine/>
    <w:uiPriority w:val="39"/>
    <w:unhideWhenUsed/>
    <w:rsid w:val="001924EE"/>
    <w:pPr>
      <w:tabs>
        <w:tab w:val="right" w:leader="dot" w:pos="9350"/>
      </w:tabs>
      <w:spacing w:after="0"/>
      <w:ind w:left="1800" w:hanging="360"/>
      <w:jc w:val="left"/>
    </w:pPr>
    <w:rPr>
      <w:noProof/>
    </w:rPr>
  </w:style>
  <w:style w:type="paragraph" w:styleId="TOC5">
    <w:name w:val="toc 5"/>
    <w:basedOn w:val="Normal"/>
    <w:next w:val="Normal"/>
    <w:autoRedefine/>
    <w:uiPriority w:val="39"/>
    <w:unhideWhenUsed/>
    <w:rsid w:val="001924EE"/>
    <w:pPr>
      <w:tabs>
        <w:tab w:val="right" w:leader="dot" w:pos="9350"/>
      </w:tabs>
      <w:spacing w:after="0"/>
      <w:ind w:left="2160" w:hanging="3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2A4673"/>
    <w:pPr>
      <w:spacing w:after="0"/>
      <w:ind w:left="1200"/>
      <w:jc w:val="left"/>
    </w:pPr>
    <w:rPr>
      <w:rFonts w:asciiTheme="minorHAnsi" w:hAnsiTheme="minorHAnsi" w:cstheme="minorHAnsi"/>
      <w:sz w:val="20"/>
      <w:szCs w:val="20"/>
    </w:rPr>
  </w:style>
  <w:style w:type="character" w:styleId="Hyperlink">
    <w:name w:val="Hyperlink"/>
    <w:basedOn w:val="DefaultParagraphFont"/>
    <w:uiPriority w:val="99"/>
    <w:unhideWhenUsed/>
    <w:rsid w:val="002A4673"/>
    <w:rPr>
      <w:color w:val="0563C1" w:themeColor="hyperlink"/>
      <w:u w:val="single"/>
    </w:rPr>
  </w:style>
  <w:style w:type="paragraph" w:styleId="Header">
    <w:name w:val="header"/>
    <w:basedOn w:val="Normal"/>
    <w:link w:val="HeaderChar"/>
    <w:uiPriority w:val="99"/>
    <w:unhideWhenUsed/>
    <w:rsid w:val="002A4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673"/>
    <w:rPr>
      <w:rFonts w:ascii="Times New Roman" w:eastAsia="Times New Roman" w:hAnsi="Times New Roman" w:cs="Times New Roman"/>
      <w:lang w:val="en-GB" w:eastAsia="en-US"/>
    </w:rPr>
  </w:style>
  <w:style w:type="paragraph" w:styleId="Footer">
    <w:name w:val="footer"/>
    <w:basedOn w:val="Normal"/>
    <w:link w:val="FooterChar"/>
    <w:uiPriority w:val="99"/>
    <w:unhideWhenUsed/>
    <w:rsid w:val="002A4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673"/>
    <w:rPr>
      <w:rFonts w:ascii="Times New Roman" w:eastAsia="Times New Roman" w:hAnsi="Times New Roman" w:cs="Times New Roman"/>
      <w:lang w:val="en-GB" w:eastAsia="en-US"/>
    </w:rPr>
  </w:style>
  <w:style w:type="paragraph" w:styleId="Revision">
    <w:name w:val="Revision"/>
    <w:hidden/>
    <w:uiPriority w:val="99"/>
    <w:semiHidden/>
    <w:rsid w:val="002A4673"/>
    <w:pPr>
      <w:ind w:firstLine="0"/>
    </w:pPr>
    <w:rPr>
      <w:rFonts w:ascii="Times New Roman" w:eastAsia="Times New Roman" w:hAnsi="Times New Roman" w:cs="Times New Roman"/>
      <w:lang w:val="en-GB" w:eastAsia="en-US"/>
    </w:rPr>
  </w:style>
  <w:style w:type="character" w:styleId="CommentReference">
    <w:name w:val="annotation reference"/>
    <w:basedOn w:val="DefaultParagraphFont"/>
    <w:uiPriority w:val="99"/>
    <w:semiHidden/>
    <w:unhideWhenUsed/>
    <w:rsid w:val="002A4673"/>
    <w:rPr>
      <w:sz w:val="16"/>
      <w:szCs w:val="16"/>
    </w:rPr>
  </w:style>
  <w:style w:type="paragraph" w:styleId="CommentText">
    <w:name w:val="annotation text"/>
    <w:basedOn w:val="Normal"/>
    <w:link w:val="CommentTextChar"/>
    <w:uiPriority w:val="99"/>
    <w:semiHidden/>
    <w:unhideWhenUsed/>
    <w:rsid w:val="002A4673"/>
    <w:pPr>
      <w:spacing w:line="240" w:lineRule="auto"/>
    </w:pPr>
    <w:rPr>
      <w:sz w:val="20"/>
      <w:szCs w:val="20"/>
    </w:rPr>
  </w:style>
  <w:style w:type="character" w:customStyle="1" w:styleId="CommentTextChar">
    <w:name w:val="Comment Text Char"/>
    <w:basedOn w:val="DefaultParagraphFont"/>
    <w:link w:val="CommentText"/>
    <w:uiPriority w:val="99"/>
    <w:semiHidden/>
    <w:rsid w:val="002A4673"/>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A4673"/>
    <w:rPr>
      <w:b/>
      <w:bCs/>
    </w:rPr>
  </w:style>
  <w:style w:type="character" w:customStyle="1" w:styleId="CommentSubjectChar">
    <w:name w:val="Comment Subject Char"/>
    <w:basedOn w:val="CommentTextChar"/>
    <w:link w:val="CommentSubject"/>
    <w:uiPriority w:val="99"/>
    <w:semiHidden/>
    <w:rsid w:val="002A4673"/>
    <w:rPr>
      <w:rFonts w:ascii="Times New Roman" w:eastAsia="Times New Roman" w:hAnsi="Times New Roman" w:cs="Times New Roman"/>
      <w:b/>
      <w:bCs/>
      <w:sz w:val="20"/>
      <w:szCs w:val="20"/>
      <w:lang w:val="en-GB" w:eastAsia="en-US"/>
    </w:rPr>
  </w:style>
  <w:style w:type="paragraph" w:customStyle="1" w:styleId="p1">
    <w:name w:val="p1"/>
    <w:basedOn w:val="Normal"/>
    <w:rsid w:val="002A4673"/>
    <w:pPr>
      <w:spacing w:after="0" w:line="240" w:lineRule="auto"/>
      <w:ind w:firstLine="0"/>
      <w:jc w:val="left"/>
    </w:pPr>
    <w:rPr>
      <w:rFonts w:ascii=".AppleSystemUIFont" w:hAnsi=".AppleSystemUIFont"/>
      <w:color w:val="0E0E0E"/>
      <w:sz w:val="20"/>
      <w:szCs w:val="20"/>
      <w:lang w:val="en-US"/>
    </w:rPr>
  </w:style>
  <w:style w:type="paragraph" w:styleId="FootnoteText">
    <w:name w:val="footnote text"/>
    <w:basedOn w:val="Normal"/>
    <w:link w:val="FootnoteTextChar"/>
    <w:uiPriority w:val="99"/>
    <w:semiHidden/>
    <w:unhideWhenUsed/>
    <w:rsid w:val="002A46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673"/>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iPriority w:val="99"/>
    <w:semiHidden/>
    <w:unhideWhenUsed/>
    <w:rsid w:val="002A4673"/>
    <w:rPr>
      <w:vertAlign w:val="superscript"/>
    </w:rPr>
  </w:style>
  <w:style w:type="character" w:styleId="Emphasis">
    <w:name w:val="Emphasis"/>
    <w:basedOn w:val="DefaultParagraphFont"/>
    <w:uiPriority w:val="20"/>
    <w:qFormat/>
    <w:rsid w:val="002A4673"/>
    <w:rPr>
      <w:i/>
      <w:iCs/>
    </w:rPr>
  </w:style>
  <w:style w:type="character" w:styleId="UnresolvedMention">
    <w:name w:val="Unresolved Mention"/>
    <w:basedOn w:val="DefaultParagraphFont"/>
    <w:uiPriority w:val="99"/>
    <w:semiHidden/>
    <w:unhideWhenUsed/>
    <w:rsid w:val="002A4673"/>
    <w:rPr>
      <w:color w:val="605E5C"/>
      <w:shd w:val="clear" w:color="auto" w:fill="E1DFDD"/>
    </w:rPr>
  </w:style>
  <w:style w:type="paragraph" w:styleId="NormalWeb">
    <w:name w:val="Normal (Web)"/>
    <w:basedOn w:val="Normal"/>
    <w:uiPriority w:val="99"/>
    <w:semiHidden/>
    <w:unhideWhenUsed/>
    <w:rsid w:val="002A4673"/>
    <w:pPr>
      <w:spacing w:before="100" w:beforeAutospacing="1" w:after="100" w:afterAutospacing="1" w:line="240" w:lineRule="auto"/>
      <w:ind w:firstLine="0"/>
      <w:jc w:val="left"/>
    </w:pPr>
    <w:rPr>
      <w:lang w:val="en-US"/>
    </w:rPr>
  </w:style>
  <w:style w:type="character" w:customStyle="1" w:styleId="apple-tab-span">
    <w:name w:val="apple-tab-span"/>
    <w:basedOn w:val="DefaultParagraphFont"/>
    <w:rsid w:val="002A4673"/>
  </w:style>
  <w:style w:type="character" w:customStyle="1" w:styleId="normaltextrun">
    <w:name w:val="normaltextrun"/>
    <w:basedOn w:val="DefaultParagraphFont"/>
    <w:rsid w:val="002A4673"/>
  </w:style>
  <w:style w:type="character" w:customStyle="1" w:styleId="eop">
    <w:name w:val="eop"/>
    <w:basedOn w:val="DefaultParagraphFont"/>
    <w:rsid w:val="002A4673"/>
  </w:style>
  <w:style w:type="paragraph" w:styleId="Date">
    <w:name w:val="Date"/>
    <w:basedOn w:val="Normal"/>
    <w:next w:val="Normal"/>
    <w:link w:val="DateChar"/>
    <w:uiPriority w:val="99"/>
    <w:semiHidden/>
    <w:unhideWhenUsed/>
    <w:rsid w:val="00C42DDE"/>
  </w:style>
  <w:style w:type="character" w:customStyle="1" w:styleId="DateChar">
    <w:name w:val="Date Char"/>
    <w:basedOn w:val="DefaultParagraphFont"/>
    <w:link w:val="Date"/>
    <w:uiPriority w:val="99"/>
    <w:semiHidden/>
    <w:rsid w:val="00C42DDE"/>
    <w:rPr>
      <w:rFonts w:ascii="Times New Roman" w:eastAsia="Times New Roman" w:hAnsi="Times New Roman" w:cs="Times New Roman"/>
      <w:lang w:val="en-GB" w:eastAsia="en-US"/>
    </w:rPr>
  </w:style>
  <w:style w:type="character" w:styleId="PageNumber">
    <w:name w:val="page number"/>
    <w:basedOn w:val="DefaultParagraphFont"/>
    <w:uiPriority w:val="99"/>
    <w:semiHidden/>
    <w:unhideWhenUsed/>
    <w:rsid w:val="00314196"/>
  </w:style>
  <w:style w:type="paragraph" w:styleId="TOAHeading">
    <w:name w:val="toa heading"/>
    <w:basedOn w:val="Normal"/>
    <w:next w:val="Normal"/>
    <w:uiPriority w:val="99"/>
    <w:semiHidden/>
    <w:unhideWhenUsed/>
    <w:rsid w:val="00A52D20"/>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A52D20"/>
    <w:pPr>
      <w:spacing w:after="0"/>
      <w:ind w:left="240" w:hanging="240"/>
    </w:pPr>
  </w:style>
  <w:style w:type="paragraph" w:styleId="TOCHeading">
    <w:name w:val="TOC Heading"/>
    <w:basedOn w:val="Heading1"/>
    <w:next w:val="Normal"/>
    <w:uiPriority w:val="39"/>
    <w:unhideWhenUsed/>
    <w:qFormat/>
    <w:rsid w:val="00141BE4"/>
    <w:pPr>
      <w:spacing w:before="480" w:after="0" w:line="276" w:lineRule="auto"/>
      <w:jc w:val="left"/>
      <w:outlineLvl w:val="9"/>
    </w:pPr>
    <w:rPr>
      <w:rFonts w:asciiTheme="majorHAnsi" w:hAnsiTheme="majorHAnsi" w:cstheme="majorBidi"/>
      <w:color w:val="2F5496" w:themeColor="accent1" w:themeShade="BF"/>
      <w:sz w:val="28"/>
      <w:szCs w:val="28"/>
      <w:lang w:val="en-US"/>
    </w:rPr>
  </w:style>
  <w:style w:type="paragraph" w:styleId="TOC7">
    <w:name w:val="toc 7"/>
    <w:basedOn w:val="Normal"/>
    <w:next w:val="Normal"/>
    <w:autoRedefine/>
    <w:uiPriority w:val="39"/>
    <w:semiHidden/>
    <w:unhideWhenUsed/>
    <w:rsid w:val="00141BE4"/>
    <w:pPr>
      <w:spacing w:after="0"/>
      <w:ind w:left="1440"/>
      <w:jc w:val="left"/>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41BE4"/>
    <w:pPr>
      <w:spacing w:after="0"/>
      <w:ind w:left="1680"/>
      <w:jc w:val="left"/>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41BE4"/>
    <w:pPr>
      <w:spacing w:after="0"/>
      <w:ind w:left="1920"/>
      <w:jc w:val="left"/>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819BC-50B6-A54A-AD7B-4980B9B8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54</Pages>
  <Words>12097</Words>
  <Characters>67505</Characters>
  <Application>Microsoft Office Word</Application>
  <DocSecurity>0</DocSecurity>
  <Lines>1125</Lines>
  <Paragraphs>473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szhang@jd25.law.harvard.edu</dc:creator>
  <cp:keywords/>
  <dc:description/>
  <cp:lastModifiedBy>Sabrina Zhang</cp:lastModifiedBy>
  <cp:revision>29</cp:revision>
  <dcterms:created xsi:type="dcterms:W3CDTF">2025-01-14T14:14:00Z</dcterms:created>
  <dcterms:modified xsi:type="dcterms:W3CDTF">2025-01-14T21:05:00Z</dcterms:modified>
  <cp:category/>
</cp:coreProperties>
</file>